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838AF" w14:textId="14EED9A2" w:rsidR="009773EE" w:rsidRDefault="00575992">
      <w:r>
        <w:rPr>
          <w:noProof/>
        </w:rPr>
        <w:drawing>
          <wp:inline distT="0" distB="0" distL="0" distR="0" wp14:anchorId="3B662A95" wp14:editId="597C69AC">
            <wp:extent cx="2247900" cy="752475"/>
            <wp:effectExtent l="0" t="0" r="0" b="9525"/>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wtsd-logo-bilingual"/>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p w14:paraId="2A1FCFC7" w14:textId="2172DA6A" w:rsidR="00575992" w:rsidRDefault="00575992"/>
    <w:p w14:paraId="4E31D52C" w14:textId="68CBC975" w:rsidR="00575992" w:rsidRDefault="00575992"/>
    <w:p w14:paraId="6CFC6A7D" w14:textId="2A8E2736" w:rsidR="00575992" w:rsidRDefault="00575992"/>
    <w:p w14:paraId="2901B9B6" w14:textId="77777777" w:rsidR="00575992" w:rsidRDefault="00575992"/>
    <w:p w14:paraId="155C6B0B" w14:textId="4961AF64" w:rsidR="00575992" w:rsidRPr="00575992" w:rsidRDefault="00575992" w:rsidP="00575992">
      <w:pPr>
        <w:jc w:val="center"/>
        <w:rPr>
          <w:b/>
          <w:bCs/>
          <w:sz w:val="72"/>
          <w:szCs w:val="72"/>
        </w:rPr>
      </w:pPr>
      <w:r w:rsidRPr="00575992">
        <w:rPr>
          <w:b/>
          <w:bCs/>
          <w:sz w:val="72"/>
          <w:szCs w:val="72"/>
        </w:rPr>
        <w:t>LAW AND LEGAL PRACTICE</w:t>
      </w:r>
    </w:p>
    <w:p w14:paraId="66930632" w14:textId="423E454C" w:rsidR="00575992" w:rsidRDefault="00575992" w:rsidP="00575992">
      <w:pPr>
        <w:jc w:val="center"/>
        <w:rPr>
          <w:b/>
          <w:bCs/>
          <w:sz w:val="72"/>
          <w:szCs w:val="72"/>
        </w:rPr>
      </w:pPr>
      <w:r w:rsidRPr="00575992">
        <w:rPr>
          <w:b/>
          <w:bCs/>
          <w:sz w:val="72"/>
          <w:szCs w:val="72"/>
        </w:rPr>
        <w:t>BMLW4007 – PUBLIC LAW</w:t>
      </w:r>
    </w:p>
    <w:p w14:paraId="69F547B4" w14:textId="01CCAF18" w:rsidR="00575992" w:rsidRDefault="00575992" w:rsidP="00575992">
      <w:pPr>
        <w:jc w:val="center"/>
        <w:rPr>
          <w:b/>
          <w:bCs/>
          <w:sz w:val="72"/>
          <w:szCs w:val="72"/>
        </w:rPr>
      </w:pPr>
    </w:p>
    <w:p w14:paraId="2465D202" w14:textId="71366999" w:rsidR="00575992" w:rsidRDefault="00575992" w:rsidP="00575992">
      <w:pPr>
        <w:jc w:val="center"/>
        <w:rPr>
          <w:b/>
          <w:bCs/>
          <w:sz w:val="72"/>
          <w:szCs w:val="72"/>
        </w:rPr>
      </w:pPr>
    </w:p>
    <w:p w14:paraId="4F7DFF61" w14:textId="2FBAFC30" w:rsidR="00575992" w:rsidRDefault="00575992" w:rsidP="00575992">
      <w:pPr>
        <w:jc w:val="center"/>
        <w:rPr>
          <w:b/>
          <w:bCs/>
          <w:sz w:val="72"/>
          <w:szCs w:val="72"/>
        </w:rPr>
      </w:pPr>
    </w:p>
    <w:p w14:paraId="33699002" w14:textId="73C67D02" w:rsidR="00575992" w:rsidRDefault="00575992" w:rsidP="00575992">
      <w:pPr>
        <w:jc w:val="center"/>
        <w:rPr>
          <w:b/>
          <w:bCs/>
          <w:sz w:val="72"/>
          <w:szCs w:val="72"/>
        </w:rPr>
      </w:pPr>
    </w:p>
    <w:p w14:paraId="20B69F3A" w14:textId="6BB7CBCF" w:rsidR="00575992" w:rsidRDefault="00575992" w:rsidP="00575992">
      <w:pPr>
        <w:jc w:val="center"/>
        <w:rPr>
          <w:b/>
          <w:bCs/>
          <w:sz w:val="24"/>
          <w:szCs w:val="24"/>
        </w:rPr>
      </w:pPr>
    </w:p>
    <w:p w14:paraId="0512AF33" w14:textId="38D7F9B1" w:rsidR="00575992" w:rsidRDefault="00575992" w:rsidP="00575992">
      <w:pPr>
        <w:jc w:val="center"/>
        <w:rPr>
          <w:b/>
          <w:bCs/>
          <w:sz w:val="24"/>
          <w:szCs w:val="24"/>
        </w:rPr>
      </w:pPr>
    </w:p>
    <w:p w14:paraId="5092BDB0" w14:textId="2883E03B" w:rsidR="00575992" w:rsidRDefault="00575992" w:rsidP="00575992">
      <w:pPr>
        <w:jc w:val="center"/>
        <w:rPr>
          <w:b/>
          <w:bCs/>
          <w:sz w:val="24"/>
          <w:szCs w:val="24"/>
        </w:rPr>
      </w:pPr>
    </w:p>
    <w:p w14:paraId="663E025C" w14:textId="73ED75D6" w:rsidR="00575992" w:rsidRDefault="00575992" w:rsidP="00575992">
      <w:pPr>
        <w:jc w:val="center"/>
        <w:rPr>
          <w:b/>
          <w:bCs/>
          <w:sz w:val="24"/>
          <w:szCs w:val="24"/>
        </w:rPr>
      </w:pPr>
    </w:p>
    <w:p w14:paraId="77CE7A97" w14:textId="4741E9C4" w:rsidR="00575992" w:rsidRDefault="00575992" w:rsidP="00575992">
      <w:pPr>
        <w:jc w:val="center"/>
        <w:rPr>
          <w:b/>
          <w:bCs/>
          <w:sz w:val="24"/>
          <w:szCs w:val="24"/>
        </w:rPr>
      </w:pPr>
    </w:p>
    <w:p w14:paraId="1A5A9C33" w14:textId="212710BE" w:rsidR="00575992" w:rsidRDefault="00575992" w:rsidP="00575992">
      <w:pPr>
        <w:jc w:val="center"/>
        <w:rPr>
          <w:b/>
          <w:bCs/>
          <w:sz w:val="24"/>
          <w:szCs w:val="24"/>
        </w:rPr>
      </w:pPr>
    </w:p>
    <w:p w14:paraId="61CDB09D" w14:textId="77777777" w:rsidR="00796F8A" w:rsidRPr="00796F8A" w:rsidRDefault="00796F8A" w:rsidP="003204F7">
      <w:pPr>
        <w:ind w:firstLine="720"/>
        <w:jc w:val="both"/>
        <w:rPr>
          <w:sz w:val="24"/>
          <w:szCs w:val="24"/>
        </w:rPr>
      </w:pPr>
      <w:r w:rsidRPr="00796F8A">
        <w:rPr>
          <w:sz w:val="24"/>
          <w:szCs w:val="24"/>
        </w:rPr>
        <w:lastRenderedPageBreak/>
        <w:t>On June 22, 2022, Department of Justice secretary Dominic Raab released the Bill of Rights Bill. The Human Rights Act (HRA) of 1998, which is being replaced, is responsible for giving legal effect in the United Kingdom to the principles of the European Convention on Human Rights (ECHR). When this is finally signed into law, it will be referred to as the Bill of Rights 2022.</w:t>
      </w:r>
    </w:p>
    <w:p w14:paraId="2AFD69FA" w14:textId="77777777" w:rsidR="00796F8A" w:rsidRPr="00796F8A" w:rsidRDefault="00796F8A" w:rsidP="003204F7">
      <w:pPr>
        <w:ind w:firstLine="720"/>
        <w:jc w:val="both"/>
        <w:rPr>
          <w:sz w:val="24"/>
          <w:szCs w:val="24"/>
        </w:rPr>
      </w:pPr>
      <w:r w:rsidRPr="00796F8A">
        <w:rPr>
          <w:sz w:val="24"/>
          <w:szCs w:val="24"/>
        </w:rPr>
        <w:t>The government used the moniker "Bill of Rights" in an attempt to evoke historical precedents such as the Scottish Claim of Rights 1689 and the English Bill of Rights 1689. The Bill of Rights, in contrast to these other agreements, does not create any new rights but rather lists the rights protected by the European Convention on Human Rights that are already part of British law. All of these are rights that are also protected by the Human Rights Convention, which the HRA works to put into effect.</w:t>
      </w:r>
    </w:p>
    <w:p w14:paraId="56D767B9" w14:textId="0D254984" w:rsidR="00796F8A" w:rsidRDefault="00796F8A" w:rsidP="003204F7">
      <w:pPr>
        <w:ind w:firstLine="720"/>
        <w:jc w:val="both"/>
        <w:rPr>
          <w:sz w:val="24"/>
          <w:szCs w:val="24"/>
        </w:rPr>
      </w:pPr>
      <w:r w:rsidRPr="00796F8A">
        <w:rPr>
          <w:sz w:val="24"/>
          <w:szCs w:val="24"/>
        </w:rPr>
        <w:t>During the horrors of World War II, a document called the Universal Declaration of Human Rights was written to describe human rights in a legal framework. The European Convention on Human Rights (ECHR) came into being in 1953, and the European Court of Human Rights (ECHR) was founded in 1959. The Human Rights Act (HRA) of 1998 was enacted in the United Kingdom to make the rights granted by the Convention directly enforceable under domestic law.</w:t>
      </w:r>
    </w:p>
    <w:p w14:paraId="6A8216FB" w14:textId="2325387C" w:rsidR="00F00522" w:rsidRDefault="00F00522" w:rsidP="003204F7">
      <w:pPr>
        <w:ind w:firstLine="720"/>
        <w:jc w:val="both"/>
        <w:rPr>
          <w:sz w:val="24"/>
          <w:szCs w:val="24"/>
        </w:rPr>
      </w:pPr>
      <w:r w:rsidRPr="00F00522">
        <w:rPr>
          <w:sz w:val="24"/>
          <w:szCs w:val="24"/>
        </w:rPr>
        <w:t>The European Communities Act of 1972 received Royal Assent on October 17, 1972, and, as a result, the United Kingdom formally joined the European Economic Community on January 1, 1973.</w:t>
      </w:r>
      <w:r>
        <w:rPr>
          <w:sz w:val="24"/>
          <w:szCs w:val="24"/>
        </w:rPr>
        <w:t xml:space="preserve"> </w:t>
      </w:r>
      <w:r w:rsidRPr="00F00522">
        <w:rPr>
          <w:sz w:val="24"/>
          <w:szCs w:val="24"/>
        </w:rPr>
        <w:t>The European Communities Act of 1972 was passed so that British law could be brought in line with EU law when the country joined the European Economic Community.</w:t>
      </w:r>
      <w:r w:rsidR="006804BD">
        <w:rPr>
          <w:sz w:val="24"/>
          <w:szCs w:val="24"/>
        </w:rPr>
        <w:t xml:space="preserve"> </w:t>
      </w:r>
      <w:r w:rsidRPr="00F00522">
        <w:rPr>
          <w:sz w:val="24"/>
          <w:szCs w:val="24"/>
        </w:rPr>
        <w:t>The biggest shift that this Act brought about was that the United Kingdom became a member of the European Economic Community, making it subject to legislation passed by the European Union.</w:t>
      </w:r>
      <w:r w:rsidR="006804BD">
        <w:rPr>
          <w:sz w:val="24"/>
          <w:szCs w:val="24"/>
        </w:rPr>
        <w:t xml:space="preserve"> </w:t>
      </w:r>
      <w:r w:rsidR="006804BD" w:rsidRPr="006804BD">
        <w:rPr>
          <w:sz w:val="24"/>
          <w:szCs w:val="24"/>
        </w:rPr>
        <w:t>Section 2 of this Act constitutes one of the more significant improvements brought about by this legislation</w:t>
      </w:r>
      <w:r w:rsidR="006804BD">
        <w:rPr>
          <w:sz w:val="24"/>
          <w:szCs w:val="24"/>
        </w:rPr>
        <w:t xml:space="preserve"> and that was</w:t>
      </w:r>
      <w:r w:rsidR="006804BD" w:rsidRPr="006804BD">
        <w:rPr>
          <w:sz w:val="24"/>
          <w:szCs w:val="24"/>
        </w:rPr>
        <w:t xml:space="preserve"> </w:t>
      </w:r>
      <w:r w:rsidR="006804BD">
        <w:rPr>
          <w:sz w:val="24"/>
          <w:szCs w:val="24"/>
        </w:rPr>
        <w:t xml:space="preserve">that any </w:t>
      </w:r>
      <w:r w:rsidR="006804BD" w:rsidRPr="006804BD">
        <w:rPr>
          <w:sz w:val="24"/>
          <w:szCs w:val="24"/>
        </w:rPr>
        <w:t xml:space="preserve">EU laws and regulations </w:t>
      </w:r>
      <w:r w:rsidR="006804BD">
        <w:rPr>
          <w:sz w:val="24"/>
          <w:szCs w:val="24"/>
        </w:rPr>
        <w:t xml:space="preserve"> would </w:t>
      </w:r>
      <w:r w:rsidR="006804BD" w:rsidRPr="006804BD">
        <w:rPr>
          <w:sz w:val="24"/>
          <w:szCs w:val="24"/>
        </w:rPr>
        <w:t>apply directly within the United Kingdom</w:t>
      </w:r>
      <w:r w:rsidR="006804BD">
        <w:rPr>
          <w:sz w:val="24"/>
          <w:szCs w:val="24"/>
        </w:rPr>
        <w:t xml:space="preserve"> without the</w:t>
      </w:r>
      <w:r w:rsidR="006804BD" w:rsidRPr="006804BD">
        <w:rPr>
          <w:sz w:val="24"/>
          <w:szCs w:val="24"/>
        </w:rPr>
        <w:t xml:space="preserve"> need for a separate Act of Parliament; national law </w:t>
      </w:r>
      <w:r w:rsidR="006804BD">
        <w:rPr>
          <w:sz w:val="24"/>
          <w:szCs w:val="24"/>
        </w:rPr>
        <w:t>would</w:t>
      </w:r>
      <w:r w:rsidR="006804BD" w:rsidRPr="006804BD">
        <w:rPr>
          <w:sz w:val="24"/>
          <w:szCs w:val="24"/>
        </w:rPr>
        <w:t xml:space="preserve"> immediately include and be bound by EU regulations and certain articles of the Treaties. This was a major source of contention in the United Kingdom when the idea of joining the European Economic Community was initially proposed. Because it would allow EU legislation to control the United Kingdom without the passage of any domestic laws, it sparked debates over whether the United Kingdom would remain a sovereign state should it join the EU.</w:t>
      </w:r>
    </w:p>
    <w:p w14:paraId="4D80AA25" w14:textId="5D1FD7DE" w:rsidR="003204F7" w:rsidRDefault="003204F7" w:rsidP="003204F7">
      <w:pPr>
        <w:ind w:firstLine="720"/>
        <w:jc w:val="both"/>
        <w:rPr>
          <w:sz w:val="24"/>
          <w:szCs w:val="24"/>
        </w:rPr>
      </w:pPr>
      <w:r w:rsidRPr="003204F7">
        <w:rPr>
          <w:sz w:val="24"/>
          <w:szCs w:val="24"/>
        </w:rPr>
        <w:t>Notwithstanding the disagreements, the British government eventually passed the necessary legislation to prepare British law for the country's withdrawal from the European Union. After the European Union (Withdrawal) Bill received Royal Assent on June 26, 2018, it became the European Union (Withdrawal) Act 2018. The EUWA's legal framework took effect on the day the United Kingdom formally left the European Union.</w:t>
      </w:r>
    </w:p>
    <w:p w14:paraId="12A1E923" w14:textId="5068548E" w:rsidR="00A67650" w:rsidRPr="00796F8A" w:rsidRDefault="00A67650" w:rsidP="003204F7">
      <w:pPr>
        <w:ind w:firstLine="720"/>
        <w:jc w:val="both"/>
        <w:rPr>
          <w:sz w:val="24"/>
          <w:szCs w:val="24"/>
        </w:rPr>
      </w:pPr>
      <w:r w:rsidRPr="00A67650">
        <w:rPr>
          <w:sz w:val="24"/>
          <w:szCs w:val="24"/>
        </w:rPr>
        <w:t xml:space="preserve">Specifically, </w:t>
      </w:r>
      <w:r>
        <w:rPr>
          <w:sz w:val="24"/>
          <w:szCs w:val="24"/>
        </w:rPr>
        <w:t>t</w:t>
      </w:r>
      <w:r w:rsidRPr="00A67650">
        <w:rPr>
          <w:sz w:val="24"/>
          <w:szCs w:val="24"/>
        </w:rPr>
        <w:t xml:space="preserve">he European Union (Withdrawal) Act 2018 repeals the European Communities Act 1972 on exit day, converts EU law as it stands at the moment of exit into UK law, and grants ministers the power to make secondary legislation, including temporary powers to allow corrections to be made to laws that would otherwise no longer operate appropriately </w:t>
      </w:r>
      <w:r w:rsidRPr="00A67650">
        <w:rPr>
          <w:sz w:val="24"/>
          <w:szCs w:val="24"/>
        </w:rPr>
        <w:lastRenderedPageBreak/>
        <w:t>once the UK has left the EU. It also grants the UK Parliament the right to approve the withdrawal agreement before the UK leaves the EU.</w:t>
      </w:r>
    </w:p>
    <w:p w14:paraId="21AA2BD1" w14:textId="77777777" w:rsidR="001A0AE2" w:rsidRPr="00D90B17" w:rsidRDefault="001A0AE2" w:rsidP="003204F7">
      <w:pPr>
        <w:ind w:firstLine="720"/>
        <w:jc w:val="both"/>
        <w:rPr>
          <w:sz w:val="24"/>
          <w:szCs w:val="24"/>
        </w:rPr>
      </w:pPr>
      <w:r w:rsidRPr="00D90B17">
        <w:rPr>
          <w:sz w:val="24"/>
          <w:szCs w:val="24"/>
        </w:rPr>
        <w:t>In its 2010 and 2015 manifestos, the Conservative Party first and most recently stated its aim to replace the Human Rights Act (HRA) of 1998 with a Bill of Rights. It pledged in 2017 that it would not move to repeal or replace the HRA while Brexit negotiations were ongoing. A promise to "reform the Human Rights Act" was all that was made in its 2019 platform.</w:t>
      </w:r>
    </w:p>
    <w:p w14:paraId="621E08A9" w14:textId="353F3322" w:rsidR="00B86746" w:rsidRDefault="001A0AE2" w:rsidP="003204F7">
      <w:pPr>
        <w:ind w:firstLine="720"/>
        <w:jc w:val="both"/>
        <w:rPr>
          <w:sz w:val="24"/>
          <w:szCs w:val="24"/>
        </w:rPr>
      </w:pPr>
      <w:r w:rsidRPr="00D90B17">
        <w:rPr>
          <w:sz w:val="24"/>
          <w:szCs w:val="24"/>
        </w:rPr>
        <w:t>Specifically, clause 1(2) of the Bill states that it is intended to "[clarify and re-balance] the relationship between courts in the United Kingdom, the European Court of Human Rights, and Parliament" and to make parliamentary decision-making, rather than judicial decision-making, the default option when competing rights and interests are at stake.</w:t>
      </w:r>
    </w:p>
    <w:p w14:paraId="21BC0E56" w14:textId="715345C2" w:rsidR="00CC1630" w:rsidRDefault="00CC1630" w:rsidP="003204F7">
      <w:pPr>
        <w:ind w:firstLine="720"/>
        <w:jc w:val="both"/>
        <w:rPr>
          <w:sz w:val="24"/>
          <w:szCs w:val="24"/>
        </w:rPr>
      </w:pPr>
      <w:r w:rsidRPr="00CC1630">
        <w:rPr>
          <w:sz w:val="24"/>
          <w:szCs w:val="24"/>
        </w:rPr>
        <w:t>Partially withdrawing from the ECHR is the first step towards a full withdrawal, which is what the UK Bill of Rights hopes to achieve.</w:t>
      </w:r>
    </w:p>
    <w:p w14:paraId="20780D1B" w14:textId="26F3FF71" w:rsidR="00D90B17" w:rsidRPr="00CC1630" w:rsidRDefault="00D90B17" w:rsidP="003204F7">
      <w:pPr>
        <w:ind w:firstLine="720"/>
        <w:jc w:val="both"/>
        <w:rPr>
          <w:sz w:val="24"/>
          <w:szCs w:val="24"/>
        </w:rPr>
      </w:pPr>
      <w:r w:rsidRPr="00D90B17">
        <w:rPr>
          <w:sz w:val="24"/>
          <w:szCs w:val="24"/>
        </w:rPr>
        <w:t>The Bill's Section 2(1) and Schedule 1 will establish "Convention Rights" under UK domestic law; these are essentially the same as the rights established by the HRA. The United Kingdom will continue to be bound by Article 1 of the European Convention on Human Rights (the Convention) to ensure that all people within its borders enjoy the liberties and protections outlined in that document's first section. Unless specifically prohibited by law, public authorities may not continue to take actions that violate Convention rights. The Bill allows for the Supreme Court and other higher courts to issue declarations of incompatibility with Convention rights, but these declarations will not alter the outcome of cases in the courts that issue them.</w:t>
      </w:r>
    </w:p>
    <w:p w14:paraId="1BEB3C72" w14:textId="4743948B" w:rsidR="00D90B17" w:rsidRPr="00D90B17" w:rsidRDefault="001A0AE2" w:rsidP="003204F7">
      <w:pPr>
        <w:ind w:firstLine="720"/>
        <w:jc w:val="both"/>
        <w:rPr>
          <w:sz w:val="24"/>
          <w:szCs w:val="24"/>
        </w:rPr>
      </w:pPr>
      <w:r w:rsidRPr="001A0AE2">
        <w:rPr>
          <w:sz w:val="24"/>
          <w:szCs w:val="24"/>
        </w:rPr>
        <w:t xml:space="preserve">There is little information available at this time, but we do know that the UK Bill of Rights intends to </w:t>
      </w:r>
      <w:r>
        <w:rPr>
          <w:sz w:val="24"/>
          <w:szCs w:val="24"/>
        </w:rPr>
        <w:t>firstly</w:t>
      </w:r>
      <w:r w:rsidR="00D90B17" w:rsidRPr="00D90B17">
        <w:rPr>
          <w:sz w:val="24"/>
          <w:szCs w:val="24"/>
        </w:rPr>
        <w:t xml:space="preserve"> </w:t>
      </w:r>
      <w:r w:rsidR="001E1C9E">
        <w:rPr>
          <w:sz w:val="24"/>
          <w:szCs w:val="24"/>
        </w:rPr>
        <w:t xml:space="preserve">not take into consideration </w:t>
      </w:r>
      <w:r w:rsidR="001E1C9E" w:rsidRPr="001E1C9E">
        <w:rPr>
          <w:sz w:val="24"/>
          <w:szCs w:val="24"/>
        </w:rPr>
        <w:t>the ECtHR's temporary injunctions barring transferring migrants to Rwanda under domestic law.</w:t>
      </w:r>
    </w:p>
    <w:p w14:paraId="3DF9261E" w14:textId="2BD41481" w:rsidR="00D90B17" w:rsidRPr="00D90B17" w:rsidRDefault="00D90B17" w:rsidP="003204F7">
      <w:pPr>
        <w:ind w:firstLine="720"/>
        <w:jc w:val="both"/>
        <w:rPr>
          <w:sz w:val="24"/>
          <w:szCs w:val="24"/>
        </w:rPr>
      </w:pPr>
      <w:r w:rsidRPr="00D90B17">
        <w:rPr>
          <w:sz w:val="24"/>
          <w:szCs w:val="24"/>
        </w:rPr>
        <w:t>Second</w:t>
      </w:r>
      <w:r w:rsidR="001A0AE2">
        <w:rPr>
          <w:sz w:val="24"/>
          <w:szCs w:val="24"/>
        </w:rPr>
        <w:t>ly</w:t>
      </w:r>
      <w:r w:rsidRPr="00D90B17">
        <w:rPr>
          <w:sz w:val="24"/>
          <w:szCs w:val="24"/>
        </w:rPr>
        <w:t>, the right to a private life (Article 8 of the Bill) would be given a higher bar to clear for foreign national offenders wishing to appeal deportations. The criminal has the burden of proof to prove that a qualified family member of the offender's would suffer irreparable harm as a result of the offender's deportation, and that this harm would outweigh the overriding public interest in the offender's removal from the UK.</w:t>
      </w:r>
    </w:p>
    <w:p w14:paraId="77A02D6A" w14:textId="5D64291F" w:rsidR="00D90B17" w:rsidRPr="00D90B17" w:rsidRDefault="00D90B17" w:rsidP="003204F7">
      <w:pPr>
        <w:ind w:firstLine="720"/>
        <w:jc w:val="both"/>
        <w:rPr>
          <w:sz w:val="24"/>
          <w:szCs w:val="24"/>
        </w:rPr>
      </w:pPr>
      <w:r w:rsidRPr="00D90B17">
        <w:rPr>
          <w:sz w:val="24"/>
          <w:szCs w:val="24"/>
        </w:rPr>
        <w:t xml:space="preserve">Thirdly, the Law establishes a new authorisation stage for human rights challenges. In order to succeed in such a case, the victim of a human rights infringement must prove to the satisfaction of the court that they have been seriously harmed by the violation. This creates a substantial obstacle to human rights challenges, as it is still illegal for public authority to act </w:t>
      </w:r>
      <w:r w:rsidR="001A0AE2">
        <w:rPr>
          <w:sz w:val="24"/>
          <w:szCs w:val="24"/>
        </w:rPr>
        <w:t xml:space="preserve">in an incompatible manner </w:t>
      </w:r>
      <w:r w:rsidRPr="00D90B17">
        <w:rPr>
          <w:sz w:val="24"/>
          <w:szCs w:val="24"/>
        </w:rPr>
        <w:t>with Convention rights, but there is no way of knowing this if no challenge is brought.</w:t>
      </w:r>
    </w:p>
    <w:p w14:paraId="2EDD23DE" w14:textId="7E84F538" w:rsidR="002D373B" w:rsidRDefault="00D90B17" w:rsidP="003204F7">
      <w:pPr>
        <w:ind w:firstLine="720"/>
        <w:jc w:val="both"/>
        <w:rPr>
          <w:sz w:val="24"/>
          <w:szCs w:val="24"/>
        </w:rPr>
      </w:pPr>
      <w:r w:rsidRPr="00D90B17">
        <w:rPr>
          <w:sz w:val="24"/>
          <w:szCs w:val="24"/>
        </w:rPr>
        <w:t xml:space="preserve">As a fourth change, the courts will no longer be obligated to interpret all legislation (current or future) in a way that is compatible with Convention rights. The HRA's Section 3(1) is being done away with now. Section 3 allows for departures from the plain language of a </w:t>
      </w:r>
      <w:r w:rsidRPr="00D90B17">
        <w:rPr>
          <w:sz w:val="24"/>
          <w:szCs w:val="24"/>
        </w:rPr>
        <w:lastRenderedPageBreak/>
        <w:t>parliamentary act when necessary to ensure that it is compatible with Convention rights. One could argue that Parliament gave the courts some authority over legislation when it enacted section 3 (1), and that the Bill is reclaiming that authority. In practise, however, Section 3 is rarely invoked. Twenty-five instances have invoked Section 3 in the past eight years, mostly to rectify drafting errors or factual situations that were within the spirit of the law. The deletion of Section 3 is therefore superfluous as it is not a particularly far-reaching tool.</w:t>
      </w:r>
    </w:p>
    <w:p w14:paraId="079F309C" w14:textId="36CDF063" w:rsidR="0064348F" w:rsidRDefault="0064348F" w:rsidP="004C7F4D">
      <w:pPr>
        <w:ind w:firstLine="720"/>
        <w:jc w:val="both"/>
        <w:rPr>
          <w:sz w:val="24"/>
          <w:szCs w:val="24"/>
        </w:rPr>
      </w:pPr>
      <w:r>
        <w:rPr>
          <w:sz w:val="24"/>
          <w:szCs w:val="24"/>
        </w:rPr>
        <w:t>In conclusion, t</w:t>
      </w:r>
      <w:r w:rsidRPr="0064348F">
        <w:rPr>
          <w:sz w:val="24"/>
          <w:szCs w:val="24"/>
        </w:rPr>
        <w:t>he Bill</w:t>
      </w:r>
      <w:r>
        <w:rPr>
          <w:sz w:val="24"/>
          <w:szCs w:val="24"/>
        </w:rPr>
        <w:t xml:space="preserve"> of Rights</w:t>
      </w:r>
      <w:r w:rsidRPr="0064348F">
        <w:rPr>
          <w:sz w:val="24"/>
          <w:szCs w:val="24"/>
        </w:rPr>
        <w:t xml:space="preserve"> is harmful, both to human rights and to the rule of law</w:t>
      </w:r>
      <w:r>
        <w:rPr>
          <w:sz w:val="24"/>
          <w:szCs w:val="24"/>
        </w:rPr>
        <w:t>. Although t</w:t>
      </w:r>
      <w:r w:rsidRPr="0064348F">
        <w:rPr>
          <w:sz w:val="24"/>
          <w:szCs w:val="24"/>
        </w:rPr>
        <w:t>he government claims that the Bill will restore some common sense to human rights in the UK in order for the framework to fulfil the demands of the society that it serves</w:t>
      </w:r>
      <w:r>
        <w:rPr>
          <w:sz w:val="24"/>
          <w:szCs w:val="24"/>
        </w:rPr>
        <w:t>,</w:t>
      </w:r>
      <w:r w:rsidRPr="0064348F">
        <w:rPr>
          <w:sz w:val="24"/>
          <w:szCs w:val="24"/>
        </w:rPr>
        <w:t xml:space="preserve"> </w:t>
      </w:r>
      <w:r>
        <w:rPr>
          <w:sz w:val="24"/>
          <w:szCs w:val="24"/>
        </w:rPr>
        <w:t xml:space="preserve">in fact </w:t>
      </w:r>
      <w:r w:rsidRPr="0064348F">
        <w:rPr>
          <w:sz w:val="24"/>
          <w:szCs w:val="24"/>
        </w:rPr>
        <w:t>it</w:t>
      </w:r>
      <w:r>
        <w:rPr>
          <w:sz w:val="24"/>
          <w:szCs w:val="24"/>
        </w:rPr>
        <w:t xml:space="preserve"> will make it</w:t>
      </w:r>
      <w:r w:rsidRPr="0064348F">
        <w:rPr>
          <w:sz w:val="24"/>
          <w:szCs w:val="24"/>
        </w:rPr>
        <w:t xml:space="preserve"> considerably more difficult for people to assert their human rights</w:t>
      </w:r>
      <w:r>
        <w:rPr>
          <w:sz w:val="24"/>
          <w:szCs w:val="24"/>
        </w:rPr>
        <w:t>.</w:t>
      </w:r>
      <w:r w:rsidRPr="0064348F">
        <w:rPr>
          <w:sz w:val="24"/>
          <w:szCs w:val="24"/>
        </w:rPr>
        <w:t xml:space="preserve"> </w:t>
      </w:r>
      <w:r>
        <w:rPr>
          <w:sz w:val="24"/>
          <w:szCs w:val="24"/>
        </w:rPr>
        <w:t>T</w:t>
      </w:r>
      <w:r w:rsidRPr="0064348F">
        <w:rPr>
          <w:sz w:val="24"/>
          <w:szCs w:val="24"/>
        </w:rPr>
        <w:t xml:space="preserve">his dose of common sense </w:t>
      </w:r>
      <w:r>
        <w:rPr>
          <w:sz w:val="24"/>
          <w:szCs w:val="24"/>
        </w:rPr>
        <w:t>is more of</w:t>
      </w:r>
      <w:r w:rsidRPr="0064348F">
        <w:rPr>
          <w:sz w:val="24"/>
          <w:szCs w:val="24"/>
        </w:rPr>
        <w:t xml:space="preserve"> a move towards authoritarianism rather than a move towards common sense.</w:t>
      </w:r>
    </w:p>
    <w:p w14:paraId="089B410A" w14:textId="320C969F" w:rsidR="004C7F4D" w:rsidRPr="004C7F4D" w:rsidRDefault="006C49A2" w:rsidP="004C7F4D">
      <w:pPr>
        <w:ind w:firstLine="720"/>
        <w:jc w:val="both"/>
        <w:rPr>
          <w:sz w:val="24"/>
          <w:szCs w:val="24"/>
        </w:rPr>
      </w:pPr>
      <w:r>
        <w:rPr>
          <w:sz w:val="24"/>
          <w:szCs w:val="24"/>
        </w:rPr>
        <w:t xml:space="preserve">In her article from </w:t>
      </w:r>
      <w:r>
        <w:rPr>
          <w:i/>
          <w:iCs/>
          <w:sz w:val="24"/>
          <w:szCs w:val="24"/>
        </w:rPr>
        <w:t xml:space="preserve">EachOther, </w:t>
      </w:r>
      <w:r>
        <w:rPr>
          <w:sz w:val="24"/>
          <w:szCs w:val="24"/>
        </w:rPr>
        <w:t>the editor, Emma Guy, mentioned that i</w:t>
      </w:r>
      <w:r w:rsidR="004C7F4D" w:rsidRPr="004C7F4D">
        <w:rPr>
          <w:sz w:val="24"/>
          <w:szCs w:val="24"/>
        </w:rPr>
        <w:t>n his role as justice minister before Raab, Sir Robert Buckland KC called the bill "worse than worthless," while the Conservative head of the justice committee, Sir Bob Neill, claimed it "needlessly harmed" the rights of British citizens.</w:t>
      </w:r>
    </w:p>
    <w:p w14:paraId="68476F84" w14:textId="3F69BD08" w:rsidR="004C7F4D" w:rsidRPr="004C7F4D" w:rsidRDefault="006C49A2" w:rsidP="004C7F4D">
      <w:pPr>
        <w:ind w:firstLine="720"/>
        <w:jc w:val="both"/>
        <w:rPr>
          <w:sz w:val="24"/>
          <w:szCs w:val="24"/>
        </w:rPr>
      </w:pPr>
      <w:r>
        <w:rPr>
          <w:sz w:val="24"/>
          <w:szCs w:val="24"/>
        </w:rPr>
        <w:t>Additionally, b</w:t>
      </w:r>
      <w:r w:rsidR="004C7F4D" w:rsidRPr="004C7F4D">
        <w:rPr>
          <w:sz w:val="24"/>
          <w:szCs w:val="24"/>
        </w:rPr>
        <w:t>oth liberal and conservative think tanks, as well as civil liberties organisations, the Welsh government, the Council of Europe, and the United Nations, have voiced their disapproval. It is worrying that the proposed legal reforms might weaken human rights protections at this pivotal moment for the UK, and it sends the wrong signal beyond the country's borders at a time when human rights are under pressure throughout Europe, said Dunja Mijatovi, the Council of Europe commissioner for human rights</w:t>
      </w:r>
      <w:r>
        <w:rPr>
          <w:sz w:val="24"/>
          <w:szCs w:val="24"/>
        </w:rPr>
        <w:t xml:space="preserve"> (Guy, 2022)</w:t>
      </w:r>
      <w:r w:rsidR="004C7F4D" w:rsidRPr="004C7F4D">
        <w:rPr>
          <w:sz w:val="24"/>
          <w:szCs w:val="24"/>
        </w:rPr>
        <w:t>.</w:t>
      </w:r>
    </w:p>
    <w:p w14:paraId="419220C1" w14:textId="58D6F1C4" w:rsidR="004C7F4D" w:rsidRPr="004C7F4D" w:rsidRDefault="004C7F4D" w:rsidP="004C7F4D">
      <w:pPr>
        <w:ind w:firstLine="720"/>
        <w:jc w:val="both"/>
        <w:rPr>
          <w:sz w:val="24"/>
          <w:szCs w:val="24"/>
        </w:rPr>
      </w:pPr>
      <w:r w:rsidRPr="004C7F4D">
        <w:rPr>
          <w:sz w:val="24"/>
          <w:szCs w:val="24"/>
        </w:rPr>
        <w:t>Members of the Welsh Senedd Mick Antoniw, counsel general and minister for the constitution, and Jane Hutt, minister for social justice, declared, "The Welsh Government is opposed to any proposal to replace the Human Rights Act. The Welsh and British people's rights would be eroded if this were to happen</w:t>
      </w:r>
      <w:r w:rsidR="006C49A2">
        <w:rPr>
          <w:sz w:val="24"/>
          <w:szCs w:val="24"/>
        </w:rPr>
        <w:t xml:space="preserve"> </w:t>
      </w:r>
      <w:r w:rsidR="006C49A2">
        <w:rPr>
          <w:sz w:val="24"/>
          <w:szCs w:val="24"/>
        </w:rPr>
        <w:t>(Guy, 2022)</w:t>
      </w:r>
      <w:r w:rsidRPr="004C7F4D">
        <w:rPr>
          <w:sz w:val="24"/>
          <w:szCs w:val="24"/>
        </w:rPr>
        <w:t>.</w:t>
      </w:r>
    </w:p>
    <w:p w14:paraId="158BD697" w14:textId="29F60975" w:rsidR="004C7F4D" w:rsidRDefault="004C7F4D" w:rsidP="004C7F4D">
      <w:pPr>
        <w:ind w:firstLine="720"/>
        <w:jc w:val="both"/>
        <w:rPr>
          <w:sz w:val="24"/>
          <w:szCs w:val="24"/>
        </w:rPr>
      </w:pPr>
      <w:r w:rsidRPr="004C7F4D">
        <w:rPr>
          <w:sz w:val="24"/>
          <w:szCs w:val="24"/>
        </w:rPr>
        <w:t>Withdrawal from Strasbourg by the UK would make it the third country to do so, joining Russia and Belarus, which are also being investigated for massive human rights violations against their people prior to the war in Ukraine. For former Supreme Court justice Lord John Dyson, the UK risks losing its "international reputation as a country that upholds the rule of law and human rights" if the Bill is passed</w:t>
      </w:r>
      <w:r w:rsidR="000F2117">
        <w:rPr>
          <w:sz w:val="24"/>
          <w:szCs w:val="24"/>
        </w:rPr>
        <w:t xml:space="preserve"> (Croft and Cameron, 2022)</w:t>
      </w:r>
      <w:r w:rsidRPr="004C7F4D">
        <w:rPr>
          <w:sz w:val="24"/>
          <w:szCs w:val="24"/>
        </w:rPr>
        <w:t>.</w:t>
      </w:r>
    </w:p>
    <w:p w14:paraId="14B564A2" w14:textId="0DE25839" w:rsidR="006F2AE1" w:rsidRDefault="006F2AE1" w:rsidP="006F2AE1">
      <w:pPr>
        <w:ind w:firstLine="720"/>
        <w:jc w:val="both"/>
        <w:rPr>
          <w:sz w:val="24"/>
          <w:szCs w:val="24"/>
        </w:rPr>
      </w:pPr>
    </w:p>
    <w:p w14:paraId="3F5F441F" w14:textId="44C522B1" w:rsidR="006F2AE1" w:rsidRDefault="006F2AE1" w:rsidP="006F2AE1">
      <w:pPr>
        <w:ind w:firstLine="720"/>
        <w:jc w:val="both"/>
        <w:rPr>
          <w:sz w:val="24"/>
          <w:szCs w:val="24"/>
        </w:rPr>
      </w:pPr>
    </w:p>
    <w:p w14:paraId="59D0BA70" w14:textId="378D483C" w:rsidR="006F2AE1" w:rsidRDefault="006F2AE1" w:rsidP="006F2AE1">
      <w:pPr>
        <w:ind w:firstLine="720"/>
        <w:jc w:val="both"/>
        <w:rPr>
          <w:sz w:val="24"/>
          <w:szCs w:val="24"/>
        </w:rPr>
      </w:pPr>
    </w:p>
    <w:p w14:paraId="4218EEB4" w14:textId="518A3F1D" w:rsidR="006F2AE1" w:rsidRDefault="006F2AE1" w:rsidP="006F2AE1">
      <w:pPr>
        <w:ind w:firstLine="720"/>
        <w:jc w:val="both"/>
        <w:rPr>
          <w:sz w:val="24"/>
          <w:szCs w:val="24"/>
        </w:rPr>
      </w:pPr>
    </w:p>
    <w:p w14:paraId="25478F55" w14:textId="45526BD3" w:rsidR="0064348F" w:rsidRDefault="0064348F" w:rsidP="00D90B17">
      <w:pPr>
        <w:jc w:val="both"/>
        <w:rPr>
          <w:sz w:val="24"/>
          <w:szCs w:val="24"/>
        </w:rPr>
      </w:pPr>
    </w:p>
    <w:p w14:paraId="5EAD97EB" w14:textId="68EA667C" w:rsidR="0064348F" w:rsidRPr="006F2AE1" w:rsidRDefault="0064348F" w:rsidP="00D90B17">
      <w:pPr>
        <w:jc w:val="both"/>
        <w:rPr>
          <w:b/>
          <w:bCs/>
          <w:i/>
          <w:iCs/>
          <w:sz w:val="24"/>
          <w:szCs w:val="24"/>
          <w:u w:val="single"/>
        </w:rPr>
      </w:pPr>
      <w:r w:rsidRPr="006F2AE1">
        <w:rPr>
          <w:b/>
          <w:bCs/>
          <w:i/>
          <w:iCs/>
          <w:sz w:val="24"/>
          <w:szCs w:val="24"/>
          <w:u w:val="single"/>
        </w:rPr>
        <w:lastRenderedPageBreak/>
        <w:t>REFERENCES:</w:t>
      </w:r>
    </w:p>
    <w:p w14:paraId="415A1C7E" w14:textId="76EF3892" w:rsidR="000F2117" w:rsidRPr="000F2117" w:rsidRDefault="000F2117" w:rsidP="000F2117">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F2117">
        <w:rPr>
          <w:rFonts w:ascii="Times New Roman" w:eastAsia="Times New Roman" w:hAnsi="Times New Roman" w:cs="Times New Roman"/>
          <w:sz w:val="24"/>
          <w:szCs w:val="24"/>
          <w:lang w:eastAsia="en-GB"/>
        </w:rPr>
        <w:t xml:space="preserve">Croft, J. and Cameron-Chileshe, J. (2022) </w:t>
      </w:r>
      <w:r w:rsidRPr="000F2117">
        <w:rPr>
          <w:rFonts w:ascii="Times New Roman" w:eastAsia="Times New Roman" w:hAnsi="Times New Roman" w:cs="Times New Roman"/>
          <w:i/>
          <w:iCs/>
          <w:sz w:val="24"/>
          <w:szCs w:val="24"/>
          <w:lang w:eastAsia="en-GB"/>
        </w:rPr>
        <w:t>Revived bill of rights faces opposition in both houses of Parliament</w:t>
      </w:r>
      <w:r w:rsidRPr="000F2117">
        <w:rPr>
          <w:rFonts w:ascii="Times New Roman" w:eastAsia="Times New Roman" w:hAnsi="Times New Roman" w:cs="Times New Roman"/>
          <w:sz w:val="24"/>
          <w:szCs w:val="24"/>
          <w:lang w:eastAsia="en-GB"/>
        </w:rPr>
        <w:t xml:space="preserve">. Financial Times. Available at: https://www.ft.com/content/e552daa6-d352-4dff-96ad-02a3a37c1ae7 (Accessed: March 10, 2023). </w:t>
      </w:r>
    </w:p>
    <w:p w14:paraId="0F7E5543" w14:textId="2A17BC0E" w:rsidR="00E253C9" w:rsidRDefault="00E253C9" w:rsidP="00E253C9">
      <w:pPr>
        <w:pStyle w:val="NormalWeb"/>
        <w:ind w:left="567" w:hanging="567"/>
      </w:pPr>
      <w:r>
        <w:t xml:space="preserve">Donald, A. (2022) </w:t>
      </w:r>
      <w:r>
        <w:rPr>
          <w:i/>
          <w:iCs/>
        </w:rPr>
        <w:t>The bill of rights bill</w:t>
      </w:r>
      <w:r>
        <w:t xml:space="preserve">, </w:t>
      </w:r>
      <w:r>
        <w:rPr>
          <w:i/>
          <w:iCs/>
        </w:rPr>
        <w:t>UK in a changing Europe</w:t>
      </w:r>
      <w:r>
        <w:t xml:space="preserve">. Available at: https://ukandeu.ac.uk/explainers/the-bill-of-rights-bill/ (Accessed: March 7, 2023). </w:t>
      </w:r>
    </w:p>
    <w:p w14:paraId="6B963CAD" w14:textId="2E98ABFD" w:rsidR="00654192" w:rsidRDefault="00654192" w:rsidP="00654192">
      <w:pPr>
        <w:pStyle w:val="NormalWeb"/>
        <w:ind w:left="567" w:hanging="567"/>
      </w:pPr>
      <w:r>
        <w:t xml:space="preserve">Foweles, S. (2022) </w:t>
      </w:r>
      <w:r>
        <w:rPr>
          <w:i/>
          <w:iCs/>
        </w:rPr>
        <w:t>Overruled: Confronting Our Vanishing Democracy in 8 Cases</w:t>
      </w:r>
      <w:r>
        <w:t xml:space="preserve">. London: Oneworld Publications. </w:t>
      </w:r>
    </w:p>
    <w:p w14:paraId="320AD51D" w14:textId="6FC02E00" w:rsidR="00654192" w:rsidRDefault="00654192" w:rsidP="00654192">
      <w:pPr>
        <w:pStyle w:val="NormalWeb"/>
        <w:ind w:left="567" w:hanging="567"/>
      </w:pPr>
      <w:r>
        <w:t>GOV.UK</w:t>
      </w:r>
      <w:r>
        <w:t xml:space="preserve"> </w:t>
      </w:r>
      <w:r>
        <w:t xml:space="preserve">(2022) </w:t>
      </w:r>
      <w:r>
        <w:rPr>
          <w:i/>
          <w:iCs/>
        </w:rPr>
        <w:t>Bill of Rights: Bill Documents</w:t>
      </w:r>
      <w:r>
        <w:t xml:space="preserve">. Available at: https://www.gov.uk/government/publications/bill-of-rights-bill-documents (Accessed: March 7, 2023). </w:t>
      </w:r>
    </w:p>
    <w:p w14:paraId="7C999632" w14:textId="77777777" w:rsidR="00E253C9" w:rsidRDefault="00E253C9" w:rsidP="00E253C9">
      <w:pPr>
        <w:pStyle w:val="NormalWeb"/>
        <w:ind w:left="567" w:hanging="567"/>
      </w:pPr>
      <w:r>
        <w:t xml:space="preserve">GOV.UK (2022) </w:t>
      </w:r>
      <w:r>
        <w:rPr>
          <w:i/>
          <w:iCs/>
        </w:rPr>
        <w:t>Human rights act reform: A modern bill of rights - consultation</w:t>
      </w:r>
      <w:r>
        <w:t xml:space="preserve">, </w:t>
      </w:r>
      <w:r>
        <w:rPr>
          <w:i/>
          <w:iCs/>
        </w:rPr>
        <w:t>GOV.UK</w:t>
      </w:r>
      <w:r>
        <w:t xml:space="preserve">. Available at: https://www.gov.uk/government/consultations/human-rights-act-reform-a-modern-bill-of-rights/human-rights-act-reform-a-modern-bill-of-rights-consultation (Accessed: March 7, 2023). </w:t>
      </w:r>
    </w:p>
    <w:p w14:paraId="2B23F879" w14:textId="386C3F32" w:rsidR="00E253C9" w:rsidRDefault="00E253C9" w:rsidP="00E253C9">
      <w:pPr>
        <w:pStyle w:val="NormalWeb"/>
        <w:ind w:left="567" w:hanging="567"/>
      </w:pPr>
      <w:r>
        <w:t xml:space="preserve">Greater Manchester Law Centre </w:t>
      </w:r>
      <w:r>
        <w:rPr>
          <w:i/>
          <w:iCs/>
        </w:rPr>
        <w:t>et al.</w:t>
      </w:r>
      <w:r>
        <w:t xml:space="preserve"> (2022) </w:t>
      </w:r>
      <w:r>
        <w:rPr>
          <w:i/>
          <w:iCs/>
        </w:rPr>
        <w:t>The bill of rights: What does it mean for human rights?</w:t>
      </w:r>
      <w:r w:rsidR="00654192">
        <w:t xml:space="preserve">, </w:t>
      </w:r>
      <w:r>
        <w:t xml:space="preserve">Available at: https://www.gmlaw.org.uk/2022/07/06/the-bill-of-rights-what-does-it-mean-for-human-rights/ (Accessed: March 7, 2023). </w:t>
      </w:r>
    </w:p>
    <w:p w14:paraId="1DFFFA9F" w14:textId="77777777" w:rsidR="00E253C9" w:rsidRDefault="00E253C9" w:rsidP="00E253C9">
      <w:pPr>
        <w:pStyle w:val="NormalWeb"/>
        <w:ind w:left="567" w:hanging="567"/>
      </w:pPr>
      <w:r>
        <w:t xml:space="preserve">Guy, E. (2022) </w:t>
      </w:r>
      <w:r>
        <w:rPr>
          <w:i/>
          <w:iCs/>
        </w:rPr>
        <w:t>What will the return of the Bill of Rights Mean for the UK?</w:t>
      </w:r>
      <w:r>
        <w:t xml:space="preserve">, </w:t>
      </w:r>
      <w:r>
        <w:rPr>
          <w:i/>
          <w:iCs/>
        </w:rPr>
        <w:t>EachOther</w:t>
      </w:r>
      <w:r>
        <w:t xml:space="preserve">. Available at: https://eachother.org.uk/the-bill-of-rights-is-set-to-return-what-does-it-mean-for-our-human-rights/ (Accessed: March 7, 2023). </w:t>
      </w:r>
    </w:p>
    <w:p w14:paraId="003E763D" w14:textId="73EB89EA" w:rsidR="00E253C9" w:rsidRDefault="00E253C9" w:rsidP="00E253C9">
      <w:pPr>
        <w:pStyle w:val="NormalWeb"/>
        <w:ind w:left="567" w:hanging="567"/>
      </w:pPr>
      <w:r>
        <w:t xml:space="preserve">Hickman, T. (2022) </w:t>
      </w:r>
      <w:r>
        <w:rPr>
          <w:i/>
          <w:iCs/>
        </w:rPr>
        <w:t>Tom Hickman · a UK bill of rights? · LRB 24 March 2022</w:t>
      </w:r>
      <w:r>
        <w:t xml:space="preserve">, </w:t>
      </w:r>
      <w:r>
        <w:rPr>
          <w:i/>
          <w:iCs/>
        </w:rPr>
        <w:t>London Review of Books</w:t>
      </w:r>
      <w:r>
        <w:t xml:space="preserve">. London Review of Books. Available at: https://www.lrb.co.uk/the-paper/v44/n06/tom-hickman/a-uk-bill-of-rights (Accessed: March 7, 2023). </w:t>
      </w:r>
    </w:p>
    <w:p w14:paraId="2E16D8C2" w14:textId="45E9D2F2" w:rsidR="00654192" w:rsidRDefault="00654192" w:rsidP="00E253C9">
      <w:pPr>
        <w:pStyle w:val="NormalWeb"/>
        <w:ind w:left="567" w:hanging="567"/>
      </w:pPr>
      <w:r w:rsidRPr="00654192">
        <w:t>JUSTICE</w:t>
      </w:r>
      <w:r>
        <w:t xml:space="preserve"> </w:t>
      </w:r>
      <w:r w:rsidRPr="00654192">
        <w:t>(2015),</w:t>
      </w:r>
      <w:r>
        <w:rPr>
          <w:i/>
          <w:iCs/>
        </w:rPr>
        <w:t xml:space="preserve"> UK compliance on International Human Rights Law</w:t>
      </w:r>
      <w:r>
        <w:t>. Available at: https://justice.org.uk/our-work/uk-compliance-international-human-rights-law/ (Accessed: March 7, 2023).</w:t>
      </w:r>
    </w:p>
    <w:p w14:paraId="364E70E5" w14:textId="038A1817" w:rsidR="006C49A2" w:rsidRDefault="006C49A2" w:rsidP="006C49A2">
      <w:pPr>
        <w:pStyle w:val="NormalWeb"/>
        <w:ind w:left="567" w:hanging="567"/>
      </w:pPr>
      <w:r w:rsidRPr="00F00522">
        <w:t>LawTeacher</w:t>
      </w:r>
      <w:r>
        <w:t xml:space="preserve"> (</w:t>
      </w:r>
      <w:r w:rsidRPr="00F00522">
        <w:t>2013</w:t>
      </w:r>
      <w:r>
        <w:t>)</w:t>
      </w:r>
      <w:r w:rsidRPr="00F00522">
        <w:t xml:space="preserve"> </w:t>
      </w:r>
      <w:r w:rsidRPr="00F00522">
        <w:rPr>
          <w:i/>
          <w:iCs/>
        </w:rPr>
        <w:t>European Communities Act 1972</w:t>
      </w:r>
      <w:r w:rsidRPr="00F00522">
        <w:t>. Available from: https://www.lawteacher.net/acts/european-communities-act-1972.php?vref=1 [Accessed 7 March 2023].</w:t>
      </w:r>
    </w:p>
    <w:p w14:paraId="63CADC2E" w14:textId="640AD19C" w:rsidR="000F2117" w:rsidRPr="000F2117" w:rsidRDefault="000F2117" w:rsidP="000F2117">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0F2117">
        <w:rPr>
          <w:rFonts w:ascii="Times New Roman" w:eastAsia="Times New Roman" w:hAnsi="Times New Roman" w:cs="Times New Roman"/>
          <w:sz w:val="24"/>
          <w:szCs w:val="24"/>
          <w:lang w:eastAsia="en-GB"/>
        </w:rPr>
        <w:t>Legislation.gov.uk</w:t>
      </w:r>
      <w:r>
        <w:rPr>
          <w:rFonts w:ascii="Times New Roman" w:eastAsia="Times New Roman" w:hAnsi="Times New Roman" w:cs="Times New Roman"/>
          <w:sz w:val="24"/>
          <w:szCs w:val="24"/>
          <w:lang w:eastAsia="en-GB"/>
        </w:rPr>
        <w:t>,</w:t>
      </w:r>
      <w:r w:rsidRPr="000F2117">
        <w:rPr>
          <w:rFonts w:ascii="Times New Roman" w:eastAsia="Times New Roman" w:hAnsi="Times New Roman" w:cs="Times New Roman"/>
          <w:sz w:val="24"/>
          <w:szCs w:val="24"/>
          <w:lang w:eastAsia="en-GB"/>
        </w:rPr>
        <w:t xml:space="preserve"> </w:t>
      </w:r>
      <w:r w:rsidRPr="000F2117">
        <w:rPr>
          <w:rFonts w:ascii="Times New Roman" w:eastAsia="Times New Roman" w:hAnsi="Times New Roman" w:cs="Times New Roman"/>
          <w:i/>
          <w:iCs/>
          <w:sz w:val="24"/>
          <w:szCs w:val="24"/>
          <w:lang w:eastAsia="en-GB"/>
        </w:rPr>
        <w:t>Claim of right act 1689</w:t>
      </w:r>
      <w:r w:rsidRPr="000F2117">
        <w:rPr>
          <w:rFonts w:ascii="Times New Roman" w:eastAsia="Times New Roman" w:hAnsi="Times New Roman" w:cs="Times New Roman"/>
          <w:sz w:val="24"/>
          <w:szCs w:val="24"/>
          <w:lang w:eastAsia="en-GB"/>
        </w:rPr>
        <w:t xml:space="preserve">. Available at: https://www.legislation.gov.uk/aosp/1689/28 (Accessed: March 10, 2023). </w:t>
      </w:r>
    </w:p>
    <w:p w14:paraId="60CC4B81" w14:textId="17223C62" w:rsidR="006C49A2" w:rsidRDefault="006C49A2" w:rsidP="006C49A2">
      <w:pPr>
        <w:pStyle w:val="NormalWeb"/>
        <w:ind w:left="567" w:hanging="567"/>
      </w:pPr>
      <w:r w:rsidRPr="00654192">
        <w:t>Legislation</w:t>
      </w:r>
      <w:r w:rsidRPr="006C49A2">
        <w:t>.gov.uk</w:t>
      </w:r>
      <w:r>
        <w:t xml:space="preserve">, </w:t>
      </w:r>
      <w:r w:rsidRPr="006C49A2">
        <w:rPr>
          <w:i/>
          <w:iCs/>
        </w:rPr>
        <w:t>European Communities Act 1972 (repealed)</w:t>
      </w:r>
      <w:r w:rsidRPr="006C49A2">
        <w:t xml:space="preserve"> Available at: https://www.legislation.gov.uk/ukpga/1972/68/contents (Accessed: March 7, 2023). </w:t>
      </w:r>
    </w:p>
    <w:p w14:paraId="1F613880" w14:textId="4521C180" w:rsidR="006C49A2" w:rsidRDefault="006C49A2" w:rsidP="006C49A2">
      <w:pPr>
        <w:pStyle w:val="NormalWeb"/>
        <w:ind w:left="567" w:hanging="567"/>
      </w:pPr>
      <w:r w:rsidRPr="00654192">
        <w:lastRenderedPageBreak/>
        <w:t>Legislation</w:t>
      </w:r>
      <w:r w:rsidRPr="006C49A2">
        <w:t>.gov.uk</w:t>
      </w:r>
      <w:r>
        <w:t xml:space="preserve">, </w:t>
      </w:r>
      <w:r w:rsidRPr="006C49A2">
        <w:rPr>
          <w:i/>
          <w:iCs/>
        </w:rPr>
        <w:t>European Union (withdrawal) act 2018</w:t>
      </w:r>
      <w:r w:rsidRPr="006C49A2">
        <w:t xml:space="preserve">. Available at: https://www.legislation.gov.uk/ukpga/2018/16/contents/enacted (Accessed: March 7, 2023). </w:t>
      </w:r>
    </w:p>
    <w:p w14:paraId="5DC6443E" w14:textId="63FA96EC" w:rsidR="006C49A2" w:rsidRDefault="006C49A2" w:rsidP="006C49A2">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54192">
        <w:rPr>
          <w:rFonts w:ascii="Times New Roman" w:eastAsia="Times New Roman" w:hAnsi="Times New Roman" w:cs="Times New Roman"/>
          <w:sz w:val="24"/>
          <w:szCs w:val="24"/>
          <w:lang w:eastAsia="en-GB"/>
        </w:rPr>
        <w:t>Legislation</w:t>
      </w:r>
      <w:r w:rsidRPr="006C49A2">
        <w:rPr>
          <w:rFonts w:ascii="Times New Roman" w:eastAsia="Times New Roman" w:hAnsi="Times New Roman" w:cs="Times New Roman"/>
          <w:sz w:val="24"/>
          <w:szCs w:val="24"/>
          <w:lang w:eastAsia="en-GB"/>
        </w:rPr>
        <w:t>.gov.uk</w:t>
      </w:r>
      <w:r>
        <w:rPr>
          <w:rFonts w:ascii="Times New Roman" w:eastAsia="Times New Roman" w:hAnsi="Times New Roman" w:cs="Times New Roman"/>
          <w:i/>
          <w:iCs/>
          <w:sz w:val="24"/>
          <w:szCs w:val="24"/>
          <w:lang w:eastAsia="en-GB"/>
        </w:rPr>
        <w:t xml:space="preserve">, </w:t>
      </w:r>
      <w:r w:rsidRPr="00654192">
        <w:rPr>
          <w:rFonts w:ascii="Times New Roman" w:eastAsia="Times New Roman" w:hAnsi="Times New Roman" w:cs="Times New Roman"/>
          <w:i/>
          <w:iCs/>
          <w:sz w:val="24"/>
          <w:szCs w:val="24"/>
          <w:lang w:eastAsia="en-GB"/>
        </w:rPr>
        <w:t>Human rights act 1998</w:t>
      </w:r>
      <w:r w:rsidRPr="00654192">
        <w:rPr>
          <w:rFonts w:ascii="Times New Roman" w:eastAsia="Times New Roman" w:hAnsi="Times New Roman" w:cs="Times New Roman"/>
          <w:sz w:val="24"/>
          <w:szCs w:val="24"/>
          <w:lang w:eastAsia="en-GB"/>
        </w:rPr>
        <w:t xml:space="preserve"> Available at: https://www.legislation.gov.uk/ukpga/1998/42/contents (Accessed: March 7, 2023). </w:t>
      </w:r>
    </w:p>
    <w:p w14:paraId="1F7CC682" w14:textId="52A31F95" w:rsidR="000F2117" w:rsidRPr="00654192" w:rsidRDefault="000F2117" w:rsidP="000F2117">
      <w:pPr>
        <w:pStyle w:val="NormalWeb"/>
        <w:ind w:left="567" w:hanging="567"/>
      </w:pPr>
      <w:r w:rsidRPr="000F2117">
        <w:t>Libertyhumanrights.org.uk</w:t>
      </w:r>
      <w:r>
        <w:t xml:space="preserve"> (2022)</w:t>
      </w:r>
      <w:r w:rsidRPr="000F2117">
        <w:t xml:space="preserve">, </w:t>
      </w:r>
      <w:r>
        <w:rPr>
          <w:i/>
          <w:iCs/>
        </w:rPr>
        <w:t>3 facts that expose the government's Bill of Rights as a Rights Removal Bill</w:t>
      </w:r>
      <w:r>
        <w:t xml:space="preserve">. Available at: https://www.libertyhumanrights.org.uk/issue/3-facts-that-expose-the-governments-bill-of-rights-as-a-rights-removal-bill/ (Accessed: March 7, 2023). </w:t>
      </w:r>
    </w:p>
    <w:p w14:paraId="7CD50B00" w14:textId="4935432F" w:rsidR="00654192" w:rsidRDefault="00654192" w:rsidP="006C49A2">
      <w:pPr>
        <w:pStyle w:val="NormalWeb"/>
        <w:ind w:left="567" w:hanging="567"/>
      </w:pPr>
      <w:r>
        <w:t xml:space="preserve">Masterman, R. and Murray, C. (2022) </w:t>
      </w:r>
      <w:r>
        <w:rPr>
          <w:i/>
          <w:iCs/>
        </w:rPr>
        <w:t>Constitutional and Administrative Law</w:t>
      </w:r>
      <w:r>
        <w:t xml:space="preserve">. 3rd edn. Cambridge: Cambridge University Press. </w:t>
      </w:r>
    </w:p>
    <w:p w14:paraId="4791D588" w14:textId="77777777" w:rsidR="00654192" w:rsidRDefault="00E253C9" w:rsidP="00654192">
      <w:pPr>
        <w:pStyle w:val="NormalWeb"/>
        <w:ind w:left="567" w:hanging="567"/>
      </w:pPr>
      <w:r>
        <w:t xml:space="preserve">Parsons, S. (2022) </w:t>
      </w:r>
      <w:r>
        <w:rPr>
          <w:i/>
          <w:iCs/>
        </w:rPr>
        <w:t>Bill of Rights: Good or bad for human rights?</w:t>
      </w:r>
      <w:r>
        <w:t xml:space="preserve">, </w:t>
      </w:r>
      <w:r>
        <w:rPr>
          <w:i/>
          <w:iCs/>
        </w:rPr>
        <w:t>Law Gazette</w:t>
      </w:r>
      <w:r>
        <w:t xml:space="preserve">. Available at: https://www.lawgazette.co.uk/practice-points/bill-of-rights-good-or-bad-for-human-rights/5113444.article (Accessed: March 7, 2023). </w:t>
      </w:r>
    </w:p>
    <w:p w14:paraId="7C34E096" w14:textId="08E4AB71" w:rsidR="00654192" w:rsidRDefault="00654192" w:rsidP="00654192">
      <w:pPr>
        <w:pStyle w:val="NormalWeb"/>
        <w:ind w:left="567" w:hanging="567"/>
      </w:pPr>
      <w:r w:rsidRPr="00654192">
        <w:t>The Law Society (2022),</w:t>
      </w:r>
      <w:r>
        <w:rPr>
          <w:i/>
          <w:iCs/>
        </w:rPr>
        <w:t xml:space="preserve"> Human rights act reforms and the Bill of Rights Bill</w:t>
      </w:r>
      <w:r>
        <w:t xml:space="preserve">. Available at: https://www.lawsociety.org.uk/topics/human-rights/human-rights-act-reforms (Accessed: March 7, 2023). </w:t>
      </w:r>
    </w:p>
    <w:p w14:paraId="2C79EE6E" w14:textId="77777777" w:rsidR="00E253C9" w:rsidRDefault="00E253C9" w:rsidP="00E253C9">
      <w:pPr>
        <w:pStyle w:val="NormalWeb"/>
        <w:ind w:left="567" w:hanging="567"/>
      </w:pPr>
      <w:r>
        <w:t xml:space="preserve">Zoethout, C. (2022) </w:t>
      </w:r>
      <w:r>
        <w:rPr>
          <w:i/>
          <w:iCs/>
        </w:rPr>
        <w:t>A new Bill of Rights for the UK. Two courts, two “masters”?</w:t>
      </w:r>
      <w:r>
        <w:t xml:space="preserve">, </w:t>
      </w:r>
      <w:r>
        <w:rPr>
          <w:i/>
          <w:iCs/>
        </w:rPr>
        <w:t>Blog of the International Journal of Constitutional Law</w:t>
      </w:r>
      <w:r>
        <w:t xml:space="preserve">. Available at: http://www.iconnectblog.com/2022/08/a-new-bill-of-rights-for-the-uk-two-courts-two-masters/ (Accessed: March 7, 2023). </w:t>
      </w:r>
    </w:p>
    <w:sectPr w:rsidR="00E253C9" w:rsidSect="00F524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992"/>
    <w:rsid w:val="000D3024"/>
    <w:rsid w:val="000F2117"/>
    <w:rsid w:val="001A0AE2"/>
    <w:rsid w:val="001E1C9E"/>
    <w:rsid w:val="0023558D"/>
    <w:rsid w:val="00240C00"/>
    <w:rsid w:val="002D373B"/>
    <w:rsid w:val="003204F7"/>
    <w:rsid w:val="003C3147"/>
    <w:rsid w:val="004C7F4D"/>
    <w:rsid w:val="004D0C7E"/>
    <w:rsid w:val="00575992"/>
    <w:rsid w:val="00624D46"/>
    <w:rsid w:val="0064348F"/>
    <w:rsid w:val="00654192"/>
    <w:rsid w:val="006804BD"/>
    <w:rsid w:val="006C49A2"/>
    <w:rsid w:val="006F2AE1"/>
    <w:rsid w:val="00796F8A"/>
    <w:rsid w:val="00907A07"/>
    <w:rsid w:val="009318A5"/>
    <w:rsid w:val="009773EE"/>
    <w:rsid w:val="00990F1D"/>
    <w:rsid w:val="00A67650"/>
    <w:rsid w:val="00B86746"/>
    <w:rsid w:val="00CC1630"/>
    <w:rsid w:val="00D90B17"/>
    <w:rsid w:val="00E253C9"/>
    <w:rsid w:val="00F00522"/>
    <w:rsid w:val="00F524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8FAF1"/>
  <w15:chartTrackingRefBased/>
  <w15:docId w15:val="{9DA4B329-D0C6-4646-BC5A-0A8E14797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348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08242">
      <w:bodyDiv w:val="1"/>
      <w:marLeft w:val="0"/>
      <w:marRight w:val="0"/>
      <w:marTop w:val="0"/>
      <w:marBottom w:val="0"/>
      <w:divBdr>
        <w:top w:val="none" w:sz="0" w:space="0" w:color="auto"/>
        <w:left w:val="none" w:sz="0" w:space="0" w:color="auto"/>
        <w:bottom w:val="none" w:sz="0" w:space="0" w:color="auto"/>
        <w:right w:val="none" w:sz="0" w:space="0" w:color="auto"/>
      </w:divBdr>
    </w:div>
    <w:div w:id="188034203">
      <w:bodyDiv w:val="1"/>
      <w:marLeft w:val="0"/>
      <w:marRight w:val="0"/>
      <w:marTop w:val="0"/>
      <w:marBottom w:val="0"/>
      <w:divBdr>
        <w:top w:val="none" w:sz="0" w:space="0" w:color="auto"/>
        <w:left w:val="none" w:sz="0" w:space="0" w:color="auto"/>
        <w:bottom w:val="none" w:sz="0" w:space="0" w:color="auto"/>
        <w:right w:val="none" w:sz="0" w:space="0" w:color="auto"/>
      </w:divBdr>
    </w:div>
    <w:div w:id="660737245">
      <w:bodyDiv w:val="1"/>
      <w:marLeft w:val="0"/>
      <w:marRight w:val="0"/>
      <w:marTop w:val="0"/>
      <w:marBottom w:val="0"/>
      <w:divBdr>
        <w:top w:val="none" w:sz="0" w:space="0" w:color="auto"/>
        <w:left w:val="none" w:sz="0" w:space="0" w:color="auto"/>
        <w:bottom w:val="none" w:sz="0" w:space="0" w:color="auto"/>
        <w:right w:val="none" w:sz="0" w:space="0" w:color="auto"/>
      </w:divBdr>
    </w:div>
    <w:div w:id="719017202">
      <w:bodyDiv w:val="1"/>
      <w:marLeft w:val="0"/>
      <w:marRight w:val="0"/>
      <w:marTop w:val="0"/>
      <w:marBottom w:val="0"/>
      <w:divBdr>
        <w:top w:val="none" w:sz="0" w:space="0" w:color="auto"/>
        <w:left w:val="none" w:sz="0" w:space="0" w:color="auto"/>
        <w:bottom w:val="none" w:sz="0" w:space="0" w:color="auto"/>
        <w:right w:val="none" w:sz="0" w:space="0" w:color="auto"/>
      </w:divBdr>
    </w:div>
    <w:div w:id="720250453">
      <w:bodyDiv w:val="1"/>
      <w:marLeft w:val="0"/>
      <w:marRight w:val="0"/>
      <w:marTop w:val="0"/>
      <w:marBottom w:val="0"/>
      <w:divBdr>
        <w:top w:val="none" w:sz="0" w:space="0" w:color="auto"/>
        <w:left w:val="none" w:sz="0" w:space="0" w:color="auto"/>
        <w:bottom w:val="none" w:sz="0" w:space="0" w:color="auto"/>
        <w:right w:val="none" w:sz="0" w:space="0" w:color="auto"/>
      </w:divBdr>
    </w:div>
    <w:div w:id="954483073">
      <w:bodyDiv w:val="1"/>
      <w:marLeft w:val="0"/>
      <w:marRight w:val="0"/>
      <w:marTop w:val="0"/>
      <w:marBottom w:val="0"/>
      <w:divBdr>
        <w:top w:val="none" w:sz="0" w:space="0" w:color="auto"/>
        <w:left w:val="none" w:sz="0" w:space="0" w:color="auto"/>
        <w:bottom w:val="none" w:sz="0" w:space="0" w:color="auto"/>
        <w:right w:val="none" w:sz="0" w:space="0" w:color="auto"/>
      </w:divBdr>
    </w:div>
    <w:div w:id="1167983120">
      <w:bodyDiv w:val="1"/>
      <w:marLeft w:val="0"/>
      <w:marRight w:val="0"/>
      <w:marTop w:val="0"/>
      <w:marBottom w:val="0"/>
      <w:divBdr>
        <w:top w:val="none" w:sz="0" w:space="0" w:color="auto"/>
        <w:left w:val="none" w:sz="0" w:space="0" w:color="auto"/>
        <w:bottom w:val="none" w:sz="0" w:space="0" w:color="auto"/>
        <w:right w:val="none" w:sz="0" w:space="0" w:color="auto"/>
      </w:divBdr>
    </w:div>
    <w:div w:id="1349600132">
      <w:bodyDiv w:val="1"/>
      <w:marLeft w:val="0"/>
      <w:marRight w:val="0"/>
      <w:marTop w:val="0"/>
      <w:marBottom w:val="0"/>
      <w:divBdr>
        <w:top w:val="none" w:sz="0" w:space="0" w:color="auto"/>
        <w:left w:val="none" w:sz="0" w:space="0" w:color="auto"/>
        <w:bottom w:val="none" w:sz="0" w:space="0" w:color="auto"/>
        <w:right w:val="none" w:sz="0" w:space="0" w:color="auto"/>
      </w:divBdr>
    </w:div>
    <w:div w:id="1494831222">
      <w:bodyDiv w:val="1"/>
      <w:marLeft w:val="0"/>
      <w:marRight w:val="0"/>
      <w:marTop w:val="0"/>
      <w:marBottom w:val="0"/>
      <w:divBdr>
        <w:top w:val="none" w:sz="0" w:space="0" w:color="auto"/>
        <w:left w:val="none" w:sz="0" w:space="0" w:color="auto"/>
        <w:bottom w:val="none" w:sz="0" w:space="0" w:color="auto"/>
        <w:right w:val="none" w:sz="0" w:space="0" w:color="auto"/>
      </w:divBdr>
    </w:div>
    <w:div w:id="1564944322">
      <w:bodyDiv w:val="1"/>
      <w:marLeft w:val="0"/>
      <w:marRight w:val="0"/>
      <w:marTop w:val="0"/>
      <w:marBottom w:val="0"/>
      <w:divBdr>
        <w:top w:val="none" w:sz="0" w:space="0" w:color="auto"/>
        <w:left w:val="none" w:sz="0" w:space="0" w:color="auto"/>
        <w:bottom w:val="none" w:sz="0" w:space="0" w:color="auto"/>
        <w:right w:val="none" w:sz="0" w:space="0" w:color="auto"/>
      </w:divBdr>
    </w:div>
    <w:div w:id="1629315780">
      <w:bodyDiv w:val="1"/>
      <w:marLeft w:val="0"/>
      <w:marRight w:val="0"/>
      <w:marTop w:val="0"/>
      <w:marBottom w:val="0"/>
      <w:divBdr>
        <w:top w:val="none" w:sz="0" w:space="0" w:color="auto"/>
        <w:left w:val="none" w:sz="0" w:space="0" w:color="auto"/>
        <w:bottom w:val="none" w:sz="0" w:space="0" w:color="auto"/>
        <w:right w:val="none" w:sz="0" w:space="0" w:color="auto"/>
      </w:divBdr>
    </w:div>
    <w:div w:id="1854369579">
      <w:bodyDiv w:val="1"/>
      <w:marLeft w:val="0"/>
      <w:marRight w:val="0"/>
      <w:marTop w:val="0"/>
      <w:marBottom w:val="0"/>
      <w:divBdr>
        <w:top w:val="none" w:sz="0" w:space="0" w:color="auto"/>
        <w:left w:val="none" w:sz="0" w:space="0" w:color="auto"/>
        <w:bottom w:val="none" w:sz="0" w:space="0" w:color="auto"/>
        <w:right w:val="none" w:sz="0" w:space="0" w:color="auto"/>
      </w:divBdr>
    </w:div>
    <w:div w:id="1864588776">
      <w:bodyDiv w:val="1"/>
      <w:marLeft w:val="0"/>
      <w:marRight w:val="0"/>
      <w:marTop w:val="0"/>
      <w:marBottom w:val="0"/>
      <w:divBdr>
        <w:top w:val="none" w:sz="0" w:space="0" w:color="auto"/>
        <w:left w:val="none" w:sz="0" w:space="0" w:color="auto"/>
        <w:bottom w:val="none" w:sz="0" w:space="0" w:color="auto"/>
        <w:right w:val="none" w:sz="0" w:space="0" w:color="auto"/>
      </w:divBdr>
    </w:div>
    <w:div w:id="1962301618">
      <w:bodyDiv w:val="1"/>
      <w:marLeft w:val="0"/>
      <w:marRight w:val="0"/>
      <w:marTop w:val="0"/>
      <w:marBottom w:val="0"/>
      <w:divBdr>
        <w:top w:val="none" w:sz="0" w:space="0" w:color="auto"/>
        <w:left w:val="none" w:sz="0" w:space="0" w:color="auto"/>
        <w:bottom w:val="none" w:sz="0" w:space="0" w:color="auto"/>
        <w:right w:val="none" w:sz="0" w:space="0" w:color="auto"/>
      </w:divBdr>
    </w:div>
    <w:div w:id="1998537732">
      <w:bodyDiv w:val="1"/>
      <w:marLeft w:val="0"/>
      <w:marRight w:val="0"/>
      <w:marTop w:val="0"/>
      <w:marBottom w:val="0"/>
      <w:divBdr>
        <w:top w:val="none" w:sz="0" w:space="0" w:color="auto"/>
        <w:left w:val="none" w:sz="0" w:space="0" w:color="auto"/>
        <w:bottom w:val="none" w:sz="0" w:space="0" w:color="auto"/>
        <w:right w:val="none" w:sz="0" w:space="0" w:color="auto"/>
      </w:divBdr>
    </w:div>
    <w:div w:id="2014913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2057</TotalTime>
  <Pages>6</Pages>
  <Words>1927</Words>
  <Characters>10989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Matei</dc:creator>
  <cp:keywords/>
  <dc:description/>
  <cp:lastModifiedBy>Alina Matei</cp:lastModifiedBy>
  <cp:revision>14</cp:revision>
  <dcterms:created xsi:type="dcterms:W3CDTF">2023-03-05T14:43:00Z</dcterms:created>
  <dcterms:modified xsi:type="dcterms:W3CDTF">2023-03-10T15:16:00Z</dcterms:modified>
</cp:coreProperties>
</file>