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E0BFD"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p>
    <w:p w14:paraId="556F86BF"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p>
    <w:p w14:paraId="06108872"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p>
    <w:p w14:paraId="4DAF280C"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p>
    <w:p w14:paraId="425894DD"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p>
    <w:p w14:paraId="3775FD03"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p>
    <w:p w14:paraId="517AAB7D"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p>
    <w:p w14:paraId="43BB72BE"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p>
    <w:p w14:paraId="39ADA7BA"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p>
    <w:p w14:paraId="19A51178"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p>
    <w:p w14:paraId="48656C04" w14:textId="56085B58" w:rsidR="002714D0" w:rsidRPr="002714D0" w:rsidRDefault="002714D0" w:rsidP="005B2A43">
      <w:pPr>
        <w:spacing w:line="360" w:lineRule="auto"/>
        <w:jc w:val="center"/>
        <w:rPr>
          <w:rFonts w:ascii="Times New Roman" w:eastAsia="Times New Roman" w:hAnsi="Times New Roman" w:cs="Times New Roman"/>
          <w:b/>
          <w:color w:val="111111"/>
          <w:sz w:val="40"/>
          <w:szCs w:val="40"/>
        </w:rPr>
      </w:pPr>
      <w:r w:rsidRPr="002714D0">
        <w:rPr>
          <w:rFonts w:ascii="Times New Roman" w:eastAsia="Times New Roman" w:hAnsi="Times New Roman" w:cs="Times New Roman"/>
          <w:b/>
          <w:color w:val="111111"/>
          <w:sz w:val="40"/>
          <w:szCs w:val="40"/>
        </w:rPr>
        <w:t>Assignment 1</w:t>
      </w:r>
    </w:p>
    <w:p w14:paraId="4CC01AF1"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p>
    <w:p w14:paraId="0EF1196C" w14:textId="77777777" w:rsidR="002714D0" w:rsidRPr="002714D0" w:rsidRDefault="002714D0" w:rsidP="005B2A43">
      <w:pPr>
        <w:spacing w:line="360" w:lineRule="auto"/>
        <w:jc w:val="center"/>
        <w:rPr>
          <w:rFonts w:ascii="Times New Roman" w:eastAsia="Times New Roman" w:hAnsi="Times New Roman" w:cs="Times New Roman"/>
          <w:b/>
          <w:color w:val="111111"/>
          <w:sz w:val="40"/>
          <w:szCs w:val="40"/>
        </w:rPr>
      </w:pPr>
      <w:r w:rsidRPr="002714D0">
        <w:rPr>
          <w:rFonts w:ascii="Times New Roman" w:eastAsia="Times New Roman" w:hAnsi="Times New Roman" w:cs="Times New Roman"/>
          <w:b/>
          <w:color w:val="111111"/>
          <w:sz w:val="40"/>
          <w:szCs w:val="40"/>
        </w:rPr>
        <w:t>Business Report – Comparison of Shangri-La Hotels and Travelodge Hotels</w:t>
      </w:r>
    </w:p>
    <w:p w14:paraId="2318AE94" w14:textId="089FC568" w:rsidR="002714D0" w:rsidRPr="002714D0" w:rsidRDefault="002C1716" w:rsidP="005B2A43">
      <w:pPr>
        <w:spacing w:line="360" w:lineRule="auto"/>
        <w:jc w:val="center"/>
        <w:rPr>
          <w:rFonts w:ascii="Times New Roman" w:eastAsia="Times New Roman" w:hAnsi="Times New Roman" w:cs="Times New Roman"/>
          <w:b/>
          <w:color w:val="111111"/>
          <w:sz w:val="40"/>
          <w:szCs w:val="40"/>
        </w:rPr>
      </w:pPr>
      <w:r>
        <w:rPr>
          <w:rFonts w:ascii="Times New Roman" w:eastAsia="Times New Roman" w:hAnsi="Times New Roman" w:cs="Times New Roman"/>
          <w:b/>
          <w:color w:val="111111"/>
          <w:sz w:val="40"/>
          <w:szCs w:val="40"/>
        </w:rPr>
        <w:t xml:space="preserve">Lecturer name: </w:t>
      </w:r>
      <w:r w:rsidR="00A172FB">
        <w:rPr>
          <w:rFonts w:ascii="Times New Roman" w:eastAsia="Times New Roman" w:hAnsi="Times New Roman" w:cs="Times New Roman"/>
          <w:b/>
          <w:color w:val="111111"/>
          <w:sz w:val="40"/>
          <w:szCs w:val="40"/>
        </w:rPr>
        <w:t>Tristan</w:t>
      </w:r>
      <w:r w:rsidR="001C2C0C">
        <w:rPr>
          <w:rFonts w:ascii="Times New Roman" w:eastAsia="Times New Roman" w:hAnsi="Times New Roman" w:cs="Times New Roman"/>
          <w:b/>
          <w:color w:val="111111"/>
          <w:sz w:val="40"/>
          <w:szCs w:val="40"/>
        </w:rPr>
        <w:t xml:space="preserve"> Hawkins</w:t>
      </w:r>
    </w:p>
    <w:p w14:paraId="23697B09" w14:textId="7EA6ECEF" w:rsidR="002714D0" w:rsidRPr="002714D0" w:rsidRDefault="002714D0" w:rsidP="005B2A43">
      <w:pPr>
        <w:spacing w:line="360" w:lineRule="auto"/>
        <w:jc w:val="center"/>
        <w:rPr>
          <w:rFonts w:ascii="Times New Roman" w:eastAsia="Times New Roman" w:hAnsi="Times New Roman" w:cs="Times New Roman"/>
          <w:b/>
          <w:color w:val="111111"/>
          <w:sz w:val="40"/>
          <w:szCs w:val="40"/>
        </w:rPr>
      </w:pPr>
      <w:r w:rsidRPr="002714D0">
        <w:rPr>
          <w:rFonts w:ascii="Times New Roman" w:eastAsia="Times New Roman" w:hAnsi="Times New Roman" w:cs="Times New Roman"/>
          <w:b/>
          <w:color w:val="111111"/>
          <w:sz w:val="40"/>
          <w:szCs w:val="40"/>
        </w:rPr>
        <w:t xml:space="preserve">Student </w:t>
      </w:r>
      <w:proofErr w:type="spellStart"/>
      <w:r w:rsidRPr="002714D0">
        <w:rPr>
          <w:rFonts w:ascii="Times New Roman" w:eastAsia="Times New Roman" w:hAnsi="Times New Roman" w:cs="Times New Roman"/>
          <w:b/>
          <w:color w:val="111111"/>
          <w:sz w:val="40"/>
          <w:szCs w:val="40"/>
        </w:rPr>
        <w:t>Name:</w:t>
      </w:r>
      <w:r w:rsidR="003722DC">
        <w:rPr>
          <w:rFonts w:ascii="Times New Roman" w:eastAsia="Times New Roman" w:hAnsi="Times New Roman" w:cs="Times New Roman"/>
          <w:b/>
          <w:color w:val="111111"/>
          <w:sz w:val="40"/>
          <w:szCs w:val="40"/>
        </w:rPr>
        <w:t>Alexandra</w:t>
      </w:r>
      <w:proofErr w:type="spellEnd"/>
      <w:r w:rsidR="003722DC">
        <w:rPr>
          <w:rFonts w:ascii="Times New Roman" w:eastAsia="Times New Roman" w:hAnsi="Times New Roman" w:cs="Times New Roman"/>
          <w:b/>
          <w:color w:val="111111"/>
          <w:sz w:val="40"/>
          <w:szCs w:val="40"/>
        </w:rPr>
        <w:t xml:space="preserve"> </w:t>
      </w:r>
      <w:proofErr w:type="spellStart"/>
      <w:r w:rsidR="003722DC">
        <w:rPr>
          <w:rFonts w:ascii="Times New Roman" w:eastAsia="Times New Roman" w:hAnsi="Times New Roman" w:cs="Times New Roman"/>
          <w:b/>
          <w:color w:val="111111"/>
          <w:sz w:val="40"/>
          <w:szCs w:val="40"/>
        </w:rPr>
        <w:t>Gjoka</w:t>
      </w:r>
      <w:proofErr w:type="spellEnd"/>
    </w:p>
    <w:p w14:paraId="74D5C628" w14:textId="50D8FF46" w:rsidR="002714D0" w:rsidRPr="002714D0" w:rsidRDefault="002714D0" w:rsidP="005B2A43">
      <w:pPr>
        <w:spacing w:line="360" w:lineRule="auto"/>
        <w:jc w:val="center"/>
        <w:rPr>
          <w:rFonts w:ascii="Times New Roman" w:eastAsia="Times New Roman" w:hAnsi="Times New Roman" w:cs="Times New Roman"/>
          <w:b/>
          <w:color w:val="111111"/>
          <w:sz w:val="24"/>
          <w:szCs w:val="24"/>
        </w:rPr>
      </w:pPr>
      <w:r w:rsidRPr="002714D0">
        <w:rPr>
          <w:rFonts w:ascii="Times New Roman" w:eastAsia="Times New Roman" w:hAnsi="Times New Roman" w:cs="Times New Roman"/>
          <w:b/>
          <w:color w:val="111111"/>
          <w:sz w:val="40"/>
          <w:szCs w:val="40"/>
        </w:rPr>
        <w:t>Student Id:</w:t>
      </w:r>
      <w:r w:rsidR="003722DC">
        <w:rPr>
          <w:rFonts w:ascii="Times New Roman" w:eastAsia="Times New Roman" w:hAnsi="Times New Roman" w:cs="Times New Roman"/>
          <w:b/>
          <w:color w:val="111111"/>
          <w:sz w:val="40"/>
          <w:szCs w:val="40"/>
        </w:rPr>
        <w:t>2224325</w:t>
      </w:r>
      <w:r w:rsidRPr="002714D0">
        <w:rPr>
          <w:rFonts w:ascii="Times New Roman" w:eastAsia="Times New Roman" w:hAnsi="Times New Roman" w:cs="Times New Roman"/>
          <w:b/>
          <w:color w:val="111111"/>
          <w:sz w:val="24"/>
          <w:szCs w:val="24"/>
        </w:rPr>
        <w:br w:type="page"/>
      </w:r>
    </w:p>
    <w:p w14:paraId="00000001" w14:textId="5F9F142C" w:rsidR="00DE0495" w:rsidRPr="002714D0" w:rsidRDefault="004C2DD0" w:rsidP="005B2A43">
      <w:pPr>
        <w:shd w:val="clear" w:color="auto" w:fill="FFFFFF"/>
        <w:spacing w:before="180" w:line="360" w:lineRule="auto"/>
        <w:jc w:val="center"/>
        <w:rPr>
          <w:rFonts w:ascii="Times New Roman" w:eastAsia="Times New Roman" w:hAnsi="Times New Roman" w:cs="Times New Roman"/>
          <w:b/>
          <w:color w:val="111111"/>
          <w:sz w:val="28"/>
          <w:szCs w:val="28"/>
        </w:rPr>
      </w:pPr>
      <w:r w:rsidRPr="002714D0">
        <w:rPr>
          <w:rFonts w:ascii="Times New Roman" w:eastAsia="Times New Roman" w:hAnsi="Times New Roman" w:cs="Times New Roman"/>
          <w:b/>
          <w:color w:val="111111"/>
          <w:sz w:val="28"/>
          <w:szCs w:val="28"/>
        </w:rPr>
        <w:lastRenderedPageBreak/>
        <w:t>Executive Summary</w:t>
      </w:r>
    </w:p>
    <w:p w14:paraId="00000002" w14:textId="3C7DE555" w:rsidR="00DE0495" w:rsidRPr="002714D0" w:rsidRDefault="00DC40DE"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DC40DE">
        <w:rPr>
          <w:rFonts w:ascii="Times New Roman" w:eastAsia="Times New Roman" w:hAnsi="Times New Roman" w:cs="Times New Roman"/>
          <w:color w:val="111111"/>
          <w:sz w:val="24"/>
          <w:szCs w:val="24"/>
        </w:rPr>
        <w:t xml:space="preserve">It looked at how Shangri-La Hotels and Travelodge Hotels handle the funds and how they compare to each other in this study. Because Shangri-La has properties in many different areas, its year-over-year income growth was 46.5%, while Travelodge's rebound in the UK was less strong. Shangri-La is also well-positioned in the market, with a larger share of the high-end hotels in Asia and the Pacific than Travelodge does in the cheaper hotels in the UK. In addition, Shangri-La gives more money to CSR projects that are appropriate for its global reach. When looking at growth possibilities, Shangri-La has enough money to buy two billion dollars’ worth of new hotels in big global markets as part of its plans to expand geographically. On the other hand, Travelodge has problems growing only in the UK. Shangri-La has better finances, a bigger market share, and brighter long-term chances </w:t>
      </w:r>
      <w:r w:rsidR="001B1060">
        <w:rPr>
          <w:rFonts w:ascii="Times New Roman" w:eastAsia="Times New Roman" w:hAnsi="Times New Roman" w:cs="Times New Roman"/>
          <w:color w:val="111111"/>
          <w:sz w:val="24"/>
          <w:szCs w:val="24"/>
        </w:rPr>
        <w:t>due</w:t>
      </w:r>
      <w:r w:rsidRPr="00DC40DE">
        <w:rPr>
          <w:rFonts w:ascii="Times New Roman" w:eastAsia="Times New Roman" w:hAnsi="Times New Roman" w:cs="Times New Roman"/>
          <w:color w:val="111111"/>
          <w:sz w:val="24"/>
          <w:szCs w:val="24"/>
        </w:rPr>
        <w:t xml:space="preserve"> to its high-end name and foreign activities. Travelodge, on the other hand, still depends on UK travel trends getting back to where they were before the pandemic. This report shows how differences in strategy affect the difference in financial results between these two big hotel companies.</w:t>
      </w:r>
    </w:p>
    <w:p w14:paraId="547CC1F4" w14:textId="77777777" w:rsidR="002714D0" w:rsidRPr="002714D0" w:rsidRDefault="002714D0" w:rsidP="005B2A43">
      <w:pPr>
        <w:spacing w:line="360" w:lineRule="auto"/>
        <w:jc w:val="both"/>
        <w:rPr>
          <w:rFonts w:ascii="Times New Roman" w:eastAsia="Times New Roman" w:hAnsi="Times New Roman" w:cs="Times New Roman"/>
          <w:b/>
          <w:color w:val="111111"/>
          <w:sz w:val="24"/>
          <w:szCs w:val="24"/>
        </w:rPr>
      </w:pPr>
      <w:r w:rsidRPr="002714D0">
        <w:rPr>
          <w:rFonts w:ascii="Times New Roman" w:eastAsia="Times New Roman" w:hAnsi="Times New Roman" w:cs="Times New Roman"/>
          <w:b/>
          <w:color w:val="111111"/>
          <w:sz w:val="24"/>
          <w:szCs w:val="24"/>
        </w:rPr>
        <w:br w:type="page"/>
      </w:r>
    </w:p>
    <w:sdt>
      <w:sdtPr>
        <w:rPr>
          <w:rFonts w:ascii="Times New Roman" w:eastAsia="Arial" w:hAnsi="Times New Roman" w:cs="Times New Roman"/>
          <w:color w:val="auto"/>
          <w:sz w:val="24"/>
          <w:szCs w:val="24"/>
          <w:lang w:val="en-GB" w:eastAsia="en-GB"/>
        </w:rPr>
        <w:id w:val="-1721281944"/>
        <w:docPartObj>
          <w:docPartGallery w:val="Table of Contents"/>
          <w:docPartUnique/>
        </w:docPartObj>
      </w:sdtPr>
      <w:sdtEndPr>
        <w:rPr>
          <w:b/>
          <w:bCs/>
          <w:noProof/>
        </w:rPr>
      </w:sdtEndPr>
      <w:sdtContent>
        <w:p w14:paraId="42189043" w14:textId="4B4FBA88" w:rsidR="002714D0" w:rsidRPr="002714D0" w:rsidRDefault="002714D0" w:rsidP="005B2A43">
          <w:pPr>
            <w:pStyle w:val="TOCHeading"/>
            <w:spacing w:line="360" w:lineRule="auto"/>
            <w:jc w:val="center"/>
            <w:rPr>
              <w:rFonts w:ascii="Times New Roman" w:hAnsi="Times New Roman" w:cs="Times New Roman"/>
              <w:b/>
              <w:bCs/>
              <w:color w:val="auto"/>
              <w:sz w:val="28"/>
              <w:szCs w:val="28"/>
              <w:lang w:val="en-GB"/>
            </w:rPr>
          </w:pPr>
          <w:r w:rsidRPr="002714D0">
            <w:rPr>
              <w:rFonts w:ascii="Times New Roman" w:hAnsi="Times New Roman" w:cs="Times New Roman"/>
              <w:b/>
              <w:bCs/>
              <w:color w:val="auto"/>
              <w:sz w:val="28"/>
              <w:szCs w:val="28"/>
              <w:lang w:val="en-GB"/>
            </w:rPr>
            <w:t>Table of Contents</w:t>
          </w:r>
        </w:p>
        <w:p w14:paraId="1777324E" w14:textId="536BDF71" w:rsidR="002714D0" w:rsidRPr="002714D0" w:rsidRDefault="002714D0" w:rsidP="005B2A43">
          <w:pPr>
            <w:pStyle w:val="TOC1"/>
            <w:tabs>
              <w:tab w:val="right" w:leader="dot" w:pos="9019"/>
            </w:tabs>
            <w:spacing w:line="360" w:lineRule="auto"/>
            <w:jc w:val="both"/>
            <w:rPr>
              <w:rFonts w:ascii="Times New Roman" w:hAnsi="Times New Roman" w:cs="Times New Roman"/>
              <w:noProof/>
              <w:sz w:val="24"/>
              <w:szCs w:val="24"/>
            </w:rPr>
          </w:pPr>
          <w:r w:rsidRPr="002714D0">
            <w:rPr>
              <w:rFonts w:ascii="Times New Roman" w:hAnsi="Times New Roman" w:cs="Times New Roman"/>
              <w:sz w:val="24"/>
              <w:szCs w:val="24"/>
            </w:rPr>
            <w:fldChar w:fldCharType="begin"/>
          </w:r>
          <w:r w:rsidRPr="002714D0">
            <w:rPr>
              <w:rFonts w:ascii="Times New Roman" w:hAnsi="Times New Roman" w:cs="Times New Roman"/>
              <w:sz w:val="24"/>
              <w:szCs w:val="24"/>
            </w:rPr>
            <w:instrText xml:space="preserve"> TOC \o "1-3" \h \z \u </w:instrText>
          </w:r>
          <w:r w:rsidRPr="002714D0">
            <w:rPr>
              <w:rFonts w:ascii="Times New Roman" w:hAnsi="Times New Roman" w:cs="Times New Roman"/>
              <w:sz w:val="24"/>
              <w:szCs w:val="24"/>
            </w:rPr>
            <w:fldChar w:fldCharType="separate"/>
          </w:r>
          <w:hyperlink w:anchor="_Toc166152211" w:history="1">
            <w:r w:rsidRPr="002714D0">
              <w:rPr>
                <w:rStyle w:val="Hyperlink"/>
                <w:rFonts w:ascii="Times New Roman" w:hAnsi="Times New Roman" w:cs="Times New Roman"/>
                <w:noProof/>
                <w:sz w:val="24"/>
                <w:szCs w:val="24"/>
              </w:rPr>
              <w:t>Introduction</w:t>
            </w:r>
            <w:r w:rsidRPr="002714D0">
              <w:rPr>
                <w:rFonts w:ascii="Times New Roman" w:hAnsi="Times New Roman" w:cs="Times New Roman"/>
                <w:noProof/>
                <w:webHidden/>
                <w:sz w:val="24"/>
                <w:szCs w:val="24"/>
              </w:rPr>
              <w:tab/>
            </w:r>
            <w:r w:rsidRPr="002714D0">
              <w:rPr>
                <w:rFonts w:ascii="Times New Roman" w:hAnsi="Times New Roman" w:cs="Times New Roman"/>
                <w:noProof/>
                <w:webHidden/>
                <w:sz w:val="24"/>
                <w:szCs w:val="24"/>
              </w:rPr>
              <w:fldChar w:fldCharType="begin"/>
            </w:r>
            <w:r w:rsidRPr="002714D0">
              <w:rPr>
                <w:rFonts w:ascii="Times New Roman" w:hAnsi="Times New Roman" w:cs="Times New Roman"/>
                <w:noProof/>
                <w:webHidden/>
                <w:sz w:val="24"/>
                <w:szCs w:val="24"/>
              </w:rPr>
              <w:instrText xml:space="preserve"> PAGEREF _Toc166152211 \h </w:instrText>
            </w:r>
            <w:r w:rsidRPr="002714D0">
              <w:rPr>
                <w:rFonts w:ascii="Times New Roman" w:hAnsi="Times New Roman" w:cs="Times New Roman"/>
                <w:noProof/>
                <w:webHidden/>
                <w:sz w:val="24"/>
                <w:szCs w:val="24"/>
              </w:rPr>
            </w:r>
            <w:r w:rsidRPr="002714D0">
              <w:rPr>
                <w:rFonts w:ascii="Times New Roman" w:hAnsi="Times New Roman" w:cs="Times New Roman"/>
                <w:noProof/>
                <w:webHidden/>
                <w:sz w:val="24"/>
                <w:szCs w:val="24"/>
              </w:rPr>
              <w:fldChar w:fldCharType="separate"/>
            </w:r>
            <w:r w:rsidRPr="002714D0">
              <w:rPr>
                <w:rFonts w:ascii="Times New Roman" w:hAnsi="Times New Roman" w:cs="Times New Roman"/>
                <w:noProof/>
                <w:webHidden/>
                <w:sz w:val="24"/>
                <w:szCs w:val="24"/>
              </w:rPr>
              <w:t>3</w:t>
            </w:r>
            <w:r w:rsidRPr="002714D0">
              <w:rPr>
                <w:rFonts w:ascii="Times New Roman" w:hAnsi="Times New Roman" w:cs="Times New Roman"/>
                <w:noProof/>
                <w:webHidden/>
                <w:sz w:val="24"/>
                <w:szCs w:val="24"/>
              </w:rPr>
              <w:fldChar w:fldCharType="end"/>
            </w:r>
          </w:hyperlink>
        </w:p>
        <w:p w14:paraId="52D19D8C" w14:textId="46E1AC7D" w:rsidR="002714D0" w:rsidRPr="002714D0" w:rsidRDefault="004C2DD0" w:rsidP="005B2A43">
          <w:pPr>
            <w:pStyle w:val="TOC1"/>
            <w:tabs>
              <w:tab w:val="right" w:leader="dot" w:pos="9019"/>
            </w:tabs>
            <w:spacing w:line="360" w:lineRule="auto"/>
            <w:jc w:val="both"/>
            <w:rPr>
              <w:rFonts w:ascii="Times New Roman" w:hAnsi="Times New Roman" w:cs="Times New Roman"/>
              <w:noProof/>
              <w:sz w:val="24"/>
              <w:szCs w:val="24"/>
            </w:rPr>
          </w:pPr>
          <w:hyperlink w:anchor="_Toc166152212" w:history="1">
            <w:r w:rsidR="002714D0" w:rsidRPr="002714D0">
              <w:rPr>
                <w:rStyle w:val="Hyperlink"/>
                <w:rFonts w:ascii="Times New Roman" w:hAnsi="Times New Roman" w:cs="Times New Roman"/>
                <w:noProof/>
                <w:sz w:val="24"/>
                <w:szCs w:val="24"/>
              </w:rPr>
              <w:t>Total Revenue</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_Toc166152212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3</w:t>
            </w:r>
            <w:r w:rsidR="002714D0" w:rsidRPr="002714D0">
              <w:rPr>
                <w:rFonts w:ascii="Times New Roman" w:hAnsi="Times New Roman" w:cs="Times New Roman"/>
                <w:noProof/>
                <w:webHidden/>
                <w:sz w:val="24"/>
                <w:szCs w:val="24"/>
              </w:rPr>
              <w:fldChar w:fldCharType="end"/>
            </w:r>
          </w:hyperlink>
        </w:p>
        <w:p w14:paraId="4E95DB13" w14:textId="50FA5DEC" w:rsidR="002714D0" w:rsidRPr="002714D0" w:rsidRDefault="004C2DD0" w:rsidP="005B2A43">
          <w:pPr>
            <w:pStyle w:val="TOC2"/>
            <w:tabs>
              <w:tab w:val="right" w:leader="dot" w:pos="9019"/>
            </w:tabs>
            <w:spacing w:line="360" w:lineRule="auto"/>
            <w:jc w:val="both"/>
            <w:rPr>
              <w:rFonts w:ascii="Times New Roman" w:hAnsi="Times New Roman" w:cs="Times New Roman"/>
              <w:noProof/>
              <w:sz w:val="24"/>
              <w:szCs w:val="24"/>
            </w:rPr>
          </w:pPr>
          <w:hyperlink w:anchor="_Toc166152213" w:history="1">
            <w:r w:rsidR="002714D0" w:rsidRPr="002714D0">
              <w:rPr>
                <w:rStyle w:val="Hyperlink"/>
                <w:rFonts w:ascii="Times New Roman" w:hAnsi="Times New Roman" w:cs="Times New Roman"/>
                <w:noProof/>
                <w:sz w:val="24"/>
                <w:szCs w:val="24"/>
              </w:rPr>
              <w:t>Overview of the total revenue of both organisations</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_Toc166152213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3</w:t>
            </w:r>
            <w:r w:rsidR="002714D0" w:rsidRPr="002714D0">
              <w:rPr>
                <w:rFonts w:ascii="Times New Roman" w:hAnsi="Times New Roman" w:cs="Times New Roman"/>
                <w:noProof/>
                <w:webHidden/>
                <w:sz w:val="24"/>
                <w:szCs w:val="24"/>
              </w:rPr>
              <w:fldChar w:fldCharType="end"/>
            </w:r>
          </w:hyperlink>
        </w:p>
        <w:p w14:paraId="66025239" w14:textId="3673873D" w:rsidR="002714D0" w:rsidRPr="002714D0" w:rsidRDefault="004C2DD0" w:rsidP="005B2A43">
          <w:pPr>
            <w:pStyle w:val="TOC2"/>
            <w:tabs>
              <w:tab w:val="right" w:leader="dot" w:pos="9019"/>
            </w:tabs>
            <w:spacing w:line="360" w:lineRule="auto"/>
            <w:jc w:val="both"/>
            <w:rPr>
              <w:rFonts w:ascii="Times New Roman" w:hAnsi="Times New Roman" w:cs="Times New Roman"/>
              <w:noProof/>
              <w:sz w:val="24"/>
              <w:szCs w:val="24"/>
            </w:rPr>
          </w:pPr>
          <w:hyperlink w:anchor="_Toc166152214" w:history="1">
            <w:r w:rsidR="002714D0" w:rsidRPr="002714D0">
              <w:rPr>
                <w:rStyle w:val="Hyperlink"/>
                <w:rFonts w:ascii="Times New Roman" w:hAnsi="Times New Roman" w:cs="Times New Roman"/>
                <w:noProof/>
                <w:sz w:val="24"/>
                <w:szCs w:val="24"/>
              </w:rPr>
              <w:t>Comparison of the revenue trends</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_Toc166152214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4</w:t>
            </w:r>
            <w:r w:rsidR="002714D0" w:rsidRPr="002714D0">
              <w:rPr>
                <w:rFonts w:ascii="Times New Roman" w:hAnsi="Times New Roman" w:cs="Times New Roman"/>
                <w:noProof/>
                <w:webHidden/>
                <w:sz w:val="24"/>
                <w:szCs w:val="24"/>
              </w:rPr>
              <w:fldChar w:fldCharType="end"/>
            </w:r>
          </w:hyperlink>
        </w:p>
        <w:p w14:paraId="02194B3F" w14:textId="55E45A67" w:rsidR="002714D0" w:rsidRPr="002714D0" w:rsidRDefault="004C2DD0" w:rsidP="005B2A43">
          <w:pPr>
            <w:pStyle w:val="TOC2"/>
            <w:tabs>
              <w:tab w:val="right" w:leader="dot" w:pos="9019"/>
            </w:tabs>
            <w:spacing w:line="360" w:lineRule="auto"/>
            <w:jc w:val="both"/>
            <w:rPr>
              <w:rFonts w:ascii="Times New Roman" w:hAnsi="Times New Roman" w:cs="Times New Roman"/>
              <w:noProof/>
              <w:sz w:val="24"/>
              <w:szCs w:val="24"/>
            </w:rPr>
          </w:pPr>
          <w:hyperlink w:anchor="_Toc166152215" w:history="1">
            <w:r w:rsidR="002714D0" w:rsidRPr="002714D0">
              <w:rPr>
                <w:rStyle w:val="Hyperlink"/>
                <w:rFonts w:ascii="Times New Roman" w:hAnsi="Times New Roman" w:cs="Times New Roman"/>
                <w:noProof/>
                <w:sz w:val="24"/>
                <w:szCs w:val="24"/>
              </w:rPr>
              <w:t>Analysis of the sources of revenue and factors driving growth or decline</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_Toc166152215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5</w:t>
            </w:r>
            <w:r w:rsidR="002714D0" w:rsidRPr="002714D0">
              <w:rPr>
                <w:rFonts w:ascii="Times New Roman" w:hAnsi="Times New Roman" w:cs="Times New Roman"/>
                <w:noProof/>
                <w:webHidden/>
                <w:sz w:val="24"/>
                <w:szCs w:val="24"/>
              </w:rPr>
              <w:fldChar w:fldCharType="end"/>
            </w:r>
          </w:hyperlink>
        </w:p>
        <w:p w14:paraId="1F687100" w14:textId="6C565131" w:rsidR="002714D0" w:rsidRPr="002714D0" w:rsidRDefault="004C2DD0" w:rsidP="005B2A43">
          <w:pPr>
            <w:pStyle w:val="TOC1"/>
            <w:tabs>
              <w:tab w:val="right" w:leader="dot" w:pos="9019"/>
            </w:tabs>
            <w:spacing w:line="360" w:lineRule="auto"/>
            <w:jc w:val="both"/>
            <w:rPr>
              <w:rFonts w:ascii="Times New Roman" w:hAnsi="Times New Roman" w:cs="Times New Roman"/>
              <w:noProof/>
              <w:sz w:val="24"/>
              <w:szCs w:val="24"/>
            </w:rPr>
          </w:pPr>
          <w:hyperlink w:anchor="_Toc166152216" w:history="1">
            <w:r w:rsidR="002714D0" w:rsidRPr="002714D0">
              <w:rPr>
                <w:rStyle w:val="Hyperlink"/>
                <w:rFonts w:ascii="Times New Roman" w:hAnsi="Times New Roman" w:cs="Times New Roman"/>
                <w:noProof/>
                <w:sz w:val="24"/>
                <w:szCs w:val="24"/>
              </w:rPr>
              <w:t>Market Position</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_Toc166152216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5</w:t>
            </w:r>
            <w:r w:rsidR="002714D0" w:rsidRPr="002714D0">
              <w:rPr>
                <w:rFonts w:ascii="Times New Roman" w:hAnsi="Times New Roman" w:cs="Times New Roman"/>
                <w:noProof/>
                <w:webHidden/>
                <w:sz w:val="24"/>
                <w:szCs w:val="24"/>
              </w:rPr>
              <w:fldChar w:fldCharType="end"/>
            </w:r>
          </w:hyperlink>
        </w:p>
        <w:p w14:paraId="04C3E0ED" w14:textId="6AD8AC19" w:rsidR="002714D0" w:rsidRPr="002714D0" w:rsidRDefault="004C2DD0" w:rsidP="005B2A43">
          <w:pPr>
            <w:pStyle w:val="TOC2"/>
            <w:tabs>
              <w:tab w:val="right" w:leader="dot" w:pos="9019"/>
            </w:tabs>
            <w:spacing w:line="360" w:lineRule="auto"/>
            <w:jc w:val="both"/>
            <w:rPr>
              <w:rFonts w:ascii="Times New Roman" w:hAnsi="Times New Roman" w:cs="Times New Roman"/>
              <w:noProof/>
              <w:sz w:val="24"/>
              <w:szCs w:val="24"/>
            </w:rPr>
          </w:pPr>
          <w:hyperlink w:anchor="_Toc166152217" w:history="1">
            <w:r w:rsidR="002714D0" w:rsidRPr="002714D0">
              <w:rPr>
                <w:rStyle w:val="Hyperlink"/>
                <w:rFonts w:ascii="Times New Roman" w:hAnsi="Times New Roman" w:cs="Times New Roman"/>
                <w:noProof/>
                <w:sz w:val="24"/>
                <w:szCs w:val="24"/>
              </w:rPr>
              <w:t>Overview of the market position of both hotel groups</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_Toc166152217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5</w:t>
            </w:r>
            <w:r w:rsidR="002714D0" w:rsidRPr="002714D0">
              <w:rPr>
                <w:rFonts w:ascii="Times New Roman" w:hAnsi="Times New Roman" w:cs="Times New Roman"/>
                <w:noProof/>
                <w:webHidden/>
                <w:sz w:val="24"/>
                <w:szCs w:val="24"/>
              </w:rPr>
              <w:fldChar w:fldCharType="end"/>
            </w:r>
          </w:hyperlink>
        </w:p>
        <w:p w14:paraId="699898FF" w14:textId="26EC9F46" w:rsidR="002714D0" w:rsidRPr="002714D0" w:rsidRDefault="004C2DD0" w:rsidP="005B2A43">
          <w:pPr>
            <w:pStyle w:val="TOC2"/>
            <w:tabs>
              <w:tab w:val="right" w:leader="dot" w:pos="9019"/>
            </w:tabs>
            <w:spacing w:line="360" w:lineRule="auto"/>
            <w:jc w:val="both"/>
            <w:rPr>
              <w:rFonts w:ascii="Times New Roman" w:hAnsi="Times New Roman" w:cs="Times New Roman"/>
              <w:noProof/>
              <w:sz w:val="24"/>
              <w:szCs w:val="24"/>
            </w:rPr>
          </w:pPr>
          <w:hyperlink w:anchor="_Toc166152218" w:history="1">
            <w:r w:rsidR="002714D0" w:rsidRPr="002714D0">
              <w:rPr>
                <w:rStyle w:val="Hyperlink"/>
                <w:rFonts w:ascii="Times New Roman" w:hAnsi="Times New Roman" w:cs="Times New Roman"/>
                <w:noProof/>
                <w:sz w:val="24"/>
                <w:szCs w:val="24"/>
              </w:rPr>
              <w:t>Analysis of market share, customer demographics, and brand perception</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_Toc166152218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6</w:t>
            </w:r>
            <w:r w:rsidR="002714D0" w:rsidRPr="002714D0">
              <w:rPr>
                <w:rFonts w:ascii="Times New Roman" w:hAnsi="Times New Roman" w:cs="Times New Roman"/>
                <w:noProof/>
                <w:webHidden/>
                <w:sz w:val="24"/>
                <w:szCs w:val="24"/>
              </w:rPr>
              <w:fldChar w:fldCharType="end"/>
            </w:r>
          </w:hyperlink>
        </w:p>
        <w:p w14:paraId="1E32519F" w14:textId="44FF971B" w:rsidR="002714D0" w:rsidRPr="002714D0" w:rsidRDefault="004C2DD0" w:rsidP="005B2A43">
          <w:pPr>
            <w:pStyle w:val="TOC1"/>
            <w:tabs>
              <w:tab w:val="right" w:leader="dot" w:pos="9019"/>
            </w:tabs>
            <w:spacing w:line="360" w:lineRule="auto"/>
            <w:jc w:val="both"/>
            <w:rPr>
              <w:rFonts w:ascii="Times New Roman" w:hAnsi="Times New Roman" w:cs="Times New Roman"/>
              <w:noProof/>
              <w:sz w:val="24"/>
              <w:szCs w:val="24"/>
            </w:rPr>
          </w:pPr>
          <w:hyperlink w:anchor="_Toc166152219" w:history="1">
            <w:r w:rsidR="002714D0" w:rsidRPr="002714D0">
              <w:rPr>
                <w:rStyle w:val="Hyperlink"/>
                <w:rFonts w:ascii="Times New Roman" w:hAnsi="Times New Roman" w:cs="Times New Roman"/>
                <w:noProof/>
                <w:sz w:val="24"/>
                <w:szCs w:val="24"/>
              </w:rPr>
              <w:t>Growth Potential</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_Toc166152219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6</w:t>
            </w:r>
            <w:r w:rsidR="002714D0" w:rsidRPr="002714D0">
              <w:rPr>
                <w:rFonts w:ascii="Times New Roman" w:hAnsi="Times New Roman" w:cs="Times New Roman"/>
                <w:noProof/>
                <w:webHidden/>
                <w:sz w:val="24"/>
                <w:szCs w:val="24"/>
              </w:rPr>
              <w:fldChar w:fldCharType="end"/>
            </w:r>
          </w:hyperlink>
        </w:p>
        <w:p w14:paraId="0B71F238" w14:textId="76EF2D7A" w:rsidR="002714D0" w:rsidRPr="002714D0" w:rsidRDefault="004C2DD0" w:rsidP="005B2A43">
          <w:pPr>
            <w:pStyle w:val="TOC2"/>
            <w:tabs>
              <w:tab w:val="right" w:leader="dot" w:pos="9019"/>
            </w:tabs>
            <w:spacing w:line="360" w:lineRule="auto"/>
            <w:jc w:val="both"/>
            <w:rPr>
              <w:rFonts w:ascii="Times New Roman" w:hAnsi="Times New Roman" w:cs="Times New Roman"/>
              <w:noProof/>
              <w:sz w:val="24"/>
              <w:szCs w:val="24"/>
            </w:rPr>
          </w:pPr>
          <w:hyperlink w:anchor="_Toc166152220" w:history="1">
            <w:r w:rsidR="002714D0" w:rsidRPr="002714D0">
              <w:rPr>
                <w:rStyle w:val="Hyperlink"/>
                <w:rFonts w:ascii="Times New Roman" w:hAnsi="Times New Roman" w:cs="Times New Roman"/>
                <w:noProof/>
                <w:sz w:val="24"/>
                <w:szCs w:val="24"/>
              </w:rPr>
              <w:t>Evaluation of the growth potential of each organisation</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_Toc166152220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6</w:t>
            </w:r>
            <w:r w:rsidR="002714D0" w:rsidRPr="002714D0">
              <w:rPr>
                <w:rFonts w:ascii="Times New Roman" w:hAnsi="Times New Roman" w:cs="Times New Roman"/>
                <w:noProof/>
                <w:webHidden/>
                <w:sz w:val="24"/>
                <w:szCs w:val="24"/>
              </w:rPr>
              <w:fldChar w:fldCharType="end"/>
            </w:r>
          </w:hyperlink>
        </w:p>
        <w:p w14:paraId="2D65FD53" w14:textId="743D2D02" w:rsidR="002714D0" w:rsidRPr="002714D0" w:rsidRDefault="004C2DD0" w:rsidP="005B2A43">
          <w:pPr>
            <w:pStyle w:val="TOC2"/>
            <w:tabs>
              <w:tab w:val="right" w:leader="dot" w:pos="9019"/>
            </w:tabs>
            <w:spacing w:line="360" w:lineRule="auto"/>
            <w:jc w:val="both"/>
            <w:rPr>
              <w:rFonts w:ascii="Times New Roman" w:hAnsi="Times New Roman" w:cs="Times New Roman"/>
              <w:noProof/>
              <w:sz w:val="24"/>
              <w:szCs w:val="24"/>
            </w:rPr>
          </w:pPr>
          <w:hyperlink w:anchor="_Toc166152221" w:history="1">
            <w:r w:rsidR="002714D0" w:rsidRPr="002714D0">
              <w:rPr>
                <w:rStyle w:val="Hyperlink"/>
                <w:rFonts w:ascii="Times New Roman" w:hAnsi="Times New Roman" w:cs="Times New Roman"/>
                <w:noProof/>
                <w:sz w:val="24"/>
                <w:szCs w:val="24"/>
              </w:rPr>
              <w:t>Examination of expansion strategies, market opportunities, and potential barriers to growth</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_Toc166152221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7</w:t>
            </w:r>
            <w:r w:rsidR="002714D0" w:rsidRPr="002714D0">
              <w:rPr>
                <w:rFonts w:ascii="Times New Roman" w:hAnsi="Times New Roman" w:cs="Times New Roman"/>
                <w:noProof/>
                <w:webHidden/>
                <w:sz w:val="24"/>
                <w:szCs w:val="24"/>
              </w:rPr>
              <w:fldChar w:fldCharType="end"/>
            </w:r>
          </w:hyperlink>
        </w:p>
        <w:p w14:paraId="3CB42EB9" w14:textId="65561DE1" w:rsidR="002714D0" w:rsidRPr="002714D0" w:rsidRDefault="004C2DD0" w:rsidP="005B2A43">
          <w:pPr>
            <w:pStyle w:val="TOC1"/>
            <w:tabs>
              <w:tab w:val="right" w:leader="dot" w:pos="9019"/>
            </w:tabs>
            <w:spacing w:line="360" w:lineRule="auto"/>
            <w:jc w:val="both"/>
            <w:rPr>
              <w:rFonts w:ascii="Times New Roman" w:hAnsi="Times New Roman" w:cs="Times New Roman"/>
              <w:noProof/>
              <w:sz w:val="24"/>
              <w:szCs w:val="24"/>
            </w:rPr>
          </w:pPr>
          <w:hyperlink w:anchor="_Toc166152222" w:history="1">
            <w:r w:rsidR="002714D0" w:rsidRPr="002714D0">
              <w:rPr>
                <w:rStyle w:val="Hyperlink"/>
                <w:rFonts w:ascii="Times New Roman" w:hAnsi="Times New Roman" w:cs="Times New Roman"/>
                <w:noProof/>
                <w:sz w:val="24"/>
                <w:szCs w:val="24"/>
              </w:rPr>
              <w:t>Financial Commitment to CSR</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_Toc166152222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7</w:t>
            </w:r>
            <w:r w:rsidR="002714D0" w:rsidRPr="002714D0">
              <w:rPr>
                <w:rFonts w:ascii="Times New Roman" w:hAnsi="Times New Roman" w:cs="Times New Roman"/>
                <w:noProof/>
                <w:webHidden/>
                <w:sz w:val="24"/>
                <w:szCs w:val="24"/>
              </w:rPr>
              <w:fldChar w:fldCharType="end"/>
            </w:r>
          </w:hyperlink>
        </w:p>
        <w:p w14:paraId="67713351" w14:textId="78DA7277" w:rsidR="002714D0" w:rsidRPr="002714D0" w:rsidRDefault="004C2DD0" w:rsidP="005B2A43">
          <w:pPr>
            <w:pStyle w:val="TOC1"/>
            <w:tabs>
              <w:tab w:val="right" w:leader="dot" w:pos="9019"/>
            </w:tabs>
            <w:spacing w:line="360" w:lineRule="auto"/>
            <w:jc w:val="both"/>
            <w:rPr>
              <w:rFonts w:ascii="Times New Roman" w:hAnsi="Times New Roman" w:cs="Times New Roman"/>
              <w:noProof/>
              <w:sz w:val="24"/>
              <w:szCs w:val="24"/>
            </w:rPr>
          </w:pPr>
          <w:hyperlink w:anchor="_Toc166152223" w:history="1">
            <w:r w:rsidR="002714D0" w:rsidRPr="002714D0">
              <w:rPr>
                <w:rStyle w:val="Hyperlink"/>
                <w:rFonts w:ascii="Times New Roman" w:hAnsi="Times New Roman" w:cs="Times New Roman"/>
                <w:noProof/>
                <w:sz w:val="24"/>
                <w:szCs w:val="24"/>
              </w:rPr>
              <w:t>Research and Resources</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_Toc166152223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8</w:t>
            </w:r>
            <w:r w:rsidR="002714D0" w:rsidRPr="002714D0">
              <w:rPr>
                <w:rFonts w:ascii="Times New Roman" w:hAnsi="Times New Roman" w:cs="Times New Roman"/>
                <w:noProof/>
                <w:webHidden/>
                <w:sz w:val="24"/>
                <w:szCs w:val="24"/>
              </w:rPr>
              <w:fldChar w:fldCharType="end"/>
            </w:r>
          </w:hyperlink>
        </w:p>
        <w:p w14:paraId="7CCA8888" w14:textId="11ECE1ED" w:rsidR="002714D0" w:rsidRPr="002714D0" w:rsidRDefault="004C2DD0" w:rsidP="005B2A43">
          <w:pPr>
            <w:pStyle w:val="TOC1"/>
            <w:tabs>
              <w:tab w:val="right" w:leader="dot" w:pos="9019"/>
            </w:tabs>
            <w:spacing w:line="360" w:lineRule="auto"/>
            <w:jc w:val="both"/>
            <w:rPr>
              <w:rFonts w:ascii="Times New Roman" w:hAnsi="Times New Roman" w:cs="Times New Roman"/>
              <w:noProof/>
              <w:sz w:val="24"/>
              <w:szCs w:val="24"/>
            </w:rPr>
          </w:pPr>
          <w:hyperlink w:anchor="_Toc166152224" w:history="1">
            <w:r w:rsidR="002714D0" w:rsidRPr="002714D0">
              <w:rPr>
                <w:rStyle w:val="Hyperlink"/>
                <w:rFonts w:ascii="Times New Roman" w:hAnsi="Times New Roman" w:cs="Times New Roman"/>
                <w:noProof/>
                <w:sz w:val="24"/>
                <w:szCs w:val="24"/>
              </w:rPr>
              <w:t>Recommendations</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_Toc166152224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8</w:t>
            </w:r>
            <w:r w:rsidR="002714D0" w:rsidRPr="002714D0">
              <w:rPr>
                <w:rFonts w:ascii="Times New Roman" w:hAnsi="Times New Roman" w:cs="Times New Roman"/>
                <w:noProof/>
                <w:webHidden/>
                <w:sz w:val="24"/>
                <w:szCs w:val="24"/>
              </w:rPr>
              <w:fldChar w:fldCharType="end"/>
            </w:r>
          </w:hyperlink>
        </w:p>
        <w:p w14:paraId="00E4CF02" w14:textId="4C3BE938" w:rsidR="002714D0" w:rsidRPr="002714D0" w:rsidRDefault="004C2DD0" w:rsidP="005B2A43">
          <w:pPr>
            <w:pStyle w:val="TOC2"/>
            <w:tabs>
              <w:tab w:val="right" w:leader="dot" w:pos="9019"/>
            </w:tabs>
            <w:spacing w:line="360" w:lineRule="auto"/>
            <w:jc w:val="both"/>
            <w:rPr>
              <w:rFonts w:ascii="Times New Roman" w:hAnsi="Times New Roman" w:cs="Times New Roman"/>
              <w:noProof/>
              <w:sz w:val="24"/>
              <w:szCs w:val="24"/>
            </w:rPr>
          </w:pPr>
          <w:hyperlink w:anchor="_Toc166152225" w:history="1">
            <w:r w:rsidR="002714D0" w:rsidRPr="002714D0">
              <w:rPr>
                <w:rStyle w:val="Hyperlink"/>
                <w:rFonts w:ascii="Times New Roman" w:hAnsi="Times New Roman" w:cs="Times New Roman"/>
                <w:noProof/>
                <w:sz w:val="24"/>
                <w:szCs w:val="24"/>
              </w:rPr>
              <w:t>Well-reasoned recommendation for Shangri-La Hotels based on the analysis</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_Toc166152225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8</w:t>
            </w:r>
            <w:r w:rsidR="002714D0" w:rsidRPr="002714D0">
              <w:rPr>
                <w:rFonts w:ascii="Times New Roman" w:hAnsi="Times New Roman" w:cs="Times New Roman"/>
                <w:noProof/>
                <w:webHidden/>
                <w:sz w:val="24"/>
                <w:szCs w:val="24"/>
              </w:rPr>
              <w:fldChar w:fldCharType="end"/>
            </w:r>
          </w:hyperlink>
        </w:p>
        <w:p w14:paraId="64E62E1B" w14:textId="3963C058" w:rsidR="002714D0" w:rsidRPr="002714D0" w:rsidRDefault="004C2DD0" w:rsidP="005B2A43">
          <w:pPr>
            <w:pStyle w:val="TOC2"/>
            <w:tabs>
              <w:tab w:val="right" w:leader="dot" w:pos="9019"/>
            </w:tabs>
            <w:spacing w:line="360" w:lineRule="auto"/>
            <w:jc w:val="both"/>
            <w:rPr>
              <w:rFonts w:ascii="Times New Roman" w:hAnsi="Times New Roman" w:cs="Times New Roman"/>
              <w:noProof/>
              <w:sz w:val="24"/>
              <w:szCs w:val="24"/>
            </w:rPr>
          </w:pPr>
          <w:hyperlink w:anchor="_Toc166152226" w:history="1">
            <w:r w:rsidR="002714D0" w:rsidRPr="002714D0">
              <w:rPr>
                <w:rStyle w:val="Hyperlink"/>
                <w:rFonts w:ascii="Times New Roman" w:hAnsi="Times New Roman" w:cs="Times New Roman"/>
                <w:noProof/>
                <w:sz w:val="24"/>
                <w:szCs w:val="24"/>
              </w:rPr>
              <w:t>Well-reasoned recommendation for Travelodge Hotels based on the analysis</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_Toc166152226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8</w:t>
            </w:r>
            <w:r w:rsidR="002714D0" w:rsidRPr="002714D0">
              <w:rPr>
                <w:rFonts w:ascii="Times New Roman" w:hAnsi="Times New Roman" w:cs="Times New Roman"/>
                <w:noProof/>
                <w:webHidden/>
                <w:sz w:val="24"/>
                <w:szCs w:val="24"/>
              </w:rPr>
              <w:fldChar w:fldCharType="end"/>
            </w:r>
          </w:hyperlink>
        </w:p>
        <w:p w14:paraId="6D83AC5B" w14:textId="23F69128" w:rsidR="002714D0" w:rsidRPr="002714D0" w:rsidRDefault="004C2DD0" w:rsidP="005B2A43">
          <w:pPr>
            <w:pStyle w:val="TOC1"/>
            <w:tabs>
              <w:tab w:val="right" w:leader="dot" w:pos="9019"/>
            </w:tabs>
            <w:spacing w:line="360" w:lineRule="auto"/>
            <w:jc w:val="both"/>
            <w:rPr>
              <w:rFonts w:ascii="Times New Roman" w:hAnsi="Times New Roman" w:cs="Times New Roman"/>
              <w:noProof/>
              <w:sz w:val="24"/>
              <w:szCs w:val="24"/>
            </w:rPr>
          </w:pPr>
          <w:hyperlink w:anchor="_Toc166152227" w:history="1">
            <w:r w:rsidR="002714D0" w:rsidRPr="002714D0">
              <w:rPr>
                <w:rStyle w:val="Hyperlink"/>
                <w:rFonts w:ascii="Times New Roman" w:hAnsi="Times New Roman" w:cs="Times New Roman"/>
                <w:noProof/>
                <w:sz w:val="24"/>
                <w:szCs w:val="24"/>
              </w:rPr>
              <w:t>Conclusion</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_Toc166152227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8</w:t>
            </w:r>
            <w:r w:rsidR="002714D0" w:rsidRPr="002714D0">
              <w:rPr>
                <w:rFonts w:ascii="Times New Roman" w:hAnsi="Times New Roman" w:cs="Times New Roman"/>
                <w:noProof/>
                <w:webHidden/>
                <w:sz w:val="24"/>
                <w:szCs w:val="24"/>
              </w:rPr>
              <w:fldChar w:fldCharType="end"/>
            </w:r>
          </w:hyperlink>
        </w:p>
        <w:p w14:paraId="6F780F99" w14:textId="397B573C" w:rsidR="002714D0" w:rsidRPr="002714D0" w:rsidRDefault="004C2DD0" w:rsidP="005B2A43">
          <w:pPr>
            <w:pStyle w:val="TOC1"/>
            <w:tabs>
              <w:tab w:val="right" w:leader="dot" w:pos="9019"/>
            </w:tabs>
            <w:spacing w:line="360" w:lineRule="auto"/>
            <w:jc w:val="both"/>
            <w:rPr>
              <w:rFonts w:ascii="Times New Roman" w:hAnsi="Times New Roman" w:cs="Times New Roman"/>
              <w:noProof/>
              <w:sz w:val="24"/>
              <w:szCs w:val="24"/>
            </w:rPr>
          </w:pPr>
          <w:hyperlink w:anchor="_Toc166152228" w:history="1">
            <w:r w:rsidR="002714D0" w:rsidRPr="002714D0">
              <w:rPr>
                <w:rStyle w:val="Hyperlink"/>
                <w:rFonts w:ascii="Times New Roman" w:hAnsi="Times New Roman" w:cs="Times New Roman"/>
                <w:noProof/>
                <w:sz w:val="24"/>
                <w:szCs w:val="24"/>
              </w:rPr>
              <w:t>References</w:t>
            </w:r>
            <w:r w:rsidR="002714D0" w:rsidRPr="002714D0">
              <w:rPr>
                <w:rFonts w:ascii="Times New Roman" w:hAnsi="Times New Roman" w:cs="Times New Roman"/>
                <w:noProof/>
                <w:webHidden/>
                <w:sz w:val="24"/>
                <w:szCs w:val="24"/>
              </w:rPr>
              <w:tab/>
            </w:r>
            <w:r w:rsidR="002714D0" w:rsidRPr="002714D0">
              <w:rPr>
                <w:rFonts w:ascii="Times New Roman" w:hAnsi="Times New Roman" w:cs="Times New Roman"/>
                <w:noProof/>
                <w:webHidden/>
                <w:sz w:val="24"/>
                <w:szCs w:val="24"/>
              </w:rPr>
              <w:fldChar w:fldCharType="begin"/>
            </w:r>
            <w:r w:rsidR="002714D0" w:rsidRPr="002714D0">
              <w:rPr>
                <w:rFonts w:ascii="Times New Roman" w:hAnsi="Times New Roman" w:cs="Times New Roman"/>
                <w:noProof/>
                <w:webHidden/>
                <w:sz w:val="24"/>
                <w:szCs w:val="24"/>
              </w:rPr>
              <w:instrText xml:space="preserve"> PAGEREF _Toc166152228 \h </w:instrText>
            </w:r>
            <w:r w:rsidR="002714D0" w:rsidRPr="002714D0">
              <w:rPr>
                <w:rFonts w:ascii="Times New Roman" w:hAnsi="Times New Roman" w:cs="Times New Roman"/>
                <w:noProof/>
                <w:webHidden/>
                <w:sz w:val="24"/>
                <w:szCs w:val="24"/>
              </w:rPr>
            </w:r>
            <w:r w:rsidR="002714D0" w:rsidRPr="002714D0">
              <w:rPr>
                <w:rFonts w:ascii="Times New Roman" w:hAnsi="Times New Roman" w:cs="Times New Roman"/>
                <w:noProof/>
                <w:webHidden/>
                <w:sz w:val="24"/>
                <w:szCs w:val="24"/>
              </w:rPr>
              <w:fldChar w:fldCharType="separate"/>
            </w:r>
            <w:r w:rsidR="002714D0" w:rsidRPr="002714D0">
              <w:rPr>
                <w:rFonts w:ascii="Times New Roman" w:hAnsi="Times New Roman" w:cs="Times New Roman"/>
                <w:noProof/>
                <w:webHidden/>
                <w:sz w:val="24"/>
                <w:szCs w:val="24"/>
              </w:rPr>
              <w:t>10</w:t>
            </w:r>
            <w:r w:rsidR="002714D0" w:rsidRPr="002714D0">
              <w:rPr>
                <w:rFonts w:ascii="Times New Roman" w:hAnsi="Times New Roman" w:cs="Times New Roman"/>
                <w:noProof/>
                <w:webHidden/>
                <w:sz w:val="24"/>
                <w:szCs w:val="24"/>
              </w:rPr>
              <w:fldChar w:fldCharType="end"/>
            </w:r>
          </w:hyperlink>
        </w:p>
        <w:p w14:paraId="43633AFF" w14:textId="4BCE7AF4" w:rsidR="002714D0" w:rsidRPr="002714D0" w:rsidRDefault="002714D0" w:rsidP="005B2A43">
          <w:pPr>
            <w:spacing w:line="360" w:lineRule="auto"/>
            <w:jc w:val="both"/>
            <w:rPr>
              <w:rFonts w:ascii="Times New Roman" w:hAnsi="Times New Roman" w:cs="Times New Roman"/>
              <w:sz w:val="24"/>
              <w:szCs w:val="24"/>
            </w:rPr>
          </w:pPr>
          <w:r w:rsidRPr="002714D0">
            <w:rPr>
              <w:rFonts w:ascii="Times New Roman" w:hAnsi="Times New Roman" w:cs="Times New Roman"/>
              <w:b/>
              <w:bCs/>
              <w:noProof/>
              <w:sz w:val="24"/>
              <w:szCs w:val="24"/>
            </w:rPr>
            <w:fldChar w:fldCharType="end"/>
          </w:r>
        </w:p>
      </w:sdtContent>
    </w:sdt>
    <w:p w14:paraId="42BD9A28" w14:textId="77777777" w:rsidR="002714D0" w:rsidRPr="002714D0" w:rsidRDefault="002714D0" w:rsidP="005B2A43">
      <w:pPr>
        <w:spacing w:line="360" w:lineRule="auto"/>
        <w:jc w:val="both"/>
        <w:rPr>
          <w:rFonts w:ascii="Times New Roman" w:eastAsia="Times New Roman" w:hAnsi="Times New Roman" w:cs="Times New Roman"/>
          <w:b/>
          <w:color w:val="111111"/>
          <w:sz w:val="24"/>
          <w:szCs w:val="24"/>
        </w:rPr>
      </w:pPr>
      <w:r w:rsidRPr="002714D0">
        <w:rPr>
          <w:rFonts w:ascii="Times New Roman" w:eastAsia="Times New Roman" w:hAnsi="Times New Roman" w:cs="Times New Roman"/>
          <w:b/>
          <w:color w:val="111111"/>
          <w:sz w:val="24"/>
          <w:szCs w:val="24"/>
        </w:rPr>
        <w:br w:type="page"/>
      </w:r>
    </w:p>
    <w:p w14:paraId="00000003" w14:textId="51299172" w:rsidR="00DE0495" w:rsidRPr="002714D0" w:rsidRDefault="004C2DD0" w:rsidP="005B2A43">
      <w:pPr>
        <w:pStyle w:val="Heading1"/>
        <w:spacing w:line="360" w:lineRule="auto"/>
      </w:pPr>
      <w:bookmarkStart w:id="0" w:name="_Toc166152211"/>
      <w:r w:rsidRPr="002714D0">
        <w:lastRenderedPageBreak/>
        <w:t>Introduction</w:t>
      </w:r>
      <w:bookmarkEnd w:id="0"/>
    </w:p>
    <w:p w14:paraId="00000004" w14:textId="6AF4E3D3" w:rsidR="00DE0495" w:rsidRPr="002714D0" w:rsidRDefault="00DC40DE"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DC40DE">
        <w:rPr>
          <w:rFonts w:ascii="Times New Roman" w:eastAsia="Times New Roman" w:hAnsi="Times New Roman" w:cs="Times New Roman"/>
          <w:color w:val="111111"/>
          <w:sz w:val="24"/>
          <w:szCs w:val="24"/>
        </w:rPr>
        <w:t>Shangri-La Hotels and Resorts and Travelodge Hotels are both recognised brands in the global hotel industry, but they run their businesses and handle their finances in different ways. Shangri-La is a luxury hotel brand with more than 100 sites around the world. It caters to wealthy business and vacation visitors by giving top-notch service, a wide range of amenities, and prime locations in major cities. Travelodge, on the other hand, markets itself as the first choice for cheap hotels in the UK, focusing mostly on limited-service rooms. With over 500 locations, Travelodge gets a wide range of budget-conscious customers, from families to people travelling alone. The low room rates and closeness to public transportation make it easy for these customers to stay at Travelodge. Shangri-La charges higher daily rates because people want more luxurious experiences. Travelodge, on the other hand, makes money by having a lot of properties that are occupied. The purpose of this study is to compare the two companies' financial strategies by looking at their success in key areas like making money, market share, growth strategies, and pledges to corporate social responsibility.</w:t>
      </w:r>
    </w:p>
    <w:p w14:paraId="00000005" w14:textId="77777777" w:rsidR="00DE0495" w:rsidRPr="002714D0" w:rsidRDefault="004C2DD0" w:rsidP="005B2A43">
      <w:pPr>
        <w:pStyle w:val="Heading1"/>
        <w:spacing w:line="360" w:lineRule="auto"/>
      </w:pPr>
      <w:bookmarkStart w:id="1" w:name="_Toc166152212"/>
      <w:r w:rsidRPr="002714D0">
        <w:t>Total Revenue</w:t>
      </w:r>
      <w:bookmarkEnd w:id="1"/>
    </w:p>
    <w:p w14:paraId="00000006" w14:textId="77777777" w:rsidR="00DE0495" w:rsidRDefault="004C2DD0" w:rsidP="005B2A43">
      <w:pPr>
        <w:pStyle w:val="Heading2"/>
        <w:spacing w:line="360" w:lineRule="auto"/>
      </w:pPr>
      <w:bookmarkStart w:id="2" w:name="_Toc166152213"/>
      <w:r w:rsidRPr="002714D0">
        <w:t>Overview of the total revenue of both organisations</w:t>
      </w:r>
      <w:bookmarkEnd w:id="2"/>
    </w:p>
    <w:p w14:paraId="7785691C" w14:textId="0C484EE3" w:rsidR="005B2A43" w:rsidRDefault="005B2A43" w:rsidP="005B2A43">
      <w:pPr>
        <w:spacing w:line="360" w:lineRule="auto"/>
        <w:jc w:val="center"/>
      </w:pPr>
      <w:r>
        <w:rPr>
          <w:noProof/>
        </w:rPr>
        <w:drawing>
          <wp:inline distT="0" distB="0" distL="0" distR="0" wp14:anchorId="4136DF44" wp14:editId="2BD8F373">
            <wp:extent cx="5153025" cy="3382126"/>
            <wp:effectExtent l="19050" t="19050" r="9525" b="27940"/>
            <wp:docPr id="132347829" name="Picture 1" descr="Travelodge UK revenue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velodge UK revenue 2021 | Statista"/>
                    <pic:cNvPicPr>
                      <a:picLocks noChangeAspect="1" noChangeArrowheads="1"/>
                    </pic:cNvPicPr>
                  </pic:nvPicPr>
                  <pic:blipFill rotWithShape="1">
                    <a:blip r:embed="rId7">
                      <a:extLst>
                        <a:ext uri="{28A0092B-C50C-407E-A947-70E740481C1C}">
                          <a14:useLocalDpi xmlns:a14="http://schemas.microsoft.com/office/drawing/2010/main" val="0"/>
                        </a:ext>
                      </a:extLst>
                    </a:blip>
                    <a:srcRect t="7905"/>
                    <a:stretch/>
                  </pic:blipFill>
                  <pic:spPr bwMode="auto">
                    <a:xfrm>
                      <a:off x="0" y="0"/>
                      <a:ext cx="5155155" cy="338352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E6473CF" w14:textId="158E855F" w:rsidR="005B2A43" w:rsidRPr="005B2A43" w:rsidRDefault="005B2A43" w:rsidP="005B2A43">
      <w:pPr>
        <w:spacing w:line="360" w:lineRule="auto"/>
        <w:jc w:val="center"/>
        <w:rPr>
          <w:rFonts w:ascii="Times New Roman" w:hAnsi="Times New Roman" w:cs="Times New Roman"/>
          <w:b/>
          <w:bCs/>
          <w:sz w:val="24"/>
          <w:szCs w:val="24"/>
        </w:rPr>
      </w:pPr>
      <w:r w:rsidRPr="005B2A43">
        <w:rPr>
          <w:rFonts w:ascii="Times New Roman" w:hAnsi="Times New Roman" w:cs="Times New Roman"/>
          <w:b/>
          <w:bCs/>
          <w:sz w:val="24"/>
          <w:szCs w:val="24"/>
        </w:rPr>
        <w:t>Figure</w:t>
      </w:r>
      <w:r w:rsidR="0080293E">
        <w:rPr>
          <w:rFonts w:ascii="Times New Roman" w:hAnsi="Times New Roman" w:cs="Times New Roman"/>
          <w:b/>
          <w:bCs/>
          <w:sz w:val="24"/>
          <w:szCs w:val="24"/>
        </w:rPr>
        <w:t xml:space="preserve"> 1</w:t>
      </w:r>
      <w:r w:rsidRPr="005B2A43">
        <w:rPr>
          <w:rFonts w:ascii="Times New Roman" w:hAnsi="Times New Roman" w:cs="Times New Roman"/>
          <w:b/>
          <w:bCs/>
          <w:sz w:val="24"/>
          <w:szCs w:val="24"/>
        </w:rPr>
        <w:t xml:space="preserve">: Revenue growth of Travelodge </w:t>
      </w:r>
    </w:p>
    <w:p w14:paraId="54CD36FA" w14:textId="2357E780" w:rsidR="005B2A43" w:rsidRPr="005B2A43" w:rsidRDefault="005B2A43" w:rsidP="005B2A43">
      <w:pPr>
        <w:spacing w:line="360" w:lineRule="auto"/>
        <w:jc w:val="center"/>
        <w:rPr>
          <w:rFonts w:ascii="Times New Roman" w:hAnsi="Times New Roman" w:cs="Times New Roman"/>
          <w:b/>
          <w:bCs/>
          <w:sz w:val="24"/>
          <w:szCs w:val="24"/>
        </w:rPr>
      </w:pPr>
      <w:r w:rsidRPr="005B2A43">
        <w:rPr>
          <w:rFonts w:ascii="Times New Roman" w:hAnsi="Times New Roman" w:cs="Times New Roman"/>
          <w:b/>
          <w:bCs/>
          <w:sz w:val="24"/>
          <w:szCs w:val="24"/>
        </w:rPr>
        <w:t>Source: Statista (2023)</w:t>
      </w:r>
    </w:p>
    <w:p w14:paraId="00000007"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lastRenderedPageBreak/>
        <w:t>In 2022, Shangri-La Hotels generated significantly higher total revenue than Travelodge Hotels. According to Shangri-La Group (2023), Shangri-La reported USD 2.14 billion in total revenue according to their latest annual report of December 2023, representing a 46.5% increase over the prior year. This placed Shangri-La as one of the largest luxury hotel operators in Asia Pacific and globally. In comparison, Travelodge Hotels reported much lower total revenue of £490 million or approximately $580 million base</w:t>
      </w:r>
      <w:r w:rsidRPr="002714D0">
        <w:rPr>
          <w:rFonts w:ascii="Times New Roman" w:eastAsia="Times New Roman" w:hAnsi="Times New Roman" w:cs="Times New Roman"/>
          <w:color w:val="111111"/>
          <w:sz w:val="24"/>
          <w:szCs w:val="24"/>
        </w:rPr>
        <w:t>d on current exchange rates (Travelodge Corporate Website, 2024). While an increase from £440 million the prior year, it was still below pre-pandemic levels of £542 million generated in 2023 (Travelodge Corporate Website, 2024). Therefore, Travelodge is still recovering lost revenues during the depths of the pandemic when many of its UK hotels were closed for long periods.</w:t>
      </w:r>
    </w:p>
    <w:p w14:paraId="00000008"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The sizable difference in the two companies' total revenue is due to several key factors. Firstly, Shangri-La is a considerably larger hotel group with over 100 properties globally (Shangri-la.com, 2020). This provides much greater overall accommodation capacity and economies of scale. In contrast, Travelodge has around 600 hotels but exclusively in the UK market (Travelodge Corporate Website, 2024). Secondly, Shangri-La's portfolio consists of luxury brand hotels, resorts and serviced suites that can comma</w:t>
      </w:r>
      <w:r w:rsidRPr="002714D0">
        <w:rPr>
          <w:rFonts w:ascii="Times New Roman" w:eastAsia="Times New Roman" w:hAnsi="Times New Roman" w:cs="Times New Roman"/>
          <w:color w:val="111111"/>
          <w:sz w:val="24"/>
          <w:szCs w:val="24"/>
        </w:rPr>
        <w:t>nd higher room rates. Travelodge focuses on limited service, lower-cost hotels. Lastly, Shangri-La benefits from a large presence in Asia and Middle East regions that recovered more strongly from COVID-19, whereas Travelodge is reliant solely on temporary UK travel patterns. These contrasts in scale, brand positioning and geographical diversity have created a substantial gap between the two companies' total revenue generating ability. Shangri-La realises approximately USD 1.56 billion more in annual sales c</w:t>
      </w:r>
      <w:r w:rsidRPr="002714D0">
        <w:rPr>
          <w:rFonts w:ascii="Times New Roman" w:eastAsia="Times New Roman" w:hAnsi="Times New Roman" w:cs="Times New Roman"/>
          <w:color w:val="111111"/>
          <w:sz w:val="24"/>
          <w:szCs w:val="24"/>
        </w:rPr>
        <w:t>urrently versus Travelodge.</w:t>
      </w:r>
    </w:p>
    <w:p w14:paraId="00000009" w14:textId="77777777" w:rsidR="00DE0495" w:rsidRDefault="004C2DD0" w:rsidP="005B2A43">
      <w:pPr>
        <w:pStyle w:val="Heading2"/>
        <w:spacing w:line="360" w:lineRule="auto"/>
      </w:pPr>
      <w:bookmarkStart w:id="3" w:name="_Toc166152214"/>
      <w:r w:rsidRPr="002714D0">
        <w:t>Comparison of the revenue trends</w:t>
      </w:r>
      <w:bookmarkEnd w:id="3"/>
    </w:p>
    <w:p w14:paraId="578DB0E7" w14:textId="1B5E9081" w:rsidR="00224C6E" w:rsidRDefault="00224C6E" w:rsidP="005B2A43">
      <w:pPr>
        <w:spacing w:line="360" w:lineRule="auto"/>
        <w:jc w:val="center"/>
      </w:pPr>
      <w:r w:rsidRPr="00224C6E">
        <w:rPr>
          <w:noProof/>
        </w:rPr>
        <w:drawing>
          <wp:inline distT="0" distB="0" distL="0" distR="0" wp14:anchorId="15DA7185" wp14:editId="07FFDC02">
            <wp:extent cx="5382376" cy="3372321"/>
            <wp:effectExtent l="19050" t="19050" r="8890" b="19050"/>
            <wp:docPr id="82494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946363" name=""/>
                    <pic:cNvPicPr/>
                  </pic:nvPicPr>
                  <pic:blipFill>
                    <a:blip r:embed="rId8"/>
                    <a:stretch>
                      <a:fillRect/>
                    </a:stretch>
                  </pic:blipFill>
                  <pic:spPr>
                    <a:xfrm>
                      <a:off x="0" y="0"/>
                      <a:ext cx="5382376" cy="3372321"/>
                    </a:xfrm>
                    <a:prstGeom prst="rect">
                      <a:avLst/>
                    </a:prstGeom>
                    <a:ln>
                      <a:solidFill>
                        <a:schemeClr val="tx1"/>
                      </a:solidFill>
                    </a:ln>
                  </pic:spPr>
                </pic:pic>
              </a:graphicData>
            </a:graphic>
          </wp:inline>
        </w:drawing>
      </w:r>
    </w:p>
    <w:p w14:paraId="2BD01313" w14:textId="551C899B" w:rsidR="00224C6E" w:rsidRPr="00224C6E" w:rsidRDefault="00224C6E" w:rsidP="005B2A43">
      <w:pPr>
        <w:spacing w:line="360" w:lineRule="auto"/>
        <w:jc w:val="center"/>
        <w:rPr>
          <w:rFonts w:ascii="Times New Roman" w:hAnsi="Times New Roman" w:cs="Times New Roman"/>
          <w:b/>
          <w:bCs/>
          <w:sz w:val="24"/>
          <w:szCs w:val="24"/>
        </w:rPr>
      </w:pPr>
      <w:r w:rsidRPr="00224C6E">
        <w:rPr>
          <w:rFonts w:ascii="Times New Roman" w:hAnsi="Times New Roman" w:cs="Times New Roman"/>
          <w:b/>
          <w:bCs/>
          <w:sz w:val="24"/>
          <w:szCs w:val="24"/>
        </w:rPr>
        <w:t>Figure</w:t>
      </w:r>
      <w:r w:rsidR="0080293E">
        <w:rPr>
          <w:rFonts w:ascii="Times New Roman" w:hAnsi="Times New Roman" w:cs="Times New Roman"/>
          <w:b/>
          <w:bCs/>
          <w:sz w:val="24"/>
          <w:szCs w:val="24"/>
        </w:rPr>
        <w:t xml:space="preserve"> 2</w:t>
      </w:r>
      <w:r w:rsidRPr="00224C6E">
        <w:rPr>
          <w:rFonts w:ascii="Times New Roman" w:hAnsi="Times New Roman" w:cs="Times New Roman"/>
          <w:b/>
          <w:bCs/>
          <w:sz w:val="24"/>
          <w:szCs w:val="24"/>
        </w:rPr>
        <w:t>: Revenue Channels of Shangri-La</w:t>
      </w:r>
    </w:p>
    <w:p w14:paraId="64FAE243" w14:textId="62BD4AA9" w:rsidR="00224C6E" w:rsidRPr="00224C6E" w:rsidRDefault="00224C6E" w:rsidP="005B2A43">
      <w:pPr>
        <w:spacing w:line="360" w:lineRule="auto"/>
        <w:jc w:val="center"/>
        <w:rPr>
          <w:rFonts w:ascii="Times New Roman" w:hAnsi="Times New Roman" w:cs="Times New Roman"/>
          <w:b/>
          <w:bCs/>
          <w:sz w:val="24"/>
          <w:szCs w:val="24"/>
        </w:rPr>
      </w:pPr>
      <w:r w:rsidRPr="00224C6E">
        <w:rPr>
          <w:rFonts w:ascii="Times New Roman" w:hAnsi="Times New Roman" w:cs="Times New Roman"/>
          <w:b/>
          <w:bCs/>
          <w:sz w:val="24"/>
          <w:szCs w:val="24"/>
        </w:rPr>
        <w:t>Source: Statista (2022)</w:t>
      </w:r>
    </w:p>
    <w:p w14:paraId="0000000A"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While both Shangri-La and Travelodge saw an increase in total revenue in their latest fiscal years as travel markets rebounded from pandemic lows, there were notable differences in the magnitude and pace of their revenue recoveries. According to Shangri-La Group (2023), Shangri-La reported 46.5% year-over-year growth in total revenue, achieving USD 2.14 billion for fiscal 2023. This represented a sharp increase from USD 1.83 billion in the prior year when travel was initially down. In comparison, Travelodge</w:t>
      </w:r>
      <w:r w:rsidRPr="002714D0">
        <w:rPr>
          <w:rFonts w:ascii="Times New Roman" w:eastAsia="Times New Roman" w:hAnsi="Times New Roman" w:cs="Times New Roman"/>
          <w:color w:val="111111"/>
          <w:sz w:val="24"/>
          <w:szCs w:val="24"/>
        </w:rPr>
        <w:t>'s total revenue of £490 million for 2023 reflected a more modest 6.6% growth from £460 million in 2022 (Travelodge Corporate Website, 2024).</w:t>
      </w:r>
    </w:p>
    <w:p w14:paraId="0000000B"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Moreover, Travelodge's current year revenues have yet to surpass pre-pandemic levels of £542 million in 2019, indicating recovery is still incomplete (Travelodge Corporate Website, 2024). Shangri-La on the other hand has exceeded pre-COVID revenues, signalling a more robust turnaround. This disparity can be attributed to several factors. Shangri-La benefits from geographical diversification beyond just the UK market, allowing it to offset weakness in certain areas. It also caters to higher-spending business</w:t>
      </w:r>
      <w:r w:rsidRPr="002714D0">
        <w:rPr>
          <w:rFonts w:ascii="Times New Roman" w:eastAsia="Times New Roman" w:hAnsi="Times New Roman" w:cs="Times New Roman"/>
          <w:color w:val="111111"/>
          <w:sz w:val="24"/>
          <w:szCs w:val="24"/>
        </w:rPr>
        <w:t xml:space="preserve"> and luxury travellers recovering travel habits faster. In contrast, Travelodge relies solely on volatile UK leisure demand that remains below prior levels. Furthermore, Shangri-La was capable of increasing average room rates more substantially as demand rose giving revenues a larger boost. Shangri-La is well positioned to sustain stronger growth given continued expansion plans and momentum in major markets. Travelodge meanwhile may see a slower, multi-year process to fully restore lost revenues dependent o</w:t>
      </w:r>
      <w:r w:rsidRPr="002714D0">
        <w:rPr>
          <w:rFonts w:ascii="Times New Roman" w:eastAsia="Times New Roman" w:hAnsi="Times New Roman" w:cs="Times New Roman"/>
          <w:color w:val="111111"/>
          <w:sz w:val="24"/>
          <w:szCs w:val="24"/>
        </w:rPr>
        <w:t>n full recovery of UK domestic tourism. Shangri-La has demonstrated more vigorous revenue growth emergence from the pandemic slump to date.</w:t>
      </w:r>
    </w:p>
    <w:p w14:paraId="0000000C" w14:textId="77777777" w:rsidR="00DE0495" w:rsidRPr="002714D0" w:rsidRDefault="004C2DD0" w:rsidP="005B2A43">
      <w:pPr>
        <w:pStyle w:val="Heading2"/>
        <w:spacing w:line="360" w:lineRule="auto"/>
      </w:pPr>
      <w:bookmarkStart w:id="4" w:name="_Toc166152215"/>
      <w:r w:rsidRPr="002714D0">
        <w:t>Analysis of the sources of revenue and factors driving growth or decline</w:t>
      </w:r>
      <w:bookmarkEnd w:id="4"/>
    </w:p>
    <w:p w14:paraId="0000000D"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For Shangri-La Hotels, accommodation sales from room rentals make up the largest portion of total revenue at approximately 65% (Shangri-la.com, 2020). Strong growth has been driven by higher occupancy rates and average daily room rates charged as business and leisure travel rebounds across key regions including Asia Pacific. According to The Food &amp; Drink Federation (2021), food and beverage sales contribute approximately 20% of revenues, boosted by increased hotel, restaurant and bar demand as social activi</w:t>
      </w:r>
      <w:r w:rsidRPr="002714D0">
        <w:rPr>
          <w:rFonts w:ascii="Times New Roman" w:eastAsia="Times New Roman" w:hAnsi="Times New Roman" w:cs="Times New Roman"/>
          <w:color w:val="111111"/>
          <w:sz w:val="24"/>
          <w:szCs w:val="24"/>
        </w:rPr>
        <w:t>ty rises. Events and conferences, which fell sharply during pandemic restrictions, have also staged a recovery adding to the sales mix. In comparison, Travelodge earns about 75% of its revenue from accommodation, with food and beverage accounting for 15% and other sources 10% (Travelodge Corporate Website, 2024). However, accommodation growth has lagged as occupancy only reached 70% of pre-Covid levels versus over 80% typically (</w:t>
      </w:r>
      <w:proofErr w:type="spellStart"/>
      <w:r w:rsidRPr="002714D0">
        <w:rPr>
          <w:rFonts w:ascii="Times New Roman" w:eastAsia="Times New Roman" w:hAnsi="Times New Roman" w:cs="Times New Roman"/>
          <w:color w:val="111111"/>
          <w:sz w:val="24"/>
          <w:szCs w:val="24"/>
        </w:rPr>
        <w:t>Fiameni</w:t>
      </w:r>
      <w:proofErr w:type="spellEnd"/>
      <w:r w:rsidRPr="002714D0">
        <w:rPr>
          <w:rFonts w:ascii="Times New Roman" w:eastAsia="Times New Roman" w:hAnsi="Times New Roman" w:cs="Times New Roman"/>
          <w:color w:val="111111"/>
          <w:sz w:val="24"/>
          <w:szCs w:val="24"/>
        </w:rPr>
        <w:t>, 2020). Higher room rates alone could not compensate fully, limiting to</w:t>
      </w:r>
      <w:r w:rsidRPr="002714D0">
        <w:rPr>
          <w:rFonts w:ascii="Times New Roman" w:eastAsia="Times New Roman" w:hAnsi="Times New Roman" w:cs="Times New Roman"/>
          <w:color w:val="111111"/>
          <w:sz w:val="24"/>
          <w:szCs w:val="24"/>
        </w:rPr>
        <w:t>p-line expansion. Additionally, Travelodge depends on cost-conscious leisure tourists that have exhibited slower return-to-travel tendencies.</w:t>
      </w:r>
    </w:p>
    <w:p w14:paraId="0000000E"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Regional diversity has been a major factor for Shangri-La, allowing robust recovery in Asia to make up for slower Western markets like Europe. In contrast, Travelodge's exclusive UK market reliance left it more vulnerable to prolonged lockdowns, which dissipated domestic travel. Furthermore, Shangri-La's upscale positioning attracts higher spending business and luxury clients exhibiting faster recovery behaviour, strengthening sources of revenue. Travelodge's value proposition left it more reliant on discre</w:t>
      </w:r>
      <w:r w:rsidRPr="002714D0">
        <w:rPr>
          <w:rFonts w:ascii="Times New Roman" w:eastAsia="Times New Roman" w:hAnsi="Times New Roman" w:cs="Times New Roman"/>
          <w:color w:val="111111"/>
          <w:sz w:val="24"/>
          <w:szCs w:val="24"/>
        </w:rPr>
        <w:t>tionary customers demonstrating more cautious return-to-normal tendencies. Shangri-La has experienced more balanced growth across core revenue streams and greater geographic balance mitigating risk - benefitting sources of income. Travelodge's UK-centric revenue model has faced steeper recovery headwinds.</w:t>
      </w:r>
    </w:p>
    <w:p w14:paraId="0000000F" w14:textId="77777777" w:rsidR="00DE0495" w:rsidRPr="002714D0" w:rsidRDefault="004C2DD0" w:rsidP="005B2A43">
      <w:pPr>
        <w:pStyle w:val="Heading1"/>
        <w:spacing w:line="360" w:lineRule="auto"/>
      </w:pPr>
      <w:bookmarkStart w:id="5" w:name="_Toc166152216"/>
      <w:r w:rsidRPr="002714D0">
        <w:t>Market Position</w:t>
      </w:r>
      <w:bookmarkEnd w:id="5"/>
    </w:p>
    <w:p w14:paraId="00000010" w14:textId="77777777" w:rsidR="00DE0495" w:rsidRPr="002714D0" w:rsidRDefault="004C2DD0" w:rsidP="005B2A43">
      <w:pPr>
        <w:pStyle w:val="Heading2"/>
        <w:spacing w:line="360" w:lineRule="auto"/>
      </w:pPr>
      <w:bookmarkStart w:id="6" w:name="_Toc166152217"/>
      <w:r w:rsidRPr="002714D0">
        <w:t>Overview of the market position of both hotel groups</w:t>
      </w:r>
      <w:bookmarkEnd w:id="6"/>
    </w:p>
    <w:p w14:paraId="00000011"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 xml:space="preserve">Shangri-La Hotels is one of the largest luxury hotel management and ownership companies in Asia Pacific and the world. It presently operates over 100 hotels and resorts across Asia Pacific, the Middle East, and North America. Some of its notable properties include the Shangri-La Hotel Tokyo, Rasa Sentosa Resort &amp; Spa in Singapore, and Shangri-La Barr Al </w:t>
      </w:r>
      <w:proofErr w:type="spellStart"/>
      <w:r w:rsidRPr="002714D0">
        <w:rPr>
          <w:rFonts w:ascii="Times New Roman" w:eastAsia="Times New Roman" w:hAnsi="Times New Roman" w:cs="Times New Roman"/>
          <w:color w:val="111111"/>
          <w:sz w:val="24"/>
          <w:szCs w:val="24"/>
        </w:rPr>
        <w:t>Jissah</w:t>
      </w:r>
      <w:proofErr w:type="spellEnd"/>
      <w:r w:rsidRPr="002714D0">
        <w:rPr>
          <w:rFonts w:ascii="Times New Roman" w:eastAsia="Times New Roman" w:hAnsi="Times New Roman" w:cs="Times New Roman"/>
          <w:color w:val="111111"/>
          <w:sz w:val="24"/>
          <w:szCs w:val="24"/>
        </w:rPr>
        <w:t xml:space="preserve"> Resort &amp; Spa in Oman. Through its high-end branded offerings, Shangri-La caters to business and leisure travellers seeking premium accommodations. In comparison, Travelodge operates a vastly larger number of hotels at around 600 properties, however these are solely concentrated in the budget-focused segment of the UK market. Key competitors include Premier Inn, Hotel </w:t>
      </w:r>
      <w:proofErr w:type="spellStart"/>
      <w:r w:rsidRPr="002714D0">
        <w:rPr>
          <w:rFonts w:ascii="Times New Roman" w:eastAsia="Times New Roman" w:hAnsi="Times New Roman" w:cs="Times New Roman"/>
          <w:color w:val="111111"/>
          <w:sz w:val="24"/>
          <w:szCs w:val="24"/>
        </w:rPr>
        <w:t>Formule</w:t>
      </w:r>
      <w:proofErr w:type="spellEnd"/>
      <w:r w:rsidRPr="002714D0">
        <w:rPr>
          <w:rFonts w:ascii="Times New Roman" w:eastAsia="Times New Roman" w:hAnsi="Times New Roman" w:cs="Times New Roman"/>
          <w:color w:val="111111"/>
          <w:sz w:val="24"/>
          <w:szCs w:val="24"/>
        </w:rPr>
        <w:t xml:space="preserve"> 1, and Ibis </w:t>
      </w:r>
      <w:proofErr w:type="spellStart"/>
      <w:r w:rsidRPr="002714D0">
        <w:rPr>
          <w:rFonts w:ascii="Times New Roman" w:eastAsia="Times New Roman" w:hAnsi="Times New Roman" w:cs="Times New Roman"/>
          <w:color w:val="111111"/>
          <w:sz w:val="24"/>
          <w:szCs w:val="24"/>
        </w:rPr>
        <w:t>Budgest</w:t>
      </w:r>
      <w:proofErr w:type="spellEnd"/>
      <w:r w:rsidRPr="002714D0">
        <w:rPr>
          <w:rFonts w:ascii="Times New Roman" w:eastAsia="Times New Roman" w:hAnsi="Times New Roman" w:cs="Times New Roman"/>
          <w:color w:val="111111"/>
          <w:sz w:val="24"/>
          <w:szCs w:val="24"/>
        </w:rPr>
        <w:t xml:space="preserve"> Hotels. According to Travelodge Corporate Website (2024), Travelodge is considered one of the leaders in li</w:t>
      </w:r>
      <w:r w:rsidRPr="002714D0">
        <w:rPr>
          <w:rFonts w:ascii="Times New Roman" w:eastAsia="Times New Roman" w:hAnsi="Times New Roman" w:cs="Times New Roman"/>
          <w:color w:val="111111"/>
          <w:sz w:val="24"/>
          <w:szCs w:val="24"/>
        </w:rPr>
        <w:t>mited-service hotels in Britain, targeting cost-conscious travellers through no-frills options under £100 per night on average.</w:t>
      </w:r>
    </w:p>
    <w:p w14:paraId="00000012" w14:textId="77777777" w:rsidR="00DE0495" w:rsidRPr="002714D0" w:rsidRDefault="004C2DD0" w:rsidP="005B2A43">
      <w:pPr>
        <w:pStyle w:val="Heading2"/>
        <w:spacing w:line="360" w:lineRule="auto"/>
      </w:pPr>
      <w:bookmarkStart w:id="7" w:name="_Toc166152218"/>
      <w:r w:rsidRPr="002714D0">
        <w:t>Analysis of market share, customer demographics, and brand perception</w:t>
      </w:r>
      <w:bookmarkEnd w:id="7"/>
    </w:p>
    <w:p w14:paraId="00000013"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In terms of market share, Shangri-La has established a leading position in the Asia Pacific luxury hotel sector, demonstrating significant brand recognition and competitiveness regionally (Hospitality ON, 2024). Their share is approximately 2-3 times larger than peers like Hyatt Hotels. Travelodge meanwhile captures a sizable but smaller 15-18% share of the UK budget hotel sector, trailing leader Premier Inn at 25-28% (Statista, 2023). Regarding customer demographics, Shangri-La attracts a mix of affluent b</w:t>
      </w:r>
      <w:r w:rsidRPr="002714D0">
        <w:rPr>
          <w:rFonts w:ascii="Times New Roman" w:eastAsia="Times New Roman" w:hAnsi="Times New Roman" w:cs="Times New Roman"/>
          <w:color w:val="111111"/>
          <w:sz w:val="24"/>
          <w:szCs w:val="24"/>
        </w:rPr>
        <w:t>usiness executives and leisure travellers internationally with average room rates of USD 200-500 per night (Shangri-la.com, 2020). This compares to Travelodge's predominantly domestic UK-based customers on cost-saving travel with room rates below 150 per night usually. From a brand perception perspective, Shangri-La is renowned globally for luxury service standards and elegant accommodations. This prestige positioning favours attracting higher spending clients seeking indulgence. Travelodge is viewed as mor</w:t>
      </w:r>
      <w:r w:rsidRPr="002714D0">
        <w:rPr>
          <w:rFonts w:ascii="Times New Roman" w:eastAsia="Times New Roman" w:hAnsi="Times New Roman" w:cs="Times New Roman"/>
          <w:color w:val="111111"/>
          <w:sz w:val="24"/>
          <w:szCs w:val="24"/>
        </w:rPr>
        <w:t>e functional for basic, affordable stays. As such, Shangri-La can demand premium price points fitting executive-level budgets. Travelodge relies on value proposition alignment with frugal leisure tourists.</w:t>
      </w:r>
    </w:p>
    <w:p w14:paraId="00000014" w14:textId="77777777" w:rsidR="00DE0495" w:rsidRPr="002714D0" w:rsidRDefault="004C2DD0" w:rsidP="005B2A43">
      <w:pPr>
        <w:pStyle w:val="Heading1"/>
        <w:spacing w:line="360" w:lineRule="auto"/>
      </w:pPr>
      <w:bookmarkStart w:id="8" w:name="_Toc166152219"/>
      <w:r w:rsidRPr="002714D0">
        <w:t>Growth Potential</w:t>
      </w:r>
      <w:bookmarkEnd w:id="8"/>
    </w:p>
    <w:p w14:paraId="00000015" w14:textId="77777777" w:rsidR="00DE0495" w:rsidRPr="002714D0" w:rsidRDefault="004C2DD0" w:rsidP="005B2A43">
      <w:pPr>
        <w:pStyle w:val="Heading2"/>
        <w:spacing w:line="360" w:lineRule="auto"/>
      </w:pPr>
      <w:bookmarkStart w:id="9" w:name="_Toc166152220"/>
      <w:r w:rsidRPr="002714D0">
        <w:t>Evaluation of the growth potential of each organisation</w:t>
      </w:r>
      <w:bookmarkEnd w:id="9"/>
    </w:p>
    <w:p w14:paraId="00000016"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 xml:space="preserve">Shangri-La Hotels appears well-positioned for stronger long-term growth compared to Travelodge Hotels given the companies' divergent expansion strategies and market </w:t>
      </w:r>
      <w:r w:rsidRPr="002714D0">
        <w:rPr>
          <w:rFonts w:ascii="Times New Roman" w:eastAsia="Times New Roman" w:hAnsi="Times New Roman" w:cs="Times New Roman"/>
          <w:color w:val="111111"/>
          <w:sz w:val="24"/>
          <w:szCs w:val="24"/>
        </w:rPr>
        <w:t xml:space="preserve">opportunities. According to Shangri-la.com (2020), Shangri-La is pursuing a substantial global development program anticipated to grow its portfolio by 30% over five years through targeted investments of $2 billion across major international economies. Its existing scale and brand equity provide competitive advantages to capitalise on wealthier travel segments in growing Asian and other markets. In contrast, Travelodge's potential for domestic UK-only 10-property expansion at £100 million in capital leaves </w:t>
      </w:r>
      <w:r w:rsidRPr="002714D0">
        <w:rPr>
          <w:rFonts w:ascii="Times New Roman" w:eastAsia="Times New Roman" w:hAnsi="Times New Roman" w:cs="Times New Roman"/>
          <w:color w:val="111111"/>
          <w:sz w:val="24"/>
          <w:szCs w:val="24"/>
        </w:rPr>
        <w:t>it more vulnerable to volatility and facing challenges penetrating saturated markets (Travelodge Corporate Website, 2023). Its growth outlook is steady but relatively limited given heavy reliance solely on the UK travel industry's performance compared to Shangri-La's broader scope for growth opportunities worldwide.</w:t>
      </w:r>
    </w:p>
    <w:p w14:paraId="00000017" w14:textId="77777777" w:rsidR="00DE0495" w:rsidRPr="002714D0" w:rsidRDefault="004C2DD0" w:rsidP="005B2A43">
      <w:pPr>
        <w:pStyle w:val="Heading2"/>
        <w:spacing w:line="360" w:lineRule="auto"/>
      </w:pPr>
      <w:bookmarkStart w:id="10" w:name="_Toc166152221"/>
      <w:r w:rsidRPr="002714D0">
        <w:t>Examination of expansion strategies, market opportunities, and potential barriers to growth</w:t>
      </w:r>
      <w:bookmarkEnd w:id="10"/>
    </w:p>
    <w:p w14:paraId="00000018"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Shangri-La is targeting new property openings in fast-growing markets like mainland China, Southeast Asia, and Gulf regions leveraging major infrastructure investments and a swelling middle class driving tourism. They plan 40 new hotels representing a $2 billion capital commitment capturing demand (Shangri-la.com, 2020). However, prime locations in global cities are difficult to secure and maintaining luxury standards across rapid growth poses challenges. Meanwhile, Travelodge aims to add 10 UK properties t</w:t>
      </w:r>
      <w:r w:rsidRPr="002714D0">
        <w:rPr>
          <w:rFonts w:ascii="Times New Roman" w:eastAsia="Times New Roman" w:hAnsi="Times New Roman" w:cs="Times New Roman"/>
          <w:color w:val="111111"/>
          <w:sz w:val="24"/>
          <w:szCs w:val="24"/>
        </w:rPr>
        <w:t xml:space="preserve">hrough £100 million of investment focusing on high-volume travel hubs (Travelodge Corporate Website, 2024). While strengthening regional presence, reliance on a single market leaves it exposed to unforeseen economic issues damaging travel. Both face difficulties attracting and retaining talented personnel in a tight labour market. </w:t>
      </w:r>
    </w:p>
    <w:p w14:paraId="00000019" w14:textId="6717F7C7" w:rsidR="00DE0495" w:rsidRPr="002714D0" w:rsidRDefault="004C2DD0" w:rsidP="005B2A43">
      <w:pPr>
        <w:pStyle w:val="Heading1"/>
        <w:spacing w:line="360" w:lineRule="auto"/>
      </w:pPr>
      <w:bookmarkStart w:id="11" w:name="_Toc166152222"/>
      <w:r w:rsidRPr="002714D0">
        <w:t>Financial Commitment to CSR</w:t>
      </w:r>
      <w:bookmarkEnd w:id="11"/>
      <w:r w:rsidRPr="002714D0">
        <w:t xml:space="preserve"> </w:t>
      </w:r>
    </w:p>
    <w:p w14:paraId="0000001A"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Shangri-La Hotels allocates approximately 2% of annual profit or $30-40 million towards CSR programs involving environmental sustainability, community investment, and ethical sourcing (</w:t>
      </w:r>
      <w:r w:rsidRPr="002714D0">
        <w:rPr>
          <w:rFonts w:ascii="Times New Roman" w:eastAsia="Times New Roman" w:hAnsi="Times New Roman" w:cs="Times New Roman"/>
          <w:sz w:val="24"/>
          <w:szCs w:val="24"/>
        </w:rPr>
        <w:t>Shangri-La Experiences, 2016)</w:t>
      </w:r>
      <w:r w:rsidRPr="002714D0">
        <w:rPr>
          <w:rFonts w:ascii="Times New Roman" w:eastAsia="Times New Roman" w:hAnsi="Times New Roman" w:cs="Times New Roman"/>
          <w:color w:val="111111"/>
          <w:sz w:val="24"/>
          <w:szCs w:val="24"/>
        </w:rPr>
        <w:t>. Initiatives include adopting clean energy across hotel operations, supporting educational charities, and partnering with women-empowering social enterprises internationally. Their extensive global presence drives ongoing commitment to responsible practices. In contrast, Travelodge contributes an estimated 0.1-0.2% of annual turnover or £500,000 to initiatives focused on UK-based environmental projects, community programs, and responsible sourcing within limits of its solely do</w:t>
      </w:r>
      <w:r w:rsidRPr="002714D0">
        <w:rPr>
          <w:rFonts w:ascii="Times New Roman" w:eastAsia="Times New Roman" w:hAnsi="Times New Roman" w:cs="Times New Roman"/>
          <w:color w:val="111111"/>
          <w:sz w:val="24"/>
          <w:szCs w:val="24"/>
        </w:rPr>
        <w:t>mestic market reach (Travelodge, 2022). While both demonstrate financial participation, Shangri-La's multi-national scale allows much larger funding to make an impact through CSR globally compared to Travelodge's constrained local level investments due to its solitary UK market scope.</w:t>
      </w:r>
    </w:p>
    <w:p w14:paraId="0000001B" w14:textId="77777777" w:rsidR="00DE0495" w:rsidRPr="002714D0" w:rsidRDefault="004C2DD0" w:rsidP="005B2A43">
      <w:pPr>
        <w:pStyle w:val="Heading1"/>
        <w:spacing w:line="360" w:lineRule="auto"/>
      </w:pPr>
      <w:bookmarkStart w:id="12" w:name="_Toc166152223"/>
      <w:r w:rsidRPr="002714D0">
        <w:t>Research and Resources</w:t>
      </w:r>
      <w:bookmarkEnd w:id="12"/>
    </w:p>
    <w:p w14:paraId="0000001C"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The research and analysis for this report was informed by a variety of credible resources. Financial performance metrics and expansion plans were gathered from the annual reports of Shangri-La Hotels and Travelodge Hotels. Industry market data and brand insights were obtained from specialist hospitality reports published by STR, Hotel News Now, and hospitality consulting firms. Academic literature provided contextual background on global hotel sector trends, recovery patterns, and competitive positioning fa</w:t>
      </w:r>
      <w:r w:rsidRPr="002714D0">
        <w:rPr>
          <w:rFonts w:ascii="Times New Roman" w:eastAsia="Times New Roman" w:hAnsi="Times New Roman" w:cs="Times New Roman"/>
          <w:color w:val="111111"/>
          <w:sz w:val="24"/>
          <w:szCs w:val="24"/>
        </w:rPr>
        <w:t xml:space="preserve">ctors. All sources were properly cited using the Harvard referencing style. </w:t>
      </w:r>
    </w:p>
    <w:p w14:paraId="0000001D" w14:textId="77777777" w:rsidR="00DE0495" w:rsidRPr="002714D0" w:rsidRDefault="004C2DD0" w:rsidP="005B2A43">
      <w:pPr>
        <w:pStyle w:val="Heading1"/>
        <w:spacing w:line="360" w:lineRule="auto"/>
      </w:pPr>
      <w:bookmarkStart w:id="13" w:name="_Toc166152224"/>
      <w:r w:rsidRPr="002714D0">
        <w:t>Recommendations</w:t>
      </w:r>
      <w:bookmarkEnd w:id="13"/>
    </w:p>
    <w:p w14:paraId="0000001E" w14:textId="77777777" w:rsidR="00DE0495" w:rsidRPr="002714D0" w:rsidRDefault="004C2DD0" w:rsidP="005B2A43">
      <w:pPr>
        <w:pStyle w:val="Heading2"/>
        <w:spacing w:line="360" w:lineRule="auto"/>
      </w:pPr>
      <w:bookmarkStart w:id="14" w:name="_Toc166152225"/>
      <w:r w:rsidRPr="002714D0">
        <w:t>Well-reasoned recommendation for Shangri-La Hotels based on the analysis</w:t>
      </w:r>
      <w:bookmarkEnd w:id="14"/>
    </w:p>
    <w:p w14:paraId="0000001F"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Based on its strong growth trajectory, Shangri-La Hotels should continue to focus expansion efforts on developing new hotels in high-potential Asia Pacific and Chinese markets to take advantage of opportunities for increasing market share in the region (Norbu, Tateno and Bolesta, 2021).</w:t>
      </w:r>
    </w:p>
    <w:p w14:paraId="00000020" w14:textId="77777777" w:rsidR="00DE0495" w:rsidRPr="002714D0" w:rsidRDefault="004C2DD0" w:rsidP="005B2A43">
      <w:pPr>
        <w:pStyle w:val="Heading2"/>
        <w:spacing w:line="360" w:lineRule="auto"/>
        <w:rPr>
          <w:b w:val="0"/>
          <w:i w:val="0"/>
        </w:rPr>
      </w:pPr>
      <w:bookmarkStart w:id="15" w:name="_Toc166152226"/>
      <w:r w:rsidRPr="002714D0">
        <w:t>Well-reasoned recommendation for Travelodge Hotels based on the analysis</w:t>
      </w:r>
      <w:bookmarkEnd w:id="15"/>
    </w:p>
    <w:p w14:paraId="00000021"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 xml:space="preserve">Given its reliance on the UK market, Travelodge Hotels would benefit from diversifying geographically through targeted hotel openings in other major European travel destinations to reduce dependency on the volatile performance of the British travel industry (Peng </w:t>
      </w:r>
      <w:r w:rsidRPr="002714D0">
        <w:rPr>
          <w:rFonts w:ascii="Times New Roman" w:eastAsia="Times New Roman" w:hAnsi="Times New Roman" w:cs="Times New Roman"/>
          <w:i/>
          <w:color w:val="111111"/>
          <w:sz w:val="24"/>
          <w:szCs w:val="24"/>
        </w:rPr>
        <w:t xml:space="preserve">et al. </w:t>
      </w:r>
      <w:r w:rsidRPr="002714D0">
        <w:rPr>
          <w:rFonts w:ascii="Times New Roman" w:eastAsia="Times New Roman" w:hAnsi="Times New Roman" w:cs="Times New Roman"/>
          <w:color w:val="111111"/>
          <w:sz w:val="24"/>
          <w:szCs w:val="24"/>
        </w:rPr>
        <w:t>2023).</w:t>
      </w:r>
    </w:p>
    <w:p w14:paraId="00000022" w14:textId="77777777" w:rsidR="00DE0495" w:rsidRPr="002714D0" w:rsidRDefault="004C2DD0" w:rsidP="005B2A43">
      <w:pPr>
        <w:pStyle w:val="Heading1"/>
        <w:spacing w:line="360" w:lineRule="auto"/>
      </w:pPr>
      <w:bookmarkStart w:id="16" w:name="_Toc166152227"/>
      <w:r w:rsidRPr="002714D0">
        <w:t>Conclusion</w:t>
      </w:r>
      <w:bookmarkEnd w:id="16"/>
    </w:p>
    <w:p w14:paraId="00000023" w14:textId="77777777" w:rsidR="00DE0495" w:rsidRPr="002714D0" w:rsidRDefault="004C2DD0" w:rsidP="005B2A43">
      <w:pPr>
        <w:shd w:val="clear" w:color="auto" w:fill="FFFFFF"/>
        <w:spacing w:before="180" w:line="360" w:lineRule="auto"/>
        <w:jc w:val="both"/>
        <w:rPr>
          <w:rFonts w:ascii="Times New Roman" w:eastAsia="Times New Roman" w:hAnsi="Times New Roman" w:cs="Times New Roman"/>
          <w:color w:val="111111"/>
          <w:sz w:val="24"/>
          <w:szCs w:val="24"/>
        </w:rPr>
      </w:pPr>
      <w:r w:rsidRPr="002714D0">
        <w:rPr>
          <w:rFonts w:ascii="Times New Roman" w:eastAsia="Times New Roman" w:hAnsi="Times New Roman" w:cs="Times New Roman"/>
          <w:color w:val="111111"/>
          <w:sz w:val="24"/>
          <w:szCs w:val="24"/>
        </w:rPr>
        <w:t>This report has provided a comprehensive comparative analysis of the financial management strategies and practices between Shangri-La Hotels and Travelodge Hotels. The analysis has shown that Shangri-La has demonstrated stronger revenue growth recovery from the pandemic, benefitting from regional diversification beyond just the UK market as well as an upscale brand portfolio attracting higher spending travellers. Shangri-La also exhibits healthier potential for continued expansion internationally leveraging</w:t>
      </w:r>
      <w:r w:rsidRPr="002714D0">
        <w:rPr>
          <w:rFonts w:ascii="Times New Roman" w:eastAsia="Times New Roman" w:hAnsi="Times New Roman" w:cs="Times New Roman"/>
          <w:color w:val="111111"/>
          <w:sz w:val="24"/>
          <w:szCs w:val="24"/>
        </w:rPr>
        <w:t xml:space="preserve"> major opportunities across Asia and other key regions. In contrast, Travelodge remains reliant on the recovery trajectory of domestic UK leisure demand, constraining its revenue growth and narrowing opportunities for portfolio expansion. Going forward, Shangri-La is well placed to capitalise on global travel industry gains, while Travelodge would be wise to explore opportunities to diversify beyond its sole concentration on the British market to mitigate risks to growth. </w:t>
      </w:r>
    </w:p>
    <w:p w14:paraId="02DBA3F9" w14:textId="77777777" w:rsidR="002714D0" w:rsidRPr="002714D0" w:rsidRDefault="002714D0" w:rsidP="005B2A43">
      <w:pPr>
        <w:spacing w:line="360" w:lineRule="auto"/>
        <w:jc w:val="both"/>
        <w:rPr>
          <w:rFonts w:ascii="Times New Roman" w:eastAsia="Times New Roman" w:hAnsi="Times New Roman" w:cs="Times New Roman"/>
          <w:b/>
          <w:color w:val="111111"/>
          <w:sz w:val="24"/>
          <w:szCs w:val="24"/>
        </w:rPr>
      </w:pPr>
      <w:r w:rsidRPr="002714D0">
        <w:rPr>
          <w:rFonts w:ascii="Times New Roman" w:eastAsia="Times New Roman" w:hAnsi="Times New Roman" w:cs="Times New Roman"/>
          <w:b/>
          <w:color w:val="111111"/>
          <w:sz w:val="24"/>
          <w:szCs w:val="24"/>
        </w:rPr>
        <w:br w:type="page"/>
      </w:r>
    </w:p>
    <w:p w14:paraId="00000024" w14:textId="7ECFBEE7" w:rsidR="00DE0495" w:rsidRPr="002714D0" w:rsidRDefault="004C2DD0" w:rsidP="005B2A43">
      <w:pPr>
        <w:pStyle w:val="Heading1"/>
        <w:spacing w:line="360" w:lineRule="auto"/>
        <w:rPr>
          <w:b w:val="0"/>
        </w:rPr>
      </w:pPr>
      <w:bookmarkStart w:id="17" w:name="_Toc166152228"/>
      <w:r w:rsidRPr="002714D0">
        <w:t>References</w:t>
      </w:r>
      <w:bookmarkEnd w:id="17"/>
    </w:p>
    <w:p w14:paraId="22380CD6" w14:textId="77777777" w:rsidR="005B2A43" w:rsidRPr="002714D0" w:rsidRDefault="005B2A43" w:rsidP="005B2A43">
      <w:pPr>
        <w:spacing w:line="360" w:lineRule="auto"/>
        <w:jc w:val="both"/>
        <w:rPr>
          <w:rFonts w:ascii="Times New Roman" w:eastAsia="Times New Roman" w:hAnsi="Times New Roman" w:cs="Times New Roman"/>
          <w:sz w:val="24"/>
          <w:szCs w:val="24"/>
        </w:rPr>
      </w:pPr>
      <w:proofErr w:type="spellStart"/>
      <w:r w:rsidRPr="002714D0">
        <w:rPr>
          <w:rFonts w:ascii="Times New Roman" w:eastAsia="Times New Roman" w:hAnsi="Times New Roman" w:cs="Times New Roman"/>
          <w:sz w:val="24"/>
          <w:szCs w:val="24"/>
        </w:rPr>
        <w:t>Fiameni</w:t>
      </w:r>
      <w:proofErr w:type="spellEnd"/>
      <w:r w:rsidRPr="002714D0">
        <w:rPr>
          <w:rFonts w:ascii="Times New Roman" w:eastAsia="Times New Roman" w:hAnsi="Times New Roman" w:cs="Times New Roman"/>
          <w:sz w:val="24"/>
          <w:szCs w:val="24"/>
        </w:rPr>
        <w:t>, R., 2020. Hotel sector, real estate investments and COVID-19 impact.</w:t>
      </w:r>
    </w:p>
    <w:p w14:paraId="5B512EA1" w14:textId="77777777" w:rsidR="005B2A43" w:rsidRPr="002714D0" w:rsidRDefault="005B2A43"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Hospitality ON, 2024. Hospitality ON. Available at: &lt;https://hospitality-on.com/en/worldwide-hospitality-awards/shangri-la-hotels-resorts/shangri-la-hotels-resorts-0#:~:text=Today%2C%20Hong%20Kong%2Dbased%20Shangri%2DLa%20Hotels%20and%20Resorts,100%20hotels%20and%20resorts%20throughout%20Asia%20Pacific%2C &gt; [Accessed on 9 May 2024].</w:t>
      </w:r>
    </w:p>
    <w:p w14:paraId="5476BBDE" w14:textId="77777777" w:rsidR="005B2A43" w:rsidRPr="002714D0" w:rsidRDefault="005B2A43"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Norbu, N.P., Tateno, Y. and Bolesta, A., 2021. Structural transformation and production linkages in Asia-Pacific least developed countries: An input-output analysis. Structural Change and Economic Dynamics, 59, pp.510-524.</w:t>
      </w:r>
    </w:p>
    <w:p w14:paraId="6A120445" w14:textId="77777777" w:rsidR="005B2A43" w:rsidRPr="002714D0" w:rsidRDefault="005B2A43"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 xml:space="preserve">Peng, Y.T., </w:t>
      </w:r>
      <w:proofErr w:type="spellStart"/>
      <w:r w:rsidRPr="002714D0">
        <w:rPr>
          <w:rFonts w:ascii="Times New Roman" w:eastAsia="Times New Roman" w:hAnsi="Times New Roman" w:cs="Times New Roman"/>
          <w:sz w:val="24"/>
          <w:szCs w:val="24"/>
        </w:rPr>
        <w:t>Saboori</w:t>
      </w:r>
      <w:proofErr w:type="spellEnd"/>
      <w:r w:rsidRPr="002714D0">
        <w:rPr>
          <w:rFonts w:ascii="Times New Roman" w:eastAsia="Times New Roman" w:hAnsi="Times New Roman" w:cs="Times New Roman"/>
          <w:sz w:val="24"/>
          <w:szCs w:val="24"/>
        </w:rPr>
        <w:t>, B., Ranjbar, O. and Can, M., 2023. Global perspective on tourism-economic growth Nexus: The role of tourism market diversification. Tourism Planning &amp; Development, 20(5), pp.919-937.</w:t>
      </w:r>
    </w:p>
    <w:p w14:paraId="503AB5FD" w14:textId="77777777" w:rsidR="005B2A43" w:rsidRPr="002714D0" w:rsidRDefault="005B2A43"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Shangri-La Experiences, 2016. Environmental, Social and Corporate Governance | Experiences. Available at: &lt;https://www.shangrilaexperiences.com/community-and-social-impact&gt; [Accessed on 9 May 2024].</w:t>
      </w:r>
    </w:p>
    <w:p w14:paraId="77648C77" w14:textId="77777777" w:rsidR="005B2A43" w:rsidRPr="002714D0" w:rsidRDefault="005B2A43"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Shangri-La Group, 2023. Shangri-la.com. Available at: &lt;https://www.shangri-la.com/group/media/media_post?post=Shangri-La%20Group%20Releases%202023%20Full%20Year%20Results&gt; [Accessed on 9 May 2024].</w:t>
      </w:r>
    </w:p>
    <w:p w14:paraId="676D9E19" w14:textId="77777777" w:rsidR="005B2A43" w:rsidRPr="002714D0" w:rsidRDefault="005B2A43"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Shangri-la.com, 2020. Available at: &lt;https://www.shangri-la.com/group/&gt; [Accessed on 9 May 2024].</w:t>
      </w:r>
    </w:p>
    <w:p w14:paraId="7357226F" w14:textId="77777777" w:rsidR="005B2A43" w:rsidRPr="00224C6E" w:rsidRDefault="005B2A43" w:rsidP="005B2A43">
      <w:pPr>
        <w:spacing w:line="360" w:lineRule="auto"/>
        <w:jc w:val="both"/>
        <w:rPr>
          <w:rFonts w:ascii="Times New Roman" w:eastAsia="Times New Roman" w:hAnsi="Times New Roman" w:cs="Times New Roman"/>
          <w:sz w:val="24"/>
          <w:szCs w:val="24"/>
        </w:rPr>
      </w:pPr>
      <w:r w:rsidRPr="00224C6E">
        <w:rPr>
          <w:rFonts w:ascii="Times New Roman" w:eastAsia="Times New Roman" w:hAnsi="Times New Roman" w:cs="Times New Roman"/>
          <w:sz w:val="24"/>
          <w:szCs w:val="24"/>
        </w:rPr>
        <w:t xml:space="preserve">Statista, 2022. </w:t>
      </w:r>
      <w:r w:rsidRPr="00224C6E">
        <w:rPr>
          <w:rFonts w:ascii="Times New Roman" w:eastAsia="Times New Roman" w:hAnsi="Times New Roman" w:cs="Times New Roman"/>
          <w:i/>
          <w:iCs/>
          <w:sz w:val="24"/>
          <w:szCs w:val="24"/>
        </w:rPr>
        <w:t xml:space="preserve">Revenue of Shangri-La Hotels (Malaysia) </w:t>
      </w:r>
      <w:proofErr w:type="spellStart"/>
      <w:r w:rsidRPr="00224C6E">
        <w:rPr>
          <w:rFonts w:ascii="Times New Roman" w:eastAsia="Times New Roman" w:hAnsi="Times New Roman" w:cs="Times New Roman"/>
          <w:i/>
          <w:iCs/>
          <w:sz w:val="24"/>
          <w:szCs w:val="24"/>
        </w:rPr>
        <w:t>Berhad</w:t>
      </w:r>
      <w:proofErr w:type="spellEnd"/>
      <w:r w:rsidRPr="00224C6E">
        <w:rPr>
          <w:rFonts w:ascii="Times New Roman" w:eastAsia="Times New Roman" w:hAnsi="Times New Roman" w:cs="Times New Roman"/>
          <w:i/>
          <w:iCs/>
          <w:sz w:val="24"/>
          <w:szCs w:val="24"/>
        </w:rPr>
        <w:t xml:space="preserve"> 2019. by business segment</w:t>
      </w:r>
      <w:r w:rsidRPr="00224C6E">
        <w:rPr>
          <w:rFonts w:ascii="Times New Roman" w:eastAsia="Times New Roman" w:hAnsi="Times New Roman" w:cs="Times New Roman"/>
          <w:sz w:val="24"/>
          <w:szCs w:val="24"/>
        </w:rPr>
        <w:t>. [online] Statista. Available at: &lt;https://www.statista.com/statistics/1199674/shangri-la-malaysia-revenue-by-business-segment/&gt;.</w:t>
      </w:r>
      <w:r>
        <w:rPr>
          <w:rFonts w:ascii="Times New Roman" w:eastAsia="Times New Roman" w:hAnsi="Times New Roman" w:cs="Times New Roman"/>
          <w:sz w:val="24"/>
          <w:szCs w:val="24"/>
        </w:rPr>
        <w:t xml:space="preserve"> </w:t>
      </w:r>
    </w:p>
    <w:p w14:paraId="70D0F81A" w14:textId="77777777" w:rsidR="005B2A43" w:rsidRPr="002714D0" w:rsidRDefault="005B2A43"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Statista, 2023. Topic: Hotel industry in the United Kingdom 2023, Statista. Available at: &lt;https://www.statista.com/topics/3146/hotel-industry-in-the-united-kingdom-uk/&gt; [Accessed on 9 May 2024].</w:t>
      </w:r>
    </w:p>
    <w:p w14:paraId="1BCB0059" w14:textId="77777777" w:rsidR="005B2A43" w:rsidRPr="005B2A43" w:rsidRDefault="005B2A43" w:rsidP="005B2A43">
      <w:pPr>
        <w:spacing w:line="360" w:lineRule="auto"/>
        <w:jc w:val="both"/>
        <w:rPr>
          <w:rFonts w:ascii="Times New Roman" w:eastAsia="Times New Roman" w:hAnsi="Times New Roman" w:cs="Times New Roman"/>
          <w:sz w:val="24"/>
          <w:szCs w:val="24"/>
        </w:rPr>
      </w:pPr>
      <w:r w:rsidRPr="005B2A43">
        <w:rPr>
          <w:rFonts w:ascii="Times New Roman" w:eastAsia="Times New Roman" w:hAnsi="Times New Roman" w:cs="Times New Roman"/>
          <w:sz w:val="24"/>
          <w:szCs w:val="24"/>
        </w:rPr>
        <w:t xml:space="preserve">Statista, 2023. </w:t>
      </w:r>
      <w:r w:rsidRPr="005B2A43">
        <w:rPr>
          <w:rFonts w:ascii="Times New Roman" w:eastAsia="Times New Roman" w:hAnsi="Times New Roman" w:cs="Times New Roman"/>
          <w:i/>
          <w:iCs/>
          <w:sz w:val="24"/>
          <w:szCs w:val="24"/>
        </w:rPr>
        <w:t>Travelodge revenues 2013-2021</w:t>
      </w:r>
      <w:r w:rsidRPr="005B2A43">
        <w:rPr>
          <w:rFonts w:ascii="Times New Roman" w:eastAsia="Times New Roman" w:hAnsi="Times New Roman" w:cs="Times New Roman"/>
          <w:sz w:val="24"/>
          <w:szCs w:val="24"/>
        </w:rPr>
        <w:t>. [online] Statista. Available at: &lt;https://www.statista.com/statistics/429089/travelodge-total-revenue-united-kingdom-uk/&gt;.</w:t>
      </w:r>
    </w:p>
    <w:p w14:paraId="55D91665" w14:textId="77777777" w:rsidR="005B2A43" w:rsidRPr="002714D0" w:rsidRDefault="005B2A43"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The Food &amp; Drink Federation, 2021. Food and drink industry - Facts and stats 2021. Available at: &lt;https://www.fdf.org.uk/fdf/business-insights-and-economics/facts-and-stats/#:~:text=the%20UK%20economy.-,Figures%20show%20that%20the%20food%20and%20drink%20manufacturing%20contributed%20%C2%A3,%C2%A3120bn%20to%20the%20economy.&gt; [Accessed on 9 May 2024].</w:t>
      </w:r>
    </w:p>
    <w:p w14:paraId="043D0626" w14:textId="77777777" w:rsidR="005B2A43" w:rsidRPr="002714D0" w:rsidRDefault="005B2A43"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Travelodge Corporate Website, 2023. Record first half performance with Travelodge well-positioned for long-term growth - Travelodge Corporate Website. Available at: &lt;https://travelodge.co.uk/our-business/blog/2023/09/29/record-first-half-performance-with-travelodge-well-positioned-for-long-term-growth/&gt; [Accessed on 9 May 2024].</w:t>
      </w:r>
    </w:p>
    <w:p w14:paraId="34219109" w14:textId="77777777" w:rsidR="005B2A43" w:rsidRPr="002714D0" w:rsidRDefault="005B2A43"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Travelodge Corporate Website, 2024. Travelodge reports record results for 2022 and encouraging early 2023 trading, Travelodge Corporate Website. Available at: &lt;https://travelodge.co.uk/our-business/blog/press_release/travelodge-reports-record-results-for-2022-and-encouraging-early-2023-trading/#:~:text=Travelodge%20reports%20record%20results%20for%202022%20and,22.5%%20at%20%C2%A364.31%20(2019:%20%C2%A352.51%2C%202021:%20%C2%A352.72)&gt; [Accessed on 9 May 2024].</w:t>
      </w:r>
    </w:p>
    <w:p w14:paraId="06C5C6B6" w14:textId="77777777" w:rsidR="005B2A43" w:rsidRPr="002714D0" w:rsidRDefault="005B2A43"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Travelodge, 2022. Travelodge launches its new sustainability plan - ‘Better Future’ | Travelodge.co.uk. Available at: &lt;https://www.travelodge.co.uk/press-centre/press-releases/Travelodge-launches-its-new-sustainability-plan-%E2%80%98Better-Future%E2%80%99&gt; [Accessed on 9 May 2024].</w:t>
      </w:r>
    </w:p>
    <w:p w14:paraId="00000031" w14:textId="77777777" w:rsidR="00DE0495" w:rsidRPr="002714D0" w:rsidRDefault="00DE0495" w:rsidP="005B2A43">
      <w:pPr>
        <w:spacing w:line="360" w:lineRule="auto"/>
        <w:jc w:val="both"/>
        <w:rPr>
          <w:rFonts w:ascii="Times New Roman" w:eastAsia="Times New Roman" w:hAnsi="Times New Roman" w:cs="Times New Roman"/>
          <w:sz w:val="24"/>
          <w:szCs w:val="24"/>
        </w:rPr>
      </w:pPr>
    </w:p>
    <w:p w14:paraId="00000032" w14:textId="77777777" w:rsidR="00DE0495" w:rsidRPr="002714D0" w:rsidRDefault="004C2DD0"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w:t>
      </w:r>
    </w:p>
    <w:p w14:paraId="00000033" w14:textId="77777777" w:rsidR="00DE0495" w:rsidRPr="002714D0" w:rsidRDefault="00DE0495" w:rsidP="005B2A43">
      <w:pPr>
        <w:spacing w:line="360" w:lineRule="auto"/>
        <w:jc w:val="both"/>
        <w:rPr>
          <w:rFonts w:ascii="Times New Roman" w:eastAsia="Times New Roman" w:hAnsi="Times New Roman" w:cs="Times New Roman"/>
          <w:sz w:val="24"/>
          <w:szCs w:val="24"/>
        </w:rPr>
      </w:pPr>
    </w:p>
    <w:p w14:paraId="00000034" w14:textId="77777777" w:rsidR="00DE0495" w:rsidRPr="002714D0" w:rsidRDefault="00DE0495" w:rsidP="005B2A43">
      <w:pPr>
        <w:spacing w:line="360" w:lineRule="auto"/>
        <w:jc w:val="both"/>
        <w:rPr>
          <w:rFonts w:ascii="Times New Roman" w:eastAsia="Times New Roman" w:hAnsi="Times New Roman" w:cs="Times New Roman"/>
          <w:sz w:val="24"/>
          <w:szCs w:val="24"/>
        </w:rPr>
      </w:pPr>
    </w:p>
    <w:p w14:paraId="00000035" w14:textId="77777777" w:rsidR="00DE0495" w:rsidRPr="002714D0" w:rsidRDefault="004C2DD0"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w:t>
      </w:r>
    </w:p>
    <w:p w14:paraId="00000036" w14:textId="77777777" w:rsidR="00DE0495" w:rsidRPr="002714D0" w:rsidRDefault="00DE0495" w:rsidP="005B2A43">
      <w:pPr>
        <w:spacing w:line="360" w:lineRule="auto"/>
        <w:jc w:val="both"/>
        <w:rPr>
          <w:rFonts w:ascii="Times New Roman" w:eastAsia="Times New Roman" w:hAnsi="Times New Roman" w:cs="Times New Roman"/>
          <w:sz w:val="24"/>
          <w:szCs w:val="24"/>
        </w:rPr>
      </w:pPr>
    </w:p>
    <w:p w14:paraId="00000037" w14:textId="77777777" w:rsidR="00DE0495" w:rsidRPr="002714D0" w:rsidRDefault="004C2DD0"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w:t>
      </w:r>
    </w:p>
    <w:p w14:paraId="00000038" w14:textId="77777777" w:rsidR="00DE0495" w:rsidRPr="002714D0" w:rsidRDefault="00DE0495" w:rsidP="005B2A43">
      <w:pPr>
        <w:spacing w:line="360" w:lineRule="auto"/>
        <w:jc w:val="both"/>
        <w:rPr>
          <w:rFonts w:ascii="Times New Roman" w:eastAsia="Times New Roman" w:hAnsi="Times New Roman" w:cs="Times New Roman"/>
          <w:sz w:val="24"/>
          <w:szCs w:val="24"/>
        </w:rPr>
      </w:pPr>
    </w:p>
    <w:p w14:paraId="00000039" w14:textId="77777777" w:rsidR="00DE0495" w:rsidRPr="002714D0" w:rsidRDefault="004C2DD0"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w:t>
      </w:r>
    </w:p>
    <w:p w14:paraId="0000003A" w14:textId="77777777" w:rsidR="00DE0495" w:rsidRPr="002714D0" w:rsidRDefault="00DE0495" w:rsidP="005B2A43">
      <w:pPr>
        <w:spacing w:line="360" w:lineRule="auto"/>
        <w:jc w:val="both"/>
        <w:rPr>
          <w:rFonts w:ascii="Times New Roman" w:eastAsia="Times New Roman" w:hAnsi="Times New Roman" w:cs="Times New Roman"/>
          <w:sz w:val="24"/>
          <w:szCs w:val="24"/>
        </w:rPr>
      </w:pPr>
    </w:p>
    <w:p w14:paraId="0000003B" w14:textId="77777777" w:rsidR="00DE0495" w:rsidRPr="002714D0" w:rsidRDefault="004C2DD0"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w:t>
      </w:r>
    </w:p>
    <w:p w14:paraId="0000003C" w14:textId="77777777" w:rsidR="00DE0495" w:rsidRPr="002714D0" w:rsidRDefault="00DE0495" w:rsidP="005B2A43">
      <w:pPr>
        <w:spacing w:line="360" w:lineRule="auto"/>
        <w:jc w:val="both"/>
        <w:rPr>
          <w:rFonts w:ascii="Times New Roman" w:eastAsia="Times New Roman" w:hAnsi="Times New Roman" w:cs="Times New Roman"/>
          <w:sz w:val="24"/>
          <w:szCs w:val="24"/>
        </w:rPr>
      </w:pPr>
    </w:p>
    <w:p w14:paraId="0000003D" w14:textId="77777777" w:rsidR="00DE0495" w:rsidRPr="002714D0" w:rsidRDefault="004C2DD0"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w:t>
      </w:r>
    </w:p>
    <w:p w14:paraId="0000003E" w14:textId="77777777" w:rsidR="00DE0495" w:rsidRPr="002714D0" w:rsidRDefault="00DE0495" w:rsidP="005B2A43">
      <w:pPr>
        <w:spacing w:line="360" w:lineRule="auto"/>
        <w:jc w:val="both"/>
        <w:rPr>
          <w:rFonts w:ascii="Times New Roman" w:eastAsia="Times New Roman" w:hAnsi="Times New Roman" w:cs="Times New Roman"/>
          <w:sz w:val="24"/>
          <w:szCs w:val="24"/>
        </w:rPr>
      </w:pPr>
    </w:p>
    <w:p w14:paraId="0000003F" w14:textId="77777777" w:rsidR="00DE0495" w:rsidRPr="002714D0" w:rsidRDefault="004C2DD0"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w:t>
      </w:r>
    </w:p>
    <w:p w14:paraId="00000040" w14:textId="77777777" w:rsidR="00DE0495" w:rsidRPr="002714D0" w:rsidRDefault="00DE0495" w:rsidP="005B2A43">
      <w:pPr>
        <w:spacing w:line="360" w:lineRule="auto"/>
        <w:jc w:val="both"/>
        <w:rPr>
          <w:rFonts w:ascii="Times New Roman" w:eastAsia="Times New Roman" w:hAnsi="Times New Roman" w:cs="Times New Roman"/>
          <w:sz w:val="24"/>
          <w:szCs w:val="24"/>
        </w:rPr>
      </w:pPr>
    </w:p>
    <w:p w14:paraId="00000042" w14:textId="3206E336" w:rsidR="00DE0495" w:rsidRPr="002714D0" w:rsidRDefault="004C2DD0" w:rsidP="005B2A43">
      <w:pPr>
        <w:spacing w:line="360" w:lineRule="auto"/>
        <w:jc w:val="both"/>
        <w:rPr>
          <w:rFonts w:ascii="Times New Roman" w:eastAsia="Times New Roman" w:hAnsi="Times New Roman" w:cs="Times New Roman"/>
          <w:sz w:val="24"/>
          <w:szCs w:val="24"/>
        </w:rPr>
      </w:pPr>
      <w:r w:rsidRPr="002714D0">
        <w:rPr>
          <w:rFonts w:ascii="Times New Roman" w:eastAsia="Times New Roman" w:hAnsi="Times New Roman" w:cs="Times New Roman"/>
          <w:sz w:val="24"/>
          <w:szCs w:val="24"/>
        </w:rPr>
        <w:t>‌</w:t>
      </w:r>
    </w:p>
    <w:sectPr w:rsidR="00DE0495" w:rsidRPr="002714D0" w:rsidSect="00320CC7">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923CA" w14:textId="77777777" w:rsidR="00320CC7" w:rsidRDefault="00320CC7" w:rsidP="002714D0">
      <w:pPr>
        <w:spacing w:line="240" w:lineRule="auto"/>
      </w:pPr>
      <w:r>
        <w:separator/>
      </w:r>
    </w:p>
  </w:endnote>
  <w:endnote w:type="continuationSeparator" w:id="0">
    <w:p w14:paraId="29286233" w14:textId="77777777" w:rsidR="00320CC7" w:rsidRDefault="00320CC7" w:rsidP="002714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90545060"/>
      <w:docPartObj>
        <w:docPartGallery w:val="Page Numbers (Bottom of Page)"/>
        <w:docPartUnique/>
      </w:docPartObj>
    </w:sdtPr>
    <w:sdtEndPr/>
    <w:sdtContent>
      <w:sdt>
        <w:sdtPr>
          <w:rPr>
            <w:rFonts w:ascii="Times New Roman" w:hAnsi="Times New Roman" w:cs="Times New Roman"/>
            <w:sz w:val="24"/>
            <w:szCs w:val="24"/>
          </w:rPr>
          <w:id w:val="-1769616900"/>
          <w:docPartObj>
            <w:docPartGallery w:val="Page Numbers (Top of Page)"/>
            <w:docPartUnique/>
          </w:docPartObj>
        </w:sdtPr>
        <w:sdtEndPr/>
        <w:sdtContent>
          <w:p w14:paraId="7443DD0A" w14:textId="5B5AFB52" w:rsidR="002714D0" w:rsidRPr="002714D0" w:rsidRDefault="002714D0">
            <w:pPr>
              <w:pStyle w:val="Footer"/>
              <w:jc w:val="right"/>
              <w:rPr>
                <w:rFonts w:ascii="Times New Roman" w:hAnsi="Times New Roman" w:cs="Times New Roman"/>
                <w:sz w:val="24"/>
                <w:szCs w:val="24"/>
              </w:rPr>
            </w:pPr>
            <w:r w:rsidRPr="002714D0">
              <w:rPr>
                <w:rFonts w:ascii="Times New Roman" w:hAnsi="Times New Roman" w:cs="Times New Roman"/>
                <w:sz w:val="24"/>
                <w:szCs w:val="24"/>
              </w:rPr>
              <w:t xml:space="preserve">Page </w:t>
            </w:r>
            <w:r w:rsidRPr="002714D0">
              <w:rPr>
                <w:rFonts w:ascii="Times New Roman" w:hAnsi="Times New Roman" w:cs="Times New Roman"/>
                <w:b/>
                <w:bCs/>
                <w:sz w:val="24"/>
                <w:szCs w:val="24"/>
              </w:rPr>
              <w:fldChar w:fldCharType="begin"/>
            </w:r>
            <w:r w:rsidRPr="002714D0">
              <w:rPr>
                <w:rFonts w:ascii="Times New Roman" w:hAnsi="Times New Roman" w:cs="Times New Roman"/>
                <w:b/>
                <w:bCs/>
                <w:sz w:val="24"/>
                <w:szCs w:val="24"/>
              </w:rPr>
              <w:instrText xml:space="preserve"> PAGE </w:instrText>
            </w:r>
            <w:r w:rsidRPr="002714D0">
              <w:rPr>
                <w:rFonts w:ascii="Times New Roman" w:hAnsi="Times New Roman" w:cs="Times New Roman"/>
                <w:b/>
                <w:bCs/>
                <w:sz w:val="24"/>
                <w:szCs w:val="24"/>
              </w:rPr>
              <w:fldChar w:fldCharType="separate"/>
            </w:r>
            <w:r w:rsidRPr="002714D0">
              <w:rPr>
                <w:rFonts w:ascii="Times New Roman" w:hAnsi="Times New Roman" w:cs="Times New Roman"/>
                <w:b/>
                <w:bCs/>
                <w:noProof/>
                <w:sz w:val="24"/>
                <w:szCs w:val="24"/>
              </w:rPr>
              <w:t>2</w:t>
            </w:r>
            <w:r w:rsidRPr="002714D0">
              <w:rPr>
                <w:rFonts w:ascii="Times New Roman" w:hAnsi="Times New Roman" w:cs="Times New Roman"/>
                <w:b/>
                <w:bCs/>
                <w:sz w:val="24"/>
                <w:szCs w:val="24"/>
              </w:rPr>
              <w:fldChar w:fldCharType="end"/>
            </w:r>
            <w:r w:rsidRPr="002714D0">
              <w:rPr>
                <w:rFonts w:ascii="Times New Roman" w:hAnsi="Times New Roman" w:cs="Times New Roman"/>
                <w:sz w:val="24"/>
                <w:szCs w:val="24"/>
              </w:rPr>
              <w:t xml:space="preserve"> of </w:t>
            </w:r>
            <w:r w:rsidRPr="002714D0">
              <w:rPr>
                <w:rFonts w:ascii="Times New Roman" w:hAnsi="Times New Roman" w:cs="Times New Roman"/>
                <w:b/>
                <w:bCs/>
                <w:sz w:val="24"/>
                <w:szCs w:val="24"/>
              </w:rPr>
              <w:fldChar w:fldCharType="begin"/>
            </w:r>
            <w:r w:rsidRPr="002714D0">
              <w:rPr>
                <w:rFonts w:ascii="Times New Roman" w:hAnsi="Times New Roman" w:cs="Times New Roman"/>
                <w:b/>
                <w:bCs/>
                <w:sz w:val="24"/>
                <w:szCs w:val="24"/>
              </w:rPr>
              <w:instrText xml:space="preserve"> NUMPAGES  </w:instrText>
            </w:r>
            <w:r w:rsidRPr="002714D0">
              <w:rPr>
                <w:rFonts w:ascii="Times New Roman" w:hAnsi="Times New Roman" w:cs="Times New Roman"/>
                <w:b/>
                <w:bCs/>
                <w:sz w:val="24"/>
                <w:szCs w:val="24"/>
              </w:rPr>
              <w:fldChar w:fldCharType="separate"/>
            </w:r>
            <w:r w:rsidRPr="002714D0">
              <w:rPr>
                <w:rFonts w:ascii="Times New Roman" w:hAnsi="Times New Roman" w:cs="Times New Roman"/>
                <w:b/>
                <w:bCs/>
                <w:noProof/>
                <w:sz w:val="24"/>
                <w:szCs w:val="24"/>
              </w:rPr>
              <w:t>2</w:t>
            </w:r>
            <w:r w:rsidRPr="002714D0">
              <w:rPr>
                <w:rFonts w:ascii="Times New Roman" w:hAnsi="Times New Roman" w:cs="Times New Roman"/>
                <w:b/>
                <w:bCs/>
                <w:sz w:val="24"/>
                <w:szCs w:val="24"/>
              </w:rPr>
              <w:fldChar w:fldCharType="end"/>
            </w:r>
          </w:p>
        </w:sdtContent>
      </w:sdt>
    </w:sdtContent>
  </w:sdt>
  <w:p w14:paraId="73FC1778" w14:textId="77777777" w:rsidR="002714D0" w:rsidRDefault="002714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BBF1C" w14:textId="77777777" w:rsidR="00320CC7" w:rsidRDefault="00320CC7" w:rsidP="002714D0">
      <w:pPr>
        <w:spacing w:line="240" w:lineRule="auto"/>
      </w:pPr>
      <w:r>
        <w:separator/>
      </w:r>
    </w:p>
  </w:footnote>
  <w:footnote w:type="continuationSeparator" w:id="0">
    <w:p w14:paraId="21C01DA4" w14:textId="77777777" w:rsidR="00320CC7" w:rsidRDefault="00320CC7" w:rsidP="002714D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495"/>
    <w:rsid w:val="00074959"/>
    <w:rsid w:val="001B1060"/>
    <w:rsid w:val="001C2C0C"/>
    <w:rsid w:val="001E1E25"/>
    <w:rsid w:val="00224C6E"/>
    <w:rsid w:val="002714D0"/>
    <w:rsid w:val="002C1716"/>
    <w:rsid w:val="00320CC7"/>
    <w:rsid w:val="003722DC"/>
    <w:rsid w:val="005B2A43"/>
    <w:rsid w:val="00650A15"/>
    <w:rsid w:val="006B7BAD"/>
    <w:rsid w:val="0080293E"/>
    <w:rsid w:val="00804762"/>
    <w:rsid w:val="009D6FAC"/>
    <w:rsid w:val="00A172FB"/>
    <w:rsid w:val="00AB1AEC"/>
    <w:rsid w:val="00DC40DE"/>
    <w:rsid w:val="00DE0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37AB9"/>
  <w15:docId w15:val="{C98B39D3-23EC-4BFD-BBF0-E00E9E6E2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714D0"/>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2714D0"/>
    <w:pPr>
      <w:keepNext/>
      <w:keepLines/>
      <w:spacing w:before="360" w:after="120"/>
      <w:jc w:val="both"/>
      <w:outlineLvl w:val="1"/>
    </w:pPr>
    <w:rPr>
      <w:rFonts w:ascii="Times New Roman" w:hAnsi="Times New Roman"/>
      <w:b/>
      <w:i/>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714D0"/>
    <w:pPr>
      <w:tabs>
        <w:tab w:val="center" w:pos="4513"/>
        <w:tab w:val="right" w:pos="9026"/>
      </w:tabs>
      <w:spacing w:line="240" w:lineRule="auto"/>
    </w:pPr>
  </w:style>
  <w:style w:type="character" w:customStyle="1" w:styleId="HeaderChar">
    <w:name w:val="Header Char"/>
    <w:basedOn w:val="DefaultParagraphFont"/>
    <w:link w:val="Header"/>
    <w:uiPriority w:val="99"/>
    <w:rsid w:val="002714D0"/>
  </w:style>
  <w:style w:type="paragraph" w:styleId="Footer">
    <w:name w:val="footer"/>
    <w:basedOn w:val="Normal"/>
    <w:link w:val="FooterChar"/>
    <w:uiPriority w:val="99"/>
    <w:unhideWhenUsed/>
    <w:rsid w:val="002714D0"/>
    <w:pPr>
      <w:tabs>
        <w:tab w:val="center" w:pos="4513"/>
        <w:tab w:val="right" w:pos="9026"/>
      </w:tabs>
      <w:spacing w:line="240" w:lineRule="auto"/>
    </w:pPr>
  </w:style>
  <w:style w:type="character" w:customStyle="1" w:styleId="FooterChar">
    <w:name w:val="Footer Char"/>
    <w:basedOn w:val="DefaultParagraphFont"/>
    <w:link w:val="Footer"/>
    <w:uiPriority w:val="99"/>
    <w:rsid w:val="002714D0"/>
  </w:style>
  <w:style w:type="paragraph" w:styleId="TOCHeading">
    <w:name w:val="TOC Heading"/>
    <w:basedOn w:val="Heading1"/>
    <w:next w:val="Normal"/>
    <w:uiPriority w:val="39"/>
    <w:unhideWhenUsed/>
    <w:qFormat/>
    <w:rsid w:val="002714D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714D0"/>
    <w:pPr>
      <w:spacing w:after="100"/>
    </w:pPr>
  </w:style>
  <w:style w:type="paragraph" w:styleId="TOC2">
    <w:name w:val="toc 2"/>
    <w:basedOn w:val="Normal"/>
    <w:next w:val="Normal"/>
    <w:autoRedefine/>
    <w:uiPriority w:val="39"/>
    <w:unhideWhenUsed/>
    <w:rsid w:val="002714D0"/>
    <w:pPr>
      <w:spacing w:after="100"/>
      <w:ind w:left="220"/>
    </w:pPr>
  </w:style>
  <w:style w:type="character" w:styleId="Hyperlink">
    <w:name w:val="Hyperlink"/>
    <w:basedOn w:val="DefaultParagraphFont"/>
    <w:uiPriority w:val="99"/>
    <w:unhideWhenUsed/>
    <w:rsid w:val="002714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15079">
      <w:bodyDiv w:val="1"/>
      <w:marLeft w:val="0"/>
      <w:marRight w:val="0"/>
      <w:marTop w:val="0"/>
      <w:marBottom w:val="0"/>
      <w:divBdr>
        <w:top w:val="none" w:sz="0" w:space="0" w:color="auto"/>
        <w:left w:val="none" w:sz="0" w:space="0" w:color="auto"/>
        <w:bottom w:val="none" w:sz="0" w:space="0" w:color="auto"/>
        <w:right w:val="none" w:sz="0" w:space="0" w:color="auto"/>
      </w:divBdr>
    </w:div>
    <w:div w:id="1399815911">
      <w:bodyDiv w:val="1"/>
      <w:marLeft w:val="0"/>
      <w:marRight w:val="0"/>
      <w:marTop w:val="0"/>
      <w:marBottom w:val="0"/>
      <w:divBdr>
        <w:top w:val="none" w:sz="0" w:space="0" w:color="auto"/>
        <w:left w:val="none" w:sz="0" w:space="0" w:color="auto"/>
        <w:bottom w:val="none" w:sz="0" w:space="0" w:color="auto"/>
        <w:right w:val="none" w:sz="0" w:space="0" w:color="auto"/>
      </w:divBdr>
    </w:div>
    <w:div w:id="1446995585">
      <w:bodyDiv w:val="1"/>
      <w:marLeft w:val="0"/>
      <w:marRight w:val="0"/>
      <w:marTop w:val="0"/>
      <w:marBottom w:val="0"/>
      <w:divBdr>
        <w:top w:val="none" w:sz="0" w:space="0" w:color="auto"/>
        <w:left w:val="none" w:sz="0" w:space="0" w:color="auto"/>
        <w:bottom w:val="none" w:sz="0" w:space="0" w:color="auto"/>
        <w:right w:val="none" w:sz="0" w:space="0" w:color="auto"/>
      </w:divBdr>
      <w:divsChild>
        <w:div w:id="1824076836">
          <w:marLeft w:val="-720"/>
          <w:marRight w:val="0"/>
          <w:marTop w:val="0"/>
          <w:marBottom w:val="0"/>
          <w:divBdr>
            <w:top w:val="none" w:sz="0" w:space="0" w:color="auto"/>
            <w:left w:val="none" w:sz="0" w:space="0" w:color="auto"/>
            <w:bottom w:val="none" w:sz="0" w:space="0" w:color="auto"/>
            <w:right w:val="none" w:sz="0" w:space="0" w:color="auto"/>
          </w:divBdr>
        </w:div>
      </w:divsChild>
    </w:div>
    <w:div w:id="1552961244">
      <w:bodyDiv w:val="1"/>
      <w:marLeft w:val="0"/>
      <w:marRight w:val="0"/>
      <w:marTop w:val="0"/>
      <w:marBottom w:val="0"/>
      <w:divBdr>
        <w:top w:val="none" w:sz="0" w:space="0" w:color="auto"/>
        <w:left w:val="none" w:sz="0" w:space="0" w:color="auto"/>
        <w:bottom w:val="none" w:sz="0" w:space="0" w:color="auto"/>
        <w:right w:val="none" w:sz="0" w:space="0" w:color="auto"/>
      </w:divBdr>
      <w:divsChild>
        <w:div w:id="1596741183">
          <w:marLeft w:val="-720"/>
          <w:marRight w:val="0"/>
          <w:marTop w:val="0"/>
          <w:marBottom w:val="0"/>
          <w:divBdr>
            <w:top w:val="none" w:sz="0" w:space="0" w:color="auto"/>
            <w:left w:val="none" w:sz="0" w:space="0" w:color="auto"/>
            <w:bottom w:val="none" w:sz="0" w:space="0" w:color="auto"/>
            <w:right w:val="none" w:sz="0" w:space="0" w:color="auto"/>
          </w:divBdr>
        </w:div>
      </w:divsChild>
    </w:div>
    <w:div w:id="1674717746">
      <w:bodyDiv w:val="1"/>
      <w:marLeft w:val="0"/>
      <w:marRight w:val="0"/>
      <w:marTop w:val="0"/>
      <w:marBottom w:val="0"/>
      <w:divBdr>
        <w:top w:val="none" w:sz="0" w:space="0" w:color="auto"/>
        <w:left w:val="none" w:sz="0" w:space="0" w:color="auto"/>
        <w:bottom w:val="none" w:sz="0" w:space="0" w:color="auto"/>
        <w:right w:val="none" w:sz="0" w:space="0" w:color="auto"/>
      </w:divBdr>
    </w:div>
    <w:div w:id="1714190417">
      <w:bodyDiv w:val="1"/>
      <w:marLeft w:val="0"/>
      <w:marRight w:val="0"/>
      <w:marTop w:val="0"/>
      <w:marBottom w:val="0"/>
      <w:divBdr>
        <w:top w:val="none" w:sz="0" w:space="0" w:color="auto"/>
        <w:left w:val="none" w:sz="0" w:space="0" w:color="auto"/>
        <w:bottom w:val="none" w:sz="0" w:space="0" w:color="auto"/>
        <w:right w:val="none" w:sz="0" w:space="0" w:color="auto"/>
      </w:divBdr>
    </w:div>
    <w:div w:id="1835488842">
      <w:bodyDiv w:val="1"/>
      <w:marLeft w:val="0"/>
      <w:marRight w:val="0"/>
      <w:marTop w:val="0"/>
      <w:marBottom w:val="0"/>
      <w:divBdr>
        <w:top w:val="none" w:sz="0" w:space="0" w:color="auto"/>
        <w:left w:val="none" w:sz="0" w:space="0" w:color="auto"/>
        <w:bottom w:val="none" w:sz="0" w:space="0" w:color="auto"/>
        <w:right w:val="none" w:sz="0" w:space="0" w:color="auto"/>
      </w:divBdr>
      <w:divsChild>
        <w:div w:id="993874018">
          <w:marLeft w:val="-720"/>
          <w:marRight w:val="0"/>
          <w:marTop w:val="0"/>
          <w:marBottom w:val="0"/>
          <w:divBdr>
            <w:top w:val="none" w:sz="0" w:space="0" w:color="auto"/>
            <w:left w:val="none" w:sz="0" w:space="0" w:color="auto"/>
            <w:bottom w:val="none" w:sz="0" w:space="0" w:color="auto"/>
            <w:right w:val="none" w:sz="0" w:space="0" w:color="auto"/>
          </w:divBdr>
        </w:div>
      </w:divsChild>
    </w:div>
    <w:div w:id="2100638255">
      <w:bodyDiv w:val="1"/>
      <w:marLeft w:val="0"/>
      <w:marRight w:val="0"/>
      <w:marTop w:val="0"/>
      <w:marBottom w:val="0"/>
      <w:divBdr>
        <w:top w:val="none" w:sz="0" w:space="0" w:color="auto"/>
        <w:left w:val="none" w:sz="0" w:space="0" w:color="auto"/>
        <w:bottom w:val="none" w:sz="0" w:space="0" w:color="auto"/>
        <w:right w:val="none" w:sz="0" w:space="0" w:color="auto"/>
      </w:divBdr>
      <w:divsChild>
        <w:div w:id="2042785016">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4B709-7D12-4F77-9E87-86BCC7E825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3233</Words>
  <Characters>18429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Gjoka (2224325)</cp:lastModifiedBy>
  <cp:revision>2</cp:revision>
  <dcterms:created xsi:type="dcterms:W3CDTF">2024-05-10T19:16:00Z</dcterms:created>
  <dcterms:modified xsi:type="dcterms:W3CDTF">2024-05-10T19:16:00Z</dcterms:modified>
</cp:coreProperties>
</file>