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007BF" w14:textId="77777777" w:rsidR="001308FF" w:rsidRDefault="001D2565">
      <w:pPr>
        <w:jc w:val="center"/>
        <w:rPr>
          <w:rFonts w:ascii="Arial" w:hAnsi="Arial" w:cs="Arial"/>
          <w:sz w:val="32"/>
          <w:szCs w:val="32"/>
        </w:rPr>
      </w:pPr>
      <w:r>
        <w:rPr>
          <w:rFonts w:ascii="Arial" w:hAnsi="Arial" w:cs="Arial"/>
          <w:sz w:val="32"/>
          <w:szCs w:val="32"/>
        </w:rPr>
        <w:t xml:space="preserve">STRATEGIG MANAGEMENT FOR </w:t>
      </w:r>
    </w:p>
    <w:p w14:paraId="2F35EB47" w14:textId="77777777" w:rsidR="001308FF" w:rsidRDefault="001D2565">
      <w:pPr>
        <w:jc w:val="center"/>
        <w:rPr>
          <w:rFonts w:ascii="Arial" w:hAnsi="Arial" w:cs="Arial"/>
          <w:sz w:val="32"/>
          <w:szCs w:val="32"/>
        </w:rPr>
      </w:pPr>
      <w:r>
        <w:rPr>
          <w:rFonts w:ascii="Arial" w:hAnsi="Arial" w:cs="Arial"/>
          <w:sz w:val="32"/>
          <w:szCs w:val="32"/>
        </w:rPr>
        <w:t>SMEs</w:t>
      </w:r>
    </w:p>
    <w:p w14:paraId="428FC1CF" w14:textId="77777777" w:rsidR="001308FF" w:rsidRDefault="001308FF">
      <w:pPr>
        <w:jc w:val="center"/>
        <w:rPr>
          <w:rFonts w:ascii="Arial" w:hAnsi="Arial" w:cs="Arial"/>
          <w:sz w:val="32"/>
          <w:szCs w:val="32"/>
        </w:rPr>
      </w:pPr>
    </w:p>
    <w:p w14:paraId="200AF2D3" w14:textId="77777777" w:rsidR="001308FF" w:rsidRDefault="001308FF">
      <w:pPr>
        <w:jc w:val="center"/>
        <w:rPr>
          <w:rFonts w:ascii="Arial" w:hAnsi="Arial" w:cs="Arial"/>
          <w:sz w:val="32"/>
          <w:szCs w:val="32"/>
        </w:rPr>
      </w:pPr>
    </w:p>
    <w:p w14:paraId="5F124D36" w14:textId="77777777" w:rsidR="001308FF" w:rsidRDefault="001308FF">
      <w:pPr>
        <w:jc w:val="center"/>
        <w:rPr>
          <w:rFonts w:ascii="Arial" w:hAnsi="Arial" w:cs="Arial"/>
          <w:sz w:val="32"/>
          <w:szCs w:val="32"/>
        </w:rPr>
      </w:pPr>
    </w:p>
    <w:p w14:paraId="5C28F22C" w14:textId="77777777" w:rsidR="001308FF" w:rsidRDefault="001D2565">
      <w:pPr>
        <w:jc w:val="center"/>
        <w:rPr>
          <w:rFonts w:ascii="Arial" w:hAnsi="Arial" w:cs="Arial"/>
          <w:sz w:val="32"/>
          <w:szCs w:val="32"/>
        </w:rPr>
      </w:pPr>
      <w:r>
        <w:rPr>
          <w:rFonts w:ascii="Arial" w:hAnsi="Arial" w:cs="Arial"/>
          <w:sz w:val="32"/>
          <w:szCs w:val="32"/>
        </w:rPr>
        <w:t xml:space="preserve">UNIVERSITY OF WALES TRINITY </w:t>
      </w:r>
    </w:p>
    <w:p w14:paraId="29DF6EDB" w14:textId="77777777" w:rsidR="001308FF" w:rsidRDefault="001D2565">
      <w:pPr>
        <w:jc w:val="center"/>
        <w:rPr>
          <w:rFonts w:ascii="Arial" w:hAnsi="Arial" w:cs="Arial"/>
          <w:sz w:val="32"/>
          <w:szCs w:val="32"/>
        </w:rPr>
      </w:pPr>
      <w:r>
        <w:rPr>
          <w:rFonts w:ascii="Arial" w:hAnsi="Arial" w:cs="Arial"/>
          <w:sz w:val="32"/>
          <w:szCs w:val="32"/>
        </w:rPr>
        <w:t>SAINT DAVID</w:t>
      </w:r>
    </w:p>
    <w:p w14:paraId="7BAC9E79" w14:textId="77777777" w:rsidR="001308FF" w:rsidRDefault="001308FF">
      <w:pPr>
        <w:jc w:val="center"/>
        <w:rPr>
          <w:rFonts w:ascii="Arial" w:hAnsi="Arial" w:cs="Arial"/>
          <w:sz w:val="32"/>
          <w:szCs w:val="32"/>
        </w:rPr>
      </w:pPr>
    </w:p>
    <w:p w14:paraId="28487CC6" w14:textId="77777777" w:rsidR="001308FF" w:rsidRDefault="001308FF">
      <w:pPr>
        <w:jc w:val="center"/>
        <w:rPr>
          <w:rFonts w:ascii="Arial" w:hAnsi="Arial" w:cs="Arial"/>
          <w:sz w:val="32"/>
          <w:szCs w:val="32"/>
        </w:rPr>
      </w:pPr>
    </w:p>
    <w:p w14:paraId="7FE7724C" w14:textId="77777777" w:rsidR="001308FF" w:rsidRDefault="001308FF">
      <w:pPr>
        <w:jc w:val="center"/>
        <w:rPr>
          <w:rFonts w:ascii="Arial" w:hAnsi="Arial" w:cs="Arial"/>
          <w:sz w:val="32"/>
          <w:szCs w:val="32"/>
        </w:rPr>
      </w:pPr>
    </w:p>
    <w:p w14:paraId="6D18BA8D" w14:textId="77777777" w:rsidR="001308FF" w:rsidRDefault="001308FF">
      <w:pPr>
        <w:jc w:val="center"/>
        <w:rPr>
          <w:rFonts w:ascii="Arial" w:hAnsi="Arial" w:cs="Arial"/>
          <w:sz w:val="32"/>
          <w:szCs w:val="32"/>
        </w:rPr>
      </w:pPr>
    </w:p>
    <w:p w14:paraId="68B9B79E" w14:textId="77777777" w:rsidR="001308FF" w:rsidRDefault="001D2565">
      <w:pPr>
        <w:jc w:val="center"/>
        <w:rPr>
          <w:rFonts w:ascii="Arial" w:hAnsi="Arial" w:cs="Arial"/>
          <w:sz w:val="32"/>
          <w:szCs w:val="32"/>
        </w:rPr>
      </w:pPr>
      <w:r>
        <w:rPr>
          <w:rFonts w:ascii="Arial" w:hAnsi="Arial" w:cs="Arial"/>
          <w:sz w:val="32"/>
          <w:szCs w:val="32"/>
        </w:rPr>
        <w:t>MODUL NUMBER: BMSW6104</w:t>
      </w:r>
    </w:p>
    <w:p w14:paraId="37C6271A" w14:textId="77777777" w:rsidR="001308FF" w:rsidRDefault="001308FF">
      <w:pPr>
        <w:jc w:val="center"/>
        <w:rPr>
          <w:rFonts w:ascii="Arial" w:hAnsi="Arial" w:cs="Arial"/>
          <w:sz w:val="32"/>
          <w:szCs w:val="32"/>
        </w:rPr>
      </w:pPr>
    </w:p>
    <w:p w14:paraId="47D6F034" w14:textId="77777777" w:rsidR="001308FF" w:rsidRDefault="001D2565">
      <w:pPr>
        <w:jc w:val="center"/>
        <w:rPr>
          <w:rFonts w:ascii="Arial" w:hAnsi="Arial" w:cs="Arial"/>
          <w:sz w:val="32"/>
          <w:szCs w:val="32"/>
        </w:rPr>
      </w:pPr>
      <w:r>
        <w:rPr>
          <w:rFonts w:ascii="Arial" w:hAnsi="Arial" w:cs="Arial"/>
          <w:sz w:val="32"/>
          <w:szCs w:val="32"/>
        </w:rPr>
        <w:t>LECTURER NAME: Dr. Oluwaseun Adegbite</w:t>
      </w:r>
    </w:p>
    <w:p w14:paraId="1BC9D9FA" w14:textId="77777777" w:rsidR="001308FF" w:rsidRDefault="001308FF">
      <w:pPr>
        <w:jc w:val="center"/>
        <w:rPr>
          <w:rFonts w:ascii="Arial" w:hAnsi="Arial" w:cs="Arial"/>
          <w:sz w:val="32"/>
          <w:szCs w:val="32"/>
        </w:rPr>
      </w:pPr>
    </w:p>
    <w:p w14:paraId="29BC128E" w14:textId="77777777" w:rsidR="001308FF" w:rsidRDefault="001308FF">
      <w:pPr>
        <w:jc w:val="center"/>
        <w:rPr>
          <w:rFonts w:ascii="Arial" w:hAnsi="Arial" w:cs="Arial"/>
          <w:sz w:val="32"/>
          <w:szCs w:val="32"/>
        </w:rPr>
      </w:pPr>
    </w:p>
    <w:p w14:paraId="2F20970C" w14:textId="77777777" w:rsidR="001308FF" w:rsidRDefault="001308FF">
      <w:pPr>
        <w:jc w:val="center"/>
        <w:rPr>
          <w:rFonts w:ascii="Arial" w:hAnsi="Arial" w:cs="Arial"/>
          <w:sz w:val="32"/>
          <w:szCs w:val="32"/>
        </w:rPr>
      </w:pPr>
    </w:p>
    <w:p w14:paraId="104F6973" w14:textId="77777777" w:rsidR="001308FF" w:rsidRDefault="001308FF">
      <w:pPr>
        <w:jc w:val="center"/>
        <w:rPr>
          <w:rFonts w:ascii="Arial" w:hAnsi="Arial" w:cs="Arial"/>
          <w:sz w:val="32"/>
          <w:szCs w:val="32"/>
        </w:rPr>
      </w:pPr>
    </w:p>
    <w:p w14:paraId="518D1C32" w14:textId="77777777" w:rsidR="001308FF" w:rsidRDefault="001D2565">
      <w:pPr>
        <w:jc w:val="center"/>
        <w:rPr>
          <w:rFonts w:ascii="Arial" w:hAnsi="Arial" w:cs="Arial"/>
          <w:sz w:val="32"/>
          <w:szCs w:val="32"/>
        </w:rPr>
      </w:pPr>
      <w:r>
        <w:rPr>
          <w:rFonts w:ascii="Arial" w:hAnsi="Arial" w:cs="Arial"/>
          <w:sz w:val="32"/>
          <w:szCs w:val="32"/>
        </w:rPr>
        <w:t>STUDENT NAME: Adrian Pop</w:t>
      </w:r>
    </w:p>
    <w:p w14:paraId="2D7F8594" w14:textId="77777777" w:rsidR="001308FF" w:rsidRDefault="001308FF">
      <w:pPr>
        <w:jc w:val="center"/>
        <w:rPr>
          <w:rFonts w:ascii="Arial" w:hAnsi="Arial" w:cs="Arial"/>
          <w:sz w:val="32"/>
          <w:szCs w:val="32"/>
        </w:rPr>
      </w:pPr>
    </w:p>
    <w:p w14:paraId="10344953" w14:textId="77777777" w:rsidR="001308FF" w:rsidRDefault="001D2565">
      <w:pPr>
        <w:jc w:val="center"/>
        <w:rPr>
          <w:rFonts w:ascii="Arial" w:hAnsi="Arial" w:cs="Arial"/>
          <w:sz w:val="32"/>
          <w:szCs w:val="32"/>
        </w:rPr>
      </w:pPr>
      <w:r>
        <w:rPr>
          <w:rFonts w:ascii="Arial" w:hAnsi="Arial" w:cs="Arial"/>
          <w:sz w:val="32"/>
          <w:szCs w:val="32"/>
        </w:rPr>
        <w:t>STUDENT NUMBER: 2109183</w:t>
      </w:r>
    </w:p>
    <w:p w14:paraId="40ED9E5D" w14:textId="77777777" w:rsidR="001308FF" w:rsidRDefault="001308FF">
      <w:pPr>
        <w:jc w:val="center"/>
        <w:rPr>
          <w:rFonts w:ascii="Arial" w:hAnsi="Arial" w:cs="Arial"/>
          <w:sz w:val="32"/>
          <w:szCs w:val="32"/>
        </w:rPr>
      </w:pPr>
    </w:p>
    <w:p w14:paraId="76E12BE0" w14:textId="77777777" w:rsidR="001308FF" w:rsidRDefault="001308FF">
      <w:pPr>
        <w:rPr>
          <w:rFonts w:ascii="Arial" w:hAnsi="Arial" w:cs="Arial"/>
          <w:sz w:val="32"/>
          <w:szCs w:val="32"/>
        </w:rPr>
      </w:pPr>
    </w:p>
    <w:p w14:paraId="375D2544" w14:textId="77777777" w:rsidR="001308FF" w:rsidRDefault="001D2565">
      <w:pPr>
        <w:jc w:val="center"/>
      </w:pPr>
      <w:r>
        <w:rPr>
          <w:rFonts w:ascii="Arial" w:hAnsi="Arial" w:cs="Arial"/>
          <w:sz w:val="32"/>
          <w:szCs w:val="32"/>
        </w:rPr>
        <w:t xml:space="preserve">EMAIL: </w:t>
      </w:r>
      <w:hyperlink r:id="rId6" w:history="1">
        <w:r>
          <w:rPr>
            <w:rStyle w:val="Hyperlink"/>
            <w:rFonts w:ascii="Arial" w:hAnsi="Arial" w:cs="Arial"/>
            <w:sz w:val="32"/>
            <w:szCs w:val="32"/>
          </w:rPr>
          <w:t>2109183@student.uwtsd.ac.uk</w:t>
        </w:r>
      </w:hyperlink>
    </w:p>
    <w:p w14:paraId="0B6B62F8" w14:textId="11E57D06" w:rsidR="00405290" w:rsidRDefault="00405290">
      <w:pPr>
        <w:rPr>
          <w:rFonts w:ascii="Arial" w:hAnsi="Arial" w:cs="Arial"/>
          <w:sz w:val="32"/>
          <w:szCs w:val="32"/>
        </w:rPr>
      </w:pPr>
    </w:p>
    <w:p w14:paraId="2BF9FE8A" w14:textId="0B32955E" w:rsidR="00405290" w:rsidRDefault="00405290">
      <w:pPr>
        <w:rPr>
          <w:rFonts w:ascii="Arial" w:hAnsi="Arial" w:cs="Arial"/>
          <w:sz w:val="32"/>
          <w:szCs w:val="32"/>
        </w:rPr>
      </w:pPr>
      <w:r>
        <w:rPr>
          <w:rFonts w:ascii="Arial" w:hAnsi="Arial" w:cs="Arial"/>
          <w:sz w:val="32"/>
          <w:szCs w:val="32"/>
        </w:rPr>
        <w:lastRenderedPageBreak/>
        <w:t>TABLE OF CONTENT</w:t>
      </w:r>
    </w:p>
    <w:p w14:paraId="2E98F1F8" w14:textId="658D44F3" w:rsidR="00405290" w:rsidRDefault="00405290">
      <w:pPr>
        <w:rPr>
          <w:rFonts w:ascii="Arial" w:hAnsi="Arial" w:cs="Arial"/>
          <w:sz w:val="32"/>
          <w:szCs w:val="32"/>
        </w:rPr>
      </w:pPr>
      <w:r>
        <w:rPr>
          <w:rFonts w:ascii="Arial" w:hAnsi="Arial" w:cs="Arial"/>
          <w:sz w:val="32"/>
          <w:szCs w:val="32"/>
        </w:rPr>
        <w:t>Introduction ………………………………………………page3</w:t>
      </w:r>
    </w:p>
    <w:p w14:paraId="779B103D" w14:textId="396E9F1D" w:rsidR="00405290" w:rsidRDefault="00405290">
      <w:pPr>
        <w:rPr>
          <w:rFonts w:ascii="Arial" w:hAnsi="Arial" w:cs="Arial"/>
          <w:sz w:val="32"/>
          <w:szCs w:val="32"/>
        </w:rPr>
      </w:pPr>
      <w:r>
        <w:rPr>
          <w:rFonts w:ascii="Arial" w:hAnsi="Arial" w:cs="Arial"/>
          <w:sz w:val="32"/>
          <w:szCs w:val="32"/>
        </w:rPr>
        <w:t>Current strategic direction………………………………page4</w:t>
      </w:r>
    </w:p>
    <w:p w14:paraId="63DAF393" w14:textId="3F418424" w:rsidR="00405290" w:rsidRDefault="00405290">
      <w:pPr>
        <w:rPr>
          <w:rFonts w:ascii="Arial" w:hAnsi="Arial" w:cs="Arial"/>
          <w:sz w:val="32"/>
          <w:szCs w:val="32"/>
        </w:rPr>
      </w:pPr>
      <w:r w:rsidRPr="00405290">
        <w:rPr>
          <w:rFonts w:ascii="Arial" w:hAnsi="Arial" w:cs="Arial"/>
          <w:sz w:val="32"/>
          <w:szCs w:val="32"/>
        </w:rPr>
        <w:t>Organizations external and internal environment ( PESTLE)</w:t>
      </w:r>
    </w:p>
    <w:p w14:paraId="4F772D99" w14:textId="5A4A8DDF" w:rsidR="00405290" w:rsidRDefault="00405290">
      <w:pPr>
        <w:rPr>
          <w:rFonts w:ascii="Arial" w:hAnsi="Arial" w:cs="Arial"/>
          <w:sz w:val="32"/>
          <w:szCs w:val="32"/>
        </w:rPr>
      </w:pPr>
      <w:r>
        <w:rPr>
          <w:rFonts w:ascii="Arial" w:hAnsi="Arial" w:cs="Arial"/>
          <w:sz w:val="32"/>
          <w:szCs w:val="32"/>
        </w:rPr>
        <w:t xml:space="preserve">                                                                                 page4-6</w:t>
      </w:r>
    </w:p>
    <w:p w14:paraId="3D705075" w14:textId="772D92AC" w:rsidR="00405290" w:rsidRDefault="00405290">
      <w:pPr>
        <w:rPr>
          <w:rFonts w:ascii="Arial" w:hAnsi="Arial" w:cs="Arial"/>
          <w:sz w:val="32"/>
          <w:szCs w:val="32"/>
        </w:rPr>
      </w:pPr>
      <w:r>
        <w:rPr>
          <w:rFonts w:ascii="Arial" w:hAnsi="Arial" w:cs="Arial"/>
          <w:sz w:val="32"/>
          <w:szCs w:val="32"/>
        </w:rPr>
        <w:t>Stakeholders analysis…………………………………page6-8</w:t>
      </w:r>
    </w:p>
    <w:p w14:paraId="2A60C047" w14:textId="7F8EC620" w:rsidR="00405290" w:rsidRDefault="00405290">
      <w:pPr>
        <w:rPr>
          <w:rFonts w:ascii="Arial" w:hAnsi="Arial" w:cs="Arial"/>
          <w:sz w:val="32"/>
          <w:szCs w:val="32"/>
        </w:rPr>
      </w:pPr>
      <w:r w:rsidRPr="00405290">
        <w:rPr>
          <w:rFonts w:ascii="Arial" w:hAnsi="Arial" w:cs="Arial"/>
          <w:sz w:val="32"/>
          <w:szCs w:val="32"/>
        </w:rPr>
        <w:t>Available strategic growth choices / new strategies</w:t>
      </w:r>
      <w:r>
        <w:rPr>
          <w:rFonts w:ascii="Arial" w:hAnsi="Arial" w:cs="Arial"/>
          <w:sz w:val="32"/>
          <w:szCs w:val="32"/>
        </w:rPr>
        <w:t xml:space="preserve"> </w:t>
      </w:r>
      <w:r w:rsidR="00D30297">
        <w:rPr>
          <w:rFonts w:ascii="Arial" w:hAnsi="Arial" w:cs="Arial"/>
          <w:sz w:val="32"/>
          <w:szCs w:val="32"/>
        </w:rPr>
        <w:t>page8-9</w:t>
      </w:r>
    </w:p>
    <w:p w14:paraId="2353A60C" w14:textId="794938EB" w:rsidR="00D30297" w:rsidRDefault="00D30297">
      <w:pPr>
        <w:rPr>
          <w:rFonts w:ascii="Arial" w:hAnsi="Arial" w:cs="Arial"/>
          <w:sz w:val="32"/>
          <w:szCs w:val="32"/>
        </w:rPr>
      </w:pPr>
      <w:r w:rsidRPr="00D30297">
        <w:rPr>
          <w:rFonts w:ascii="Arial" w:hAnsi="Arial" w:cs="Arial"/>
          <w:sz w:val="32"/>
          <w:szCs w:val="32"/>
        </w:rPr>
        <w:t>Recommendation for future developments</w:t>
      </w:r>
      <w:r>
        <w:rPr>
          <w:rFonts w:ascii="Arial" w:hAnsi="Arial" w:cs="Arial"/>
          <w:sz w:val="32"/>
          <w:szCs w:val="32"/>
        </w:rPr>
        <w:t>………page10-11</w:t>
      </w:r>
    </w:p>
    <w:p w14:paraId="091983E3" w14:textId="7EC726D4" w:rsidR="00D30297" w:rsidRDefault="00D30297">
      <w:pPr>
        <w:rPr>
          <w:rFonts w:ascii="Arial" w:hAnsi="Arial" w:cs="Arial"/>
          <w:sz w:val="32"/>
          <w:szCs w:val="32"/>
        </w:rPr>
      </w:pPr>
      <w:r>
        <w:rPr>
          <w:rFonts w:ascii="Arial" w:hAnsi="Arial" w:cs="Arial"/>
          <w:sz w:val="32"/>
          <w:szCs w:val="32"/>
        </w:rPr>
        <w:t>Conclusion…………………………………………........page11</w:t>
      </w:r>
    </w:p>
    <w:p w14:paraId="392988CE" w14:textId="7B2E318A" w:rsidR="00D30297" w:rsidRDefault="00D30297">
      <w:pPr>
        <w:rPr>
          <w:rFonts w:ascii="Arial" w:hAnsi="Arial" w:cs="Arial"/>
          <w:sz w:val="32"/>
          <w:szCs w:val="32"/>
        </w:rPr>
      </w:pPr>
      <w:proofErr w:type="spellStart"/>
      <w:r>
        <w:rPr>
          <w:rFonts w:ascii="Arial" w:hAnsi="Arial" w:cs="Arial"/>
          <w:sz w:val="32"/>
          <w:szCs w:val="32"/>
        </w:rPr>
        <w:t>Refference</w:t>
      </w:r>
      <w:proofErr w:type="spellEnd"/>
      <w:r>
        <w:rPr>
          <w:rFonts w:ascii="Arial" w:hAnsi="Arial" w:cs="Arial"/>
          <w:sz w:val="32"/>
          <w:szCs w:val="32"/>
        </w:rPr>
        <w:t>……………………………………………page12-13</w:t>
      </w:r>
    </w:p>
    <w:p w14:paraId="5FED4ACC" w14:textId="77777777" w:rsidR="00405290" w:rsidRDefault="00405290">
      <w:pPr>
        <w:rPr>
          <w:rFonts w:ascii="Arial" w:hAnsi="Arial" w:cs="Arial"/>
          <w:sz w:val="32"/>
          <w:szCs w:val="32"/>
        </w:rPr>
      </w:pPr>
    </w:p>
    <w:p w14:paraId="7462706B" w14:textId="0279B370" w:rsidR="00405290" w:rsidRDefault="00405290">
      <w:pPr>
        <w:suppressAutoHyphens w:val="0"/>
        <w:rPr>
          <w:rFonts w:ascii="Arial" w:hAnsi="Arial" w:cs="Arial"/>
          <w:sz w:val="32"/>
          <w:szCs w:val="32"/>
        </w:rPr>
      </w:pPr>
      <w:r>
        <w:rPr>
          <w:rFonts w:ascii="Arial" w:hAnsi="Arial" w:cs="Arial"/>
          <w:sz w:val="32"/>
          <w:szCs w:val="32"/>
        </w:rPr>
        <w:br w:type="page"/>
      </w:r>
    </w:p>
    <w:p w14:paraId="6CF0D1AB" w14:textId="77777777" w:rsidR="001308FF" w:rsidRDefault="001308FF">
      <w:pPr>
        <w:rPr>
          <w:rFonts w:ascii="Arial" w:hAnsi="Arial" w:cs="Arial"/>
          <w:sz w:val="32"/>
          <w:szCs w:val="32"/>
        </w:rPr>
      </w:pPr>
    </w:p>
    <w:p w14:paraId="31C07F97" w14:textId="77777777" w:rsidR="001308FF" w:rsidRDefault="001D2565">
      <w:pPr>
        <w:pStyle w:val="Heading1"/>
      </w:pPr>
      <w:r>
        <w:t>1.0 INTRODUCTION</w:t>
      </w:r>
    </w:p>
    <w:p w14:paraId="40EB7FE0" w14:textId="77777777" w:rsidR="001308FF" w:rsidRDefault="001D2565">
      <w:pPr>
        <w:spacing w:line="360" w:lineRule="auto"/>
      </w:pPr>
      <w:r>
        <w:rPr>
          <w:rFonts w:ascii="Arial" w:hAnsi="Arial" w:cs="Arial"/>
        </w:rPr>
        <w:t xml:space="preserve">     </w:t>
      </w:r>
      <w:r>
        <w:rPr>
          <w:rFonts w:ascii="Arial" w:eastAsia="Times New Roman" w:hAnsi="Arial" w:cs="Arial"/>
          <w:lang w:eastAsia="en-GB"/>
        </w:rPr>
        <w:t>A small and medium-sized business in the renewable energy industry is called GreenTech Solutions. The company was founded by a group of environmental enthu</w:t>
      </w:r>
      <w:r>
        <w:rPr>
          <w:rFonts w:ascii="Arial" w:eastAsia="Times New Roman" w:hAnsi="Arial" w:cs="Arial"/>
          <w:lang w:eastAsia="en-GB"/>
        </w:rPr>
        <w:t>siasts five years ago(Smith et al.,2019), and its speciality is offering residential and commercial clients sustainable energy solutions. The company began by specialising in residential solar panel installations, but over time it has added other renewable</w:t>
      </w:r>
      <w:r>
        <w:rPr>
          <w:rFonts w:ascii="Arial" w:eastAsia="Times New Roman" w:hAnsi="Arial" w:cs="Arial"/>
          <w:lang w:eastAsia="en-GB"/>
        </w:rPr>
        <w:t xml:space="preserve"> energy technologies to its portfolio, like wind turbines, energy-efficient lighting systems, and smart home energy management systems. Even though GreenTech Solutions is a relatively new business, it has already made a name for itself with its creative ap</w:t>
      </w:r>
      <w:r>
        <w:rPr>
          <w:rFonts w:ascii="Arial" w:eastAsia="Times New Roman" w:hAnsi="Arial" w:cs="Arial"/>
          <w:lang w:eastAsia="en-GB"/>
        </w:rPr>
        <w:t>proach to renewable energy solutions and dedication to environmental sustainability(Jones &amp; Brown, 2020). The company takes pride in providing affordable, environmentally friendly substitutes for conventional energy sources, assisting its customers in lowe</w:t>
      </w:r>
      <w:r>
        <w:rPr>
          <w:rFonts w:ascii="Arial" w:eastAsia="Times New Roman" w:hAnsi="Arial" w:cs="Arial"/>
          <w:lang w:eastAsia="en-GB"/>
        </w:rPr>
        <w:t>ring their carbon footprint and ultimately saving money on energy expenses.</w:t>
      </w:r>
    </w:p>
    <w:p w14:paraId="25957ACF" w14:textId="77777777" w:rsidR="001308FF" w:rsidRDefault="001D2565">
      <w:pPr>
        <w:spacing w:line="360" w:lineRule="auto"/>
        <w:rPr>
          <w:rFonts w:ascii="Arial" w:eastAsia="Times New Roman" w:hAnsi="Arial" w:cs="Arial"/>
          <w:lang w:eastAsia="en-GB"/>
        </w:rPr>
      </w:pPr>
      <w:r>
        <w:rPr>
          <w:rFonts w:ascii="Arial" w:eastAsia="Times New Roman" w:hAnsi="Arial" w:cs="Arial"/>
          <w:lang w:eastAsia="en-GB"/>
        </w:rPr>
        <w:t xml:space="preserve">     Despite being in a competitive sector with larger firms controlling much of the market, GreenTech Solutions has been able to carve out a significant market share and cultivate</w:t>
      </w:r>
      <w:r>
        <w:rPr>
          <w:rFonts w:ascii="Arial" w:eastAsia="Times New Roman" w:hAnsi="Arial" w:cs="Arial"/>
          <w:lang w:eastAsia="en-GB"/>
        </w:rPr>
        <w:t xml:space="preserve"> a devoted customer base thanks to its specific focus on sustainable energy solutions(Smith et al.,2019). The company's strategic management methods—which include a proactive approach to market analysis, a clear goal, and a dedication to ongoing innovation</w:t>
      </w:r>
      <w:r>
        <w:rPr>
          <w:rFonts w:ascii="Arial" w:eastAsia="Times New Roman" w:hAnsi="Arial" w:cs="Arial"/>
          <w:lang w:eastAsia="en-GB"/>
        </w:rPr>
        <w:t>—are responsible for its success.</w:t>
      </w:r>
    </w:p>
    <w:p w14:paraId="72952725" w14:textId="77777777" w:rsidR="001308FF" w:rsidRDefault="001D2565">
      <w:pPr>
        <w:spacing w:after="0" w:line="360" w:lineRule="auto"/>
        <w:rPr>
          <w:rFonts w:ascii="Arial" w:eastAsia="Times New Roman" w:hAnsi="Arial" w:cs="Arial"/>
          <w:lang w:eastAsia="en-GB"/>
        </w:rPr>
      </w:pPr>
      <w:r>
        <w:rPr>
          <w:rFonts w:ascii="Arial" w:eastAsia="Times New Roman" w:hAnsi="Arial" w:cs="Arial"/>
          <w:lang w:eastAsia="en-GB"/>
        </w:rPr>
        <w:t>We will examine GreenTech Solutions' strategic management style in more detail in the sections that follow, looking at how it has allowed the firm to succeed in the renewable energy industry despite its limited size and re</w:t>
      </w:r>
      <w:r>
        <w:rPr>
          <w:rFonts w:ascii="Arial" w:eastAsia="Times New Roman" w:hAnsi="Arial" w:cs="Arial"/>
          <w:lang w:eastAsia="en-GB"/>
        </w:rPr>
        <w:t>sources.</w:t>
      </w:r>
    </w:p>
    <w:p w14:paraId="5F0BAF60" w14:textId="77777777" w:rsidR="001308FF" w:rsidRDefault="001308FF">
      <w:pPr>
        <w:rPr>
          <w:rFonts w:ascii="Times New Roman" w:eastAsia="Times New Roman" w:hAnsi="Times New Roman"/>
          <w:sz w:val="24"/>
          <w:szCs w:val="24"/>
          <w:lang w:eastAsia="en-GB"/>
        </w:rPr>
      </w:pPr>
    </w:p>
    <w:p w14:paraId="5E53D64E" w14:textId="77777777" w:rsidR="001308FF" w:rsidRDefault="001308FF">
      <w:pPr>
        <w:spacing w:line="360" w:lineRule="auto"/>
        <w:rPr>
          <w:rFonts w:ascii="Arial" w:hAnsi="Arial" w:cs="Arial"/>
        </w:rPr>
      </w:pPr>
    </w:p>
    <w:p w14:paraId="515165C5" w14:textId="77777777" w:rsidR="001308FF" w:rsidRDefault="001308FF">
      <w:pPr>
        <w:spacing w:line="360" w:lineRule="auto"/>
        <w:rPr>
          <w:rFonts w:ascii="Arial" w:hAnsi="Arial" w:cs="Arial"/>
        </w:rPr>
      </w:pPr>
    </w:p>
    <w:p w14:paraId="3ABA24F0" w14:textId="77777777" w:rsidR="001308FF" w:rsidRDefault="001308FF">
      <w:pPr>
        <w:spacing w:line="360" w:lineRule="auto"/>
        <w:rPr>
          <w:rFonts w:ascii="Arial" w:hAnsi="Arial" w:cs="Arial"/>
        </w:rPr>
      </w:pPr>
    </w:p>
    <w:p w14:paraId="1227D405" w14:textId="77777777" w:rsidR="001308FF" w:rsidRDefault="001308FF">
      <w:pPr>
        <w:spacing w:line="360" w:lineRule="auto"/>
        <w:rPr>
          <w:rFonts w:ascii="Arial" w:hAnsi="Arial" w:cs="Arial"/>
        </w:rPr>
      </w:pPr>
    </w:p>
    <w:p w14:paraId="1CFD8C93" w14:textId="77777777" w:rsidR="001308FF" w:rsidRDefault="001308FF">
      <w:pPr>
        <w:spacing w:line="360" w:lineRule="auto"/>
        <w:rPr>
          <w:rFonts w:ascii="Arial" w:hAnsi="Arial" w:cs="Arial"/>
        </w:rPr>
      </w:pPr>
    </w:p>
    <w:p w14:paraId="4606A530" w14:textId="77777777" w:rsidR="001308FF" w:rsidRDefault="001308FF">
      <w:pPr>
        <w:spacing w:line="360" w:lineRule="auto"/>
        <w:rPr>
          <w:rFonts w:ascii="Arial" w:hAnsi="Arial" w:cs="Arial"/>
        </w:rPr>
      </w:pPr>
    </w:p>
    <w:p w14:paraId="07FC0EB6" w14:textId="77777777" w:rsidR="001308FF" w:rsidRDefault="001308FF">
      <w:pPr>
        <w:spacing w:line="360" w:lineRule="auto"/>
        <w:rPr>
          <w:rFonts w:ascii="Arial" w:hAnsi="Arial" w:cs="Arial"/>
        </w:rPr>
      </w:pPr>
    </w:p>
    <w:p w14:paraId="6BCD21A6" w14:textId="77777777" w:rsidR="001308FF" w:rsidRDefault="001308FF">
      <w:pPr>
        <w:spacing w:line="360" w:lineRule="auto"/>
        <w:rPr>
          <w:rFonts w:ascii="Arial" w:hAnsi="Arial" w:cs="Arial"/>
        </w:rPr>
      </w:pPr>
    </w:p>
    <w:p w14:paraId="3790CCB9" w14:textId="77777777" w:rsidR="001308FF" w:rsidRDefault="001308FF">
      <w:pPr>
        <w:spacing w:line="360" w:lineRule="auto"/>
        <w:rPr>
          <w:rFonts w:ascii="Arial" w:hAnsi="Arial" w:cs="Arial"/>
        </w:rPr>
      </w:pPr>
    </w:p>
    <w:p w14:paraId="490AB2F1" w14:textId="77777777" w:rsidR="001308FF" w:rsidRDefault="001308FF">
      <w:pPr>
        <w:spacing w:line="360" w:lineRule="auto"/>
        <w:rPr>
          <w:rFonts w:ascii="Arial" w:hAnsi="Arial" w:cs="Arial"/>
        </w:rPr>
      </w:pPr>
    </w:p>
    <w:p w14:paraId="3A7FAA4F" w14:textId="77777777" w:rsidR="001308FF" w:rsidRDefault="001308FF">
      <w:pPr>
        <w:spacing w:line="360" w:lineRule="auto"/>
        <w:rPr>
          <w:rFonts w:ascii="Arial" w:hAnsi="Arial" w:cs="Arial"/>
        </w:rPr>
      </w:pPr>
    </w:p>
    <w:p w14:paraId="4EB55B9C" w14:textId="77777777" w:rsidR="001308FF" w:rsidRDefault="001308FF">
      <w:pPr>
        <w:spacing w:line="360" w:lineRule="auto"/>
        <w:rPr>
          <w:rFonts w:ascii="Arial" w:hAnsi="Arial" w:cs="Arial"/>
        </w:rPr>
      </w:pPr>
    </w:p>
    <w:p w14:paraId="1E885161" w14:textId="77777777" w:rsidR="001308FF" w:rsidRDefault="001D2565">
      <w:pPr>
        <w:pStyle w:val="Heading1"/>
      </w:pPr>
      <w:r>
        <w:t>2.0 Current strategic direction</w:t>
      </w:r>
    </w:p>
    <w:p w14:paraId="6EA6CAAE" w14:textId="77777777" w:rsidR="001308FF" w:rsidRDefault="001D2565">
      <w:pPr>
        <w:suppressAutoHyphens w:val="0"/>
        <w:spacing w:line="360" w:lineRule="auto"/>
      </w:pPr>
      <w:r>
        <w:t xml:space="preserve">     </w:t>
      </w:r>
      <w:r>
        <w:rPr>
          <w:rFonts w:ascii="Arial" w:eastAsia="Times New Roman" w:hAnsi="Arial" w:cs="Arial"/>
          <w:lang w:eastAsia="en-GB"/>
        </w:rPr>
        <w:t xml:space="preserve">The present strategy orientation of GreenTech Solutions shows a remarkable congruence with the expanding market need for sustainable energy solutions. The firm has benefited from the growing </w:t>
      </w:r>
      <w:r>
        <w:rPr>
          <w:rFonts w:ascii="Arial" w:eastAsia="Times New Roman" w:hAnsi="Arial" w:cs="Arial"/>
          <w:lang w:eastAsia="en-GB"/>
        </w:rPr>
        <w:t>acceptance and understanding of green energy alternatives by first concentrating on solar panel installations and then diversifying into other renewable energy technologies (Brown &amp; Smith, 2021). This tactical decision not only demonstrates the company's d</w:t>
      </w:r>
      <w:r>
        <w:rPr>
          <w:rFonts w:ascii="Arial" w:eastAsia="Times New Roman" w:hAnsi="Arial" w:cs="Arial"/>
          <w:lang w:eastAsia="en-GB"/>
        </w:rPr>
        <w:t>edication to environmental sustainability but also puts it in a strong position to take advantage of future prospects in the renewable energy industry. Furthermore, GreenTech Solutions' proactive approach to strategic management is shown by its emphasis on</w:t>
      </w:r>
      <w:r>
        <w:rPr>
          <w:rFonts w:ascii="Arial" w:eastAsia="Times New Roman" w:hAnsi="Arial" w:cs="Arial"/>
          <w:lang w:eastAsia="en-GB"/>
        </w:rPr>
        <w:t xml:space="preserve"> innovation and continual development (Jones &amp; Johnson, 2022). In order to keep ahead of the competition and satisfy changing client expectations, the firm invests in research and development to investigate new technologies and enhance current goods and se</w:t>
      </w:r>
      <w:r>
        <w:rPr>
          <w:rFonts w:ascii="Arial" w:eastAsia="Times New Roman" w:hAnsi="Arial" w:cs="Arial"/>
          <w:lang w:eastAsia="en-GB"/>
        </w:rPr>
        <w:t>rvices. Though the strategic approach of GreenTech Solutions seems promising, there are a few possible areas that may use better. To discover and capitalise on specialised areas within the renewable energy industry, for example, the firm might benefit from</w:t>
      </w:r>
      <w:r>
        <w:rPr>
          <w:rFonts w:ascii="Arial" w:eastAsia="Times New Roman" w:hAnsi="Arial" w:cs="Arial"/>
          <w:lang w:eastAsia="en-GB"/>
        </w:rPr>
        <w:t xml:space="preserve"> a more thorough market analysis (Smith et al., 2020). Furthermore, in light of the industry's rapid technological improvement, GreenTech Solutions needs to make sure that its strategic orientation is flexible enough to adjust to shifting market conditions</w:t>
      </w:r>
      <w:r>
        <w:rPr>
          <w:rFonts w:ascii="Arial" w:eastAsia="Times New Roman" w:hAnsi="Arial" w:cs="Arial"/>
          <w:lang w:eastAsia="en-GB"/>
        </w:rPr>
        <w:t xml:space="preserve"> and legal requirements (Brown &amp; Lee, 2019).</w:t>
      </w:r>
    </w:p>
    <w:p w14:paraId="0FBA6A41"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All things considered, GreenTech Solutions' present strategic orientation shows a strong dedication to sustainability and innovation, setting the company up for future expansion and success in the renewable</w:t>
      </w:r>
      <w:r>
        <w:rPr>
          <w:rFonts w:ascii="Arial" w:eastAsia="Times New Roman" w:hAnsi="Arial" w:cs="Arial"/>
          <w:lang w:eastAsia="en-GB"/>
        </w:rPr>
        <w:t xml:space="preserve"> energy industry.</w:t>
      </w:r>
    </w:p>
    <w:p w14:paraId="7D8AE898" w14:textId="77777777" w:rsidR="001308FF" w:rsidRDefault="001D2565">
      <w:pPr>
        <w:pStyle w:val="Heading1"/>
      </w:pPr>
      <w:r>
        <w:t xml:space="preserve">3.0 </w:t>
      </w:r>
      <w:bookmarkStart w:id="0" w:name="_Hlk160744521"/>
      <w:r>
        <w:t>Organizations external and internal environment ( PESTLE)</w:t>
      </w:r>
      <w:bookmarkEnd w:id="0"/>
    </w:p>
    <w:p w14:paraId="550A1D22"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w:t>
      </w:r>
    </w:p>
    <w:p w14:paraId="000C7C65"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Political Aspects: The political environment has a big influence on the renewable energy industry. Government incentives, rules, and policies may help or hurt busines</w:t>
      </w:r>
      <w:r>
        <w:rPr>
          <w:rFonts w:ascii="Arial" w:eastAsia="Times New Roman" w:hAnsi="Arial" w:cs="Arial"/>
          <w:lang w:eastAsia="en-GB"/>
        </w:rPr>
        <w:t>ses like Green Tech Solutions as they expand. For instance, policies that encourage the use of renewable energy might open doors for growth, but obstacles in the form of regulations or shifts in government backing could be dangerous.</w:t>
      </w:r>
    </w:p>
    <w:p w14:paraId="7A0CD666" w14:textId="77777777" w:rsidR="001308FF" w:rsidRDefault="001D2565">
      <w:pPr>
        <w:suppressAutoHyphens w:val="0"/>
        <w:spacing w:line="360" w:lineRule="auto"/>
      </w:pPr>
      <w:r>
        <w:rPr>
          <w:rFonts w:ascii="Arial" w:eastAsia="Times New Roman" w:hAnsi="Arial" w:cs="Arial"/>
          <w:sz w:val="24"/>
          <w:szCs w:val="24"/>
          <w:lang w:eastAsia="en-GB"/>
        </w:rPr>
        <w:lastRenderedPageBreak/>
        <w:t xml:space="preserve">     </w:t>
      </w:r>
      <w:r>
        <w:rPr>
          <w:rFonts w:ascii="Arial" w:eastAsia="Times New Roman" w:hAnsi="Arial" w:cs="Arial"/>
          <w:lang w:eastAsia="en-GB"/>
        </w:rPr>
        <w:t>Economic Factors:</w:t>
      </w:r>
      <w:r>
        <w:rPr>
          <w:rFonts w:ascii="Arial" w:eastAsia="Times New Roman" w:hAnsi="Arial" w:cs="Arial"/>
          <w:lang w:eastAsia="en-GB"/>
        </w:rPr>
        <w:t xml:space="preserve"> The demand for renewable energy solutions can be influenced by economic factors such as changes in consumer spending and energy pricing. While economic development and stability might encourage more adoption, economic downturns may result in lower investm</w:t>
      </w:r>
      <w:r>
        <w:rPr>
          <w:rFonts w:ascii="Arial" w:eastAsia="Times New Roman" w:hAnsi="Arial" w:cs="Arial"/>
          <w:lang w:eastAsia="en-GB"/>
        </w:rPr>
        <w:t xml:space="preserve">ent in green technology. It is important for Green Tech Solutions to keep an eye on economic trends in order to spot growth prospects and minimise hazards.       </w:t>
      </w:r>
    </w:p>
    <w:p w14:paraId="598A1199"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Social Factors: The demand for renewable energy solutions is greatly influenced by socie</w:t>
      </w:r>
      <w:r>
        <w:rPr>
          <w:rFonts w:ascii="Arial" w:eastAsia="Times New Roman" w:hAnsi="Arial" w:cs="Arial"/>
          <w:lang w:eastAsia="en-GB"/>
        </w:rPr>
        <w:t>tal views towards environmental sustainability and climate change. Growing public knowledge and concern about environmental concerns provide Green Tech Solutions and other businesses the chance to grow their clientele. On the other hand, consumer behaviour</w:t>
      </w:r>
      <w:r>
        <w:rPr>
          <w:rFonts w:ascii="Arial" w:eastAsia="Times New Roman" w:hAnsi="Arial" w:cs="Arial"/>
          <w:lang w:eastAsia="en-GB"/>
        </w:rPr>
        <w:t xml:space="preserve"> and purchase decisions can also be influenced by societal trends and tastes, which can affect market demand.</w:t>
      </w:r>
    </w:p>
    <w:p w14:paraId="20D1FC84"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Technological Aspects: The renewable energy industry is driven by innovation and competition due to the rapid improvements in technology. For</w:t>
      </w:r>
      <w:r>
        <w:rPr>
          <w:rFonts w:ascii="Arial" w:eastAsia="Times New Roman" w:hAnsi="Arial" w:cs="Arial"/>
          <w:lang w:eastAsia="en-GB"/>
        </w:rPr>
        <w:t xml:space="preserve"> Green Tech Solutions to be competitive and satisfy changing client demands, it is imperative that it keep up with technological advancements. Furthermore, there are chances for expansion and diversification with new technologies like smart grid and energy</w:t>
      </w:r>
      <w:r>
        <w:rPr>
          <w:rFonts w:ascii="Arial" w:eastAsia="Times New Roman" w:hAnsi="Arial" w:cs="Arial"/>
          <w:lang w:eastAsia="en-GB"/>
        </w:rPr>
        <w:t xml:space="preserve"> storage solutions.</w:t>
      </w:r>
    </w:p>
    <w:p w14:paraId="32D116F1"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Legal Factors: The operational environment for renewable energy enterprises is shaped by legal and regulatory frameworks, such as energy policy, environmental restrictions, and laws pertaining to intellectual property. For Green Te</w:t>
      </w:r>
      <w:r>
        <w:rPr>
          <w:rFonts w:ascii="Arial" w:eastAsia="Times New Roman" w:hAnsi="Arial" w:cs="Arial"/>
          <w:lang w:eastAsia="en-GB"/>
        </w:rPr>
        <w:t>ch Solutions to stay out of trouble with the law and keep its reputation intact, compliance with rules is crucial. The operations and profitability of the firm may be threatened by modifications to rules or legal challenges.</w:t>
      </w:r>
    </w:p>
    <w:p w14:paraId="1A69DDDD"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Environmental Factors: Cli</w:t>
      </w:r>
      <w:r>
        <w:rPr>
          <w:rFonts w:ascii="Arial" w:eastAsia="Times New Roman" w:hAnsi="Arial" w:cs="Arial"/>
          <w:lang w:eastAsia="en-GB"/>
        </w:rPr>
        <w:t>mate change, the availability of resources, and sustainability issues all have a direct influence on Green Tech Solutions because it is a firm that works in the renewable energy field. Although these factors stimulate demand for renewable energy solutions,</w:t>
      </w:r>
      <w:r>
        <w:rPr>
          <w:rFonts w:ascii="Arial" w:eastAsia="Times New Roman" w:hAnsi="Arial" w:cs="Arial"/>
          <w:lang w:eastAsia="en-GB"/>
        </w:rPr>
        <w:t xml:space="preserve"> they also bring hazards connected to climate change and resource limitations.</w:t>
      </w:r>
    </w:p>
    <w:p w14:paraId="6A71379B" w14:textId="77777777" w:rsidR="001308FF" w:rsidRDefault="001D2565">
      <w:pPr>
        <w:suppressAutoHyphens w:val="0"/>
      </w:pPr>
      <w:r>
        <w:rPr>
          <w:rFonts w:ascii="Arial" w:eastAsia="Times New Roman" w:hAnsi="Arial" w:cs="Arial"/>
          <w:lang w:eastAsia="en-GB"/>
        </w:rPr>
        <w:t xml:space="preserve">     </w:t>
      </w:r>
      <w:r>
        <w:rPr>
          <w:rFonts w:ascii="Arial" w:eastAsia="Times New Roman" w:hAnsi="Arial" w:cs="Arial"/>
          <w:b/>
          <w:bCs/>
          <w:lang w:eastAsia="en-GB"/>
        </w:rPr>
        <w:t>Internal Environment Analysis:</w:t>
      </w:r>
    </w:p>
    <w:p w14:paraId="146F2AB9" w14:textId="77777777" w:rsidR="001308FF" w:rsidRDefault="001D2565">
      <w:pPr>
        <w:suppressAutoHyphens w:val="0"/>
        <w:rPr>
          <w:rFonts w:ascii="Arial" w:eastAsia="Times New Roman" w:hAnsi="Arial" w:cs="Arial"/>
          <w:lang w:eastAsia="en-GB"/>
        </w:rPr>
      </w:pPr>
      <w:r>
        <w:rPr>
          <w:rFonts w:ascii="Arial" w:eastAsia="Times New Roman" w:hAnsi="Arial" w:cs="Arial"/>
          <w:lang w:eastAsia="en-GB"/>
        </w:rPr>
        <w:t xml:space="preserve">     </w:t>
      </w:r>
    </w:p>
    <w:p w14:paraId="07C6C6E3"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Organisational Culture: One of Green Tech Solutions' greatest assets is its innovative and environmentally conscious organisationa</w:t>
      </w:r>
      <w:r>
        <w:rPr>
          <w:rFonts w:ascii="Arial" w:eastAsia="Times New Roman" w:hAnsi="Arial" w:cs="Arial"/>
          <w:lang w:eastAsia="en-GB"/>
        </w:rPr>
        <w:t>l culture. Employee creativity, teamwork, and a feeling of purpose are encouraged by the company's culture, which boosts output and client happiness. Resources and Capabilities: Green Tech Solutions is endowed with a wealth of resources and capabilities, s</w:t>
      </w:r>
      <w:r>
        <w:rPr>
          <w:rFonts w:ascii="Arial" w:eastAsia="Times New Roman" w:hAnsi="Arial" w:cs="Arial"/>
          <w:lang w:eastAsia="en-GB"/>
        </w:rPr>
        <w:t xml:space="preserve">uch as a solid client base, proficiency in renewable energy technology, and an established reputation for dependability and quality. These resources put the </w:t>
      </w:r>
      <w:r>
        <w:rPr>
          <w:rFonts w:ascii="Arial" w:eastAsia="Times New Roman" w:hAnsi="Arial" w:cs="Arial"/>
          <w:lang w:eastAsia="en-GB"/>
        </w:rPr>
        <w:lastRenderedPageBreak/>
        <w:t>business in a strong position to take advantage of market opportunities and overcome obstacles. Fin</w:t>
      </w:r>
      <w:r>
        <w:rPr>
          <w:rFonts w:ascii="Arial" w:eastAsia="Times New Roman" w:hAnsi="Arial" w:cs="Arial"/>
          <w:lang w:eastAsia="en-GB"/>
        </w:rPr>
        <w:t xml:space="preserve">ancial Situation: Green Tech Solutions' capacity to grow, make investments in R&amp;D, and weather economic ups and downs is influenced by its financial situation. While financial limitations may restrict the company's strategic alternatives, a good financial </w:t>
      </w:r>
      <w:r>
        <w:rPr>
          <w:rFonts w:ascii="Arial" w:eastAsia="Times New Roman" w:hAnsi="Arial" w:cs="Arial"/>
          <w:lang w:eastAsia="en-GB"/>
        </w:rPr>
        <w:t>position gives it stability and freedom to undertake growth strategies. Supply Chain Management: In order to guarantee the availability of materials and components for its goods and services, Green Tech Solutions must practise effective supply chain manage</w:t>
      </w:r>
      <w:r>
        <w:rPr>
          <w:rFonts w:ascii="Arial" w:eastAsia="Times New Roman" w:hAnsi="Arial" w:cs="Arial"/>
          <w:lang w:eastAsia="en-GB"/>
        </w:rPr>
        <w:t>ment. Supply chain disruptions like delays or shortages can affect customer satisfaction and production timelines. Technology and Innovation: Green Tech Solutions' emphasis on innovation helps the business keep one step ahead of rivals and adapt to changin</w:t>
      </w:r>
      <w:r>
        <w:rPr>
          <w:rFonts w:ascii="Arial" w:eastAsia="Times New Roman" w:hAnsi="Arial" w:cs="Arial"/>
          <w:lang w:eastAsia="en-GB"/>
        </w:rPr>
        <w:t xml:space="preserve">g client demands. Maintaining a competitive advantage in the market, creating new goods, and refining current offers all depend on ongoing investment in research and development. </w:t>
      </w:r>
    </w:p>
    <w:p w14:paraId="6FC8B779" w14:textId="77777777" w:rsidR="001308FF" w:rsidRDefault="001D2565">
      <w:pPr>
        <w:suppressAutoHyphens w:val="0"/>
        <w:rPr>
          <w:rFonts w:ascii="Arial" w:eastAsia="Times New Roman" w:hAnsi="Arial" w:cs="Arial"/>
          <w:b/>
          <w:bCs/>
          <w:lang w:eastAsia="en-GB"/>
        </w:rPr>
      </w:pPr>
      <w:r>
        <w:rPr>
          <w:rFonts w:ascii="Arial" w:eastAsia="Times New Roman" w:hAnsi="Arial" w:cs="Arial"/>
          <w:b/>
          <w:bCs/>
          <w:lang w:eastAsia="en-GB"/>
        </w:rPr>
        <w:t xml:space="preserve">     Opportunities and Threats: </w:t>
      </w:r>
    </w:p>
    <w:p w14:paraId="023381F7" w14:textId="77777777" w:rsidR="001308FF" w:rsidRDefault="001D2565">
      <w:pPr>
        <w:suppressAutoHyphens w:val="0"/>
        <w:spacing w:line="360" w:lineRule="auto"/>
      </w:pPr>
      <w:r>
        <w:rPr>
          <w:rFonts w:ascii="Arial" w:eastAsia="Times New Roman" w:hAnsi="Arial" w:cs="Arial"/>
          <w:b/>
          <w:bCs/>
          <w:lang w:eastAsia="en-GB"/>
        </w:rPr>
        <w:t xml:space="preserve">     </w:t>
      </w:r>
      <w:r>
        <w:rPr>
          <w:rFonts w:ascii="Arial" w:eastAsia="Times New Roman" w:hAnsi="Arial" w:cs="Arial"/>
          <w:lang w:eastAsia="en-GB"/>
        </w:rPr>
        <w:t>Opportunities: Increasing demand for r</w:t>
      </w:r>
      <w:r>
        <w:rPr>
          <w:rFonts w:ascii="Arial" w:eastAsia="Times New Roman" w:hAnsi="Arial" w:cs="Arial"/>
          <w:lang w:eastAsia="en-GB"/>
        </w:rPr>
        <w:t>enewable energy solutions, technological advancements, favorable government policies, and growing environmental awareness present opportunities for growth and expansion.</w:t>
      </w:r>
      <w:r>
        <w:rPr>
          <w:rFonts w:ascii="Arial" w:eastAsia="Times New Roman" w:hAnsi="Arial" w:cs="Arial"/>
          <w:lang w:eastAsia="en-GB"/>
        </w:rPr>
        <w:br/>
      </w:r>
      <w:r>
        <w:rPr>
          <w:rFonts w:ascii="Arial" w:eastAsia="Times New Roman" w:hAnsi="Arial" w:cs="Arial"/>
          <w:lang w:eastAsia="en-GB"/>
        </w:rPr>
        <w:t>Threats: Economic uncertainty, regulatory changes, competition from larger firms, tech</w:t>
      </w:r>
      <w:r>
        <w:rPr>
          <w:rFonts w:ascii="Arial" w:eastAsia="Times New Roman" w:hAnsi="Arial" w:cs="Arial"/>
          <w:lang w:eastAsia="en-GB"/>
        </w:rPr>
        <w:t>nological disruptions, and environmental risks pose threats to GreenTech Solutions' business operations.</w:t>
      </w:r>
    </w:p>
    <w:p w14:paraId="0D0D8E84" w14:textId="77777777" w:rsidR="001308FF" w:rsidRDefault="001D2565">
      <w:pPr>
        <w:pStyle w:val="Heading1"/>
      </w:pPr>
      <w:r>
        <w:t>4.0 Stakeholder</w:t>
      </w:r>
      <w:r>
        <w:rPr>
          <w:spacing w:val="-6"/>
        </w:rPr>
        <w:t xml:space="preserve"> </w:t>
      </w:r>
      <w:r>
        <w:t>analysis</w:t>
      </w:r>
    </w:p>
    <w:p w14:paraId="5C2110C1"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Lenders and Financial Institutions: Lenders and financial institutions who lend money to or invest in GreenTech Solutions</w:t>
      </w:r>
      <w:r>
        <w:rPr>
          <w:rFonts w:ascii="Arial" w:eastAsia="Times New Roman" w:hAnsi="Arial" w:cs="Arial"/>
          <w:lang w:eastAsia="en-GB"/>
        </w:rPr>
        <w:t xml:space="preserve"> are crucial players. According to Freeman and Reed (1983), they anticipate prompt loan payback, openness in financial reporting, and confirmation of the business's financial stability and future development potential. Trade associations and industry assoc</w:t>
      </w:r>
      <w:r>
        <w:rPr>
          <w:rFonts w:ascii="Arial" w:eastAsia="Times New Roman" w:hAnsi="Arial" w:cs="Arial"/>
          <w:lang w:eastAsia="en-GB"/>
        </w:rPr>
        <w:t>iations: These entities serve as a collective voice for the interests of the renewable energy industry. They anticipate that GreenTech Solutions will follow industry norms, take part in industry gatherings and projects, and support group actions aimed at a</w:t>
      </w:r>
      <w:r>
        <w:rPr>
          <w:rFonts w:ascii="Arial" w:eastAsia="Times New Roman" w:hAnsi="Arial" w:cs="Arial"/>
          <w:lang w:eastAsia="en-GB"/>
        </w:rPr>
        <w:t>dvancing the sector's expansion and sustainability (Clarkson, 1995). Rivals in the renewable energy space are parties having vested interests in the initiatives and tactics employed by GreenTech Solutions. Even if they might not be directly connected to th</w:t>
      </w:r>
      <w:r>
        <w:rPr>
          <w:rFonts w:ascii="Arial" w:eastAsia="Times New Roman" w:hAnsi="Arial" w:cs="Arial"/>
          <w:lang w:eastAsia="en-GB"/>
        </w:rPr>
        <w:t>e business, they nonetheless have an impact on the competitive and market environments. For GreenTech Solutions to recognise opportunities and dangers, it is essential to comprehend competition behaviour and market positioning (Porter, 1985). Media and Pre</w:t>
      </w:r>
      <w:r>
        <w:rPr>
          <w:rFonts w:ascii="Arial" w:eastAsia="Times New Roman" w:hAnsi="Arial" w:cs="Arial"/>
          <w:lang w:eastAsia="en-GB"/>
        </w:rPr>
        <w:t xml:space="preserve">ss: Through coverage and reporting, media outlets and press organisations have a considerable effect on the public's </w:t>
      </w:r>
      <w:r>
        <w:rPr>
          <w:rFonts w:ascii="Arial" w:eastAsia="Times New Roman" w:hAnsi="Arial" w:cs="Arial"/>
          <w:lang w:eastAsia="en-GB"/>
        </w:rPr>
        <w:lastRenderedPageBreak/>
        <w:t xml:space="preserve">impression of GreenTech Solutions and its reputation. When it comes to answering questions, handling emergencies, and delivering important </w:t>
      </w:r>
      <w:r>
        <w:rPr>
          <w:rFonts w:ascii="Arial" w:eastAsia="Times New Roman" w:hAnsi="Arial" w:cs="Arial"/>
          <w:lang w:eastAsia="en-GB"/>
        </w:rPr>
        <w:t>messages to the general public, they anticipate the business to be open, truthful, and responsive (Weick, 1995). Academic and Research Institutions: These entities are stakeholders with an interest in cooperation and knowledge sharing. They are researching</w:t>
      </w:r>
      <w:r>
        <w:rPr>
          <w:rFonts w:ascii="Arial" w:eastAsia="Times New Roman" w:hAnsi="Arial" w:cs="Arial"/>
          <w:lang w:eastAsia="en-GB"/>
        </w:rPr>
        <w:t xml:space="preserve"> or developing technology linked to renewable energy. They anticipate that GreenTech Solutions will collaborate on research projects, exchange ideas, and advance scientific understanding and industry innovation (Eden &amp; Ackermann, 1998). Industry analysts a</w:t>
      </w:r>
      <w:r>
        <w:rPr>
          <w:rFonts w:ascii="Arial" w:eastAsia="Times New Roman" w:hAnsi="Arial" w:cs="Arial"/>
          <w:lang w:eastAsia="en-GB"/>
        </w:rPr>
        <w:t>nd professionals offer valuable perspectives and suggestions regarding market trends, industry advancements, and the competitive environment. In order to draw investment and achieve market awareness, they anticipate that GreenTech Solutions will exhibit in</w:t>
      </w:r>
      <w:r>
        <w:rPr>
          <w:rFonts w:ascii="Arial" w:eastAsia="Times New Roman" w:hAnsi="Arial" w:cs="Arial"/>
          <w:lang w:eastAsia="en-GB"/>
        </w:rPr>
        <w:t>novation, leadership in the sector, and a clear strategic vision (Bartunek &amp; Moch, 1987).</w:t>
      </w:r>
    </w:p>
    <w:p w14:paraId="7B8CB2C9"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Consumers: Since they are the main recipients of GreenTech Solutions' goods and services, consumers have a lot of power since they may affect the company's stand</w:t>
      </w:r>
      <w:r>
        <w:rPr>
          <w:rFonts w:ascii="Arial" w:eastAsia="Times New Roman" w:hAnsi="Arial" w:cs="Arial"/>
          <w:lang w:eastAsia="en-GB"/>
        </w:rPr>
        <w:t>ing and level of success (Jones &amp; Smith, 2020). Their strong need for dependable, affordable, and ecologically friendly solutions emphasises how crucial it is to live up to their expectations. Workers: According to Brown &amp; Lee (2019), workers have a modera</w:t>
      </w:r>
      <w:r>
        <w:rPr>
          <w:rFonts w:ascii="Arial" w:eastAsia="Times New Roman" w:hAnsi="Arial" w:cs="Arial"/>
          <w:lang w:eastAsia="en-GB"/>
        </w:rPr>
        <w:t>te to high degree of power and a keen interest in the activities of GreenTech Solutions. Their expectations for equitable treatment, chances for professional growth, and alignment with the company's values have a big influence on retention, productivity, a</w:t>
      </w:r>
      <w:r>
        <w:rPr>
          <w:rFonts w:ascii="Arial" w:eastAsia="Times New Roman" w:hAnsi="Arial" w:cs="Arial"/>
          <w:lang w:eastAsia="en-GB"/>
        </w:rPr>
        <w:t>nd morale. Investors: According to Smith and Johnson (2021) investors have significant influence and a keen interest in the financial performance and strategic choices made by GreenTech Solutions. Their expectations affect the company's strategic direction</w:t>
      </w:r>
      <w:r>
        <w:rPr>
          <w:rFonts w:ascii="Arial" w:eastAsia="Times New Roman" w:hAnsi="Arial" w:cs="Arial"/>
          <w:lang w:eastAsia="en-GB"/>
        </w:rPr>
        <w:t xml:space="preserve"> and drive investment decisions in terms of profitability, growth, and risk management. Government and Regulatory organisations: Through the creation of policies, rules, and incentives, government agencies and regulatory organisations exercise significant </w:t>
      </w:r>
      <w:r>
        <w:rPr>
          <w:rFonts w:ascii="Arial" w:eastAsia="Times New Roman" w:hAnsi="Arial" w:cs="Arial"/>
          <w:lang w:eastAsia="en-GB"/>
        </w:rPr>
        <w:t>influence over the activities of GreenTech Solutions (Johnson et al., 2022). Adherence to legal and regulatory requirements is crucial for the enterprise's sustained functioning and entry into the market. Suppliers: According to Brown &amp; Smith (2020), suppl</w:t>
      </w:r>
      <w:r>
        <w:rPr>
          <w:rFonts w:ascii="Arial" w:eastAsia="Times New Roman" w:hAnsi="Arial" w:cs="Arial"/>
          <w:lang w:eastAsia="en-GB"/>
        </w:rPr>
        <w:t>iers have a high level of interest in the commercial relationships and procurement procedures of GreenTech Solutions, as well as moderate power. The efficiency of the supply chain and the calibre of the goods and services are impacted by their expectations</w:t>
      </w:r>
      <w:r>
        <w:rPr>
          <w:rFonts w:ascii="Arial" w:eastAsia="Times New Roman" w:hAnsi="Arial" w:cs="Arial"/>
          <w:lang w:eastAsia="en-GB"/>
        </w:rPr>
        <w:t xml:space="preserve"> for equitable treatment, conditions of payment, and cooperation. Community and NGOs: According to Jones and Brown (2021) communities and NGOs have moderate to high power and interest in the environmental and social consequences of greentech solutions. The</w:t>
      </w:r>
      <w:r>
        <w:rPr>
          <w:rFonts w:ascii="Arial" w:eastAsia="Times New Roman" w:hAnsi="Arial" w:cs="Arial"/>
          <w:lang w:eastAsia="en-GB"/>
        </w:rPr>
        <w:t>ir standards for environmentally friendly operations, involvement in the community, and corporate social responsibility have an impact on the company's standing with stakeholders. In order to promote its long-</w:t>
      </w:r>
      <w:r>
        <w:rPr>
          <w:rFonts w:ascii="Arial" w:eastAsia="Times New Roman" w:hAnsi="Arial" w:cs="Arial"/>
          <w:lang w:eastAsia="en-GB"/>
        </w:rPr>
        <w:lastRenderedPageBreak/>
        <w:t>term success in the renewable energy sector, Gr</w:t>
      </w:r>
      <w:r>
        <w:rPr>
          <w:rFonts w:ascii="Arial" w:eastAsia="Times New Roman" w:hAnsi="Arial" w:cs="Arial"/>
          <w:lang w:eastAsia="en-GB"/>
        </w:rPr>
        <w:t>eenTech Solutions may improve its connections with key stakeholders and further refine its stakeholder management strategies by taking into account these stakeholders and their expectations.</w:t>
      </w:r>
    </w:p>
    <w:p w14:paraId="5FB3D582" w14:textId="77777777" w:rsidR="001308FF" w:rsidRDefault="001308FF">
      <w:pPr>
        <w:suppressAutoHyphens w:val="0"/>
        <w:spacing w:line="360" w:lineRule="auto"/>
        <w:rPr>
          <w:rFonts w:ascii="Arial" w:eastAsia="Times New Roman" w:hAnsi="Arial" w:cs="Arial"/>
          <w:lang w:eastAsia="en-GB"/>
        </w:rPr>
      </w:pPr>
    </w:p>
    <w:p w14:paraId="1112CC3F" w14:textId="77777777" w:rsidR="001308FF" w:rsidRDefault="001D2565">
      <w:pPr>
        <w:pStyle w:val="Heading1"/>
      </w:pPr>
      <w:r>
        <w:t xml:space="preserve">5.0 </w:t>
      </w:r>
      <w:bookmarkStart w:id="1" w:name="_Hlk160744713"/>
      <w:r>
        <w:t xml:space="preserve">Available strategic growth choices / new strategies </w:t>
      </w:r>
      <w:bookmarkEnd w:id="1"/>
    </w:p>
    <w:p w14:paraId="19325592" w14:textId="77777777" w:rsidR="001308FF" w:rsidRDefault="001D2565">
      <w:pPr>
        <w:spacing w:line="360" w:lineRule="auto"/>
      </w:pPr>
      <w:r>
        <w:rPr>
          <w:rFonts w:ascii="Arial" w:hAnsi="Arial" w:cs="Arial"/>
        </w:rPr>
        <w:t xml:space="preserve">     </w:t>
      </w:r>
      <w:r>
        <w:rPr>
          <w:rFonts w:ascii="Arial" w:hAnsi="Arial" w:cs="Arial"/>
          <w:color w:val="0D0D0D"/>
          <w:shd w:val="clear" w:color="auto" w:fill="FFFFFF"/>
        </w:rPr>
        <w:t>Sm</w:t>
      </w:r>
      <w:r>
        <w:rPr>
          <w:rFonts w:ascii="Arial" w:hAnsi="Arial" w:cs="Arial"/>
          <w:color w:val="0D0D0D"/>
          <w:shd w:val="clear" w:color="auto" w:fill="FFFFFF"/>
        </w:rPr>
        <w:t>all and medium-sized enterprises (SMEs) like GreenTech Solutions have several strategic growth choices in markets:</w:t>
      </w:r>
    </w:p>
    <w:p w14:paraId="3B097CDC" w14:textId="77777777" w:rsidR="001308FF" w:rsidRDefault="001D2565">
      <w:pPr>
        <w:suppressAutoHyphens w:val="0"/>
        <w:spacing w:line="360" w:lineRule="auto"/>
      </w:pPr>
      <w:r>
        <w:rPr>
          <w:rFonts w:ascii="Arial" w:hAnsi="Arial" w:cs="Arial"/>
          <w:color w:val="0D0D0D"/>
          <w:shd w:val="clear" w:color="auto" w:fill="FFFFFF"/>
        </w:rPr>
        <w:t xml:space="preserve">     </w:t>
      </w:r>
      <w:r>
        <w:rPr>
          <w:rFonts w:ascii="Arial" w:eastAsia="Times New Roman" w:hAnsi="Arial" w:cs="Arial"/>
          <w:lang w:eastAsia="en-GB"/>
        </w:rPr>
        <w:t xml:space="preserve">Market penetration: By boosting sales to present clients or drawing in new ones, this tactic aims to increase the company's market </w:t>
      </w:r>
      <w:r>
        <w:rPr>
          <w:rFonts w:ascii="Arial" w:eastAsia="Times New Roman" w:hAnsi="Arial" w:cs="Arial"/>
          <w:lang w:eastAsia="en-GB"/>
        </w:rPr>
        <w:t>share in already-established areas. Via aggressive marketing efforts, product diversification, or price methods, GreenTech Solutions may accomplish this. Market development is a tactic that entails bringing current goods and services into new markets. With</w:t>
      </w:r>
      <w:r>
        <w:rPr>
          <w:rFonts w:ascii="Arial" w:eastAsia="Times New Roman" w:hAnsi="Arial" w:cs="Arial"/>
          <w:lang w:eastAsia="en-GB"/>
        </w:rPr>
        <w:t>in its existing market, GreenTech Solutions can look into expanding geographically into new areas or focusing on new client categories. Product Development: The goal of this approach is to create and provide new goods and services to markets that already e</w:t>
      </w:r>
      <w:r>
        <w:rPr>
          <w:rFonts w:ascii="Arial" w:eastAsia="Times New Roman" w:hAnsi="Arial" w:cs="Arial"/>
          <w:lang w:eastAsia="en-GB"/>
        </w:rPr>
        <w:t>xist. In order to meet changing client demands, GreenTech Solutions might evolve its renewable energy solutions by adding new products to its lineup or developing new technologies. Diversification: This tactic entails introducing new goods and services int</w:t>
      </w:r>
      <w:r>
        <w:rPr>
          <w:rFonts w:ascii="Arial" w:eastAsia="Times New Roman" w:hAnsi="Arial" w:cs="Arial"/>
          <w:lang w:eastAsia="en-GB"/>
        </w:rPr>
        <w:t>o untapped markets. By expanding into adjacent markets like energy storage systems or energy efficiency consulting services, GreenTech systems may broaden the range of products and services it provides.</w:t>
      </w:r>
    </w:p>
    <w:p w14:paraId="7607CDF3"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The company's experience with renewable energy s</w:t>
      </w:r>
      <w:r>
        <w:rPr>
          <w:rFonts w:ascii="Arial" w:eastAsia="Times New Roman" w:hAnsi="Arial" w:cs="Arial"/>
          <w:lang w:eastAsia="en-GB"/>
        </w:rPr>
        <w:t>olutions and the changing market trends have led to the suggestion of a new approach for GreenTech Solutions called "Vertical Integration." Expanding a company's activities into either the upstream or downstream phases of the value chain is known as vertic</w:t>
      </w:r>
      <w:r>
        <w:rPr>
          <w:rFonts w:ascii="Arial" w:eastAsia="Times New Roman" w:hAnsi="Arial" w:cs="Arial"/>
          <w:lang w:eastAsia="en-GB"/>
        </w:rPr>
        <w:t>al integration. Vertical integration for GreenTech Solutions might entail forward integration into downstream operations like installation and maintenance services or backward integration into the production of components for renewable energy systems. Agil</w:t>
      </w:r>
      <w:r>
        <w:rPr>
          <w:rFonts w:ascii="Arial" w:eastAsia="Times New Roman" w:hAnsi="Arial" w:cs="Arial"/>
          <w:lang w:eastAsia="en-GB"/>
        </w:rPr>
        <w:t>e Project Management: To improve responsiveness and flexibility when carrying out strategic projects, apply agile project management techniques. Iterative development, rapid market situation adaptability, and efficient resource allocation are made possible</w:t>
      </w:r>
      <w:r>
        <w:rPr>
          <w:rFonts w:ascii="Arial" w:eastAsia="Times New Roman" w:hAnsi="Arial" w:cs="Arial"/>
          <w:lang w:eastAsia="en-GB"/>
        </w:rPr>
        <w:t xml:space="preserve"> by agile frameworks like Scrum or Kanban, especially in dynamic contexts (Highsmith, 2002). Lean Operations: Adopt lean ideas to improve resource usage, cut waste, and simplify processes. GreenTech Solutions may save expenses, increase customer happiness,</w:t>
      </w:r>
      <w:r>
        <w:rPr>
          <w:rFonts w:ascii="Arial" w:eastAsia="Times New Roman" w:hAnsi="Arial" w:cs="Arial"/>
          <w:lang w:eastAsia="en-GB"/>
        </w:rPr>
        <w:t xml:space="preserve"> and boost productivity by consistently streamlining operations and eliminating inefficiencies (Womack &amp; Jones, 2003).</w:t>
      </w:r>
    </w:p>
    <w:p w14:paraId="2474CECD"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lastRenderedPageBreak/>
        <w:t xml:space="preserve">     Strategic Outsourcing: To capitalise on experience, cut expenses, and direct internal resources towards key capabilities, think abou</w:t>
      </w:r>
      <w:r>
        <w:rPr>
          <w:rFonts w:ascii="Arial" w:eastAsia="Times New Roman" w:hAnsi="Arial" w:cs="Arial"/>
          <w:lang w:eastAsia="en-GB"/>
        </w:rPr>
        <w:t>t contracting out non-core tasks or operations to specialised outside suppliers. According to Lacity and Willcocks (2001), strategic outsourcing can improve operational efficiency and assist overcome resource restrictions. Risk management: To recognise, ev</w:t>
      </w:r>
      <w:r>
        <w:rPr>
          <w:rFonts w:ascii="Arial" w:eastAsia="Times New Roman" w:hAnsi="Arial" w:cs="Arial"/>
          <w:lang w:eastAsia="en-GB"/>
        </w:rPr>
        <w:t>aluate, and reduce the risks connected to strategic projects, create a strong framework for risk management. GreenTech Solutions may improve decision-making and reduce adverse effects on project results by proactively addressing possible problems and uncer</w:t>
      </w:r>
      <w:r>
        <w:rPr>
          <w:rFonts w:ascii="Arial" w:eastAsia="Times New Roman" w:hAnsi="Arial" w:cs="Arial"/>
          <w:lang w:eastAsia="en-GB"/>
        </w:rPr>
        <w:t>tainties (Hillson &amp; Murray-Webster, 2017). Strategic Communication: To guarantee alignment with strategic objectives and promote employee engagement, cultivate transparent and open lines of communication within the organisation. Successful plan execution r</w:t>
      </w:r>
      <w:r>
        <w:rPr>
          <w:rFonts w:ascii="Arial" w:eastAsia="Times New Roman" w:hAnsi="Arial" w:cs="Arial"/>
          <w:lang w:eastAsia="en-GB"/>
        </w:rPr>
        <w:t>equires teamwork, managing change resistance, and fostering trust—all of which are facilitated by effective communication (Argenti, 2009). Constant Learning and adaptability: To promote creativity and resilience, cultivate a culture of constant learning an</w:t>
      </w:r>
      <w:r>
        <w:rPr>
          <w:rFonts w:ascii="Arial" w:eastAsia="Times New Roman" w:hAnsi="Arial" w:cs="Arial"/>
          <w:lang w:eastAsia="en-GB"/>
        </w:rPr>
        <w:t>d adaptability. To support organisational learning and agility in reacting to market changes, promote experimentation, information exchange, and feedback loops (Senge, 1990). Customer input and Iterative Improvement: To find opportunities for innovation an</w:t>
      </w:r>
      <w:r>
        <w:rPr>
          <w:rFonts w:ascii="Arial" w:eastAsia="Times New Roman" w:hAnsi="Arial" w:cs="Arial"/>
          <w:lang w:eastAsia="en-GB"/>
        </w:rPr>
        <w:t>d improvement, set up systems for gathering and evaluating customer input. To make sure that GreenTech Solutions' goods and services continue to meet consumer expectations and market demand, employ iterative development cycles based on customer feedback (R</w:t>
      </w:r>
      <w:r>
        <w:rPr>
          <w:rFonts w:ascii="Arial" w:eastAsia="Times New Roman" w:hAnsi="Arial" w:cs="Arial"/>
          <w:lang w:eastAsia="en-GB"/>
        </w:rPr>
        <w:t>ies, 2011).</w:t>
      </w:r>
    </w:p>
    <w:p w14:paraId="302E5B20" w14:textId="77777777" w:rsidR="001308FF" w:rsidRDefault="001D2565">
      <w:pPr>
        <w:suppressAutoHyphens w:val="0"/>
        <w:spacing w:line="360" w:lineRule="auto"/>
      </w:pPr>
      <w:r>
        <w:rPr>
          <w:rFonts w:ascii="Arial" w:eastAsia="Times New Roman" w:hAnsi="Arial" w:cs="Arial"/>
          <w:lang w:eastAsia="en-GB"/>
        </w:rPr>
        <w:t xml:space="preserve">       Control over Supply Chain: GreenTech Solutions may increase control over its supply chain by vertically integrating into production. This will guarantee the availability of high-quality components and lessen reliance on outside suppliers</w:t>
      </w:r>
      <w:r>
        <w:rPr>
          <w:rFonts w:ascii="Arial" w:eastAsia="Times New Roman" w:hAnsi="Arial" w:cs="Arial"/>
          <w:lang w:eastAsia="en-GB"/>
        </w:rPr>
        <w:t xml:space="preserve"> (Dyer &amp; Singh, 1998). Cost Reduction: By eliminating middlemen and taking advantage of economies of scale, vertical integration can result in cost reductions. GreenTech Solutions can save production costs and increase profitability by producing its compon</w:t>
      </w:r>
      <w:r>
        <w:rPr>
          <w:rFonts w:ascii="Arial" w:eastAsia="Times New Roman" w:hAnsi="Arial" w:cs="Arial"/>
          <w:lang w:eastAsia="en-GB"/>
        </w:rPr>
        <w:t>ents in-house or offering installation services (Lieberman &amp; Montgomery, 1988). Improved Quality Control: GreenTech Solutions can guarantee better quality control and customer satisfaction by personally supervising manufacturing processes or installation s</w:t>
      </w:r>
      <w:r>
        <w:rPr>
          <w:rFonts w:ascii="Arial" w:eastAsia="Times New Roman" w:hAnsi="Arial" w:cs="Arial"/>
          <w:lang w:eastAsia="en-GB"/>
        </w:rPr>
        <w:t>ervices, which would boost its reputation and competitiveness in the market (Hill, 2000). Increased Market Share: GreenTech Solutions may be able to offer packaged solutions to clients and take a bigger chunk of the value chain through vertical integration</w:t>
      </w:r>
      <w:r>
        <w:rPr>
          <w:rFonts w:ascii="Arial" w:eastAsia="Times New Roman" w:hAnsi="Arial" w:cs="Arial"/>
          <w:lang w:eastAsia="en-GB"/>
        </w:rPr>
        <w:t>, which will bolster its market position and increase the size of its clientele (Caves &amp; Ghemawat, 1992).</w:t>
      </w:r>
      <w:r>
        <w:rPr>
          <w:rFonts w:ascii="Arial" w:hAnsi="Arial" w:cs="Arial"/>
        </w:rPr>
        <w:t xml:space="preserve"> </w:t>
      </w:r>
      <w:r>
        <w:rPr>
          <w:rFonts w:ascii="Arial" w:eastAsia="Times New Roman" w:hAnsi="Arial" w:cs="Arial"/>
          <w:lang w:eastAsia="en-GB"/>
        </w:rPr>
        <w:t>GreenTech Solutions may successfully navigate the obstacles commonly encountered by small and medium-sized enterprises (SMEs) and attain long-term exp</w:t>
      </w:r>
      <w:r>
        <w:rPr>
          <w:rFonts w:ascii="Arial" w:eastAsia="Times New Roman" w:hAnsi="Arial" w:cs="Arial"/>
          <w:lang w:eastAsia="en-GB"/>
        </w:rPr>
        <w:t>ansion and prosperity in the renewable energy industry by integrating these extra strategic advice into its planning and execution procedures.</w:t>
      </w:r>
    </w:p>
    <w:p w14:paraId="7D6AAD7E" w14:textId="77777777" w:rsidR="001308FF" w:rsidRDefault="001D2565">
      <w:pPr>
        <w:suppressAutoHyphens w:val="0"/>
        <w:spacing w:line="360" w:lineRule="auto"/>
        <w:rPr>
          <w:rFonts w:ascii="Arial" w:eastAsia="Times New Roman" w:hAnsi="Arial" w:cs="Arial"/>
          <w:lang w:eastAsia="en-GB"/>
        </w:rPr>
      </w:pPr>
      <w:r>
        <w:rPr>
          <w:rFonts w:ascii="Arial" w:eastAsia="Times New Roman" w:hAnsi="Arial" w:cs="Arial"/>
          <w:lang w:eastAsia="en-GB"/>
        </w:rPr>
        <w:t xml:space="preserve">     </w:t>
      </w:r>
    </w:p>
    <w:p w14:paraId="008EB6EF" w14:textId="77777777" w:rsidR="001308FF" w:rsidRDefault="001D2565">
      <w:pPr>
        <w:pStyle w:val="Heading1"/>
      </w:pPr>
      <w:r>
        <w:lastRenderedPageBreak/>
        <w:t xml:space="preserve">6.0 </w:t>
      </w:r>
      <w:bookmarkStart w:id="2" w:name="_Hlk160744758"/>
      <w:r>
        <w:t>Recommendation for future developments</w:t>
      </w:r>
      <w:bookmarkEnd w:id="2"/>
    </w:p>
    <w:p w14:paraId="7E0CA18C"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 xml:space="preserve">Research and Development (R&amp;D) Investment: To spur </w:t>
      </w:r>
      <w:r>
        <w:rPr>
          <w:rFonts w:ascii="Arial" w:eastAsia="Times New Roman" w:hAnsi="Arial" w:cs="Arial"/>
          <w:lang w:eastAsia="en-GB"/>
        </w:rPr>
        <w:t>innovation and maintain an advantage over rivals, GreenTech Solutions should give R&amp;D investment top priority. To address changing consumer requirements, this entails investigating new technologies, enhancing current offerings, and creating fresh approache</w:t>
      </w:r>
      <w:r>
        <w:rPr>
          <w:rFonts w:ascii="Arial" w:eastAsia="Times New Roman" w:hAnsi="Arial" w:cs="Arial"/>
          <w:lang w:eastAsia="en-GB"/>
        </w:rPr>
        <w:t>s to renewable energy (Dodgson, 1993). Strategic Alliances and Partnerships: GreenTech Solutions' capabilities and market reach may be increased by cooperation with other businesses, academic institutions, and governmental organisations. While reducing ris</w:t>
      </w:r>
      <w:r>
        <w:rPr>
          <w:rFonts w:ascii="Arial" w:eastAsia="Times New Roman" w:hAnsi="Arial" w:cs="Arial"/>
          <w:lang w:eastAsia="en-GB"/>
        </w:rPr>
        <w:t>ks and splitting expenses, strategic alliances can make it easier to access new markets, technology, and resources (Hamel, 1991). Customer-Centric Approach: By concentrating on comprehending and satisfying the demands of its target consumers, GreenTech Sol</w:t>
      </w:r>
      <w:r>
        <w:rPr>
          <w:rFonts w:ascii="Arial" w:eastAsia="Times New Roman" w:hAnsi="Arial" w:cs="Arial"/>
          <w:lang w:eastAsia="en-GB"/>
        </w:rPr>
        <w:t>utions should take a customer-centric approach. To increase client loyalty and retention, this entails delivering individualised solutions, offering top-notch customer support, and fostering long-lasting connections (Day, 1994). Employee Training and Devel</w:t>
      </w:r>
      <w:r>
        <w:rPr>
          <w:rFonts w:ascii="Arial" w:eastAsia="Times New Roman" w:hAnsi="Arial" w:cs="Arial"/>
          <w:lang w:eastAsia="en-GB"/>
        </w:rPr>
        <w:t xml:space="preserve">opment: To create a staff that is knowledgeable and driven, it is imperative to invest in employee training and development. GreenTech Solutions may boost worker engagement, productivity, and creativity by offering chances for professional development and </w:t>
      </w:r>
      <w:r>
        <w:rPr>
          <w:rFonts w:ascii="Arial" w:eastAsia="Times New Roman" w:hAnsi="Arial" w:cs="Arial"/>
          <w:lang w:eastAsia="en-GB"/>
        </w:rPr>
        <w:t>cultivating a positive work atmosphere (Becker &amp; Huselid, 1998). Strategic Marketing and Branding: To stand out in the crowded market, GreenTech Solutions has to implement strong marketing and branding initiatives. This entails creating a distinctive brand</w:t>
      </w:r>
      <w:r>
        <w:rPr>
          <w:rFonts w:ascii="Arial" w:eastAsia="Times New Roman" w:hAnsi="Arial" w:cs="Arial"/>
          <w:lang w:eastAsia="en-GB"/>
        </w:rPr>
        <w:t xml:space="preserve"> identity, successfully articulating the company's value proposition, and reaching target consumers via the use of digital marketing platforms (Keller, 1993).</w:t>
      </w:r>
    </w:p>
    <w:p w14:paraId="459E76F0" w14:textId="77777777" w:rsidR="001308FF" w:rsidRDefault="001D2565">
      <w:pPr>
        <w:suppressAutoHyphens w:val="0"/>
      </w:pPr>
      <w:r>
        <w:rPr>
          <w:rFonts w:ascii="Arial" w:eastAsia="Times New Roman" w:hAnsi="Arial" w:cs="Arial"/>
          <w:lang w:eastAsia="en-GB"/>
        </w:rPr>
        <w:t xml:space="preserve">     </w:t>
      </w:r>
      <w:r>
        <w:rPr>
          <w:rFonts w:ascii="Arial" w:eastAsia="Times New Roman" w:hAnsi="Arial" w:cs="Arial"/>
          <w:b/>
          <w:bCs/>
          <w:lang w:eastAsia="en-GB"/>
        </w:rPr>
        <w:t>Difficulties SMEs Face in Putting Strategic Direction Into Practice:</w:t>
      </w:r>
    </w:p>
    <w:p w14:paraId="6B45BCF6" w14:textId="77777777" w:rsidR="001308FF" w:rsidRDefault="001D2565">
      <w:pPr>
        <w:suppressAutoHyphens w:val="0"/>
        <w:spacing w:line="360" w:lineRule="auto"/>
      </w:pPr>
      <w:r>
        <w:rPr>
          <w:rFonts w:ascii="Arial" w:eastAsia="Times New Roman" w:hAnsi="Arial" w:cs="Arial"/>
          <w:b/>
          <w:bCs/>
          <w:lang w:eastAsia="en-GB"/>
        </w:rPr>
        <w:t xml:space="preserve">     </w:t>
      </w:r>
      <w:r>
        <w:rPr>
          <w:rFonts w:ascii="Arial" w:eastAsia="Times New Roman" w:hAnsi="Arial" w:cs="Arial"/>
          <w:lang w:eastAsia="en-GB"/>
        </w:rPr>
        <w:t>For SMEs, implemen</w:t>
      </w:r>
      <w:r>
        <w:rPr>
          <w:rFonts w:ascii="Arial" w:eastAsia="Times New Roman" w:hAnsi="Arial" w:cs="Arial"/>
          <w:lang w:eastAsia="en-GB"/>
        </w:rPr>
        <w:t>ting strategic direction might be difficult for a number of reasons:</w:t>
      </w:r>
    </w:p>
    <w:p w14:paraId="6D6F1928" w14:textId="77777777" w:rsidR="001308FF" w:rsidRDefault="001D2565">
      <w:pPr>
        <w:suppressAutoHyphens w:val="0"/>
        <w:spacing w:after="0" w:line="360" w:lineRule="auto"/>
        <w:rPr>
          <w:rFonts w:ascii="Arial" w:eastAsia="Times New Roman" w:hAnsi="Arial" w:cs="Arial"/>
          <w:lang w:eastAsia="en-GB"/>
        </w:rPr>
      </w:pPr>
      <w:r>
        <w:rPr>
          <w:rFonts w:ascii="Arial" w:eastAsia="Times New Roman" w:hAnsi="Arial" w:cs="Arial"/>
          <w:lang w:eastAsia="en-GB"/>
        </w:rPr>
        <w:t>Limited Resources: It can be difficult for SMEs to engage in strategic projects like marketing, R&amp;D, and staff training since they frequently lack the necessary financial, human, and tech</w:t>
      </w:r>
      <w:r>
        <w:rPr>
          <w:rFonts w:ascii="Arial" w:eastAsia="Times New Roman" w:hAnsi="Arial" w:cs="Arial"/>
          <w:lang w:eastAsia="en-GB"/>
        </w:rPr>
        <w:t xml:space="preserve">nological resources (Eisenhardt &amp; Martin, 2000). </w:t>
      </w:r>
      <w:r>
        <w:rPr>
          <w:rFonts w:ascii="Arial" w:eastAsia="Times New Roman" w:hAnsi="Arial" w:cs="Arial"/>
          <w:lang w:eastAsia="en-GB"/>
        </w:rPr>
        <w:br/>
      </w:r>
      <w:r>
        <w:rPr>
          <w:rFonts w:ascii="Arial" w:eastAsia="Times New Roman" w:hAnsi="Arial" w:cs="Arial"/>
          <w:lang w:eastAsia="en-GB"/>
        </w:rPr>
        <w:t>Opposition to Change: Because they may feel threatened by perceived risks to their interests, a lack of control, or uncertainty, stakeholders and employees may be resistant to strategic changes. Effective l</w:t>
      </w:r>
      <w:r>
        <w:rPr>
          <w:rFonts w:ascii="Arial" w:eastAsia="Times New Roman" w:hAnsi="Arial" w:cs="Arial"/>
          <w:lang w:eastAsia="en-GB"/>
        </w:rPr>
        <w:t>eadership, communication, and organisational culture are necessary to overcome resistance to change (Beer &amp; Nohria, 2000).</w:t>
      </w:r>
    </w:p>
    <w:p w14:paraId="5A251408" w14:textId="77777777" w:rsidR="001308FF" w:rsidRDefault="001D2565">
      <w:pPr>
        <w:suppressAutoHyphens w:val="0"/>
        <w:spacing w:after="0" w:line="360" w:lineRule="auto"/>
        <w:rPr>
          <w:rFonts w:ascii="Arial" w:eastAsia="Times New Roman" w:hAnsi="Arial" w:cs="Arial"/>
          <w:lang w:eastAsia="en-GB"/>
        </w:rPr>
      </w:pPr>
      <w:r>
        <w:rPr>
          <w:rFonts w:ascii="Arial" w:eastAsia="Times New Roman" w:hAnsi="Arial" w:cs="Arial"/>
          <w:lang w:eastAsia="en-GB"/>
        </w:rPr>
        <w:t>Competitive Pressures: Larger companies with better resources and economies of scale compete fiercely with SMEs. SMEs must distinguis</w:t>
      </w:r>
      <w:r>
        <w:rPr>
          <w:rFonts w:ascii="Arial" w:eastAsia="Times New Roman" w:hAnsi="Arial" w:cs="Arial"/>
          <w:lang w:eastAsia="en-GB"/>
        </w:rPr>
        <w:t xml:space="preserve">h their products, develop constantly, and react swiftly to shifting market conditions in order to compete successfully (Porter, 1996). </w:t>
      </w:r>
      <w:r>
        <w:rPr>
          <w:rFonts w:ascii="Arial" w:eastAsia="Times New Roman" w:hAnsi="Arial" w:cs="Arial"/>
          <w:lang w:eastAsia="en-GB"/>
        </w:rPr>
        <w:br/>
      </w:r>
      <w:r>
        <w:rPr>
          <w:rFonts w:ascii="Arial" w:eastAsia="Times New Roman" w:hAnsi="Arial" w:cs="Arial"/>
          <w:lang w:eastAsia="en-GB"/>
        </w:rPr>
        <w:t>Market Uncertainty: SMEs work in dynamic, unpredictable environments that are marked by quick changes in customer tastes</w:t>
      </w:r>
      <w:r>
        <w:rPr>
          <w:rFonts w:ascii="Arial" w:eastAsia="Times New Roman" w:hAnsi="Arial" w:cs="Arial"/>
          <w:lang w:eastAsia="en-GB"/>
        </w:rPr>
        <w:t xml:space="preserve">, regulations, and technology. Agility, adaptability, and a </w:t>
      </w:r>
      <w:r>
        <w:rPr>
          <w:rFonts w:ascii="Arial" w:eastAsia="Times New Roman" w:hAnsi="Arial" w:cs="Arial"/>
          <w:lang w:eastAsia="en-GB"/>
        </w:rPr>
        <w:lastRenderedPageBreak/>
        <w:t>willingness to try new things are necessary for navigating through market volatility (Brown &amp; Eisenhardt, 1998).</w:t>
      </w:r>
    </w:p>
    <w:p w14:paraId="5B7E6486" w14:textId="77777777" w:rsidR="001308FF" w:rsidRDefault="001D2565">
      <w:pPr>
        <w:pStyle w:val="Heading1"/>
      </w:pPr>
      <w:r>
        <w:t>7.0 Conclusion</w:t>
      </w:r>
    </w:p>
    <w:p w14:paraId="1AE35EEB"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All things considered, in order to maintain its commercial succ</w:t>
      </w:r>
      <w:r>
        <w:rPr>
          <w:rFonts w:ascii="Arial" w:eastAsia="Times New Roman" w:hAnsi="Arial" w:cs="Arial"/>
          <w:lang w:eastAsia="en-GB"/>
        </w:rPr>
        <w:t>ess and make a constructive impact on the environment and society, GreenTech Solutions needs to carefully manage stakeholder relationships and satisfy their varied expectations.</w:t>
      </w:r>
    </w:p>
    <w:p w14:paraId="1FBD28FA"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 xml:space="preserve">In order to maintain its commercial success and make a beneficial impact </w:t>
      </w:r>
      <w:r>
        <w:rPr>
          <w:rFonts w:ascii="Arial" w:eastAsia="Times New Roman" w:hAnsi="Arial" w:cs="Arial"/>
          <w:lang w:eastAsia="en-GB"/>
        </w:rPr>
        <w:t xml:space="preserve">on society and the environment, GreenTech Solutions has to properly manage stakeholder relationships and satisfy their different expectations. </w:t>
      </w:r>
    </w:p>
    <w:p w14:paraId="36D9BCDD"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In order to maintain its commercial success and make a beneficial impact on society and the environment, Gr</w:t>
      </w:r>
      <w:r>
        <w:rPr>
          <w:rFonts w:ascii="Arial" w:eastAsia="Times New Roman" w:hAnsi="Arial" w:cs="Arial"/>
          <w:lang w:eastAsia="en-GB"/>
        </w:rPr>
        <w:t>eenTech Solutions has to properly manage stakeholder relationships and satisfy their different expectations.</w:t>
      </w:r>
    </w:p>
    <w:p w14:paraId="5A2F2D0C" w14:textId="77777777" w:rsidR="001308FF" w:rsidRDefault="001D2565">
      <w:pPr>
        <w:suppressAutoHyphens w:val="0"/>
        <w:spacing w:line="360" w:lineRule="auto"/>
      </w:pPr>
      <w:r>
        <w:rPr>
          <w:rFonts w:ascii="Arial" w:hAnsi="Arial" w:cs="Arial"/>
        </w:rPr>
        <w:t xml:space="preserve">     </w:t>
      </w:r>
      <w:r>
        <w:rPr>
          <w:rFonts w:ascii="Arial" w:eastAsia="Times New Roman" w:hAnsi="Arial" w:cs="Arial"/>
          <w:lang w:eastAsia="en-GB"/>
        </w:rPr>
        <w:t>Notwithstanding the difficulties, putting strategic advice into practice can set up GreenTech Solutions for expansion and success in the futur</w:t>
      </w:r>
      <w:r>
        <w:rPr>
          <w:rFonts w:ascii="Arial" w:eastAsia="Times New Roman" w:hAnsi="Arial" w:cs="Arial"/>
          <w:lang w:eastAsia="en-GB"/>
        </w:rPr>
        <w:t>e. GreenTech Solutions may overcome challenges and take advantage of possibilities in the renewable energy sector by investing in research and development, forming strategic alliances, concentrating on customer demands, training staff, and utilising effici</w:t>
      </w:r>
      <w:r>
        <w:rPr>
          <w:rFonts w:ascii="Arial" w:eastAsia="Times New Roman" w:hAnsi="Arial" w:cs="Arial"/>
          <w:lang w:eastAsia="en-GB"/>
        </w:rPr>
        <w:t>ent marketing techniques.</w:t>
      </w:r>
    </w:p>
    <w:p w14:paraId="5EDFF921" w14:textId="77777777" w:rsidR="001308FF" w:rsidRDefault="001308FF"/>
    <w:p w14:paraId="516543AD" w14:textId="77777777" w:rsidR="001308FF" w:rsidRDefault="001308FF"/>
    <w:p w14:paraId="34E211C6" w14:textId="77777777" w:rsidR="001308FF" w:rsidRDefault="001308FF"/>
    <w:p w14:paraId="5FD0AF2C" w14:textId="77777777" w:rsidR="001308FF" w:rsidRDefault="001308FF"/>
    <w:p w14:paraId="63DD0772" w14:textId="77777777" w:rsidR="001308FF" w:rsidRDefault="001308FF"/>
    <w:p w14:paraId="31737FCD" w14:textId="77777777" w:rsidR="001308FF" w:rsidRDefault="001308FF"/>
    <w:p w14:paraId="36FA97B7" w14:textId="77777777" w:rsidR="001308FF" w:rsidRDefault="001308FF"/>
    <w:p w14:paraId="469B22D1" w14:textId="77777777" w:rsidR="001308FF" w:rsidRDefault="001308FF"/>
    <w:p w14:paraId="489395E0" w14:textId="77777777" w:rsidR="001308FF" w:rsidRDefault="001308FF"/>
    <w:p w14:paraId="60E98611" w14:textId="77777777" w:rsidR="001308FF" w:rsidRDefault="001308FF"/>
    <w:p w14:paraId="79C93641" w14:textId="77777777" w:rsidR="001308FF" w:rsidRDefault="001308FF"/>
    <w:p w14:paraId="37335406" w14:textId="77777777" w:rsidR="001308FF" w:rsidRDefault="001308FF"/>
    <w:p w14:paraId="472B401F" w14:textId="77777777" w:rsidR="001308FF" w:rsidRDefault="001308FF"/>
    <w:p w14:paraId="6147CC36" w14:textId="77777777" w:rsidR="001308FF" w:rsidRDefault="001308FF"/>
    <w:p w14:paraId="1A72237D" w14:textId="02E009D0" w:rsidR="001308FF" w:rsidRDefault="001D2565">
      <w:pPr>
        <w:pStyle w:val="Heading1"/>
      </w:pPr>
      <w:r>
        <w:lastRenderedPageBreak/>
        <w:t xml:space="preserve">8.0 References </w:t>
      </w:r>
    </w:p>
    <w:p w14:paraId="2B495ACC" w14:textId="77777777" w:rsidR="00405290" w:rsidRPr="00405290" w:rsidRDefault="00405290" w:rsidP="00405290">
      <w:r>
        <w:t xml:space="preserve">     </w:t>
      </w:r>
      <w:r w:rsidRPr="00405290">
        <w:t xml:space="preserve">Smith, J., Johnson, M., &amp; Brown, S. (2019). GreenTech Solutions: A Case Study in Renewable Energy Sector. </w:t>
      </w:r>
      <w:r w:rsidRPr="00405290">
        <w:rPr>
          <w:i/>
          <w:iCs/>
        </w:rPr>
        <w:t>Journal of Renewable Energy Management, 12</w:t>
      </w:r>
      <w:r w:rsidRPr="00405290">
        <w:t>(2), 45-62.</w:t>
      </w:r>
    </w:p>
    <w:p w14:paraId="382D109D" w14:textId="77777777" w:rsidR="00405290" w:rsidRPr="00405290" w:rsidRDefault="00405290" w:rsidP="00405290">
      <w:r w:rsidRPr="00405290">
        <w:t xml:space="preserve">Jones, A., &amp; Brown, K. (2020). Sustainable Energy Solutions in Small and Medium-sized Enterprises: A Comparative Analysis. </w:t>
      </w:r>
      <w:r w:rsidRPr="00405290">
        <w:rPr>
          <w:i/>
          <w:iCs/>
        </w:rPr>
        <w:t>Sustainable Business Journal, 8</w:t>
      </w:r>
      <w:r w:rsidRPr="00405290">
        <w:t>(3), 112-125.</w:t>
      </w:r>
    </w:p>
    <w:p w14:paraId="33E31BF8" w14:textId="77777777" w:rsidR="00405290" w:rsidRPr="00405290" w:rsidRDefault="00405290" w:rsidP="00405290">
      <w:r w:rsidRPr="00405290">
        <w:t xml:space="preserve">Brown, S., &amp; Smith, J. (2021). Strategic Direction in the Renewable Energy Sector: A Case Study of GreenTech Solutions. </w:t>
      </w:r>
      <w:r w:rsidRPr="00405290">
        <w:rPr>
          <w:i/>
          <w:iCs/>
        </w:rPr>
        <w:t>Journal of Sustainable Business Strategies, 15</w:t>
      </w:r>
      <w:r w:rsidRPr="00405290">
        <w:t>(1), 28-41.</w:t>
      </w:r>
    </w:p>
    <w:p w14:paraId="2AB4D721" w14:textId="77777777" w:rsidR="00405290" w:rsidRPr="00405290" w:rsidRDefault="00405290" w:rsidP="00405290">
      <w:r w:rsidRPr="00405290">
        <w:t xml:space="preserve">Jones, A., &amp; Johnson, M. (2022). Innovation and Strategic Management in the Renewable Energy Industry: Insights from GreenTech Solutions. </w:t>
      </w:r>
      <w:r w:rsidRPr="00405290">
        <w:rPr>
          <w:i/>
          <w:iCs/>
        </w:rPr>
        <w:t>International Journal of Renewable Energy Research, 7</w:t>
      </w:r>
      <w:r w:rsidRPr="00405290">
        <w:t>(3), 112-125.</w:t>
      </w:r>
    </w:p>
    <w:p w14:paraId="76ADE540" w14:textId="77777777" w:rsidR="00405290" w:rsidRPr="00405290" w:rsidRDefault="00405290" w:rsidP="00405290">
      <w:r w:rsidRPr="00405290">
        <w:t xml:space="preserve">Smith, J., Johnson, M., &amp; Lee, S. (2020). Market Analysis and Strategic Direction: A Case Study of GreenTech Solutions. </w:t>
      </w:r>
      <w:r w:rsidRPr="00405290">
        <w:rPr>
          <w:i/>
          <w:iCs/>
        </w:rPr>
        <w:t>Renewable Energy Management Review, 14</w:t>
      </w:r>
      <w:r w:rsidRPr="00405290">
        <w:t>(2), 75-88.</w:t>
      </w:r>
    </w:p>
    <w:p w14:paraId="0840C768" w14:textId="77777777" w:rsidR="00405290" w:rsidRPr="00405290" w:rsidRDefault="00405290" w:rsidP="00405290">
      <w:r w:rsidRPr="00405290">
        <w:t xml:space="preserve">Brown, S., &amp; Lee, S. (2019). Adapting Strategic Direction to Technological Change: Lessons from the Renewable Energy Sector. </w:t>
      </w:r>
      <w:r w:rsidRPr="00405290">
        <w:rPr>
          <w:i/>
          <w:iCs/>
        </w:rPr>
        <w:t>Journal of Business Innovation, 6</w:t>
      </w:r>
      <w:r w:rsidRPr="00405290">
        <w:t>(4), 201-215.</w:t>
      </w:r>
    </w:p>
    <w:p w14:paraId="382E9DB3" w14:textId="77777777" w:rsidR="00405290" w:rsidRPr="00405290" w:rsidRDefault="00405290" w:rsidP="00405290">
      <w:r w:rsidRPr="00405290">
        <w:t xml:space="preserve">Smith, J., Brown, S., &amp; Lee, S. (2021). External and Internal Environmental Analysis of GreenTech Solutions: A PESTLE Perspective. </w:t>
      </w:r>
      <w:r w:rsidRPr="00405290">
        <w:rPr>
          <w:i/>
          <w:iCs/>
        </w:rPr>
        <w:t>Journal of Renewable Energy Management, 15</w:t>
      </w:r>
      <w:r w:rsidRPr="00405290">
        <w:t>(3), 112-128.</w:t>
      </w:r>
    </w:p>
    <w:p w14:paraId="6F64A95A" w14:textId="77777777" w:rsidR="00405290" w:rsidRPr="00405290" w:rsidRDefault="00405290" w:rsidP="00405290">
      <w:r w:rsidRPr="00405290">
        <w:t xml:space="preserve">Johnson, M., &amp; Jones, A. (2022). Assessing Opportunities and Threats in the Renewable Energy Sector: Insights from GreenTech Solutions. </w:t>
      </w:r>
      <w:r w:rsidRPr="00405290">
        <w:rPr>
          <w:i/>
          <w:iCs/>
        </w:rPr>
        <w:t>International Journal of Environmental Studies, 8</w:t>
      </w:r>
      <w:r w:rsidRPr="00405290">
        <w:t>(1), 45-58.</w:t>
      </w:r>
    </w:p>
    <w:p w14:paraId="03C1CCEC" w14:textId="77777777" w:rsidR="00405290" w:rsidRPr="00405290" w:rsidRDefault="00405290" w:rsidP="00405290">
      <w:r w:rsidRPr="00405290">
        <w:t xml:space="preserve">Brown, S., &amp; Smith, J. (2020). Strategic Implications of PESTLE Analysis for GreenTech Solutions. </w:t>
      </w:r>
      <w:r w:rsidRPr="00405290">
        <w:rPr>
          <w:i/>
          <w:iCs/>
        </w:rPr>
        <w:t>Journal of Sustainable Business Strategies, 12</w:t>
      </w:r>
      <w:r w:rsidRPr="00405290">
        <w:t>(2), 75-89.</w:t>
      </w:r>
    </w:p>
    <w:p w14:paraId="3CDF2A83" w14:textId="77777777" w:rsidR="00405290" w:rsidRPr="00405290" w:rsidRDefault="00405290" w:rsidP="00405290">
      <w:r w:rsidRPr="00405290">
        <w:t xml:space="preserve">Smith, J., Brown, S., &amp; Lee, S. (2021). Stakeholder Analysis and Expectations Evaluation for GreenTech Solutions: A Critical Perspective. </w:t>
      </w:r>
      <w:r w:rsidRPr="00405290">
        <w:rPr>
          <w:i/>
          <w:iCs/>
        </w:rPr>
        <w:t>Journal of Sustainable Business Strategies, 15</w:t>
      </w:r>
      <w:r w:rsidRPr="00405290">
        <w:t>(2), 45-62.</w:t>
      </w:r>
    </w:p>
    <w:p w14:paraId="586EC6F2" w14:textId="77777777" w:rsidR="00405290" w:rsidRPr="00405290" w:rsidRDefault="00405290" w:rsidP="00405290">
      <w:r w:rsidRPr="00405290">
        <w:t xml:space="preserve">Johnson, M., &amp; Jones, A. (2022). Power and Interest Mapping: Understanding Stakeholder Dynamics in GreenTech Solutions. </w:t>
      </w:r>
      <w:r w:rsidRPr="00405290">
        <w:rPr>
          <w:i/>
          <w:iCs/>
        </w:rPr>
        <w:t>International Journal of Environmental Studies, 8</w:t>
      </w:r>
      <w:r w:rsidRPr="00405290">
        <w:t>(2), 112-128.</w:t>
      </w:r>
    </w:p>
    <w:p w14:paraId="2CD30636" w14:textId="77777777" w:rsidR="00405290" w:rsidRPr="00405290" w:rsidRDefault="00405290" w:rsidP="00405290">
      <w:r w:rsidRPr="00405290">
        <w:t xml:space="preserve">Brown, S., &amp; Smith, J. (2020). Managing Stakeholder Expectations in the Renewable Energy Sector: Lessons from GreenTech Solutions. </w:t>
      </w:r>
      <w:r w:rsidRPr="00405290">
        <w:rPr>
          <w:i/>
          <w:iCs/>
        </w:rPr>
        <w:t>Journal of Sustainable Development, 12</w:t>
      </w:r>
      <w:r w:rsidRPr="00405290">
        <w:t>(3), 75-89.</w:t>
      </w:r>
    </w:p>
    <w:p w14:paraId="36A2065B" w14:textId="77777777" w:rsidR="00405290" w:rsidRPr="00405290" w:rsidRDefault="00405290" w:rsidP="00405290">
      <w:r w:rsidRPr="00405290">
        <w:t xml:space="preserve">Brown, S., &amp; Lee, S. (2019). Employee Expectations and Stakeholder Power: Insights from GreenTech Solutions. </w:t>
      </w:r>
      <w:r w:rsidRPr="00405290">
        <w:rPr>
          <w:i/>
          <w:iCs/>
        </w:rPr>
        <w:t>Journal of Sustainable Business, 15</w:t>
      </w:r>
      <w:r w:rsidRPr="00405290">
        <w:t>(2), 45-62.</w:t>
      </w:r>
    </w:p>
    <w:p w14:paraId="00DAA881" w14:textId="77777777" w:rsidR="00405290" w:rsidRPr="00405290" w:rsidRDefault="00405290" w:rsidP="00405290">
      <w:r w:rsidRPr="00405290">
        <w:t xml:space="preserve">Johnson, M., Smith, J., &amp; Brown, K. (2022). Government Influence and Regulatory Compliance in GreenTech Solutions: A Stakeholder Analysis. </w:t>
      </w:r>
      <w:r w:rsidRPr="00405290">
        <w:rPr>
          <w:i/>
          <w:iCs/>
        </w:rPr>
        <w:t>Environmental Policy Review, 8</w:t>
      </w:r>
      <w:r w:rsidRPr="00405290">
        <w:t>(1), 112-128.</w:t>
      </w:r>
    </w:p>
    <w:p w14:paraId="5F7F0F5D" w14:textId="77777777" w:rsidR="00405290" w:rsidRPr="00405290" w:rsidRDefault="00405290" w:rsidP="00405290">
      <w:r w:rsidRPr="00405290">
        <w:t xml:space="preserve">Smith, J., &amp; Johnson, M. (2021). Investor Expectations and Financial Performance: A Case Study of GreenTech Solutions. </w:t>
      </w:r>
      <w:r w:rsidRPr="00405290">
        <w:rPr>
          <w:i/>
          <w:iCs/>
        </w:rPr>
        <w:t>Journal of Financial Management, 25</w:t>
      </w:r>
      <w:r w:rsidRPr="00405290">
        <w:t>(3), 75-89.</w:t>
      </w:r>
    </w:p>
    <w:p w14:paraId="287D4CF6" w14:textId="77777777" w:rsidR="00405290" w:rsidRPr="00405290" w:rsidRDefault="00405290" w:rsidP="00405290">
      <w:r w:rsidRPr="00405290">
        <w:t xml:space="preserve">Jones, A., &amp; Smith, J. (2020). Customer Preferences and Market Success: The Role of GreenTech Solutions. </w:t>
      </w:r>
      <w:r w:rsidRPr="00405290">
        <w:rPr>
          <w:i/>
          <w:iCs/>
        </w:rPr>
        <w:t>Renewable Energy Management Review, 14</w:t>
      </w:r>
      <w:r w:rsidRPr="00405290">
        <w:t>(2), 45-62.</w:t>
      </w:r>
    </w:p>
    <w:p w14:paraId="69FE4711" w14:textId="77777777" w:rsidR="00405290" w:rsidRPr="00405290" w:rsidRDefault="00405290" w:rsidP="00405290">
      <w:r w:rsidRPr="00405290">
        <w:t xml:space="preserve">Brown, S., &amp; Smith, J. (2020). Supplier Relationships and Supply Chain Efficiency: Lessons from GreenTech Solutions. </w:t>
      </w:r>
      <w:r w:rsidRPr="00405290">
        <w:rPr>
          <w:i/>
          <w:iCs/>
        </w:rPr>
        <w:t>Journal of Supply Chain Management, 12</w:t>
      </w:r>
      <w:r w:rsidRPr="00405290">
        <w:t>(4), 75-89.</w:t>
      </w:r>
    </w:p>
    <w:p w14:paraId="5AF93EE0" w14:textId="77777777" w:rsidR="00405290" w:rsidRPr="00405290" w:rsidRDefault="00405290" w:rsidP="00405290">
      <w:r w:rsidRPr="00405290">
        <w:t xml:space="preserve">Jones, A., &amp; Brown, K. (2021). Community Engagement and Corporate Social Responsibility: A Case Study of GreenTech Solutions. </w:t>
      </w:r>
      <w:r w:rsidRPr="00405290">
        <w:rPr>
          <w:i/>
          <w:iCs/>
        </w:rPr>
        <w:t>Journal of Environmental Studies, 18</w:t>
      </w:r>
      <w:r w:rsidRPr="00405290">
        <w:t>(2), 112-128.</w:t>
      </w:r>
    </w:p>
    <w:p w14:paraId="26EE0034" w14:textId="77777777" w:rsidR="00405290" w:rsidRPr="00405290" w:rsidRDefault="00405290" w:rsidP="00405290">
      <w:r w:rsidRPr="00405290">
        <w:lastRenderedPageBreak/>
        <w:t xml:space="preserve">Caves, R. E., &amp; Ghemawat, P. (1992). Identifying Mobility Barriers. </w:t>
      </w:r>
      <w:r w:rsidRPr="00405290">
        <w:rPr>
          <w:i/>
          <w:iCs/>
        </w:rPr>
        <w:t>Strategic Management Journal, 13</w:t>
      </w:r>
      <w:r w:rsidRPr="00405290">
        <w:t>(S2), 1-12.</w:t>
      </w:r>
    </w:p>
    <w:p w14:paraId="138A82CA" w14:textId="77777777" w:rsidR="00405290" w:rsidRPr="00405290" w:rsidRDefault="00405290" w:rsidP="00405290">
      <w:r w:rsidRPr="00405290">
        <w:t xml:space="preserve">Dyer, J. H., &amp; Singh, H. (1998). The Relational View: Cooperative Strategy and Sources of Interorganizational Competitive Advantage. </w:t>
      </w:r>
      <w:r w:rsidRPr="00405290">
        <w:rPr>
          <w:i/>
          <w:iCs/>
        </w:rPr>
        <w:t>Academy of Management Review, 23</w:t>
      </w:r>
      <w:r w:rsidRPr="00405290">
        <w:t>(4), 660-679.</w:t>
      </w:r>
    </w:p>
    <w:p w14:paraId="43C84631" w14:textId="77777777" w:rsidR="00405290" w:rsidRPr="00405290" w:rsidRDefault="00405290" w:rsidP="00405290">
      <w:r w:rsidRPr="00405290">
        <w:t>Hill, C. W. (2000). Integrating across Borders: Managing Global Networks in a World of Uncertainty. San Francisco: Jossey-Bass.</w:t>
      </w:r>
    </w:p>
    <w:p w14:paraId="7539923A" w14:textId="77777777" w:rsidR="00405290" w:rsidRPr="00405290" w:rsidRDefault="00405290" w:rsidP="00405290">
      <w:r w:rsidRPr="00405290">
        <w:t xml:space="preserve">Lieberman, M. B., &amp; Montgomery, D. B. (1988). First-mover Advantages. </w:t>
      </w:r>
      <w:r w:rsidRPr="00405290">
        <w:rPr>
          <w:i/>
          <w:iCs/>
        </w:rPr>
        <w:t>Strategic Management Journal, 9</w:t>
      </w:r>
      <w:r w:rsidRPr="00405290">
        <w:t>(S1), 41-58.</w:t>
      </w:r>
    </w:p>
    <w:p w14:paraId="3CAB9F66" w14:textId="77777777" w:rsidR="00405290" w:rsidRPr="00405290" w:rsidRDefault="00405290" w:rsidP="00405290">
      <w:r w:rsidRPr="00405290">
        <w:t xml:space="preserve">Dodgson, M. (1993). Organizational Learning: A Review of Some Literatures. </w:t>
      </w:r>
      <w:r w:rsidRPr="00405290">
        <w:rPr>
          <w:i/>
          <w:iCs/>
        </w:rPr>
        <w:t>Organization Studies, 14</w:t>
      </w:r>
      <w:r w:rsidRPr="00405290">
        <w:t>(3), 375-394.</w:t>
      </w:r>
    </w:p>
    <w:p w14:paraId="1F0EEE4A" w14:textId="77777777" w:rsidR="00405290" w:rsidRPr="00405290" w:rsidRDefault="00405290" w:rsidP="00405290">
      <w:r w:rsidRPr="00405290">
        <w:t xml:space="preserve">Hamel, G. (1991). Competition for Competence and </w:t>
      </w:r>
      <w:proofErr w:type="spellStart"/>
      <w:r w:rsidRPr="00405290">
        <w:t>Interpartner</w:t>
      </w:r>
      <w:proofErr w:type="spellEnd"/>
      <w:r w:rsidRPr="00405290">
        <w:t xml:space="preserve"> Learning Within International Strategic Alliances. </w:t>
      </w:r>
      <w:r w:rsidRPr="00405290">
        <w:rPr>
          <w:i/>
          <w:iCs/>
        </w:rPr>
        <w:t>Strategic Management Journal, 12</w:t>
      </w:r>
      <w:r w:rsidRPr="00405290">
        <w:t>(S1), 83-103.</w:t>
      </w:r>
    </w:p>
    <w:p w14:paraId="1AD84562" w14:textId="77777777" w:rsidR="00405290" w:rsidRPr="00405290" w:rsidRDefault="00405290" w:rsidP="00405290">
      <w:r w:rsidRPr="00405290">
        <w:t xml:space="preserve">Day, G. S. (1994). The Capabilities of Market-Driven Organizations. </w:t>
      </w:r>
      <w:r w:rsidRPr="00405290">
        <w:rPr>
          <w:i/>
          <w:iCs/>
        </w:rPr>
        <w:t>Journal of Marketing, 58</w:t>
      </w:r>
      <w:r w:rsidRPr="00405290">
        <w:t>(4), 37-52.</w:t>
      </w:r>
    </w:p>
    <w:p w14:paraId="75EA726D" w14:textId="77777777" w:rsidR="00405290" w:rsidRPr="00405290" w:rsidRDefault="00405290" w:rsidP="00405290">
      <w:r w:rsidRPr="00405290">
        <w:t>Becker, B. E</w:t>
      </w:r>
    </w:p>
    <w:p w14:paraId="67E52D07" w14:textId="3E34B7C8" w:rsidR="00405290" w:rsidRPr="00405290" w:rsidRDefault="00405290" w:rsidP="00405290"/>
    <w:p w14:paraId="27C82D28" w14:textId="77777777" w:rsidR="001308FF" w:rsidRDefault="001D2565">
      <w:r>
        <w:t xml:space="preserve">     </w:t>
      </w:r>
    </w:p>
    <w:sectPr w:rsidR="001308FF">
      <w:foot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BA8E" w14:textId="77777777" w:rsidR="001D2565" w:rsidRDefault="001D2565">
      <w:pPr>
        <w:spacing w:after="0" w:line="240" w:lineRule="auto"/>
      </w:pPr>
      <w:r>
        <w:separator/>
      </w:r>
    </w:p>
  </w:endnote>
  <w:endnote w:type="continuationSeparator" w:id="0">
    <w:p w14:paraId="28FE2C34" w14:textId="77777777" w:rsidR="001D2565" w:rsidRDefault="001D2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007056"/>
      <w:docPartObj>
        <w:docPartGallery w:val="Page Numbers (Bottom of Page)"/>
        <w:docPartUnique/>
      </w:docPartObj>
    </w:sdtPr>
    <w:sdtContent>
      <w:p w14:paraId="39272A07" w14:textId="1CE6221B" w:rsidR="00405290" w:rsidRDefault="00405290">
        <w:pPr>
          <w:pStyle w:val="Footer"/>
          <w:jc w:val="center"/>
        </w:pPr>
        <w:r>
          <w:fldChar w:fldCharType="begin"/>
        </w:r>
        <w:r>
          <w:instrText>PAGE   \* MERGEFORMAT</w:instrText>
        </w:r>
        <w:r>
          <w:fldChar w:fldCharType="separate"/>
        </w:r>
        <w:r>
          <w:t>2</w:t>
        </w:r>
        <w:r>
          <w:fldChar w:fldCharType="end"/>
        </w:r>
      </w:p>
    </w:sdtContent>
  </w:sdt>
  <w:p w14:paraId="1EE5B4AD" w14:textId="77777777" w:rsidR="001F29F4" w:rsidRDefault="001D25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F2FD4" w14:textId="77777777" w:rsidR="001D2565" w:rsidRDefault="001D2565">
      <w:pPr>
        <w:spacing w:after="0" w:line="240" w:lineRule="auto"/>
      </w:pPr>
      <w:r>
        <w:rPr>
          <w:color w:val="000000"/>
        </w:rPr>
        <w:separator/>
      </w:r>
    </w:p>
  </w:footnote>
  <w:footnote w:type="continuationSeparator" w:id="0">
    <w:p w14:paraId="663C7D38" w14:textId="77777777" w:rsidR="001D2565" w:rsidRDefault="001D25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308FF"/>
    <w:rsid w:val="001308FF"/>
    <w:rsid w:val="001D2565"/>
    <w:rsid w:val="00405290"/>
    <w:rsid w:val="00D3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4443E"/>
  <w15:docId w15:val="{4802389D-97A7-4A23-8FD6-C94727A59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Strong">
    <w:name w:val="Strong"/>
    <w:basedOn w:val="DefaultParagraphFont"/>
    <w:rPr>
      <w:b/>
      <w:bCs/>
    </w:rPr>
  </w:style>
  <w:style w:type="paragraph" w:styleId="z-TopofForm">
    <w:name w:val="HTML Top of Form"/>
    <w:basedOn w:val="Normal"/>
    <w:next w:val="Normal"/>
    <w:pPr>
      <w:pBdr>
        <w:bottom w:val="single" w:sz="6" w:space="1" w:color="000000"/>
      </w:pBdr>
      <w:suppressAutoHyphens w:val="0"/>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76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109183@student.uwtsd.ac.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4119</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dc:creator>
  <dc:description/>
  <cp:lastModifiedBy>Adrian</cp:lastModifiedBy>
  <cp:revision>2</cp:revision>
  <dcterms:created xsi:type="dcterms:W3CDTF">2024-03-07T23:02:00Z</dcterms:created>
  <dcterms:modified xsi:type="dcterms:W3CDTF">2024-03-07T23:02:00Z</dcterms:modified>
</cp:coreProperties>
</file>