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1BC1AF" w14:textId="77777777" w:rsidR="00BC4621" w:rsidRPr="00EE5BC3" w:rsidRDefault="00BC4621" w:rsidP="00BC4621">
      <w:pPr>
        <w:jc w:val="center"/>
        <w:rPr>
          <w:b/>
          <w:sz w:val="28"/>
          <w:szCs w:val="28"/>
        </w:rPr>
      </w:pPr>
      <w:r w:rsidRPr="00EE5BC3">
        <w:rPr>
          <w:b/>
          <w:sz w:val="28"/>
          <w:szCs w:val="28"/>
        </w:rPr>
        <w:t>Task 4</w:t>
      </w:r>
    </w:p>
    <w:p w14:paraId="69E22EEA" w14:textId="77777777" w:rsidR="00BC4621" w:rsidRPr="00EE5BC3" w:rsidRDefault="00BC4621" w:rsidP="00BC4621">
      <w:pPr>
        <w:jc w:val="center"/>
        <w:rPr>
          <w:b/>
          <w:sz w:val="28"/>
          <w:szCs w:val="28"/>
        </w:rPr>
      </w:pPr>
    </w:p>
    <w:p w14:paraId="252EA6C5" w14:textId="77777777" w:rsidR="00BC4621" w:rsidRPr="00EE5BC3" w:rsidRDefault="00BC4621" w:rsidP="00BC4621">
      <w:pPr>
        <w:jc w:val="center"/>
        <w:rPr>
          <w:b/>
          <w:sz w:val="28"/>
          <w:szCs w:val="28"/>
        </w:rPr>
      </w:pPr>
      <w:r w:rsidRPr="00EE5BC3">
        <w:rPr>
          <w:b/>
          <w:sz w:val="28"/>
          <w:szCs w:val="28"/>
        </w:rPr>
        <w:t>Safeguarding</w:t>
      </w:r>
      <w:r>
        <w:rPr>
          <w:b/>
          <w:sz w:val="28"/>
          <w:szCs w:val="28"/>
        </w:rPr>
        <w:t xml:space="preserve"> in an area which is not your main area of work</w:t>
      </w:r>
    </w:p>
    <w:p w14:paraId="09C08C4A" w14:textId="77777777" w:rsidR="00BC4621" w:rsidRPr="008B28E7" w:rsidRDefault="00BC4621" w:rsidP="00BC4621">
      <w:pPr>
        <w:jc w:val="both"/>
        <w:rPr>
          <w:b/>
          <w:sz w:val="24"/>
          <w:szCs w:val="24"/>
        </w:rPr>
      </w:pPr>
    </w:p>
    <w:p w14:paraId="3AD2B99E" w14:textId="77777777" w:rsidR="00BC4621" w:rsidRPr="00EE5BC3" w:rsidRDefault="00BC4621" w:rsidP="00BC4621">
      <w:pPr>
        <w:ind w:left="-90"/>
        <w:jc w:val="both"/>
        <w:rPr>
          <w:b/>
          <w:i/>
          <w:sz w:val="24"/>
          <w:szCs w:val="24"/>
        </w:rPr>
      </w:pPr>
      <w:r w:rsidRPr="00EE5BC3">
        <w:rPr>
          <w:b/>
          <w:i/>
          <w:sz w:val="24"/>
          <w:szCs w:val="24"/>
        </w:rPr>
        <w:t xml:space="preserve">Guidance: </w:t>
      </w:r>
    </w:p>
    <w:p w14:paraId="4127A7DB" w14:textId="77777777" w:rsidR="00BC4621" w:rsidRPr="00706BB5" w:rsidRDefault="00BC4621" w:rsidP="00BC4621">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295F6503" w14:textId="77777777" w:rsidR="00BC4621" w:rsidRPr="008B28E7" w:rsidRDefault="00BC4621" w:rsidP="00BC4621">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C4621" w:rsidRPr="008B28E7" w14:paraId="3D30D51F" w14:textId="77777777" w:rsidTr="00B57563">
        <w:tc>
          <w:tcPr>
            <w:tcW w:w="10188" w:type="dxa"/>
            <w:shd w:val="clear" w:color="auto" w:fill="auto"/>
          </w:tcPr>
          <w:p w14:paraId="4BB2DF82" w14:textId="77777777" w:rsidR="00BC4621" w:rsidRPr="00EB695F" w:rsidRDefault="00BC4621" w:rsidP="00B57563">
            <w:pPr>
              <w:jc w:val="both"/>
              <w:rPr>
                <w:b/>
                <w:sz w:val="24"/>
                <w:szCs w:val="24"/>
              </w:rPr>
            </w:pPr>
            <w:r w:rsidRPr="00EB695F">
              <w:rPr>
                <w:b/>
                <w:sz w:val="24"/>
                <w:szCs w:val="24"/>
              </w:rPr>
              <w:t>Question</w:t>
            </w:r>
            <w:r>
              <w:rPr>
                <w:b/>
                <w:sz w:val="24"/>
                <w:szCs w:val="24"/>
              </w:rPr>
              <w:t xml:space="preserve"> a:</w:t>
            </w:r>
          </w:p>
          <w:p w14:paraId="283559A4" w14:textId="77777777" w:rsidR="00BC4621" w:rsidRDefault="00BC4621" w:rsidP="00B57563">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21BCB322" w14:textId="77777777" w:rsidR="00BC4621" w:rsidRDefault="00BC4621" w:rsidP="00B57563">
            <w:pPr>
              <w:jc w:val="both"/>
              <w:rPr>
                <w:sz w:val="24"/>
                <w:szCs w:val="24"/>
              </w:rPr>
            </w:pPr>
          </w:p>
          <w:p w14:paraId="5F30EEED" w14:textId="77777777" w:rsidR="00BC4621" w:rsidRDefault="00BC4621" w:rsidP="00B57563">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734AD030" w14:textId="77777777" w:rsidR="00BC4621" w:rsidRDefault="00BC4621" w:rsidP="00B57563">
            <w:pPr>
              <w:jc w:val="both"/>
              <w:rPr>
                <w:sz w:val="24"/>
                <w:szCs w:val="24"/>
              </w:rPr>
            </w:pPr>
          </w:p>
          <w:p w14:paraId="1821B654" w14:textId="77777777" w:rsidR="00BC4621" w:rsidRDefault="00BC4621" w:rsidP="00B57563">
            <w:pPr>
              <w:jc w:val="both"/>
              <w:rPr>
                <w:sz w:val="24"/>
                <w:szCs w:val="24"/>
              </w:rPr>
            </w:pPr>
          </w:p>
          <w:p w14:paraId="605C75C7" w14:textId="77777777" w:rsidR="00BC4621" w:rsidRDefault="00BC4621" w:rsidP="00B57563">
            <w:pPr>
              <w:jc w:val="both"/>
              <w:rPr>
                <w:sz w:val="24"/>
                <w:szCs w:val="24"/>
              </w:rPr>
            </w:pPr>
            <w:r>
              <w:rPr>
                <w:sz w:val="24"/>
                <w:szCs w:val="24"/>
              </w:rPr>
              <w:t>Adult safeguarding is largely underpinned by Part 7 of the Social Services and Well-being (Wales) Act 2014 (SSWBA 2014) and the Wales Safeguarding Procedures (2019). Section 126 of the SSWBA 2014 refers to an ‘adult at risk’ as an adult who is:</w:t>
            </w:r>
          </w:p>
          <w:p w14:paraId="561F3526" w14:textId="77777777" w:rsidR="00BC4621" w:rsidRPr="007662C8" w:rsidRDefault="00BC4621" w:rsidP="00B57563">
            <w:pPr>
              <w:pStyle w:val="legclearfix"/>
              <w:shd w:val="clear" w:color="auto" w:fill="FFFFFF"/>
              <w:spacing w:before="0" w:beforeAutospacing="0" w:after="120" w:afterAutospacing="0"/>
              <w:rPr>
                <w:rFonts w:ascii="Arial" w:hAnsi="Arial" w:cs="Arial"/>
                <w:i/>
                <w:color w:val="000000"/>
                <w:szCs w:val="19"/>
              </w:rPr>
            </w:pPr>
            <w:r>
              <w:rPr>
                <w:rStyle w:val="legds"/>
                <w:rFonts w:ascii="Arial" w:hAnsi="Arial" w:cs="Arial"/>
                <w:color w:val="000000"/>
                <w:sz w:val="19"/>
                <w:szCs w:val="19"/>
              </w:rPr>
              <w:t>“</w:t>
            </w:r>
            <w:r w:rsidRPr="007662C8">
              <w:rPr>
                <w:rStyle w:val="legds"/>
                <w:rFonts w:ascii="Arial" w:hAnsi="Arial" w:cs="Arial"/>
                <w:i/>
                <w:color w:val="000000"/>
                <w:szCs w:val="19"/>
              </w:rPr>
              <w:t>(a)is experiencing or is at risk of abuse or neglect,</w:t>
            </w:r>
          </w:p>
          <w:p w14:paraId="0646D530" w14:textId="77777777" w:rsidR="00BC4621" w:rsidRPr="007662C8" w:rsidRDefault="00BC4621" w:rsidP="00B57563">
            <w:pPr>
              <w:pStyle w:val="legclearfix"/>
              <w:shd w:val="clear" w:color="auto" w:fill="FFFFFF"/>
              <w:spacing w:before="0" w:beforeAutospacing="0" w:after="120" w:afterAutospacing="0"/>
              <w:rPr>
                <w:rFonts w:ascii="Arial" w:hAnsi="Arial" w:cs="Arial"/>
                <w:i/>
                <w:color w:val="000000"/>
                <w:szCs w:val="19"/>
              </w:rPr>
            </w:pPr>
            <w:r w:rsidRPr="007662C8">
              <w:rPr>
                <w:rStyle w:val="legds"/>
                <w:rFonts w:ascii="Arial" w:hAnsi="Arial" w:cs="Arial"/>
                <w:i/>
                <w:color w:val="000000"/>
                <w:szCs w:val="19"/>
              </w:rPr>
              <w:t>(b)has needs for care and support (whether or not the authority is meeting any of those needs), and</w:t>
            </w:r>
          </w:p>
          <w:p w14:paraId="666D58DE" w14:textId="77777777" w:rsidR="00BC4621" w:rsidRPr="007662C8" w:rsidRDefault="00BC4621" w:rsidP="00B57563">
            <w:pPr>
              <w:pStyle w:val="legclearfix"/>
              <w:shd w:val="clear" w:color="auto" w:fill="FFFFFF"/>
              <w:spacing w:before="0" w:beforeAutospacing="0" w:after="120" w:afterAutospacing="0"/>
              <w:rPr>
                <w:rFonts w:ascii="Arial" w:hAnsi="Arial" w:cs="Arial"/>
                <w:i/>
                <w:color w:val="000000"/>
                <w:szCs w:val="19"/>
              </w:rPr>
            </w:pPr>
            <w:r w:rsidRPr="007662C8">
              <w:rPr>
                <w:rStyle w:val="legds"/>
                <w:rFonts w:ascii="Arial" w:hAnsi="Arial" w:cs="Arial"/>
                <w:i/>
                <w:color w:val="000000"/>
                <w:szCs w:val="19"/>
              </w:rPr>
              <w:t>(c)as a result of those needs is unable to protect himself or herself against the abuse or neglect or the risk of it</w:t>
            </w:r>
            <w:r>
              <w:rPr>
                <w:rStyle w:val="legds"/>
                <w:rFonts w:ascii="Arial" w:hAnsi="Arial" w:cs="Arial"/>
                <w:i/>
                <w:color w:val="000000"/>
                <w:szCs w:val="19"/>
              </w:rPr>
              <w:t xml:space="preserve">” </w:t>
            </w:r>
            <w:r w:rsidRPr="007662C8">
              <w:rPr>
                <w:rStyle w:val="legds"/>
                <w:rFonts w:ascii="Arial" w:hAnsi="Arial" w:cs="Arial"/>
                <w:color w:val="000000"/>
                <w:szCs w:val="19"/>
              </w:rPr>
              <w:t>(SSWBA 2014, Section 126 (1))</w:t>
            </w:r>
          </w:p>
          <w:p w14:paraId="0BF732F7" w14:textId="77777777" w:rsidR="00BC4621" w:rsidRDefault="00BC4621" w:rsidP="00B57563">
            <w:pPr>
              <w:jc w:val="both"/>
              <w:rPr>
                <w:sz w:val="24"/>
                <w:szCs w:val="24"/>
              </w:rPr>
            </w:pPr>
          </w:p>
          <w:p w14:paraId="256AD9F1" w14:textId="77777777" w:rsidR="00BC4621" w:rsidRDefault="00BC4621" w:rsidP="00B57563">
            <w:pPr>
              <w:jc w:val="both"/>
              <w:rPr>
                <w:sz w:val="24"/>
                <w:szCs w:val="24"/>
              </w:rPr>
            </w:pPr>
            <w:r>
              <w:rPr>
                <w:sz w:val="24"/>
                <w:szCs w:val="24"/>
              </w:rPr>
              <w:t xml:space="preserve">The wording of ‘at risk’ means that actual abuse does not need to have occurred and enables early intervention to safeguard adults, which is a key principle within the SSWBA 2014. Additionally, the SSWBA 2014 and Wales Safeguarding Procedures 2019, abolished the previously used term ‘vulnerable adults’ </w:t>
            </w:r>
            <w:r w:rsidRPr="00CB6187">
              <w:rPr>
                <w:sz w:val="24"/>
                <w:szCs w:val="24"/>
              </w:rPr>
              <w:t>(</w:t>
            </w:r>
            <w:r>
              <w:rPr>
                <w:sz w:val="24"/>
                <w:szCs w:val="24"/>
              </w:rPr>
              <w:t>Welsh Government</w:t>
            </w:r>
            <w:r w:rsidRPr="00CB6187">
              <w:rPr>
                <w:sz w:val="24"/>
                <w:szCs w:val="24"/>
              </w:rPr>
              <w:t>, 2010)</w:t>
            </w:r>
            <w:r>
              <w:rPr>
                <w:sz w:val="24"/>
                <w:szCs w:val="24"/>
              </w:rPr>
              <w:t xml:space="preserve"> for ‘adult at risk’ as this refers to the adults circumstances, rather than their characteristic. </w:t>
            </w:r>
          </w:p>
          <w:p w14:paraId="0F37AC79" w14:textId="77777777" w:rsidR="00BC4621" w:rsidRDefault="00BC4621" w:rsidP="00B57563">
            <w:pPr>
              <w:jc w:val="both"/>
              <w:rPr>
                <w:sz w:val="24"/>
                <w:szCs w:val="24"/>
              </w:rPr>
            </w:pPr>
          </w:p>
          <w:p w14:paraId="65E06117" w14:textId="77777777" w:rsidR="00BC4621" w:rsidRDefault="00BC4621" w:rsidP="00B57563">
            <w:pPr>
              <w:jc w:val="both"/>
              <w:rPr>
                <w:sz w:val="24"/>
              </w:rPr>
            </w:pPr>
            <w:r>
              <w:rPr>
                <w:sz w:val="24"/>
                <w:szCs w:val="24"/>
              </w:rPr>
              <w:t xml:space="preserve">Duties within the SSWBA 2014, include adopting a person-centred approach and respecting the views and rights of individuals. The SSWBA 2014 states that when exercising functions under the act, there must be due regards to the United Nations Principles of Older Persons (1991). Part 7 of the SSWBA 2014 incorporates rights included in the </w:t>
            </w:r>
            <w:r w:rsidRPr="00D55834">
              <w:rPr>
                <w:sz w:val="24"/>
              </w:rPr>
              <w:t>European Convention of Human Rights</w:t>
            </w:r>
            <w:r>
              <w:rPr>
                <w:sz w:val="24"/>
              </w:rPr>
              <w:t xml:space="preserve"> which is given effect by the Human Rights Act (1998); further legislation that promotes the rights of adults also includes the Mental Capacity Act (2005). Additionally, Wales Safeguarding Procedures 2019 also recognises other legislation that protects adults from further (and more recently recognised) forms of abuse, such as </w:t>
            </w:r>
            <w:r>
              <w:rPr>
                <w:sz w:val="24"/>
                <w:szCs w:val="24"/>
              </w:rPr>
              <w:t>Domestic Abuse (Violence against Women, Domestic Abuse and Sexual Violence (Wales) Act 2015</w:t>
            </w:r>
            <w:r>
              <w:rPr>
                <w:sz w:val="24"/>
              </w:rPr>
              <w:t xml:space="preserve"> and the Modern Slavery Act 2015.</w:t>
            </w:r>
          </w:p>
          <w:p w14:paraId="6BF9A5F7" w14:textId="77777777" w:rsidR="00BC4621" w:rsidRDefault="00BC4621" w:rsidP="00B57563">
            <w:pPr>
              <w:jc w:val="both"/>
              <w:rPr>
                <w:sz w:val="24"/>
              </w:rPr>
            </w:pPr>
          </w:p>
          <w:p w14:paraId="6360E32C" w14:textId="77777777" w:rsidR="00BC4621" w:rsidRDefault="00BC4621" w:rsidP="00B57563">
            <w:pPr>
              <w:jc w:val="both"/>
              <w:rPr>
                <w:sz w:val="24"/>
              </w:rPr>
            </w:pPr>
            <w:r w:rsidRPr="00070C02">
              <w:rPr>
                <w:sz w:val="24"/>
              </w:rPr>
              <w:t>It is stressed that ‘Safeguarding is everybody’s responsibility’ (Welsh Government, 2017</w:t>
            </w:r>
            <w:r w:rsidRPr="000F03C6">
              <w:t xml:space="preserve">) </w:t>
            </w:r>
            <w:r w:rsidRPr="00070C02">
              <w:rPr>
                <w:sz w:val="24"/>
              </w:rPr>
              <w:t>and if there is a reasonable cause to suspect an adult is experiencing, or at risk, of harm this must be reported to the local authority</w:t>
            </w:r>
            <w:r>
              <w:rPr>
                <w:sz w:val="24"/>
              </w:rPr>
              <w:t xml:space="preserve"> by relevant partners, as outlined in Section 128 of the SSWBA 2014. If the Local Authority has reasonable cause to suspect an adult is at risk, it must:</w:t>
            </w:r>
          </w:p>
          <w:p w14:paraId="16F8054D" w14:textId="77777777" w:rsidR="00BC4621" w:rsidRPr="00B41037" w:rsidRDefault="00BC4621" w:rsidP="00B57563">
            <w:pPr>
              <w:pStyle w:val="legclearfix"/>
              <w:shd w:val="clear" w:color="auto" w:fill="FFFFFF"/>
              <w:spacing w:before="0" w:beforeAutospacing="0" w:after="120" w:afterAutospacing="0" w:line="360" w:lineRule="atLeast"/>
              <w:rPr>
                <w:rFonts w:ascii="Arial" w:hAnsi="Arial" w:cs="Arial"/>
                <w:i/>
                <w:color w:val="000000"/>
              </w:rPr>
            </w:pPr>
            <w:r w:rsidRPr="00B41037">
              <w:rPr>
                <w:rFonts w:ascii="Arial" w:hAnsi="Arial" w:cs="Arial"/>
                <w:i/>
              </w:rPr>
              <w:t>“</w:t>
            </w:r>
            <w:r w:rsidRPr="00B41037">
              <w:rPr>
                <w:rStyle w:val="legds"/>
                <w:rFonts w:ascii="Arial" w:hAnsi="Arial" w:cs="Arial"/>
                <w:i/>
                <w:color w:val="000000"/>
              </w:rPr>
              <w:t>(a)make (or cause to be made) whatever enquiries it thinks necessary to enable it to decide whether any action should be taken (whether under this Act or otherwise) and, if so, what and by whom, and</w:t>
            </w:r>
          </w:p>
          <w:p w14:paraId="43F0072E" w14:textId="77777777" w:rsidR="00BC4621" w:rsidRDefault="00BC4621" w:rsidP="00B57563">
            <w:pPr>
              <w:pStyle w:val="legclearfix"/>
              <w:shd w:val="clear" w:color="auto" w:fill="FFFFFF"/>
              <w:spacing w:before="0" w:beforeAutospacing="0" w:after="120" w:afterAutospacing="0" w:line="360" w:lineRule="atLeast"/>
              <w:rPr>
                <w:rStyle w:val="legds"/>
                <w:rFonts w:ascii="Arial" w:hAnsi="Arial" w:cs="Arial"/>
                <w:color w:val="000000"/>
              </w:rPr>
            </w:pPr>
            <w:r w:rsidRPr="00B41037">
              <w:rPr>
                <w:rStyle w:val="legds"/>
                <w:rFonts w:ascii="Arial" w:hAnsi="Arial" w:cs="Arial"/>
                <w:i/>
                <w:color w:val="000000"/>
              </w:rPr>
              <w:t>(b)decide whether any such action should be taken”</w:t>
            </w:r>
            <w:r>
              <w:rPr>
                <w:rStyle w:val="legds"/>
                <w:rFonts w:ascii="Arial" w:hAnsi="Arial" w:cs="Arial"/>
                <w:i/>
                <w:color w:val="000000"/>
              </w:rPr>
              <w:t xml:space="preserve"> </w:t>
            </w:r>
            <w:r>
              <w:rPr>
                <w:rStyle w:val="legds"/>
                <w:rFonts w:ascii="Arial" w:hAnsi="Arial" w:cs="Arial"/>
                <w:color w:val="000000"/>
              </w:rPr>
              <w:t>(SSWBA 2014, S.126 (2))</w:t>
            </w:r>
          </w:p>
          <w:p w14:paraId="6A504FFE" w14:textId="77777777" w:rsidR="00BC4621" w:rsidRPr="002C0BD4" w:rsidRDefault="00BC4621" w:rsidP="00B57563">
            <w:pPr>
              <w:pStyle w:val="legclearfix"/>
              <w:shd w:val="clear" w:color="auto" w:fill="FFFFFF"/>
              <w:spacing w:before="0" w:beforeAutospacing="0" w:after="120" w:afterAutospacing="0" w:line="360" w:lineRule="atLeast"/>
              <w:rPr>
                <w:rFonts w:ascii="Arial" w:hAnsi="Arial" w:cs="Arial"/>
              </w:rPr>
            </w:pPr>
            <w:r w:rsidRPr="00B41037">
              <w:rPr>
                <w:rStyle w:val="legds"/>
                <w:rFonts w:ascii="Arial" w:hAnsi="Arial" w:cs="Arial"/>
              </w:rPr>
              <w:t>Good practice states</w:t>
            </w:r>
            <w:r>
              <w:rPr>
                <w:rStyle w:val="legds"/>
                <w:rFonts w:ascii="Arial" w:hAnsi="Arial" w:cs="Arial"/>
              </w:rPr>
              <w:t xml:space="preserve"> that enquiries should be completed within seven working days of receiving the referral and where this is not possible, the reasons must be documented (Welsh Government, 2016). If such enquiries are impeded, </w:t>
            </w:r>
            <w:r w:rsidRPr="002C0BD4">
              <w:rPr>
                <w:rStyle w:val="legds"/>
                <w:rFonts w:ascii="Arial" w:hAnsi="Arial" w:cs="Arial"/>
              </w:rPr>
              <w:t xml:space="preserve">an </w:t>
            </w:r>
            <w:r w:rsidRPr="002C0BD4">
              <w:rPr>
                <w:rFonts w:ascii="Arial" w:hAnsi="Arial" w:cs="Arial"/>
              </w:rPr>
              <w:t>Adult Prote</w:t>
            </w:r>
            <w:r>
              <w:rPr>
                <w:rFonts w:ascii="Arial" w:hAnsi="Arial" w:cs="Arial"/>
              </w:rPr>
              <w:t>ction and Support Orders enables an authorised officer to fulfil this duty. Furthermore, S.134 of the SSWBA 2014,</w:t>
            </w:r>
            <w:r>
              <w:rPr>
                <w:rFonts w:ascii="Helvetica" w:hAnsi="Helvetica" w:cs="Helvetica"/>
                <w:color w:val="222222"/>
                <w:shd w:val="clear" w:color="auto" w:fill="FFFFFF"/>
              </w:rPr>
              <w:t> </w:t>
            </w:r>
            <w:r w:rsidRPr="00BB3207">
              <w:rPr>
                <w:rFonts w:ascii="Helvetica" w:hAnsi="Helvetica" w:cs="Helvetica"/>
                <w:shd w:val="clear" w:color="auto" w:fill="FFFFFF"/>
              </w:rPr>
              <w:t>requires that regional Safeguarding Adult Boards are in place</w:t>
            </w:r>
            <w:r>
              <w:rPr>
                <w:rFonts w:ascii="Helvetica" w:hAnsi="Helvetica" w:cs="Helvetica"/>
                <w:shd w:val="clear" w:color="auto" w:fill="FFFFFF"/>
              </w:rPr>
              <w:t>, with functions that include ensuring the effective coordination of services and good practice for adults who may be at risk of harm.</w:t>
            </w:r>
          </w:p>
          <w:p w14:paraId="2619ACC6" w14:textId="77777777" w:rsidR="00BC4621" w:rsidRPr="00A314F3" w:rsidRDefault="00BC4621" w:rsidP="00B57563">
            <w:pPr>
              <w:pStyle w:val="legclearfix"/>
              <w:shd w:val="clear" w:color="auto" w:fill="FFFFFF"/>
              <w:tabs>
                <w:tab w:val="left" w:pos="1130"/>
              </w:tabs>
              <w:spacing w:before="0" w:beforeAutospacing="0" w:after="120" w:afterAutospacing="0" w:line="360" w:lineRule="atLeast"/>
              <w:rPr>
                <w:rFonts w:ascii="Arial" w:hAnsi="Arial" w:cs="Arial"/>
              </w:rPr>
            </w:pPr>
            <w:r w:rsidRPr="00A314F3">
              <w:rPr>
                <w:rStyle w:val="legds"/>
                <w:rFonts w:ascii="Arial" w:hAnsi="Arial" w:cs="Arial"/>
              </w:rPr>
              <w:t>Wales Safeguarding Procedures 2019 promotes that safeguarding decisions / actions are empowering and that this balances an individual’s right to safety and independence, thus it is crucial to adhere to relevant legislation</w:t>
            </w:r>
            <w:r>
              <w:rPr>
                <w:rStyle w:val="legds"/>
                <w:rFonts w:ascii="Arial" w:hAnsi="Arial" w:cs="Arial"/>
              </w:rPr>
              <w:t>, policy</w:t>
            </w:r>
            <w:r w:rsidRPr="00A314F3">
              <w:rPr>
                <w:rStyle w:val="legds"/>
                <w:rFonts w:ascii="Arial" w:hAnsi="Arial" w:cs="Arial"/>
              </w:rPr>
              <w:t xml:space="preserve"> and procedures which promotes this.</w:t>
            </w:r>
          </w:p>
          <w:p w14:paraId="4205F82E" w14:textId="77777777" w:rsidR="00BC4621" w:rsidRDefault="00BC4621" w:rsidP="00B57563">
            <w:pPr>
              <w:jc w:val="both"/>
              <w:rPr>
                <w:sz w:val="24"/>
                <w:szCs w:val="24"/>
              </w:rPr>
            </w:pPr>
          </w:p>
          <w:p w14:paraId="7A0EC4CA" w14:textId="77777777" w:rsidR="00BC4621" w:rsidRDefault="00BC4621" w:rsidP="00B57563">
            <w:pPr>
              <w:jc w:val="both"/>
              <w:rPr>
                <w:sz w:val="24"/>
                <w:szCs w:val="24"/>
              </w:rPr>
            </w:pPr>
            <w:r>
              <w:rPr>
                <w:sz w:val="24"/>
                <w:szCs w:val="24"/>
              </w:rPr>
              <w:t>526 words.</w:t>
            </w:r>
          </w:p>
          <w:p w14:paraId="394F95C1" w14:textId="7E5A2708" w:rsidR="00BC4621" w:rsidRPr="00BC4621" w:rsidRDefault="00BC4621" w:rsidP="00B57563">
            <w:pPr>
              <w:jc w:val="both"/>
              <w:rPr>
                <w:sz w:val="24"/>
                <w:szCs w:val="24"/>
              </w:rPr>
            </w:pPr>
          </w:p>
        </w:tc>
      </w:tr>
    </w:tbl>
    <w:p w14:paraId="156CCF18" w14:textId="77777777" w:rsidR="00BC4621" w:rsidRPr="008B28E7" w:rsidRDefault="00BC4621" w:rsidP="00BC4621">
      <w:pPr>
        <w:jc w:val="both"/>
        <w:rPr>
          <w:sz w:val="24"/>
          <w:szCs w:val="24"/>
        </w:rPr>
      </w:pPr>
    </w:p>
    <w:p w14:paraId="0A51947A" w14:textId="77777777" w:rsidR="00BC4621" w:rsidRPr="008B28E7" w:rsidRDefault="00BC4621" w:rsidP="00BC4621">
      <w:pPr>
        <w:jc w:val="both"/>
        <w:rPr>
          <w:sz w:val="24"/>
          <w:szCs w:val="24"/>
        </w:rPr>
      </w:pPr>
    </w:p>
    <w:p w14:paraId="76B9CE1B" w14:textId="77777777" w:rsidR="00BC4621" w:rsidRDefault="00BC4621" w:rsidP="00BC4621">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C4621" w:rsidRPr="008B28E7" w14:paraId="19FA0A8D" w14:textId="77777777" w:rsidTr="00B57563">
        <w:tc>
          <w:tcPr>
            <w:tcW w:w="10278" w:type="dxa"/>
            <w:shd w:val="clear" w:color="auto" w:fill="auto"/>
          </w:tcPr>
          <w:p w14:paraId="5124CE14" w14:textId="77777777" w:rsidR="00BC4621" w:rsidRPr="00EB695F" w:rsidRDefault="00BC4621" w:rsidP="00B57563">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0C02C13E" w14:textId="77777777" w:rsidR="00BC4621" w:rsidRDefault="00BC4621" w:rsidP="00B57563">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60BC112F" w14:textId="77777777" w:rsidR="00BC4621" w:rsidRDefault="00BC4621" w:rsidP="00B57563">
            <w:pPr>
              <w:jc w:val="both"/>
              <w:rPr>
                <w:i/>
                <w:sz w:val="24"/>
                <w:szCs w:val="24"/>
              </w:rPr>
            </w:pPr>
          </w:p>
          <w:p w14:paraId="29EC119D" w14:textId="77777777" w:rsidR="00BC4621" w:rsidRDefault="00BC4621" w:rsidP="00B57563">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06C9032" w14:textId="77777777" w:rsidR="00BC4621" w:rsidRDefault="00BC4621" w:rsidP="00B57563">
            <w:pPr>
              <w:jc w:val="both"/>
              <w:rPr>
                <w:i/>
                <w:sz w:val="24"/>
                <w:szCs w:val="24"/>
              </w:rPr>
            </w:pPr>
          </w:p>
          <w:p w14:paraId="3FE4B80A" w14:textId="77777777" w:rsidR="00BC4621" w:rsidRPr="003A5A46" w:rsidRDefault="00BC4621" w:rsidP="00B57563">
            <w:pPr>
              <w:jc w:val="both"/>
              <w:rPr>
                <w:sz w:val="24"/>
                <w:szCs w:val="24"/>
                <w:shd w:val="clear" w:color="auto" w:fill="FFFFFF"/>
              </w:rPr>
            </w:pPr>
            <w:r w:rsidRPr="00CA5361">
              <w:rPr>
                <w:sz w:val="24"/>
                <w:szCs w:val="24"/>
              </w:rPr>
              <w:t xml:space="preserve">The safeguarding of </w:t>
            </w:r>
            <w:r>
              <w:rPr>
                <w:sz w:val="24"/>
                <w:szCs w:val="24"/>
              </w:rPr>
              <w:t xml:space="preserve">children and adults is outlined within the Wales Safeguarding Procedures WSP) 2019 and SSWBA 2014, which defines both child and adult at risk and the duty to report those at risk. The term ‘at risk’ differs slightly with children and adults; both are defined at risk if they are experiencing or at risk of abuse and have care and support needs; however there is an additional indicator for adults, which states </w:t>
            </w:r>
            <w:r w:rsidRPr="0037316C">
              <w:rPr>
                <w:sz w:val="24"/>
                <w:szCs w:val="24"/>
              </w:rPr>
              <w:t>“</w:t>
            </w:r>
            <w:r w:rsidRPr="0037316C">
              <w:rPr>
                <w:i/>
                <w:sz w:val="24"/>
                <w:szCs w:val="24"/>
                <w:shd w:val="clear" w:color="auto" w:fill="FFFFFF"/>
              </w:rPr>
              <w:t>as a result of those needs is unable to protect himself or herself against the abuse or neglect or the risk of it</w:t>
            </w:r>
            <w:r w:rsidRPr="0037316C">
              <w:rPr>
                <w:sz w:val="24"/>
                <w:szCs w:val="24"/>
                <w:shd w:val="clear" w:color="auto" w:fill="FFFFFF"/>
              </w:rPr>
              <w:t>”</w:t>
            </w:r>
            <w:r>
              <w:rPr>
                <w:sz w:val="24"/>
                <w:szCs w:val="24"/>
                <w:shd w:val="clear" w:color="auto" w:fill="FFFFFF"/>
              </w:rPr>
              <w:t xml:space="preserve"> (SSWBA 2014, (1C)), which promotes duties of the act, specific to adults such as having control over their life. The types of abuse defined for adults and children is the same, although within the definition of child at risk, it outlines “</w:t>
            </w:r>
            <w:r w:rsidRPr="008A1016">
              <w:rPr>
                <w:i/>
                <w:sz w:val="24"/>
                <w:szCs w:val="24"/>
                <w:shd w:val="clear" w:color="auto" w:fill="FFFFFF"/>
              </w:rPr>
              <w:t>other kinds of harm</w:t>
            </w:r>
            <w:r>
              <w:rPr>
                <w:sz w:val="24"/>
                <w:szCs w:val="24"/>
                <w:shd w:val="clear" w:color="auto" w:fill="FFFFFF"/>
              </w:rPr>
              <w:t xml:space="preserve">” (SSWBA 2014, Section 130 (4a)). If there are concerns of likely or actual significant harm to a child, the Local Authority have a duty to investigate this. Legislation to investigate harm differs between adults and </w:t>
            </w:r>
            <w:r>
              <w:rPr>
                <w:sz w:val="24"/>
                <w:szCs w:val="24"/>
                <w:shd w:val="clear" w:color="auto" w:fill="FFFFFF"/>
              </w:rPr>
              <w:lastRenderedPageBreak/>
              <w:t xml:space="preserve">children; </w:t>
            </w:r>
            <w:r>
              <w:rPr>
                <w:sz w:val="24"/>
                <w:szCs w:val="24"/>
              </w:rPr>
              <w:t xml:space="preserve">for adults, this is underpinned by the SSWBA 2014, whereas for children this is largely underpinned by the Children Act 1989. </w:t>
            </w:r>
          </w:p>
          <w:p w14:paraId="4475245C" w14:textId="77777777" w:rsidR="00BC4621" w:rsidRDefault="00BC4621" w:rsidP="00B57563">
            <w:pPr>
              <w:jc w:val="both"/>
              <w:rPr>
                <w:sz w:val="24"/>
                <w:szCs w:val="24"/>
              </w:rPr>
            </w:pPr>
          </w:p>
          <w:p w14:paraId="5D00B742" w14:textId="5E944F38" w:rsidR="00BC4621" w:rsidRDefault="00BC4621" w:rsidP="00B57563">
            <w:pPr>
              <w:jc w:val="both"/>
              <w:rPr>
                <w:sz w:val="24"/>
                <w:szCs w:val="24"/>
              </w:rPr>
            </w:pPr>
            <w:r>
              <w:rPr>
                <w:sz w:val="24"/>
                <w:szCs w:val="24"/>
              </w:rPr>
              <w:t>WSP 2019 promotes that practitioners should seek consent where possible, as this promotes co-production and achieving person / child-centred outcomes. Matters of consent differ with regards to children and adults. WSP 2019 states that adults are “</w:t>
            </w:r>
            <w:r w:rsidRPr="00C3292A">
              <w:rPr>
                <w:i/>
                <w:sz w:val="24"/>
                <w:szCs w:val="24"/>
              </w:rPr>
              <w:t>best placed to make decisions about their well-being which may involve certain risks</w:t>
            </w:r>
            <w:r>
              <w:rPr>
                <w:sz w:val="24"/>
                <w:szCs w:val="24"/>
              </w:rPr>
              <w:t xml:space="preserve">” and if the adult does not consent to safeguarding support this must be respected, if they have the mental capacity to make this decision. Consent from adults is crucial </w:t>
            </w:r>
            <w:r w:rsidR="000A18C4">
              <w:rPr>
                <w:sz w:val="24"/>
                <w:szCs w:val="24"/>
              </w:rPr>
              <w:t xml:space="preserve">as this </w:t>
            </w:r>
            <w:r>
              <w:rPr>
                <w:sz w:val="24"/>
                <w:szCs w:val="24"/>
              </w:rPr>
              <w:t>significantly determines what actions to take in response to safeguarding concerns, although consent may be overridden if for example their decision places them at greater risk. Capacity must be assumed unless it is established otherwise as per the Mental Capacity Act 2005. If the person does lack capacity decisions about the adult must be within their best interest and in accordance with the Mental Capacity Act 2005.</w:t>
            </w:r>
          </w:p>
          <w:p w14:paraId="7F835702" w14:textId="77777777" w:rsidR="00BC4621" w:rsidRDefault="00BC4621" w:rsidP="00B57563">
            <w:pPr>
              <w:jc w:val="both"/>
              <w:rPr>
                <w:sz w:val="24"/>
                <w:szCs w:val="24"/>
              </w:rPr>
            </w:pPr>
          </w:p>
          <w:p w14:paraId="6CADE77A" w14:textId="77777777" w:rsidR="00BC4621" w:rsidRDefault="00BC4621" w:rsidP="00B57563">
            <w:pPr>
              <w:jc w:val="both"/>
              <w:rPr>
                <w:sz w:val="24"/>
                <w:szCs w:val="24"/>
              </w:rPr>
            </w:pPr>
            <w:r>
              <w:rPr>
                <w:sz w:val="24"/>
                <w:szCs w:val="24"/>
              </w:rPr>
              <w:t xml:space="preserve">With children, consent must be sought from parents and consent should be obtained by children if they are deemed competent; this is determined through ‘Gillick competence’, which is a professional judgement about the child’s ability to make decisions (NSPCC, 2022). WSP 2019 guidance states that parental consent can be overruled, for reasons such as, if this would place the child at greater risk, the parent is the alleged abuser or the child deemed competent does not wish for parent involvement. </w:t>
            </w:r>
          </w:p>
          <w:p w14:paraId="669627FB" w14:textId="77777777" w:rsidR="00BC4621" w:rsidRDefault="00BC4621" w:rsidP="00B57563">
            <w:pPr>
              <w:jc w:val="both"/>
              <w:rPr>
                <w:sz w:val="24"/>
                <w:szCs w:val="24"/>
              </w:rPr>
            </w:pPr>
          </w:p>
          <w:p w14:paraId="2988C158" w14:textId="5D375366" w:rsidR="00BC4621" w:rsidRDefault="000A18C4" w:rsidP="00B57563">
            <w:pPr>
              <w:jc w:val="both"/>
              <w:rPr>
                <w:sz w:val="24"/>
                <w:szCs w:val="24"/>
              </w:rPr>
            </w:pPr>
            <w:r>
              <w:rPr>
                <w:sz w:val="24"/>
                <w:szCs w:val="24"/>
              </w:rPr>
              <w:t>426</w:t>
            </w:r>
            <w:r w:rsidR="00BC4621">
              <w:rPr>
                <w:sz w:val="24"/>
                <w:szCs w:val="24"/>
              </w:rPr>
              <w:t xml:space="preserve"> words.</w:t>
            </w:r>
            <w:bookmarkStart w:id="0" w:name="_GoBack"/>
            <w:bookmarkEnd w:id="0"/>
          </w:p>
          <w:p w14:paraId="612D17E1" w14:textId="0AF115FE" w:rsidR="00BC4621" w:rsidRPr="006108C9" w:rsidRDefault="00BC4621" w:rsidP="00283D19">
            <w:pPr>
              <w:jc w:val="both"/>
              <w:rPr>
                <w:sz w:val="24"/>
                <w:szCs w:val="24"/>
              </w:rPr>
            </w:pPr>
          </w:p>
        </w:tc>
      </w:tr>
    </w:tbl>
    <w:p w14:paraId="287387B5" w14:textId="77777777" w:rsidR="00E83C79" w:rsidRPr="00134162" w:rsidRDefault="00E83C79"/>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621"/>
    <w:rsid w:val="000A18C4"/>
    <w:rsid w:val="00134162"/>
    <w:rsid w:val="00283D19"/>
    <w:rsid w:val="007A4776"/>
    <w:rsid w:val="00BC4621"/>
    <w:rsid w:val="00BD63D9"/>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BC106"/>
  <w15:chartTrackingRefBased/>
  <w15:docId w15:val="{71D3EEFF-790A-4313-BA5B-6A1879E67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462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BC4621"/>
    <w:rPr>
      <w:color w:val="0000FF"/>
      <w:u w:val="single"/>
    </w:rPr>
  </w:style>
  <w:style w:type="paragraph" w:customStyle="1" w:styleId="legclearfix">
    <w:name w:val="legclearfix"/>
    <w:basedOn w:val="Normal"/>
    <w:rsid w:val="00BC462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BC46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5" ma:contentTypeDescription="Create a new document." ma:contentTypeScope="" ma:versionID="ce749c57181ffc1ef51fef796ee2586a">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85f8f63bada540370d9b3da6cfbcc2dc"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D7D2AACD-B7DC-4602-BF68-85F328E911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4BC626-6D95-463E-A9AB-A15FCBC9F84F}">
  <ds:schemaRefs>
    <ds:schemaRef ds:uri="http://schemas.microsoft.com/sharepoint/v3/contenttype/forms"/>
  </ds:schemaRefs>
</ds:datastoreItem>
</file>

<file path=customXml/itemProps3.xml><?xml version="1.0" encoding="utf-8"?>
<ds:datastoreItem xmlns:ds="http://schemas.openxmlformats.org/officeDocument/2006/customXml" ds:itemID="{B9BAEECA-A097-4E6D-A084-7D92A3EE056D}">
  <ds:schemaRefs>
    <ds:schemaRef ds:uri="abb439bd-a363-4333-83d0-f95c527ffab9"/>
    <ds:schemaRef ds:uri="http://purl.org/dc/elements/1.1/"/>
    <ds:schemaRef ds:uri="http://schemas.microsoft.com/office/2006/metadata/properties"/>
    <ds:schemaRef ds:uri="http://schemas.microsoft.com/sharepoint/v3"/>
    <ds:schemaRef ds:uri="http://purl.org/dc/terms/"/>
    <ds:schemaRef ds:uri="http://schemas.microsoft.com/office/infopath/2007/PartnerControls"/>
    <ds:schemaRef ds:uri="http://schemas.openxmlformats.org/package/2006/metadata/core-properties"/>
    <ds:schemaRef ds:uri="http://schemas.microsoft.com/office/2006/documentManagement/types"/>
    <ds:schemaRef ds:uri="1b97bfc6-b7f9-4f97-bda1-3491dbcf9c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Pages>
  <Words>1028</Words>
  <Characters>5865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Antonia Hughes</dc:creator>
  <cp:keywords/>
  <dc:description/>
  <cp:lastModifiedBy>Antonia Hughes</cp:lastModifiedBy>
  <cp:revision>4</cp:revision>
  <dcterms:created xsi:type="dcterms:W3CDTF">2023-02-15T22:17:00Z</dcterms:created>
  <dcterms:modified xsi:type="dcterms:W3CDTF">2023-02-20T15:24:00Z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