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ECAF1" w14:textId="501C1464" w:rsidR="00892B9D" w:rsidRPr="00892B9D" w:rsidRDefault="00892B9D" w:rsidP="00892B9D">
      <w:pPr>
        <w:spacing w:line="360" w:lineRule="auto"/>
        <w:rPr>
          <w:rFonts w:ascii="Times New Roman" w:eastAsia="Times New Roman" w:hAnsi="Times New Roman" w:cs="Times New Roman"/>
          <w:b/>
          <w:bCs/>
          <w:iCs/>
          <w:sz w:val="16"/>
          <w:szCs w:val="16"/>
          <w:lang w:val="en-GB"/>
        </w:rPr>
      </w:pPr>
      <w:r w:rsidRPr="00E00751">
        <w:rPr>
          <w:noProof/>
          <w:lang w:val="en-GB"/>
        </w:rPr>
        <w:drawing>
          <wp:anchor distT="0" distB="0" distL="114300" distR="114300" simplePos="0" relativeHeight="251657216" behindDoc="0" locked="0" layoutInCell="1" allowOverlap="1" wp14:anchorId="4C68EB79" wp14:editId="2C75063E">
            <wp:simplePos x="0" y="0"/>
            <wp:positionH relativeFrom="column">
              <wp:posOffset>4946650</wp:posOffset>
            </wp:positionH>
            <wp:positionV relativeFrom="paragraph">
              <wp:posOffset>-712470</wp:posOffset>
            </wp:positionV>
            <wp:extent cx="1647825" cy="8286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647825" cy="828675"/>
                    </a:xfrm>
                    <a:prstGeom prst="rect">
                      <a:avLst/>
                    </a:prstGeom>
                  </pic:spPr>
                </pic:pic>
              </a:graphicData>
            </a:graphic>
          </wp:anchor>
        </w:drawing>
      </w:r>
      <w:r w:rsidRPr="00892B9D">
        <w:rPr>
          <w:rFonts w:ascii="Times New Roman" w:eastAsia="Times New Roman" w:hAnsi="Times New Roman" w:cs="Times New Roman"/>
          <w:b/>
          <w:bCs/>
          <w:iCs/>
          <w:sz w:val="16"/>
          <w:szCs w:val="16"/>
          <w:lang w:val="en-GB"/>
        </w:rPr>
        <w:drawing>
          <wp:anchor distT="0" distB="0" distL="114300" distR="114300" simplePos="0" relativeHeight="251660288" behindDoc="0" locked="0" layoutInCell="1" allowOverlap="1" wp14:anchorId="63FE6F79" wp14:editId="48E21C51">
            <wp:simplePos x="914400" y="914400"/>
            <wp:positionH relativeFrom="column">
              <wp:align>left</wp:align>
            </wp:positionH>
            <wp:positionV relativeFrom="paragraph">
              <wp:align>top</wp:align>
            </wp:positionV>
            <wp:extent cx="1295400" cy="1685972"/>
            <wp:effectExtent l="0" t="0" r="0" b="9525"/>
            <wp:wrapSquare wrapText="bothSides"/>
            <wp:docPr id="57023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33879" name=""/>
                    <pic:cNvPicPr/>
                  </pic:nvPicPr>
                  <pic:blipFill>
                    <a:blip r:embed="rId8">
                      <a:extLst>
                        <a:ext uri="{28A0092B-C50C-407E-A947-70E740481C1C}">
                          <a14:useLocalDpi xmlns:a14="http://schemas.microsoft.com/office/drawing/2010/main" val="0"/>
                        </a:ext>
                      </a:extLst>
                    </a:blip>
                    <a:stretch>
                      <a:fillRect/>
                    </a:stretch>
                  </pic:blipFill>
                  <pic:spPr>
                    <a:xfrm>
                      <a:off x="0" y="0"/>
                      <a:ext cx="1295400" cy="1685972"/>
                    </a:xfrm>
                    <a:prstGeom prst="rect">
                      <a:avLst/>
                    </a:prstGeom>
                  </pic:spPr>
                </pic:pic>
              </a:graphicData>
            </a:graphic>
          </wp:anchor>
        </w:drawing>
      </w:r>
      <w:r w:rsidRPr="00892B9D">
        <w:rPr>
          <w:rFonts w:ascii="Times New Roman" w:eastAsia="Times New Roman" w:hAnsi="Times New Roman" w:cs="Times New Roman"/>
          <w:b/>
          <w:bCs/>
          <w:iCs/>
          <w:sz w:val="16"/>
          <w:szCs w:val="16"/>
          <w:lang w:val="en-GB"/>
        </w:rPr>
        <w:t xml:space="preserve"> </w:t>
      </w:r>
      <w:r w:rsidRPr="00892B9D">
        <w:rPr>
          <w:rFonts w:ascii="Times New Roman" w:eastAsia="Times New Roman" w:hAnsi="Times New Roman" w:cs="Times New Roman"/>
          <w:b/>
          <w:bCs/>
          <w:iCs/>
          <w:sz w:val="16"/>
          <w:szCs w:val="16"/>
          <w:lang w:val="en-GB"/>
        </w:rPr>
        <w:t>STUDENT NAME: Dragos Caciulan</w:t>
      </w:r>
    </w:p>
    <w:p w14:paraId="7B5C4CCC" w14:textId="6C027B37" w:rsidR="00892B9D" w:rsidRPr="00892B9D" w:rsidRDefault="00892B9D" w:rsidP="00892B9D">
      <w:pPr>
        <w:spacing w:line="360" w:lineRule="auto"/>
        <w:rPr>
          <w:rFonts w:ascii="Times New Roman" w:eastAsia="Times New Roman" w:hAnsi="Times New Roman" w:cs="Times New Roman"/>
          <w:b/>
          <w:bCs/>
          <w:iCs/>
          <w:sz w:val="16"/>
          <w:szCs w:val="16"/>
          <w:lang w:val="en-GB"/>
        </w:rPr>
      </w:pPr>
      <w:r w:rsidRPr="00892B9D">
        <w:rPr>
          <w:rFonts w:ascii="Times New Roman" w:eastAsia="Times New Roman" w:hAnsi="Times New Roman" w:cs="Times New Roman"/>
          <w:b/>
          <w:bCs/>
          <w:iCs/>
          <w:sz w:val="16"/>
          <w:szCs w:val="16"/>
          <w:lang w:val="en-GB"/>
        </w:rPr>
        <w:t xml:space="preserve">STUDENT ID: </w:t>
      </w:r>
      <w:r w:rsidRPr="00892B9D">
        <w:rPr>
          <w:rFonts w:ascii="Times New Roman" w:eastAsia="Times New Roman" w:hAnsi="Times New Roman" w:cs="Times New Roman"/>
          <w:b/>
          <w:bCs/>
          <w:iCs/>
          <w:sz w:val="16"/>
          <w:szCs w:val="16"/>
        </w:rPr>
        <w:t>2314611</w:t>
      </w:r>
    </w:p>
    <w:p w14:paraId="34BBCF92" w14:textId="19FDF205" w:rsidR="00301E67" w:rsidRDefault="00301E67" w:rsidP="00892B9D">
      <w:pPr>
        <w:spacing w:line="360" w:lineRule="auto"/>
        <w:jc w:val="both"/>
        <w:rPr>
          <w:rFonts w:ascii="Times New Roman" w:eastAsia="Times New Roman" w:hAnsi="Times New Roman" w:cs="Times New Roman"/>
          <w:b/>
          <w:bCs/>
          <w:sz w:val="24"/>
          <w:szCs w:val="24"/>
          <w:lang w:val="en-GB"/>
        </w:rPr>
      </w:pPr>
    </w:p>
    <w:p w14:paraId="60F44E16" w14:textId="77777777" w:rsidR="00892B9D" w:rsidRPr="00E00751" w:rsidRDefault="00892B9D" w:rsidP="00892B9D">
      <w:pPr>
        <w:spacing w:line="360" w:lineRule="auto"/>
        <w:jc w:val="both"/>
        <w:rPr>
          <w:rFonts w:ascii="Times New Roman" w:eastAsia="Times New Roman" w:hAnsi="Times New Roman" w:cs="Times New Roman"/>
          <w:b/>
          <w:bCs/>
          <w:sz w:val="24"/>
          <w:szCs w:val="24"/>
          <w:lang w:val="en-GB"/>
        </w:rPr>
      </w:pPr>
    </w:p>
    <w:p w14:paraId="2416E69D" w14:textId="77777777" w:rsidR="00301E67" w:rsidRPr="00E00751" w:rsidRDefault="00301E67">
      <w:pPr>
        <w:spacing w:line="360" w:lineRule="auto"/>
        <w:jc w:val="center"/>
        <w:rPr>
          <w:rFonts w:ascii="Times New Roman" w:eastAsia="Times New Roman" w:hAnsi="Times New Roman" w:cs="Times New Roman"/>
          <w:b/>
          <w:bCs/>
          <w:sz w:val="24"/>
          <w:szCs w:val="24"/>
          <w:lang w:val="en-GB"/>
        </w:rPr>
      </w:pPr>
    </w:p>
    <w:p w14:paraId="1D99CEF5" w14:textId="77777777" w:rsidR="00301E67" w:rsidRPr="00E00751" w:rsidRDefault="00E00751">
      <w:pPr>
        <w:spacing w:line="360" w:lineRule="auto"/>
        <w:jc w:val="center"/>
        <w:rPr>
          <w:rFonts w:ascii="Times New Roman" w:eastAsia="Times New Roman" w:hAnsi="Times New Roman" w:cs="Times New Roman"/>
          <w:b/>
          <w:bCs/>
          <w:sz w:val="32"/>
          <w:szCs w:val="32"/>
          <w:lang w:val="en-GB"/>
        </w:rPr>
      </w:pPr>
      <w:r w:rsidRPr="00E00751">
        <w:rPr>
          <w:rFonts w:ascii="Times New Roman" w:eastAsia="Times New Roman" w:hAnsi="Times New Roman" w:cs="Times New Roman"/>
          <w:b/>
          <w:bCs/>
          <w:sz w:val="32"/>
          <w:szCs w:val="32"/>
          <w:lang w:val="en-GB"/>
        </w:rPr>
        <w:t>LCLM6004: RESEARCH METHODS FOR BUSINESS</w:t>
      </w:r>
    </w:p>
    <w:p w14:paraId="30A55024" w14:textId="77777777" w:rsidR="00301E67" w:rsidRPr="00E00751" w:rsidRDefault="00E00751">
      <w:pPr>
        <w:spacing w:line="360" w:lineRule="auto"/>
        <w:jc w:val="center"/>
        <w:rPr>
          <w:rFonts w:ascii="Times New Roman" w:eastAsia="Times New Roman" w:hAnsi="Times New Roman" w:cs="Times New Roman"/>
          <w:b/>
          <w:bCs/>
          <w:sz w:val="32"/>
          <w:szCs w:val="32"/>
          <w:lang w:val="en-GB"/>
        </w:rPr>
      </w:pPr>
      <w:r w:rsidRPr="00E00751">
        <w:rPr>
          <w:rFonts w:ascii="Times New Roman" w:eastAsia="Times New Roman" w:hAnsi="Times New Roman" w:cs="Times New Roman"/>
          <w:b/>
          <w:bCs/>
          <w:sz w:val="32"/>
          <w:szCs w:val="32"/>
          <w:lang w:val="en-GB"/>
        </w:rPr>
        <w:t>COMPONENT 2: ACADEMIC DISCUSSION ON BUSINESS RESEARCH PROPOSAL</w:t>
      </w:r>
    </w:p>
    <w:p w14:paraId="51004553" w14:textId="77777777" w:rsidR="00E00751" w:rsidRPr="00E00751" w:rsidRDefault="00E00751">
      <w:pPr>
        <w:spacing w:line="360" w:lineRule="auto"/>
        <w:jc w:val="center"/>
        <w:rPr>
          <w:rFonts w:ascii="Times New Roman" w:eastAsia="Times New Roman" w:hAnsi="Times New Roman" w:cs="Times New Roman"/>
          <w:b/>
          <w:bCs/>
          <w:sz w:val="24"/>
          <w:szCs w:val="24"/>
          <w:lang w:val="en-GB"/>
        </w:rPr>
      </w:pPr>
    </w:p>
    <w:p w14:paraId="12706F9A" w14:textId="77777777" w:rsidR="00E00751" w:rsidRPr="00E00751" w:rsidRDefault="00E00751">
      <w:pPr>
        <w:spacing w:line="360" w:lineRule="auto"/>
        <w:jc w:val="center"/>
        <w:rPr>
          <w:rFonts w:ascii="Times New Roman" w:eastAsia="Times New Roman" w:hAnsi="Times New Roman" w:cs="Times New Roman"/>
          <w:b/>
          <w:bCs/>
          <w:sz w:val="24"/>
          <w:szCs w:val="24"/>
          <w:lang w:val="en-GB"/>
        </w:rPr>
      </w:pPr>
    </w:p>
    <w:p w14:paraId="7E761061" w14:textId="77777777" w:rsidR="00E00751" w:rsidRPr="00E00751" w:rsidRDefault="00E00751">
      <w:pPr>
        <w:spacing w:line="360" w:lineRule="auto"/>
        <w:jc w:val="center"/>
        <w:rPr>
          <w:rFonts w:ascii="Times New Roman" w:eastAsia="Times New Roman" w:hAnsi="Times New Roman" w:cs="Times New Roman"/>
          <w:b/>
          <w:bCs/>
          <w:sz w:val="24"/>
          <w:szCs w:val="24"/>
          <w:lang w:val="en-GB"/>
        </w:rPr>
      </w:pPr>
    </w:p>
    <w:p w14:paraId="125F443D" w14:textId="77777777" w:rsidR="00301E67" w:rsidRPr="00052EA2" w:rsidRDefault="00E00751">
      <w:pPr>
        <w:spacing w:line="360" w:lineRule="auto"/>
        <w:jc w:val="center"/>
        <w:rPr>
          <w:rFonts w:ascii="Times New Roman" w:eastAsia="Times New Roman" w:hAnsi="Times New Roman" w:cs="Times New Roman"/>
          <w:b/>
          <w:bCs/>
          <w:iCs/>
          <w:sz w:val="32"/>
          <w:szCs w:val="32"/>
          <w:lang w:val="en-GB"/>
        </w:rPr>
      </w:pPr>
      <w:r w:rsidRPr="00052EA2">
        <w:rPr>
          <w:rFonts w:ascii="Times New Roman" w:eastAsia="Times New Roman" w:hAnsi="Times New Roman" w:cs="Times New Roman"/>
          <w:b/>
          <w:bCs/>
          <w:sz w:val="32"/>
          <w:szCs w:val="32"/>
          <w:lang w:val="en-GB"/>
        </w:rPr>
        <w:t xml:space="preserve">TITLE: </w:t>
      </w:r>
      <w:r w:rsidRPr="00052EA2">
        <w:rPr>
          <w:rFonts w:ascii="Times New Roman" w:eastAsia="Times New Roman" w:hAnsi="Times New Roman" w:cs="Times New Roman"/>
          <w:b/>
          <w:bCs/>
          <w:iCs/>
          <w:sz w:val="32"/>
          <w:szCs w:val="32"/>
          <w:lang w:val="en-GB"/>
        </w:rPr>
        <w:t xml:space="preserve">LEADERSHIP IN SAFETY IN THE AGE OF ROBOTICS: A CASE STUDY OF BERNARD MATHEWS </w:t>
      </w:r>
    </w:p>
    <w:p w14:paraId="6BC99A52" w14:textId="77777777" w:rsidR="00E00751" w:rsidRPr="00052EA2" w:rsidRDefault="00E00751">
      <w:pPr>
        <w:spacing w:line="360" w:lineRule="auto"/>
        <w:jc w:val="center"/>
        <w:rPr>
          <w:rFonts w:ascii="Times New Roman" w:eastAsia="Times New Roman" w:hAnsi="Times New Roman" w:cs="Times New Roman"/>
          <w:b/>
          <w:bCs/>
          <w:iCs/>
          <w:sz w:val="32"/>
          <w:szCs w:val="32"/>
          <w:lang w:val="en-GB"/>
        </w:rPr>
      </w:pPr>
    </w:p>
    <w:p w14:paraId="349F9BE1" w14:textId="77777777" w:rsidR="00301E67" w:rsidRPr="00E00751" w:rsidRDefault="00301E67">
      <w:pPr>
        <w:spacing w:line="360" w:lineRule="auto"/>
        <w:jc w:val="center"/>
        <w:rPr>
          <w:rFonts w:ascii="Times New Roman" w:eastAsia="Times New Roman" w:hAnsi="Times New Roman" w:cs="Times New Roman"/>
          <w:b/>
          <w:bCs/>
          <w:sz w:val="24"/>
          <w:szCs w:val="24"/>
          <w:lang w:val="en-GB"/>
        </w:rPr>
      </w:pPr>
    </w:p>
    <w:p w14:paraId="6A2BC8F9"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lang w:val="en-GB"/>
        </w:rPr>
        <w:br w:type="page"/>
      </w:r>
    </w:p>
    <w:p w14:paraId="2CC9E82D" w14:textId="043ECA42" w:rsidR="00301E67" w:rsidRPr="00E00751" w:rsidRDefault="008E5655">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lastRenderedPageBreak/>
        <w:t>Executive Summary</w:t>
      </w:r>
    </w:p>
    <w:p w14:paraId="58DCD984" w14:textId="77777777" w:rsidR="00301E67"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The current research has been looking to reflect leadership for safety in the age of robotics by taking into account the evidence of Bernard Mathews. In this case, the study has maintained it extreme emphasis to signify safety leadership for the creation of safety culture in the workplace to expand workers safety. Along with highlighting relevant literature to signify safety leadership, the current study has also denoted the methodological choices with the discussion about reliability and ethical integrity. The practical implications of this study are also highlighted at the end for inf</w:t>
      </w:r>
      <w:r w:rsidR="0096446D">
        <w:rPr>
          <w:rFonts w:ascii="Times New Roman" w:eastAsia="Times New Roman" w:hAnsi="Times New Roman" w:cs="Times New Roman"/>
          <w:sz w:val="24"/>
          <w:szCs w:val="24"/>
          <w:lang w:val="en-GB"/>
        </w:rPr>
        <w:t>orming business decision-making.</w:t>
      </w:r>
      <w:r w:rsidRPr="00E00751">
        <w:rPr>
          <w:rFonts w:ascii="Times New Roman" w:eastAsia="Times New Roman" w:hAnsi="Times New Roman" w:cs="Times New Roman"/>
          <w:sz w:val="24"/>
          <w:szCs w:val="24"/>
          <w:lang w:val="en-GB"/>
        </w:rPr>
        <w:t xml:space="preserve"> </w:t>
      </w:r>
    </w:p>
    <w:p w14:paraId="2B918E9F" w14:textId="77777777" w:rsidR="00E00751" w:rsidRDefault="00E0075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A19324C" w14:textId="77777777" w:rsidR="00BD45FB" w:rsidRPr="00BD45FB" w:rsidRDefault="00BD45FB" w:rsidP="00BD45FB">
      <w:pPr>
        <w:pStyle w:val="TableofFigures"/>
        <w:tabs>
          <w:tab w:val="right" w:leader="dot" w:pos="9350"/>
        </w:tabs>
        <w:spacing w:line="360" w:lineRule="auto"/>
        <w:jc w:val="center"/>
        <w:rPr>
          <w:rFonts w:eastAsia="Times New Roman" w:cs="Times New Roman"/>
          <w:b/>
          <w:szCs w:val="24"/>
          <w:lang w:val="en-GB"/>
        </w:rPr>
      </w:pPr>
      <w:r w:rsidRPr="00BD45FB">
        <w:rPr>
          <w:rFonts w:eastAsia="Times New Roman" w:cs="Times New Roman"/>
          <w:b/>
          <w:szCs w:val="24"/>
          <w:lang w:val="en-GB"/>
        </w:rPr>
        <w:lastRenderedPageBreak/>
        <w:t>Table of contents</w:t>
      </w:r>
    </w:p>
    <w:p w14:paraId="58074412" w14:textId="22BD103D" w:rsidR="00891A2C" w:rsidRDefault="00BD45FB"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r>
        <w:rPr>
          <w:rFonts w:eastAsia="Times New Roman" w:cs="Times New Roman"/>
          <w:szCs w:val="24"/>
          <w:lang w:val="en-GB"/>
        </w:rPr>
        <w:fldChar w:fldCharType="begin"/>
      </w:r>
      <w:r>
        <w:rPr>
          <w:rFonts w:eastAsia="Times New Roman" w:cs="Times New Roman"/>
          <w:szCs w:val="24"/>
          <w:lang w:val="en-GB"/>
        </w:rPr>
        <w:instrText xml:space="preserve"> TOC \h \z \t "Heading 1" \c </w:instrText>
      </w:r>
      <w:r>
        <w:rPr>
          <w:rFonts w:eastAsia="Times New Roman" w:cs="Times New Roman"/>
          <w:szCs w:val="24"/>
          <w:lang w:val="en-GB"/>
        </w:rPr>
        <w:fldChar w:fldCharType="separate"/>
      </w:r>
      <w:hyperlink w:anchor="_Toc227171667" w:history="1">
        <w:r w:rsidR="00891A2C" w:rsidRPr="00725255">
          <w:rPr>
            <w:rStyle w:val="Hyperlink"/>
            <w:noProof/>
            <w:lang w:val="en-GB"/>
          </w:rPr>
          <w:t>Discussion Format</w:t>
        </w:r>
        <w:r w:rsidR="00891A2C">
          <w:rPr>
            <w:noProof/>
            <w:webHidden/>
          </w:rPr>
          <w:tab/>
        </w:r>
        <w:r w:rsidR="00891A2C">
          <w:rPr>
            <w:noProof/>
            <w:webHidden/>
          </w:rPr>
          <w:fldChar w:fldCharType="begin"/>
        </w:r>
        <w:r w:rsidR="00891A2C">
          <w:rPr>
            <w:noProof/>
            <w:webHidden/>
          </w:rPr>
          <w:instrText xml:space="preserve"> PAGEREF _Toc227171667 \h </w:instrText>
        </w:r>
        <w:r w:rsidR="00891A2C">
          <w:rPr>
            <w:noProof/>
            <w:webHidden/>
          </w:rPr>
        </w:r>
        <w:r w:rsidR="00891A2C">
          <w:rPr>
            <w:noProof/>
            <w:webHidden/>
          </w:rPr>
          <w:fldChar w:fldCharType="separate"/>
        </w:r>
        <w:r w:rsidR="00891A2C">
          <w:rPr>
            <w:noProof/>
            <w:webHidden/>
          </w:rPr>
          <w:t>4</w:t>
        </w:r>
        <w:r w:rsidR="00891A2C">
          <w:rPr>
            <w:noProof/>
            <w:webHidden/>
          </w:rPr>
          <w:fldChar w:fldCharType="end"/>
        </w:r>
      </w:hyperlink>
    </w:p>
    <w:p w14:paraId="29CB3CA2" w14:textId="00253181"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68" w:history="1">
        <w:r w:rsidRPr="00725255">
          <w:rPr>
            <w:rStyle w:val="Hyperlink"/>
            <w:noProof/>
            <w:lang w:val="en-GB"/>
          </w:rPr>
          <w:t>a. Business Problem Statement</w:t>
        </w:r>
        <w:r>
          <w:rPr>
            <w:noProof/>
            <w:webHidden/>
          </w:rPr>
          <w:tab/>
        </w:r>
        <w:r>
          <w:rPr>
            <w:noProof/>
            <w:webHidden/>
          </w:rPr>
          <w:fldChar w:fldCharType="begin"/>
        </w:r>
        <w:r>
          <w:rPr>
            <w:noProof/>
            <w:webHidden/>
          </w:rPr>
          <w:instrText xml:space="preserve"> PAGEREF _Toc227171668 \h </w:instrText>
        </w:r>
        <w:r>
          <w:rPr>
            <w:noProof/>
            <w:webHidden/>
          </w:rPr>
        </w:r>
        <w:r>
          <w:rPr>
            <w:noProof/>
            <w:webHidden/>
          </w:rPr>
          <w:fldChar w:fldCharType="separate"/>
        </w:r>
        <w:r>
          <w:rPr>
            <w:noProof/>
            <w:webHidden/>
          </w:rPr>
          <w:t>4</w:t>
        </w:r>
        <w:r>
          <w:rPr>
            <w:noProof/>
            <w:webHidden/>
          </w:rPr>
          <w:fldChar w:fldCharType="end"/>
        </w:r>
      </w:hyperlink>
    </w:p>
    <w:p w14:paraId="74E1E160" w14:textId="592D7231"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69" w:history="1">
        <w:r w:rsidRPr="00725255">
          <w:rPr>
            <w:rStyle w:val="Hyperlink"/>
            <w:noProof/>
            <w:lang w:val="en-GB"/>
          </w:rPr>
          <w:t>b. Research Aims and Questions</w:t>
        </w:r>
        <w:r>
          <w:rPr>
            <w:noProof/>
            <w:webHidden/>
          </w:rPr>
          <w:tab/>
        </w:r>
        <w:r>
          <w:rPr>
            <w:noProof/>
            <w:webHidden/>
          </w:rPr>
          <w:fldChar w:fldCharType="begin"/>
        </w:r>
        <w:r>
          <w:rPr>
            <w:noProof/>
            <w:webHidden/>
          </w:rPr>
          <w:instrText xml:space="preserve"> PAGEREF _Toc227171669 \h </w:instrText>
        </w:r>
        <w:r>
          <w:rPr>
            <w:noProof/>
            <w:webHidden/>
          </w:rPr>
        </w:r>
        <w:r>
          <w:rPr>
            <w:noProof/>
            <w:webHidden/>
          </w:rPr>
          <w:fldChar w:fldCharType="separate"/>
        </w:r>
        <w:r>
          <w:rPr>
            <w:noProof/>
            <w:webHidden/>
          </w:rPr>
          <w:t>4</w:t>
        </w:r>
        <w:r>
          <w:rPr>
            <w:noProof/>
            <w:webHidden/>
          </w:rPr>
          <w:fldChar w:fldCharType="end"/>
        </w:r>
      </w:hyperlink>
    </w:p>
    <w:p w14:paraId="18900781" w14:textId="1082B54A"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0" w:history="1">
        <w:r w:rsidRPr="00725255">
          <w:rPr>
            <w:rStyle w:val="Hyperlink"/>
            <w:noProof/>
            <w:lang w:val="en-GB"/>
          </w:rPr>
          <w:t>c. Literature Review</w:t>
        </w:r>
        <w:r>
          <w:rPr>
            <w:noProof/>
            <w:webHidden/>
          </w:rPr>
          <w:tab/>
        </w:r>
        <w:r>
          <w:rPr>
            <w:noProof/>
            <w:webHidden/>
          </w:rPr>
          <w:fldChar w:fldCharType="begin"/>
        </w:r>
        <w:r>
          <w:rPr>
            <w:noProof/>
            <w:webHidden/>
          </w:rPr>
          <w:instrText xml:space="preserve"> PAGEREF _Toc227171670 \h </w:instrText>
        </w:r>
        <w:r>
          <w:rPr>
            <w:noProof/>
            <w:webHidden/>
          </w:rPr>
        </w:r>
        <w:r>
          <w:rPr>
            <w:noProof/>
            <w:webHidden/>
          </w:rPr>
          <w:fldChar w:fldCharType="separate"/>
        </w:r>
        <w:r>
          <w:rPr>
            <w:noProof/>
            <w:webHidden/>
          </w:rPr>
          <w:t>7</w:t>
        </w:r>
        <w:r>
          <w:rPr>
            <w:noProof/>
            <w:webHidden/>
          </w:rPr>
          <w:fldChar w:fldCharType="end"/>
        </w:r>
      </w:hyperlink>
    </w:p>
    <w:p w14:paraId="687C9B6E" w14:textId="7B1BE42E"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1" w:history="1">
        <w:r w:rsidRPr="00725255">
          <w:rPr>
            <w:rStyle w:val="Hyperlink"/>
            <w:noProof/>
            <w:lang w:val="en-GB"/>
          </w:rPr>
          <w:t>d. Methodology</w:t>
        </w:r>
        <w:r>
          <w:rPr>
            <w:noProof/>
            <w:webHidden/>
          </w:rPr>
          <w:tab/>
        </w:r>
        <w:r>
          <w:rPr>
            <w:noProof/>
            <w:webHidden/>
          </w:rPr>
          <w:fldChar w:fldCharType="begin"/>
        </w:r>
        <w:r>
          <w:rPr>
            <w:noProof/>
            <w:webHidden/>
          </w:rPr>
          <w:instrText xml:space="preserve"> PAGEREF _Toc227171671 \h </w:instrText>
        </w:r>
        <w:r>
          <w:rPr>
            <w:noProof/>
            <w:webHidden/>
          </w:rPr>
        </w:r>
        <w:r>
          <w:rPr>
            <w:noProof/>
            <w:webHidden/>
          </w:rPr>
          <w:fldChar w:fldCharType="separate"/>
        </w:r>
        <w:r>
          <w:rPr>
            <w:noProof/>
            <w:webHidden/>
          </w:rPr>
          <w:t>9</w:t>
        </w:r>
        <w:r>
          <w:rPr>
            <w:noProof/>
            <w:webHidden/>
          </w:rPr>
          <w:fldChar w:fldCharType="end"/>
        </w:r>
      </w:hyperlink>
    </w:p>
    <w:p w14:paraId="0F63B450" w14:textId="3DD87032"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2" w:history="1">
        <w:r w:rsidRPr="00725255">
          <w:rPr>
            <w:rStyle w:val="Hyperlink"/>
            <w:noProof/>
            <w:lang w:val="en-GB"/>
          </w:rPr>
          <w:t>e. Business and Practical Implications</w:t>
        </w:r>
        <w:r>
          <w:rPr>
            <w:noProof/>
            <w:webHidden/>
          </w:rPr>
          <w:tab/>
        </w:r>
        <w:r>
          <w:rPr>
            <w:noProof/>
            <w:webHidden/>
          </w:rPr>
          <w:fldChar w:fldCharType="begin"/>
        </w:r>
        <w:r>
          <w:rPr>
            <w:noProof/>
            <w:webHidden/>
          </w:rPr>
          <w:instrText xml:space="preserve"> PAGEREF _Toc227171672 \h </w:instrText>
        </w:r>
        <w:r>
          <w:rPr>
            <w:noProof/>
            <w:webHidden/>
          </w:rPr>
        </w:r>
        <w:r>
          <w:rPr>
            <w:noProof/>
            <w:webHidden/>
          </w:rPr>
          <w:fldChar w:fldCharType="separate"/>
        </w:r>
        <w:r>
          <w:rPr>
            <w:noProof/>
            <w:webHidden/>
          </w:rPr>
          <w:t>10</w:t>
        </w:r>
        <w:r>
          <w:rPr>
            <w:noProof/>
            <w:webHidden/>
          </w:rPr>
          <w:fldChar w:fldCharType="end"/>
        </w:r>
      </w:hyperlink>
    </w:p>
    <w:p w14:paraId="7F09235F" w14:textId="5FD62365"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3" w:history="1">
        <w:r w:rsidRPr="00725255">
          <w:rPr>
            <w:rStyle w:val="Hyperlink"/>
            <w:noProof/>
            <w:lang w:val="en-GB"/>
          </w:rPr>
          <w:t>f. Expected Outcomes</w:t>
        </w:r>
        <w:r>
          <w:rPr>
            <w:noProof/>
            <w:webHidden/>
          </w:rPr>
          <w:tab/>
        </w:r>
        <w:r>
          <w:rPr>
            <w:noProof/>
            <w:webHidden/>
          </w:rPr>
          <w:fldChar w:fldCharType="begin"/>
        </w:r>
        <w:r>
          <w:rPr>
            <w:noProof/>
            <w:webHidden/>
          </w:rPr>
          <w:instrText xml:space="preserve"> PAGEREF _Toc227171673 \h </w:instrText>
        </w:r>
        <w:r>
          <w:rPr>
            <w:noProof/>
            <w:webHidden/>
          </w:rPr>
        </w:r>
        <w:r>
          <w:rPr>
            <w:noProof/>
            <w:webHidden/>
          </w:rPr>
          <w:fldChar w:fldCharType="separate"/>
        </w:r>
        <w:r>
          <w:rPr>
            <w:noProof/>
            <w:webHidden/>
          </w:rPr>
          <w:t>11</w:t>
        </w:r>
        <w:r>
          <w:rPr>
            <w:noProof/>
            <w:webHidden/>
          </w:rPr>
          <w:fldChar w:fldCharType="end"/>
        </w:r>
      </w:hyperlink>
    </w:p>
    <w:p w14:paraId="1C9EEA33" w14:textId="142A065A"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4" w:history="1">
        <w:r w:rsidRPr="00725255">
          <w:rPr>
            <w:rStyle w:val="Hyperlink"/>
            <w:noProof/>
            <w:lang w:val="en-GB"/>
          </w:rPr>
          <w:t>References</w:t>
        </w:r>
        <w:r>
          <w:rPr>
            <w:noProof/>
            <w:webHidden/>
          </w:rPr>
          <w:tab/>
        </w:r>
        <w:r>
          <w:rPr>
            <w:noProof/>
            <w:webHidden/>
          </w:rPr>
          <w:fldChar w:fldCharType="begin"/>
        </w:r>
        <w:r>
          <w:rPr>
            <w:noProof/>
            <w:webHidden/>
          </w:rPr>
          <w:instrText xml:space="preserve"> PAGEREF _Toc227171674 \h </w:instrText>
        </w:r>
        <w:r>
          <w:rPr>
            <w:noProof/>
            <w:webHidden/>
          </w:rPr>
        </w:r>
        <w:r>
          <w:rPr>
            <w:noProof/>
            <w:webHidden/>
          </w:rPr>
          <w:fldChar w:fldCharType="separate"/>
        </w:r>
        <w:r>
          <w:rPr>
            <w:noProof/>
            <w:webHidden/>
          </w:rPr>
          <w:t>12</w:t>
        </w:r>
        <w:r>
          <w:rPr>
            <w:noProof/>
            <w:webHidden/>
          </w:rPr>
          <w:fldChar w:fldCharType="end"/>
        </w:r>
      </w:hyperlink>
    </w:p>
    <w:p w14:paraId="178B7594" w14:textId="2C404E5D"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5" w:history="1">
        <w:r w:rsidRPr="00725255">
          <w:rPr>
            <w:rStyle w:val="Hyperlink"/>
            <w:noProof/>
            <w:lang w:val="en-GB"/>
          </w:rPr>
          <w:t>Appendix 1: Research timeline</w:t>
        </w:r>
        <w:r>
          <w:rPr>
            <w:noProof/>
            <w:webHidden/>
          </w:rPr>
          <w:tab/>
        </w:r>
        <w:r>
          <w:rPr>
            <w:noProof/>
            <w:webHidden/>
          </w:rPr>
          <w:fldChar w:fldCharType="begin"/>
        </w:r>
        <w:r>
          <w:rPr>
            <w:noProof/>
            <w:webHidden/>
          </w:rPr>
          <w:instrText xml:space="preserve"> PAGEREF _Toc227171675 \h </w:instrText>
        </w:r>
        <w:r>
          <w:rPr>
            <w:noProof/>
            <w:webHidden/>
          </w:rPr>
        </w:r>
        <w:r>
          <w:rPr>
            <w:noProof/>
            <w:webHidden/>
          </w:rPr>
          <w:fldChar w:fldCharType="separate"/>
        </w:r>
        <w:r>
          <w:rPr>
            <w:noProof/>
            <w:webHidden/>
          </w:rPr>
          <w:t>15</w:t>
        </w:r>
        <w:r>
          <w:rPr>
            <w:noProof/>
            <w:webHidden/>
          </w:rPr>
          <w:fldChar w:fldCharType="end"/>
        </w:r>
      </w:hyperlink>
    </w:p>
    <w:p w14:paraId="4B24ECE1" w14:textId="5C2A7A71" w:rsidR="00E00751" w:rsidRPr="00E00751" w:rsidRDefault="00BD45FB" w:rsidP="00891A2C">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fldChar w:fldCharType="end"/>
      </w:r>
    </w:p>
    <w:p w14:paraId="62A04543"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lang w:val="en-GB"/>
        </w:rPr>
        <w:br w:type="page"/>
      </w:r>
    </w:p>
    <w:p w14:paraId="398DFDCC" w14:textId="77777777" w:rsidR="00301E67" w:rsidRPr="00E00751" w:rsidRDefault="00EC5423">
      <w:pPr>
        <w:pStyle w:val="Heading1"/>
        <w:rPr>
          <w:lang w:val="en-GB"/>
        </w:rPr>
      </w:pPr>
      <w:bookmarkStart w:id="0" w:name="_rn78xoudq64i" w:colFirst="0" w:colLast="0"/>
      <w:bookmarkStart w:id="1" w:name="_Toc227171667"/>
      <w:bookmarkEnd w:id="0"/>
      <w:r w:rsidRPr="00E00751">
        <w:rPr>
          <w:lang w:val="en-GB"/>
        </w:rPr>
        <w:lastRenderedPageBreak/>
        <w:t>Discussion Format</w:t>
      </w:r>
      <w:bookmarkEnd w:id="1"/>
    </w:p>
    <w:p w14:paraId="174E4883" w14:textId="77777777" w:rsidR="00301E67" w:rsidRPr="00E00751" w:rsidRDefault="00EC5423">
      <w:pPr>
        <w:pStyle w:val="Heading1"/>
        <w:rPr>
          <w:lang w:val="en-GB"/>
        </w:rPr>
      </w:pPr>
      <w:bookmarkStart w:id="2" w:name="_mzl0v36buvgr" w:colFirst="0" w:colLast="0"/>
      <w:bookmarkStart w:id="3" w:name="_Toc227171668"/>
      <w:bookmarkEnd w:id="2"/>
      <w:r w:rsidRPr="00E00751">
        <w:rPr>
          <w:lang w:val="en-GB"/>
        </w:rPr>
        <w:t>a. Business Problem Statemen</w:t>
      </w:r>
      <w:r w:rsidR="00FF23A1">
        <w:rPr>
          <w:lang w:val="en-GB"/>
        </w:rPr>
        <w:t>t</w:t>
      </w:r>
      <w:bookmarkEnd w:id="3"/>
      <w:r w:rsidRPr="00E00751">
        <w:rPr>
          <w:lang w:val="en-GB"/>
        </w:rPr>
        <w:t xml:space="preserve"> </w:t>
      </w:r>
    </w:p>
    <w:p w14:paraId="3140956B"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Alignment of identified issue with current organisation or industry challenge </w:t>
      </w:r>
    </w:p>
    <w:p w14:paraId="15B0FCD2"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Leadersh</w:t>
      </w:r>
      <w:r w:rsidR="00872B9F">
        <w:rPr>
          <w:rFonts w:ascii="Times New Roman" w:eastAsia="Times New Roman" w:hAnsi="Times New Roman" w:cs="Times New Roman"/>
          <w:sz w:val="24"/>
          <w:szCs w:val="24"/>
          <w:lang w:val="en-GB"/>
        </w:rPr>
        <w:t>ip</w:t>
      </w:r>
      <w:r w:rsidRPr="00E00751">
        <w:rPr>
          <w:rFonts w:ascii="Times New Roman" w:eastAsia="Times New Roman" w:hAnsi="Times New Roman" w:cs="Times New Roman"/>
          <w:sz w:val="24"/>
          <w:szCs w:val="24"/>
          <w:lang w:val="en-GB"/>
        </w:rPr>
        <w:t xml:space="preserve"> is playing a pivotal role to influence safety attributes in this current era of digitisation concerning robotics. Safety leadership is provided with greater attention in this present era of robotics as a human centred approach for risk assessment. Bernard Mathews is prominently accused of indulging safety concerns with reference to the evidence of workers getting injured. For example, the food manufacturer Bernard Mathews has faced a legal penalty of 400,000 GBP during 2022 after a worker was left paralyzed with several broken ribs (Iosh Magazine, 2022). Comprehensive evidence of machinery issues are also denoted from the perspective of Bernard Mathews. For evidence, missionary fault was reported in Bernard Mathews as one of the wings stuck in the belt under the machine during operating with surplus production line (Iosh Magazine, 2022). This evidence comprehensively questions the existing leadership of Bernard Mathews with lack of technical advancement and machinery guidance to the workers for manufacturing practices and operations. </w:t>
      </w:r>
    </w:p>
    <w:p w14:paraId="41DFBAB0"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Significance of the issue in the broader business context </w:t>
      </w:r>
    </w:p>
    <w:p w14:paraId="3F09C6D5"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highlighted issue of worker injury due to poor safety practices is relatively indicating the values of effective leadership to prevent such accidents in the workplace. Considering a broader business context, the </w:t>
      </w:r>
      <w:r w:rsidRPr="00E00751">
        <w:rPr>
          <w:rFonts w:ascii="Times New Roman" w:eastAsia="Times New Roman" w:hAnsi="Times New Roman" w:cs="Times New Roman"/>
          <w:b/>
          <w:bCs/>
          <w:i/>
          <w:iCs/>
          <w:sz w:val="24"/>
          <w:szCs w:val="24"/>
          <w:lang w:val="en-GB"/>
        </w:rPr>
        <w:t>Health and Safety At Work Act 1974</w:t>
      </w:r>
      <w:r w:rsidRPr="00E00751">
        <w:rPr>
          <w:rFonts w:ascii="Times New Roman" w:eastAsia="Times New Roman" w:hAnsi="Times New Roman" w:cs="Times New Roman"/>
          <w:sz w:val="24"/>
          <w:szCs w:val="24"/>
          <w:lang w:val="en-GB"/>
        </w:rPr>
        <w:t xml:space="preserve"> is followed in the UK covering occupational health and safety (GOV.UK, 2026). In this case, perceived significance of the issue is underpinned by reflecting the values of leadership to contextualize evident safety concerns in the age of robotics. As stated by Howard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(2025), the integration of robotics is helpful to consider workers safety and welfare along with shaping the future of work. Referring to this understanding, the issue is worth investigating for underpinning the value of leadership to consider the strategic vision of deploying robotics for maintaining workplace safety by preventing accidental events. </w:t>
      </w:r>
    </w:p>
    <w:p w14:paraId="751DAB7F" w14:textId="77777777" w:rsidR="00301E67" w:rsidRPr="00E00751" w:rsidRDefault="00EC5423" w:rsidP="00BD45FB">
      <w:pPr>
        <w:pStyle w:val="Heading1"/>
        <w:rPr>
          <w:lang w:val="en-GB"/>
        </w:rPr>
      </w:pPr>
      <w:bookmarkStart w:id="4" w:name="_Toc227171669"/>
      <w:r w:rsidRPr="00E00751">
        <w:rPr>
          <w:lang w:val="en-GB"/>
        </w:rPr>
        <w:t>b. Research Aims and Questions</w:t>
      </w:r>
      <w:bookmarkEnd w:id="4"/>
      <w:r w:rsidRPr="00E00751">
        <w:rPr>
          <w:lang w:val="en-GB"/>
        </w:rPr>
        <w:t xml:space="preserve"> </w:t>
      </w:r>
    </w:p>
    <w:p w14:paraId="0E492A57"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Aim</w:t>
      </w:r>
    </w:p>
    <w:p w14:paraId="27EA012E"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present research aims to critically evaluate the implications of safety leadership to empower safety in the workplace of Bernard Mathews with strong machine guarding and risk assessment. </w:t>
      </w:r>
    </w:p>
    <w:p w14:paraId="573C16AE"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b/>
          <w:bCs/>
          <w:i/>
          <w:iCs/>
          <w:sz w:val="24"/>
          <w:szCs w:val="24"/>
          <w:lang w:val="en-GB"/>
        </w:rPr>
        <w:t xml:space="preserve">Questions </w:t>
      </w:r>
    </w:p>
    <w:tbl>
      <w:tblPr>
        <w:tblStyle w:val="a"/>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21"/>
        <w:gridCol w:w="1522"/>
        <w:gridCol w:w="1522"/>
        <w:gridCol w:w="1560"/>
        <w:gridCol w:w="1693"/>
        <w:gridCol w:w="1522"/>
      </w:tblGrid>
      <w:tr w:rsidR="00301E67" w:rsidRPr="00E00751" w14:paraId="3770DEC1" w14:textId="77777777" w:rsidTr="004D3DE3">
        <w:trPr>
          <w:jc w:val="center"/>
        </w:trPr>
        <w:tc>
          <w:tcPr>
            <w:tcW w:w="833" w:type="pct"/>
            <w:shd w:val="clear" w:color="auto" w:fill="E36C0A" w:themeFill="accent6" w:themeFillShade="BF"/>
            <w:tcMar>
              <w:top w:w="100" w:type="dxa"/>
              <w:left w:w="100" w:type="dxa"/>
              <w:bottom w:w="100" w:type="dxa"/>
              <w:right w:w="100" w:type="dxa"/>
            </w:tcMar>
          </w:tcPr>
          <w:p w14:paraId="373EEA4D" w14:textId="1EC0DE5D"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lastRenderedPageBreak/>
              <w:t>Questions</w:t>
            </w:r>
          </w:p>
        </w:tc>
        <w:tc>
          <w:tcPr>
            <w:tcW w:w="833" w:type="pct"/>
            <w:shd w:val="clear" w:color="auto" w:fill="E36C0A" w:themeFill="accent6" w:themeFillShade="BF"/>
            <w:tcMar>
              <w:top w:w="100" w:type="dxa"/>
              <w:left w:w="100" w:type="dxa"/>
              <w:bottom w:w="100" w:type="dxa"/>
              <w:right w:w="100" w:type="dxa"/>
            </w:tcMar>
          </w:tcPr>
          <w:p w14:paraId="03AF64B1" w14:textId="77777777"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Specific</w:t>
            </w:r>
          </w:p>
        </w:tc>
        <w:tc>
          <w:tcPr>
            <w:tcW w:w="833" w:type="pct"/>
            <w:shd w:val="clear" w:color="auto" w:fill="E36C0A" w:themeFill="accent6" w:themeFillShade="BF"/>
            <w:tcMar>
              <w:top w:w="100" w:type="dxa"/>
              <w:left w:w="100" w:type="dxa"/>
              <w:bottom w:w="100" w:type="dxa"/>
              <w:right w:w="100" w:type="dxa"/>
            </w:tcMar>
          </w:tcPr>
          <w:p w14:paraId="7AB6902C" w14:textId="681F68A7"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Measurable</w:t>
            </w:r>
          </w:p>
        </w:tc>
        <w:tc>
          <w:tcPr>
            <w:tcW w:w="833" w:type="pct"/>
            <w:shd w:val="clear" w:color="auto" w:fill="E36C0A" w:themeFill="accent6" w:themeFillShade="BF"/>
            <w:tcMar>
              <w:top w:w="100" w:type="dxa"/>
              <w:left w:w="100" w:type="dxa"/>
              <w:bottom w:w="100" w:type="dxa"/>
              <w:right w:w="100" w:type="dxa"/>
            </w:tcMar>
          </w:tcPr>
          <w:p w14:paraId="48C5D8D4" w14:textId="17FECAD4"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Achievable</w:t>
            </w:r>
          </w:p>
        </w:tc>
        <w:tc>
          <w:tcPr>
            <w:tcW w:w="833" w:type="pct"/>
            <w:shd w:val="clear" w:color="auto" w:fill="E36C0A" w:themeFill="accent6" w:themeFillShade="BF"/>
            <w:tcMar>
              <w:top w:w="100" w:type="dxa"/>
              <w:left w:w="100" w:type="dxa"/>
              <w:bottom w:w="100" w:type="dxa"/>
              <w:right w:w="100" w:type="dxa"/>
            </w:tcMar>
          </w:tcPr>
          <w:p w14:paraId="691C05C5" w14:textId="24B7D9AB"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Relevance</w:t>
            </w:r>
          </w:p>
        </w:tc>
        <w:tc>
          <w:tcPr>
            <w:tcW w:w="833" w:type="pct"/>
            <w:shd w:val="clear" w:color="auto" w:fill="E36C0A" w:themeFill="accent6" w:themeFillShade="BF"/>
            <w:tcMar>
              <w:top w:w="100" w:type="dxa"/>
              <w:left w:w="100" w:type="dxa"/>
              <w:bottom w:w="100" w:type="dxa"/>
              <w:right w:w="100" w:type="dxa"/>
            </w:tcMar>
          </w:tcPr>
          <w:p w14:paraId="73163EB7" w14:textId="3C2646DE"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Time bound</w:t>
            </w:r>
          </w:p>
        </w:tc>
      </w:tr>
      <w:tr w:rsidR="00301E67" w:rsidRPr="00E00751" w14:paraId="159F504E" w14:textId="77777777" w:rsidTr="004D3DE3">
        <w:trPr>
          <w:jc w:val="center"/>
        </w:trPr>
        <w:tc>
          <w:tcPr>
            <w:tcW w:w="833" w:type="pct"/>
            <w:tcMar>
              <w:top w:w="100" w:type="dxa"/>
              <w:left w:w="100" w:type="dxa"/>
              <w:bottom w:w="100" w:type="dxa"/>
              <w:right w:w="100" w:type="dxa"/>
            </w:tcMar>
          </w:tcPr>
          <w:p w14:paraId="001E57BA"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What are the implications of safety leadership to extend workplace safety through creating a safety culture?</w:t>
            </w:r>
          </w:p>
        </w:tc>
        <w:tc>
          <w:tcPr>
            <w:tcW w:w="833" w:type="pct"/>
            <w:tcMar>
              <w:top w:w="100" w:type="dxa"/>
              <w:left w:w="100" w:type="dxa"/>
              <w:bottom w:w="100" w:type="dxa"/>
              <w:right w:w="100" w:type="dxa"/>
            </w:tcMar>
          </w:tcPr>
          <w:p w14:paraId="2718243B"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Specifically denotes the context of safety leadership to increase safety at workplace</w:t>
            </w:r>
          </w:p>
        </w:tc>
        <w:tc>
          <w:tcPr>
            <w:tcW w:w="833" w:type="pct"/>
            <w:tcMar>
              <w:top w:w="100" w:type="dxa"/>
              <w:left w:w="100" w:type="dxa"/>
              <w:bottom w:w="100" w:type="dxa"/>
              <w:right w:w="100" w:type="dxa"/>
            </w:tcMar>
          </w:tcPr>
          <w:p w14:paraId="6432C4F9"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Measures the internal ability of leaders to empower workers safety and health</w:t>
            </w:r>
          </w:p>
        </w:tc>
        <w:tc>
          <w:tcPr>
            <w:tcW w:w="833" w:type="pct"/>
            <w:tcMar>
              <w:top w:w="100" w:type="dxa"/>
              <w:left w:w="100" w:type="dxa"/>
              <w:bottom w:w="100" w:type="dxa"/>
              <w:right w:w="100" w:type="dxa"/>
            </w:tcMar>
          </w:tcPr>
          <w:p w14:paraId="0ABB6F02"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Achieves sound understanding of human centred approach with staff safety and welfare</w:t>
            </w:r>
          </w:p>
        </w:tc>
        <w:tc>
          <w:tcPr>
            <w:tcW w:w="833" w:type="pct"/>
            <w:tcMar>
              <w:top w:w="100" w:type="dxa"/>
              <w:left w:w="100" w:type="dxa"/>
              <w:bottom w:w="100" w:type="dxa"/>
              <w:right w:w="100" w:type="dxa"/>
            </w:tcMar>
          </w:tcPr>
          <w:p w14:paraId="539E5E7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Relevant to maintain basic fundamental rights of safe working environment</w:t>
            </w:r>
          </w:p>
        </w:tc>
        <w:tc>
          <w:tcPr>
            <w:tcW w:w="833" w:type="pct"/>
            <w:tcMar>
              <w:top w:w="100" w:type="dxa"/>
              <w:left w:w="100" w:type="dxa"/>
              <w:bottom w:w="100" w:type="dxa"/>
              <w:right w:w="100" w:type="dxa"/>
            </w:tcMar>
          </w:tcPr>
          <w:p w14:paraId="7D99F029"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6 months </w:t>
            </w:r>
          </w:p>
        </w:tc>
      </w:tr>
      <w:tr w:rsidR="00301E67" w:rsidRPr="00E00751" w14:paraId="0FEE6489" w14:textId="77777777" w:rsidTr="004D3DE3">
        <w:trPr>
          <w:jc w:val="center"/>
        </w:trPr>
        <w:tc>
          <w:tcPr>
            <w:tcW w:w="833" w:type="pct"/>
            <w:tcMar>
              <w:top w:w="100" w:type="dxa"/>
              <w:left w:w="100" w:type="dxa"/>
              <w:bottom w:w="100" w:type="dxa"/>
              <w:right w:w="100" w:type="dxa"/>
            </w:tcMar>
          </w:tcPr>
          <w:p w14:paraId="1BD87A1C"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How does safety leadership create the pathway to enhance safety in the age of robotics in Bernard Mathews? </w:t>
            </w:r>
          </w:p>
        </w:tc>
        <w:tc>
          <w:tcPr>
            <w:tcW w:w="833" w:type="pct"/>
            <w:tcMar>
              <w:top w:w="100" w:type="dxa"/>
              <w:left w:w="100" w:type="dxa"/>
              <w:bottom w:w="100" w:type="dxa"/>
              <w:right w:w="100" w:type="dxa"/>
            </w:tcMar>
          </w:tcPr>
          <w:p w14:paraId="5AD1395F"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Specific to denote the influence of safety leadership to ensure workplace safety</w:t>
            </w:r>
          </w:p>
        </w:tc>
        <w:tc>
          <w:tcPr>
            <w:tcW w:w="833" w:type="pct"/>
            <w:tcMar>
              <w:top w:w="100" w:type="dxa"/>
              <w:left w:w="100" w:type="dxa"/>
              <w:bottom w:w="100" w:type="dxa"/>
              <w:right w:w="100" w:type="dxa"/>
            </w:tcMar>
          </w:tcPr>
          <w:p w14:paraId="2792CA0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Measures farsighted vision of leaders to empowered safety concerned in the age of robotics</w:t>
            </w:r>
          </w:p>
        </w:tc>
        <w:tc>
          <w:tcPr>
            <w:tcW w:w="833" w:type="pct"/>
            <w:tcMar>
              <w:top w:w="100" w:type="dxa"/>
              <w:left w:w="100" w:type="dxa"/>
              <w:bottom w:w="100" w:type="dxa"/>
              <w:right w:w="100" w:type="dxa"/>
            </w:tcMar>
          </w:tcPr>
          <w:p w14:paraId="455C4FB2"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Achieves linear relationship of robotics to empower workplace safety</w:t>
            </w:r>
          </w:p>
        </w:tc>
        <w:tc>
          <w:tcPr>
            <w:tcW w:w="833" w:type="pct"/>
            <w:tcMar>
              <w:top w:w="100" w:type="dxa"/>
              <w:left w:w="100" w:type="dxa"/>
              <w:bottom w:w="100" w:type="dxa"/>
              <w:right w:w="100" w:type="dxa"/>
            </w:tcMar>
          </w:tcPr>
          <w:p w14:paraId="016A3683"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Relevant for deriving the role of leaders to create strategies for enhancing safety</w:t>
            </w:r>
          </w:p>
        </w:tc>
        <w:tc>
          <w:tcPr>
            <w:tcW w:w="833" w:type="pct"/>
            <w:tcMar>
              <w:top w:w="100" w:type="dxa"/>
              <w:left w:w="100" w:type="dxa"/>
              <w:bottom w:w="100" w:type="dxa"/>
              <w:right w:w="100" w:type="dxa"/>
            </w:tcMar>
          </w:tcPr>
          <w:p w14:paraId="62B9E0B5"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9 months </w:t>
            </w:r>
          </w:p>
        </w:tc>
      </w:tr>
      <w:tr w:rsidR="00301E67" w:rsidRPr="00E00751" w14:paraId="5DBAC4BC" w14:textId="77777777" w:rsidTr="004D3DE3">
        <w:trPr>
          <w:jc w:val="center"/>
        </w:trPr>
        <w:tc>
          <w:tcPr>
            <w:tcW w:w="833" w:type="pct"/>
            <w:tcMar>
              <w:top w:w="100" w:type="dxa"/>
              <w:left w:w="100" w:type="dxa"/>
              <w:bottom w:w="100" w:type="dxa"/>
              <w:right w:w="100" w:type="dxa"/>
            </w:tcMar>
          </w:tcPr>
          <w:p w14:paraId="4793A679"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What challenges might be faced by leaders of Bernard </w:t>
            </w:r>
            <w:r w:rsidRPr="00E00751">
              <w:rPr>
                <w:rFonts w:ascii="Times New Roman" w:eastAsia="Times New Roman" w:hAnsi="Times New Roman" w:cs="Times New Roman"/>
                <w:sz w:val="24"/>
                <w:szCs w:val="24"/>
                <w:lang w:val="en-GB"/>
              </w:rPr>
              <w:lastRenderedPageBreak/>
              <w:t>Mathews to extend safety in the age of robotics?</w:t>
            </w:r>
          </w:p>
          <w:p w14:paraId="06664D79" w14:textId="77777777" w:rsidR="00301E67" w:rsidRPr="00E00751" w:rsidRDefault="00301E6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833" w:type="pct"/>
            <w:tcMar>
              <w:top w:w="100" w:type="dxa"/>
              <w:left w:w="100" w:type="dxa"/>
              <w:bottom w:w="100" w:type="dxa"/>
              <w:right w:w="100" w:type="dxa"/>
            </w:tcMar>
          </w:tcPr>
          <w:p w14:paraId="1DB6C272"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Specific to enlighten leadership challenges to enable workplace </w:t>
            </w:r>
            <w:r w:rsidRPr="00E00751">
              <w:rPr>
                <w:rFonts w:ascii="Times New Roman" w:eastAsia="Times New Roman" w:hAnsi="Times New Roman" w:cs="Times New Roman"/>
                <w:sz w:val="24"/>
                <w:szCs w:val="24"/>
                <w:lang w:val="en-GB"/>
              </w:rPr>
              <w:lastRenderedPageBreak/>
              <w:t xml:space="preserve">safety with robotics </w:t>
            </w:r>
          </w:p>
        </w:tc>
        <w:tc>
          <w:tcPr>
            <w:tcW w:w="833" w:type="pct"/>
            <w:tcMar>
              <w:top w:w="100" w:type="dxa"/>
              <w:left w:w="100" w:type="dxa"/>
              <w:bottom w:w="100" w:type="dxa"/>
              <w:right w:w="100" w:type="dxa"/>
            </w:tcMar>
          </w:tcPr>
          <w:p w14:paraId="074E5EB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Measures the internal gaps in workplace to enhance safety in the age of </w:t>
            </w:r>
            <w:r w:rsidRPr="00E00751">
              <w:rPr>
                <w:rFonts w:ascii="Times New Roman" w:eastAsia="Times New Roman" w:hAnsi="Times New Roman" w:cs="Times New Roman"/>
                <w:sz w:val="24"/>
                <w:szCs w:val="24"/>
                <w:lang w:val="en-GB"/>
              </w:rPr>
              <w:lastRenderedPageBreak/>
              <w:t xml:space="preserve">robotics </w:t>
            </w:r>
          </w:p>
        </w:tc>
        <w:tc>
          <w:tcPr>
            <w:tcW w:w="833" w:type="pct"/>
            <w:tcMar>
              <w:top w:w="100" w:type="dxa"/>
              <w:left w:w="100" w:type="dxa"/>
              <w:bottom w:w="100" w:type="dxa"/>
              <w:right w:w="100" w:type="dxa"/>
            </w:tcMar>
          </w:tcPr>
          <w:p w14:paraId="64936685"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Achieves concrete understanding of improvement areas for </w:t>
            </w:r>
            <w:r w:rsidRPr="00E00751">
              <w:rPr>
                <w:rFonts w:ascii="Times New Roman" w:eastAsia="Times New Roman" w:hAnsi="Times New Roman" w:cs="Times New Roman"/>
                <w:sz w:val="24"/>
                <w:szCs w:val="24"/>
                <w:lang w:val="en-GB"/>
              </w:rPr>
              <w:lastRenderedPageBreak/>
              <w:t xml:space="preserve">enhancing safety with robotics </w:t>
            </w:r>
          </w:p>
        </w:tc>
        <w:tc>
          <w:tcPr>
            <w:tcW w:w="833" w:type="pct"/>
            <w:tcMar>
              <w:top w:w="100" w:type="dxa"/>
              <w:left w:w="100" w:type="dxa"/>
              <w:bottom w:w="100" w:type="dxa"/>
              <w:right w:w="100" w:type="dxa"/>
            </w:tcMar>
          </w:tcPr>
          <w:p w14:paraId="05D0DB54"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Relevant to evaluate appropriate leadership style for staff centricity with </w:t>
            </w:r>
            <w:r w:rsidRPr="00E00751">
              <w:rPr>
                <w:rFonts w:ascii="Times New Roman" w:eastAsia="Times New Roman" w:hAnsi="Times New Roman" w:cs="Times New Roman"/>
                <w:sz w:val="24"/>
                <w:szCs w:val="24"/>
                <w:lang w:val="en-GB"/>
              </w:rPr>
              <w:lastRenderedPageBreak/>
              <w:t xml:space="preserve">safety </w:t>
            </w:r>
          </w:p>
        </w:tc>
        <w:tc>
          <w:tcPr>
            <w:tcW w:w="833" w:type="pct"/>
            <w:tcMar>
              <w:top w:w="100" w:type="dxa"/>
              <w:left w:w="100" w:type="dxa"/>
              <w:bottom w:w="100" w:type="dxa"/>
              <w:right w:w="100" w:type="dxa"/>
            </w:tcMar>
          </w:tcPr>
          <w:p w14:paraId="387AE548"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1 year </w:t>
            </w:r>
          </w:p>
        </w:tc>
      </w:tr>
      <w:tr w:rsidR="00301E67" w:rsidRPr="00E00751" w14:paraId="6834C302" w14:textId="77777777" w:rsidTr="004D3DE3">
        <w:trPr>
          <w:jc w:val="center"/>
        </w:trPr>
        <w:tc>
          <w:tcPr>
            <w:tcW w:w="833" w:type="pct"/>
            <w:tcMar>
              <w:top w:w="100" w:type="dxa"/>
              <w:left w:w="100" w:type="dxa"/>
              <w:bottom w:w="100" w:type="dxa"/>
              <w:right w:w="100" w:type="dxa"/>
            </w:tcMar>
          </w:tcPr>
          <w:p w14:paraId="611A485F"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Which strategies should be followed by leaders to enhance safety concerns in the workplace in the current age of robotics in Bernard Mathews?</w:t>
            </w:r>
          </w:p>
        </w:tc>
        <w:tc>
          <w:tcPr>
            <w:tcW w:w="833" w:type="pct"/>
            <w:tcMar>
              <w:top w:w="100" w:type="dxa"/>
              <w:left w:w="100" w:type="dxa"/>
              <w:bottom w:w="100" w:type="dxa"/>
              <w:right w:w="100" w:type="dxa"/>
            </w:tcMar>
          </w:tcPr>
          <w:p w14:paraId="485749D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Specific to interpret pathways of addressing leadership challenges for enhancing safety with robotics</w:t>
            </w:r>
          </w:p>
        </w:tc>
        <w:tc>
          <w:tcPr>
            <w:tcW w:w="833" w:type="pct"/>
            <w:tcMar>
              <w:top w:w="100" w:type="dxa"/>
              <w:left w:w="100" w:type="dxa"/>
              <w:bottom w:w="100" w:type="dxa"/>
              <w:right w:w="100" w:type="dxa"/>
            </w:tcMar>
          </w:tcPr>
          <w:p w14:paraId="57B7A094"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Measures the strategic values for empowering workplace safety</w:t>
            </w:r>
          </w:p>
        </w:tc>
        <w:tc>
          <w:tcPr>
            <w:tcW w:w="833" w:type="pct"/>
            <w:tcMar>
              <w:top w:w="100" w:type="dxa"/>
              <w:left w:w="100" w:type="dxa"/>
              <w:bottom w:w="100" w:type="dxa"/>
              <w:right w:w="100" w:type="dxa"/>
            </w:tcMar>
          </w:tcPr>
          <w:p w14:paraId="3A983CCF"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Achieves safe and sound workplace environment with robotics</w:t>
            </w:r>
          </w:p>
        </w:tc>
        <w:tc>
          <w:tcPr>
            <w:tcW w:w="833" w:type="pct"/>
            <w:tcMar>
              <w:top w:w="100" w:type="dxa"/>
              <w:left w:w="100" w:type="dxa"/>
              <w:bottom w:w="100" w:type="dxa"/>
              <w:right w:w="100" w:type="dxa"/>
            </w:tcMar>
          </w:tcPr>
          <w:p w14:paraId="7D61B26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Relevant for comprehending workplace safety regulations</w:t>
            </w:r>
          </w:p>
        </w:tc>
        <w:tc>
          <w:tcPr>
            <w:tcW w:w="833" w:type="pct"/>
            <w:tcMar>
              <w:top w:w="100" w:type="dxa"/>
              <w:left w:w="100" w:type="dxa"/>
              <w:bottom w:w="100" w:type="dxa"/>
              <w:right w:w="100" w:type="dxa"/>
            </w:tcMar>
          </w:tcPr>
          <w:p w14:paraId="280523A2"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1 year </w:t>
            </w:r>
          </w:p>
        </w:tc>
      </w:tr>
    </w:tbl>
    <w:p w14:paraId="4B2A16AB"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Table 1: SMART research questions</w:t>
      </w:r>
    </w:p>
    <w:p w14:paraId="28B46A06" w14:textId="77777777"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(Source: Self-developed)</w:t>
      </w:r>
    </w:p>
    <w:p w14:paraId="2C544218"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Addressing the business problem directly and logically </w:t>
      </w:r>
    </w:p>
    <w:p w14:paraId="37786B5C"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research questions are comprehensively defining the vision of safety leadership as an integral part of ensuring workplace safety in the age of robotics. The evidence of Bernard Mathews is also concretely aligned to denote the necessity of enhancing workers safety with strong machinery guarding and regular risk assessment. As opined by Giallanza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(2024), human robot collaboration can be highly effective to ensure occupational health and safety with the interaction of robots and workers with a shared approach. Henceforth, the identification of leadership strategies to empower workplace safety would help in addressing the business problem of Bernard Mathews concerning workers safety issues. </w:t>
      </w:r>
    </w:p>
    <w:p w14:paraId="21BB7DB1" w14:textId="77777777" w:rsidR="00301E67" w:rsidRPr="00E00751" w:rsidRDefault="00EC5423" w:rsidP="00BD45FB">
      <w:pPr>
        <w:pStyle w:val="Heading1"/>
        <w:rPr>
          <w:lang w:val="en-GB"/>
        </w:rPr>
      </w:pPr>
      <w:bookmarkStart w:id="5" w:name="_Toc227171670"/>
      <w:r w:rsidRPr="00E00751">
        <w:rPr>
          <w:lang w:val="en-GB"/>
        </w:rPr>
        <w:lastRenderedPageBreak/>
        <w:t>c. Literature Review</w:t>
      </w:r>
      <w:bookmarkEnd w:id="5"/>
      <w:r w:rsidRPr="00E00751">
        <w:rPr>
          <w:lang w:val="en-GB"/>
        </w:rPr>
        <w:t xml:space="preserve"> </w:t>
      </w:r>
    </w:p>
    <w:p w14:paraId="30D1BDE7"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Significance of safety leadership to create workplace safety culture in the age of robotics </w:t>
      </w:r>
    </w:p>
    <w:p w14:paraId="796F0F25"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concept of safety leadership is comprehensively recognised as a critical differentiator to ensure robust workplace safety culture. As opined by Ciekanowski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(2025), safety culture concretely denotes the values and norms as well as practices shaping the approach towards occupational hygiene and safety. In this case, safety leadership has been playing an integrated role by transition in the human centred approach for managing the risks of human-machine collisions. Referring to this understanding, Ali and Nouban (2024) has also denoted the values of creating strong safety culture as a critical factor for reducing hazards alongside promoting workers well-being. Thus, the transverse relationship of safety leadership can be signified for extending safety culture in the age of robotics to support a safe environment for the workers and staff. </w:t>
      </w:r>
    </w:p>
    <w:p w14:paraId="34A5028A"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Challenges of integrating workplace safety in the age of robotics and strategies to overcome those </w:t>
      </w:r>
    </w:p>
    <w:p w14:paraId="395F4AF7"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Several challenges may be experienced by safety leadership in terms of integrating workplace safety in the age of robotics. As opined by Yeboah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(2025), safety motivation and safety culture are considered as mediating variables to define leaders' ability for creating robust workplace safety. In this case, lack of integrated safety culture in the workplace may become extremely challenging for the leaders to empower workplace hygiene and safety. The present era of robotics is also denoting conclusive application of tech advancements with human machine collaboration to enhance safety (</w:t>
      </w:r>
      <w:r w:rsidRPr="00E00751">
        <w:rPr>
          <w:rFonts w:ascii="Times New Roman" w:eastAsia="Times New Roman" w:hAnsi="Times New Roman" w:cs="Times New Roman"/>
          <w:sz w:val="24"/>
          <w:szCs w:val="24"/>
          <w:highlight w:val="white"/>
          <w:lang w:val="en-GB"/>
        </w:rPr>
        <w:t xml:space="preserve">Rahman </w:t>
      </w:r>
      <w:r w:rsidRPr="00E00751">
        <w:rPr>
          <w:rFonts w:ascii="Times New Roman" w:eastAsia="Times New Roman" w:hAnsi="Times New Roman" w:cs="Times New Roman"/>
          <w:i/>
          <w:iCs/>
          <w:sz w:val="24"/>
          <w:szCs w:val="24"/>
          <w:highlight w:val="white"/>
          <w:lang w:val="en-GB"/>
        </w:rPr>
        <w:t xml:space="preserve">et al., </w:t>
      </w:r>
      <w:r w:rsidRPr="00E00751">
        <w:rPr>
          <w:rFonts w:ascii="Times New Roman" w:eastAsia="Times New Roman" w:hAnsi="Times New Roman" w:cs="Times New Roman"/>
          <w:sz w:val="24"/>
          <w:szCs w:val="24"/>
          <w:highlight w:val="white"/>
          <w:lang w:val="en-GB"/>
        </w:rPr>
        <w:t>2024</w:t>
      </w:r>
      <w:r w:rsidRPr="00E00751">
        <w:rPr>
          <w:rFonts w:ascii="Times New Roman" w:eastAsia="Times New Roman" w:hAnsi="Times New Roman" w:cs="Times New Roman"/>
          <w:sz w:val="24"/>
          <w:szCs w:val="24"/>
          <w:lang w:val="en-GB"/>
        </w:rPr>
        <w:t>). Referring to this aspect, poor technical proficiency and literacy may also create obstacles to complement human machine collaboration. These challenges may also create troublesome consequences for organisations with the addition of financial penalties and punishments for not copying with safety guidelines and standards. Referring to the challenges as mentioned, empowerment of leadership should be emphasized with safety culture to create a strong safety climate that may also lead to safety behaviour from employees (</w:t>
      </w:r>
      <w:r w:rsidRPr="00E00751">
        <w:rPr>
          <w:rFonts w:ascii="Times New Roman" w:eastAsia="Times New Roman" w:hAnsi="Times New Roman" w:cs="Times New Roman"/>
          <w:sz w:val="24"/>
          <w:szCs w:val="24"/>
          <w:highlight w:val="white"/>
          <w:lang w:val="en-GB"/>
        </w:rPr>
        <w:t xml:space="preserve">Ta </w:t>
      </w:r>
      <w:r w:rsidRPr="00E00751">
        <w:rPr>
          <w:rFonts w:ascii="Times New Roman" w:eastAsia="Times New Roman" w:hAnsi="Times New Roman" w:cs="Times New Roman"/>
          <w:i/>
          <w:iCs/>
          <w:sz w:val="24"/>
          <w:szCs w:val="24"/>
          <w:highlight w:val="white"/>
          <w:lang w:val="en-GB"/>
        </w:rPr>
        <w:t xml:space="preserve">et al., </w:t>
      </w:r>
      <w:r w:rsidRPr="00E00751">
        <w:rPr>
          <w:rFonts w:ascii="Times New Roman" w:eastAsia="Times New Roman" w:hAnsi="Times New Roman" w:cs="Times New Roman"/>
          <w:sz w:val="24"/>
          <w:szCs w:val="24"/>
          <w:highlight w:val="white"/>
          <w:lang w:val="en-GB"/>
        </w:rPr>
        <w:t>2022</w:t>
      </w:r>
      <w:r w:rsidRPr="00E00751">
        <w:rPr>
          <w:rFonts w:ascii="Times New Roman" w:eastAsia="Times New Roman" w:hAnsi="Times New Roman" w:cs="Times New Roman"/>
          <w:sz w:val="24"/>
          <w:szCs w:val="24"/>
          <w:lang w:val="en-GB"/>
        </w:rPr>
        <w:t xml:space="preserve">). Alongside this, organisations should also deploy training arrangements and programs to support digital proficiency and technical literacy of the workers to align robotics technology for machinery guidance to ensure workers safety. </w:t>
      </w:r>
    </w:p>
    <w:p w14:paraId="17CBAF9D"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Socio technical systems theory </w:t>
      </w:r>
    </w:p>
    <w:p w14:paraId="7C1CD141" w14:textId="77777777"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noProof/>
          <w:sz w:val="24"/>
          <w:szCs w:val="24"/>
          <w:lang w:val="en-GB"/>
        </w:rPr>
        <w:lastRenderedPageBreak/>
        <w:drawing>
          <wp:inline distT="114300" distB="114300" distL="114300" distR="114300" wp14:anchorId="0859AC3D" wp14:editId="733162FE">
            <wp:extent cx="3810000" cy="248602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810000" cy="2486025"/>
                    </a:xfrm>
                    <a:prstGeom prst="rect">
                      <a:avLst/>
                    </a:prstGeom>
                    <a:ln w="25400">
                      <a:solidFill>
                        <a:srgbClr val="000000"/>
                      </a:solidFill>
                      <a:prstDash val="solid"/>
                    </a:ln>
                  </pic:spPr>
                </pic:pic>
              </a:graphicData>
            </a:graphic>
          </wp:inline>
        </w:drawing>
      </w:r>
      <w:r w:rsidRPr="00E00751">
        <w:rPr>
          <w:rFonts w:ascii="Times New Roman" w:eastAsia="Times New Roman" w:hAnsi="Times New Roman" w:cs="Times New Roman"/>
          <w:sz w:val="24"/>
          <w:szCs w:val="24"/>
          <w:lang w:val="en-GB"/>
        </w:rPr>
        <w:t>\</w:t>
      </w:r>
    </w:p>
    <w:p w14:paraId="7894A5CB"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Figure 1: Socio-technical systems theory</w:t>
      </w:r>
    </w:p>
    <w:p w14:paraId="79A94E42" w14:textId="77777777"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(Source: As influenced by </w:t>
      </w:r>
      <w:r w:rsidRPr="00E00751">
        <w:rPr>
          <w:rFonts w:ascii="Times New Roman" w:eastAsia="Times New Roman" w:hAnsi="Times New Roman" w:cs="Times New Roman"/>
          <w:sz w:val="24"/>
          <w:szCs w:val="24"/>
          <w:highlight w:val="white"/>
          <w:lang w:val="en-GB"/>
        </w:rPr>
        <w:t xml:space="preserve">Bayramova </w:t>
      </w:r>
      <w:r w:rsidRPr="00E00751">
        <w:rPr>
          <w:rFonts w:ascii="Times New Roman" w:eastAsia="Times New Roman" w:hAnsi="Times New Roman" w:cs="Times New Roman"/>
          <w:i/>
          <w:iCs/>
          <w:sz w:val="24"/>
          <w:szCs w:val="24"/>
          <w:highlight w:val="white"/>
          <w:lang w:val="en-GB"/>
        </w:rPr>
        <w:t xml:space="preserve">et al., </w:t>
      </w:r>
      <w:r w:rsidRPr="00E00751">
        <w:rPr>
          <w:rFonts w:ascii="Times New Roman" w:eastAsia="Times New Roman" w:hAnsi="Times New Roman" w:cs="Times New Roman"/>
          <w:sz w:val="24"/>
          <w:szCs w:val="24"/>
          <w:lang w:val="en-GB"/>
        </w:rPr>
        <w:t>2023)</w:t>
      </w:r>
    </w:p>
    <w:p w14:paraId="6F2C415F"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theoretical concept imposes the optimisation of corporate performance by designing social and technical aspects to work in harmony. As denoted by </w:t>
      </w:r>
      <w:r w:rsidRPr="00E00751">
        <w:rPr>
          <w:rFonts w:ascii="Times New Roman" w:eastAsia="Times New Roman" w:hAnsi="Times New Roman" w:cs="Times New Roman"/>
          <w:sz w:val="24"/>
          <w:szCs w:val="24"/>
          <w:highlight w:val="white"/>
          <w:lang w:val="en-GB"/>
        </w:rPr>
        <w:t xml:space="preserve">Bayramova </w:t>
      </w:r>
      <w:r w:rsidRPr="00E00751">
        <w:rPr>
          <w:rFonts w:ascii="Times New Roman" w:eastAsia="Times New Roman" w:hAnsi="Times New Roman" w:cs="Times New Roman"/>
          <w:i/>
          <w:iCs/>
          <w:sz w:val="24"/>
          <w:szCs w:val="24"/>
          <w:highlight w:val="white"/>
          <w:lang w:val="en-GB"/>
        </w:rPr>
        <w:t xml:space="preserve">et al. </w:t>
      </w:r>
      <w:r w:rsidRPr="00E00751">
        <w:rPr>
          <w:rFonts w:ascii="Times New Roman" w:eastAsia="Times New Roman" w:hAnsi="Times New Roman" w:cs="Times New Roman"/>
          <w:sz w:val="24"/>
          <w:szCs w:val="24"/>
          <w:lang w:val="en-GB"/>
        </w:rPr>
        <w:t xml:space="preserve">(2023), the </w:t>
      </w:r>
      <w:r w:rsidR="00E00751" w:rsidRPr="00E00751">
        <w:rPr>
          <w:rFonts w:ascii="Times New Roman" w:eastAsia="Times New Roman" w:hAnsi="Times New Roman" w:cs="Times New Roman"/>
          <w:sz w:val="24"/>
          <w:szCs w:val="24"/>
          <w:lang w:val="en-GB"/>
        </w:rPr>
        <w:t>implications of socio-technical systems concept are</w:t>
      </w:r>
      <w:r w:rsidRPr="00E00751">
        <w:rPr>
          <w:rFonts w:ascii="Times New Roman" w:eastAsia="Times New Roman" w:hAnsi="Times New Roman" w:cs="Times New Roman"/>
          <w:sz w:val="24"/>
          <w:szCs w:val="24"/>
          <w:lang w:val="en-GB"/>
        </w:rPr>
        <w:t xml:space="preserve"> signified through the interrelationship of components within a complex system. Featuring this understanding, the attributes of safety leadership can be comprehended as the determinant factor to integrate safety culture as a crucial social element. Alongside this, deployment of technology with robotics may also be formulated as a significant option to empower workplace safety by taking into account safety culture. Relating to this understanding, the values of safety leadership are pointed out to encourage workplace safety by featuring both social and technical elements in harmony. </w:t>
      </w:r>
    </w:p>
    <w:p w14:paraId="0FD4BC0C"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Addressing literature gap</w:t>
      </w:r>
    </w:p>
    <w:p w14:paraId="6F3EC670"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present literature has emphasized on denoting the aspects of safety leadership regarding the creation of workplace safety culture in the age of robotics. In this case, the study of Ciekanowski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(2025) has not mentioned the challenges that may emerge to integrate workplace safety culture. Similarly, the research of Ali and Nouban (2024) also did not mention the challenges associated with safety leadership to deploy workplace safety in the age of robotics. The current literature has looked forward to address this gap by discussing the challenging factors of lack of safety culture and poor technical knowledge that may hinder workplace safety in the age of robotics. </w:t>
      </w:r>
    </w:p>
    <w:p w14:paraId="564FABB9" w14:textId="77777777" w:rsidR="00301E67" w:rsidRPr="00E00751" w:rsidRDefault="00EC5423">
      <w:pPr>
        <w:pStyle w:val="Heading1"/>
        <w:rPr>
          <w:lang w:val="en-GB"/>
        </w:rPr>
      </w:pPr>
      <w:bookmarkStart w:id="6" w:name="_8sy9i3mapmy4" w:colFirst="0" w:colLast="0"/>
      <w:bookmarkStart w:id="7" w:name="_Toc227171671"/>
      <w:bookmarkEnd w:id="6"/>
      <w:r w:rsidRPr="00E00751">
        <w:rPr>
          <w:lang w:val="en-GB"/>
        </w:rPr>
        <w:lastRenderedPageBreak/>
        <w:t>d. Methodology</w:t>
      </w:r>
      <w:bookmarkEnd w:id="7"/>
      <w:r w:rsidRPr="00E00751">
        <w:rPr>
          <w:lang w:val="en-GB"/>
        </w:rPr>
        <w:t xml:space="preserve"> </w:t>
      </w:r>
    </w:p>
    <w:p w14:paraId="497BCDEB"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Research design and data collection method</w:t>
      </w:r>
    </w:p>
    <w:p w14:paraId="2D9797EC" w14:textId="77777777"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noProof/>
          <w:sz w:val="24"/>
          <w:szCs w:val="24"/>
          <w:lang w:val="en-GB"/>
        </w:rPr>
        <w:drawing>
          <wp:inline distT="114300" distB="114300" distL="114300" distR="114300" wp14:anchorId="48AFAB60" wp14:editId="164E5A85">
            <wp:extent cx="4005263" cy="261240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05263" cy="2612407"/>
                    </a:xfrm>
                    <a:prstGeom prst="rect">
                      <a:avLst/>
                    </a:prstGeom>
                    <a:ln w="25400">
                      <a:solidFill>
                        <a:srgbClr val="000000"/>
                      </a:solidFill>
                      <a:prstDash val="solid"/>
                    </a:ln>
                  </pic:spPr>
                </pic:pic>
              </a:graphicData>
            </a:graphic>
          </wp:inline>
        </w:drawing>
      </w:r>
    </w:p>
    <w:p w14:paraId="2BAC13A0"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Figure 2: Research onion</w:t>
      </w:r>
    </w:p>
    <w:p w14:paraId="0379A145" w14:textId="77777777"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(Source: As influenced </w:t>
      </w:r>
      <w:r w:rsidR="00E00751" w:rsidRPr="00E00751">
        <w:rPr>
          <w:rFonts w:ascii="Times New Roman" w:eastAsia="Times New Roman" w:hAnsi="Times New Roman" w:cs="Times New Roman"/>
          <w:sz w:val="24"/>
          <w:szCs w:val="24"/>
          <w:lang w:val="en-GB"/>
        </w:rPr>
        <w:t>by Saunders</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2019)</w:t>
      </w:r>
    </w:p>
    <w:p w14:paraId="6C2C73C2"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sz w:val="24"/>
          <w:szCs w:val="24"/>
          <w:lang w:val="en-GB"/>
        </w:rPr>
        <w:t xml:space="preserve">Research onion framework helps in underpinning the methodological choice and preferences of researchers to generate effective outcomes by aligning with the research objectives. As opined by Saunders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(2019), research onion is also considered as a structured tool in order to guide methodological choices with practical steps by determining overall research design. The current research would follow </w:t>
      </w:r>
      <w:r w:rsidRPr="00E00751">
        <w:rPr>
          <w:rFonts w:ascii="Times New Roman" w:eastAsia="Times New Roman" w:hAnsi="Times New Roman" w:cs="Times New Roman"/>
          <w:b/>
          <w:bCs/>
          <w:i/>
          <w:iCs/>
          <w:sz w:val="24"/>
          <w:szCs w:val="24"/>
          <w:lang w:val="en-GB"/>
        </w:rPr>
        <w:t>interpretivism philosophy</w:t>
      </w:r>
      <w:r w:rsidRPr="00E00751">
        <w:rPr>
          <w:rFonts w:ascii="Times New Roman" w:eastAsia="Times New Roman" w:hAnsi="Times New Roman" w:cs="Times New Roman"/>
          <w:sz w:val="24"/>
          <w:szCs w:val="24"/>
          <w:lang w:val="en-GB"/>
        </w:rPr>
        <w:t xml:space="preserve"> in order to consider subjective context associated with the study arena. Pervin and Mokhtar (2023) </w:t>
      </w:r>
      <w:r w:rsidR="00E00751" w:rsidRPr="00E00751">
        <w:rPr>
          <w:rFonts w:ascii="Times New Roman" w:eastAsia="Times New Roman" w:hAnsi="Times New Roman" w:cs="Times New Roman"/>
          <w:sz w:val="24"/>
          <w:szCs w:val="24"/>
          <w:lang w:val="en-GB"/>
        </w:rPr>
        <w:t>have</w:t>
      </w:r>
      <w:r w:rsidRPr="00E00751">
        <w:rPr>
          <w:rFonts w:ascii="Times New Roman" w:eastAsia="Times New Roman" w:hAnsi="Times New Roman" w:cs="Times New Roman"/>
          <w:sz w:val="24"/>
          <w:szCs w:val="24"/>
          <w:lang w:val="en-GB"/>
        </w:rPr>
        <w:t xml:space="preserve"> mentioned the consideration of a subjective notion of the social context in interpretivist research paradigm. This subjective principle of interpretivism philosophy would be beneficial for enlightening the implications of safety leadership to enhance safety culture in the workplace for Bernard Mathews. The </w:t>
      </w:r>
      <w:r w:rsidRPr="00E00751">
        <w:rPr>
          <w:rFonts w:ascii="Times New Roman" w:eastAsia="Times New Roman" w:hAnsi="Times New Roman" w:cs="Times New Roman"/>
          <w:b/>
          <w:bCs/>
          <w:i/>
          <w:iCs/>
          <w:sz w:val="24"/>
          <w:szCs w:val="24"/>
          <w:lang w:val="en-GB"/>
        </w:rPr>
        <w:t>inductive approach</w:t>
      </w:r>
      <w:r w:rsidRPr="00E00751">
        <w:rPr>
          <w:rFonts w:ascii="Times New Roman" w:eastAsia="Times New Roman" w:hAnsi="Times New Roman" w:cs="Times New Roman"/>
          <w:sz w:val="24"/>
          <w:szCs w:val="24"/>
          <w:lang w:val="en-GB"/>
        </w:rPr>
        <w:t xml:space="preserve"> would also be chosen for this research with specific observations for identifying patterns. Vears and Gillam (2022) </w:t>
      </w:r>
      <w:r w:rsidR="00E00751" w:rsidRPr="00E00751">
        <w:rPr>
          <w:rFonts w:ascii="Times New Roman" w:eastAsia="Times New Roman" w:hAnsi="Times New Roman" w:cs="Times New Roman"/>
          <w:sz w:val="24"/>
          <w:szCs w:val="24"/>
          <w:lang w:val="en-GB"/>
        </w:rPr>
        <w:t>have</w:t>
      </w:r>
      <w:r w:rsidRPr="00E00751">
        <w:rPr>
          <w:rFonts w:ascii="Times New Roman" w:eastAsia="Times New Roman" w:hAnsi="Times New Roman" w:cs="Times New Roman"/>
          <w:sz w:val="24"/>
          <w:szCs w:val="24"/>
          <w:lang w:val="en-GB"/>
        </w:rPr>
        <w:t xml:space="preserve"> denoted the implications of an inductive approach to comprehend flexibility by developing new theories. This theory development principle of inductive approach would empower the current study outcomes by explaining the relationship of safety leadership with enhancing workplace safety for Bernard Mathews in the age of robotics. The </w:t>
      </w:r>
      <w:r w:rsidRPr="00E00751">
        <w:rPr>
          <w:rFonts w:ascii="Times New Roman" w:eastAsia="Times New Roman" w:hAnsi="Times New Roman" w:cs="Times New Roman"/>
          <w:b/>
          <w:bCs/>
          <w:i/>
          <w:iCs/>
          <w:sz w:val="24"/>
          <w:szCs w:val="24"/>
          <w:lang w:val="en-GB"/>
        </w:rPr>
        <w:t xml:space="preserve">descriptive design </w:t>
      </w:r>
      <w:r w:rsidRPr="00E00751">
        <w:rPr>
          <w:rFonts w:ascii="Times New Roman" w:eastAsia="Times New Roman" w:hAnsi="Times New Roman" w:cs="Times New Roman"/>
          <w:sz w:val="24"/>
          <w:szCs w:val="24"/>
          <w:lang w:val="en-GB"/>
        </w:rPr>
        <w:t xml:space="preserve">would be taken for this purpose that focuses on providing systematic description of the research problem and context (Ansari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2022). The application of </w:t>
      </w:r>
      <w:r w:rsidRPr="00E00751">
        <w:rPr>
          <w:rFonts w:ascii="Times New Roman" w:eastAsia="Times New Roman" w:hAnsi="Times New Roman" w:cs="Times New Roman"/>
          <w:sz w:val="24"/>
          <w:szCs w:val="24"/>
          <w:lang w:val="en-GB"/>
        </w:rPr>
        <w:lastRenderedPageBreak/>
        <w:t xml:space="preserve">descriptive design would enable in-depth evaluation of safety leadership to encourage workers safety in the age of robotics with strong machinery guidance and risk assessment. </w:t>
      </w:r>
    </w:p>
    <w:p w14:paraId="0061D350"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secondary data collection method would be followed for this research context by undertaking existing information about the topic from accessible public domains. As opined by Baldwin </w:t>
      </w:r>
      <w:r w:rsidR="00E00751">
        <w:rPr>
          <w:rFonts w:ascii="Times New Roman" w:eastAsia="Times New Roman" w:hAnsi="Times New Roman" w:cs="Times New Roman"/>
          <w:i/>
          <w:iCs/>
          <w:sz w:val="24"/>
          <w:szCs w:val="24"/>
          <w:lang w:val="en-GB"/>
        </w:rPr>
        <w:t>et al.</w:t>
      </w:r>
      <w:r w:rsidRPr="00E00751">
        <w:rPr>
          <w:rFonts w:ascii="Times New Roman" w:eastAsia="Times New Roman" w:hAnsi="Times New Roman" w:cs="Times New Roman"/>
          <w:i/>
          <w:iCs/>
          <w:sz w:val="24"/>
          <w:szCs w:val="24"/>
          <w:lang w:val="en-GB"/>
        </w:rPr>
        <w:t xml:space="preserve"> </w:t>
      </w:r>
      <w:r w:rsidRPr="00E00751">
        <w:rPr>
          <w:rFonts w:ascii="Times New Roman" w:eastAsia="Times New Roman" w:hAnsi="Times New Roman" w:cs="Times New Roman"/>
          <w:sz w:val="24"/>
          <w:szCs w:val="24"/>
          <w:lang w:val="en-GB"/>
        </w:rPr>
        <w:t xml:space="preserve">(2022), secondary data consist of the potential to provide appropriate answers to the social context and questions. In this present case, evident secondary data would be collected from relevant news articles like </w:t>
      </w:r>
      <w:r w:rsidRPr="00E00751">
        <w:rPr>
          <w:rFonts w:ascii="Times New Roman" w:eastAsia="Times New Roman" w:hAnsi="Times New Roman" w:cs="Times New Roman"/>
          <w:b/>
          <w:bCs/>
          <w:i/>
          <w:iCs/>
          <w:sz w:val="24"/>
          <w:szCs w:val="24"/>
          <w:lang w:val="en-GB"/>
        </w:rPr>
        <w:t xml:space="preserve">BBC </w:t>
      </w:r>
      <w:r w:rsidRPr="00E00751">
        <w:rPr>
          <w:rFonts w:ascii="Times New Roman" w:eastAsia="Times New Roman" w:hAnsi="Times New Roman" w:cs="Times New Roman"/>
          <w:sz w:val="24"/>
          <w:szCs w:val="24"/>
          <w:lang w:val="en-GB"/>
        </w:rPr>
        <w:t xml:space="preserve">and </w:t>
      </w:r>
      <w:r w:rsidRPr="00E00751">
        <w:rPr>
          <w:rFonts w:ascii="Times New Roman" w:eastAsia="Times New Roman" w:hAnsi="Times New Roman" w:cs="Times New Roman"/>
          <w:b/>
          <w:bCs/>
          <w:i/>
          <w:iCs/>
          <w:sz w:val="24"/>
          <w:szCs w:val="24"/>
          <w:lang w:val="en-GB"/>
        </w:rPr>
        <w:t>The Guardian</w:t>
      </w:r>
      <w:r w:rsidRPr="00E00751">
        <w:rPr>
          <w:rFonts w:ascii="Times New Roman" w:eastAsia="Times New Roman" w:hAnsi="Times New Roman" w:cs="Times New Roman"/>
          <w:sz w:val="24"/>
          <w:szCs w:val="24"/>
          <w:lang w:val="en-GB"/>
        </w:rPr>
        <w:t xml:space="preserve"> for including updated evidence on workers safety in Bernard Mathews. The </w:t>
      </w:r>
      <w:r w:rsidRPr="00E00751">
        <w:rPr>
          <w:rFonts w:ascii="Times New Roman" w:eastAsia="Times New Roman" w:hAnsi="Times New Roman" w:cs="Times New Roman"/>
          <w:b/>
          <w:bCs/>
          <w:i/>
          <w:iCs/>
          <w:sz w:val="24"/>
          <w:szCs w:val="24"/>
          <w:lang w:val="en-GB"/>
        </w:rPr>
        <w:t>official websites of Bernard Mathews</w:t>
      </w:r>
      <w:r w:rsidRPr="00E00751">
        <w:rPr>
          <w:rFonts w:ascii="Times New Roman" w:eastAsia="Times New Roman" w:hAnsi="Times New Roman" w:cs="Times New Roman"/>
          <w:sz w:val="24"/>
          <w:szCs w:val="24"/>
          <w:lang w:val="en-GB"/>
        </w:rPr>
        <w:t xml:space="preserve"> would also be explored for collecting authentic data about workers safety. The </w:t>
      </w:r>
      <w:r w:rsidRPr="00E00751">
        <w:rPr>
          <w:rFonts w:ascii="Times New Roman" w:eastAsia="Times New Roman" w:hAnsi="Times New Roman" w:cs="Times New Roman"/>
          <w:b/>
          <w:bCs/>
          <w:i/>
          <w:iCs/>
          <w:sz w:val="24"/>
          <w:szCs w:val="24"/>
          <w:lang w:val="en-GB"/>
        </w:rPr>
        <w:t xml:space="preserve">Google Scholar </w:t>
      </w:r>
      <w:r w:rsidRPr="00E00751">
        <w:rPr>
          <w:rFonts w:ascii="Times New Roman" w:eastAsia="Times New Roman" w:hAnsi="Times New Roman" w:cs="Times New Roman"/>
          <w:sz w:val="24"/>
          <w:szCs w:val="24"/>
          <w:lang w:val="en-GB"/>
        </w:rPr>
        <w:t xml:space="preserve">database would also be visited for collecting academic understanding from journal articles related to the study topic. Interpretation of collected data would be conducted by referring to the secondary thematic analysis process. The Braun and Clarke six step coding process would be conducted for identifying themes to address the research questions and objectives (Braun and Clarke, 2023). Based on thematic analysis, real time facts would be included in this research regarding workers safety in Bernard Mathews alongside denoting the implications of safety leadership. </w:t>
      </w:r>
    </w:p>
    <w:p w14:paraId="43F46507"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Reliability, validity and ethical integrity</w:t>
      </w:r>
    </w:p>
    <w:p w14:paraId="11D48388" w14:textId="44DF7CDA"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current study would consider extended stands for data protection and privacy for enhancing authenticity and reliability. The Data Protection Act 2018 </w:t>
      </w:r>
      <w:r w:rsidR="004D3DE3">
        <w:rPr>
          <w:rFonts w:ascii="Times New Roman" w:eastAsia="Times New Roman" w:hAnsi="Times New Roman" w:cs="Times New Roman"/>
          <w:sz w:val="24"/>
          <w:szCs w:val="24"/>
          <w:lang w:val="en-GB"/>
        </w:rPr>
        <w:t>(c</w:t>
      </w:r>
      <w:r w:rsidRPr="00E00751">
        <w:rPr>
          <w:rFonts w:ascii="Times New Roman" w:eastAsia="Times New Roman" w:hAnsi="Times New Roman" w:cs="Times New Roman"/>
          <w:sz w:val="24"/>
          <w:szCs w:val="24"/>
          <w:lang w:val="en-GB"/>
        </w:rPr>
        <w:t>.23</w:t>
      </w:r>
      <w:r w:rsidR="004D3DE3">
        <w:rPr>
          <w:rFonts w:ascii="Times New Roman" w:eastAsia="Times New Roman" w:hAnsi="Times New Roman" w:cs="Times New Roman"/>
          <w:sz w:val="24"/>
          <w:szCs w:val="24"/>
          <w:lang w:val="en-GB"/>
        </w:rPr>
        <w:t>)</w:t>
      </w:r>
      <w:r w:rsidRPr="00E00751">
        <w:rPr>
          <w:rFonts w:ascii="Times New Roman" w:eastAsia="Times New Roman" w:hAnsi="Times New Roman" w:cs="Times New Roman"/>
          <w:sz w:val="24"/>
          <w:szCs w:val="24"/>
          <w:lang w:val="en-GB"/>
        </w:rPr>
        <w:t xml:space="preserve"> would be followed in this case for the prevention of data breaches and misuse. Apparently, the university drive would be considered as a secured storage place for safeguarding the collected data. All data would be deleted from the university drive permanently after finishing this study to prevent its application for commercial purposes. </w:t>
      </w:r>
    </w:p>
    <w:p w14:paraId="20C6ACEF"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Limitations and challenges of methodical approach </w:t>
      </w:r>
    </w:p>
    <w:p w14:paraId="00E50CF8"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current research would not consider primary data collection techniques for collecting required research information. In this case, the limitation of the methodical approach is reflected through lack of first-hand information related to the study topic and context for supporting the research arguments. </w:t>
      </w:r>
    </w:p>
    <w:p w14:paraId="6E2F25C9"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Research timeline </w:t>
      </w:r>
    </w:p>
    <w:p w14:paraId="21C989DB" w14:textId="33A3674B"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(Refer to Appendix</w:t>
      </w:r>
      <w:r w:rsidR="007579F4">
        <w:rPr>
          <w:rFonts w:ascii="Times New Roman" w:eastAsia="Times New Roman" w:hAnsi="Times New Roman" w:cs="Times New Roman"/>
          <w:b/>
          <w:bCs/>
          <w:i/>
          <w:iCs/>
          <w:sz w:val="24"/>
          <w:szCs w:val="24"/>
          <w:lang w:val="en-GB"/>
        </w:rPr>
        <w:t xml:space="preserve"> 1</w:t>
      </w:r>
      <w:r w:rsidRPr="00E00751">
        <w:rPr>
          <w:rFonts w:ascii="Times New Roman" w:eastAsia="Times New Roman" w:hAnsi="Times New Roman" w:cs="Times New Roman"/>
          <w:b/>
          <w:bCs/>
          <w:i/>
          <w:iCs/>
          <w:sz w:val="24"/>
          <w:szCs w:val="24"/>
          <w:lang w:val="en-GB"/>
        </w:rPr>
        <w:t xml:space="preserve">) </w:t>
      </w:r>
    </w:p>
    <w:p w14:paraId="4BBA62E9" w14:textId="77777777" w:rsidR="00301E67" w:rsidRPr="00E00751" w:rsidRDefault="00EC5423">
      <w:pPr>
        <w:pStyle w:val="Heading1"/>
        <w:rPr>
          <w:lang w:val="en-GB"/>
        </w:rPr>
      </w:pPr>
      <w:bookmarkStart w:id="8" w:name="_3wt2aqiohqh9" w:colFirst="0" w:colLast="0"/>
      <w:bookmarkStart w:id="9" w:name="_Toc227171672"/>
      <w:bookmarkEnd w:id="8"/>
      <w:r w:rsidRPr="00E00751">
        <w:rPr>
          <w:lang w:val="en-GB"/>
        </w:rPr>
        <w:t>e. Business and Practical Implications</w:t>
      </w:r>
      <w:bookmarkEnd w:id="9"/>
      <w:r w:rsidRPr="00E00751">
        <w:rPr>
          <w:lang w:val="en-GB"/>
        </w:rPr>
        <w:t xml:space="preserve"> </w:t>
      </w:r>
    </w:p>
    <w:p w14:paraId="48716201"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Findings informing business decision-making </w:t>
      </w:r>
    </w:p>
    <w:p w14:paraId="40C9A6A4"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The research findings would integrate sound understanding of deploying safety leadership in order to ensure workplace safety in Bernard Mathews in the age of robotics. In this case, preference of a safety culture would be comprehended as a prominent solution based on safety leadership to prevent workers injury by establishing explicit safety concerns. </w:t>
      </w:r>
    </w:p>
    <w:p w14:paraId="130AB919"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Challenges may arise in implementing recommendations </w:t>
      </w:r>
    </w:p>
    <w:p w14:paraId="1D6BAD8E"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Lack of staff engagement may arise as a challenge for implementing safety leadership for enhancing workplace safety in the age of robotics. This challenge can be overcome through reshaping leadership vision with a participative and transformative approach. </w:t>
      </w:r>
    </w:p>
    <w:p w14:paraId="46EDE046" w14:textId="30BA0A75" w:rsidR="00301E67" w:rsidRPr="00E00751" w:rsidRDefault="00EC5423">
      <w:pPr>
        <w:pStyle w:val="Heading1"/>
        <w:rPr>
          <w:lang w:val="en-GB"/>
        </w:rPr>
      </w:pPr>
      <w:bookmarkStart w:id="10" w:name="_6h7k452y3ya" w:colFirst="0" w:colLast="0"/>
      <w:bookmarkStart w:id="11" w:name="_Toc227171673"/>
      <w:bookmarkEnd w:id="10"/>
      <w:r w:rsidRPr="00E00751">
        <w:rPr>
          <w:lang w:val="en-GB"/>
        </w:rPr>
        <w:t xml:space="preserve">f. Expected </w:t>
      </w:r>
      <w:r w:rsidR="00151D46">
        <w:rPr>
          <w:lang w:val="en-GB"/>
        </w:rPr>
        <w:t>O</w:t>
      </w:r>
      <w:r w:rsidRPr="00E00751">
        <w:rPr>
          <w:lang w:val="en-GB"/>
        </w:rPr>
        <w:t>utcomes</w:t>
      </w:r>
      <w:bookmarkEnd w:id="11"/>
      <w:r w:rsidRPr="00E00751">
        <w:rPr>
          <w:lang w:val="en-GB"/>
        </w:rPr>
        <w:t xml:space="preserve"> </w:t>
      </w:r>
    </w:p>
    <w:p w14:paraId="2EC1C668"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Expected outcomes of this research are underpinned through outlining the linear relationship of safety leadership with the extension of workplace safety for Bernard Mathews. In this case, the research would also denote the strategies to overcome challenges in creating safety culture with strong machinery guidance and risk assessment. </w:t>
      </w:r>
    </w:p>
    <w:p w14:paraId="5AE5499D"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lang w:val="en-GB"/>
        </w:rPr>
        <w:br w:type="page"/>
      </w:r>
    </w:p>
    <w:p w14:paraId="2945F0F7" w14:textId="77777777" w:rsidR="00301E67" w:rsidRPr="00E00751" w:rsidRDefault="00EC5423">
      <w:pPr>
        <w:pStyle w:val="Heading1"/>
        <w:rPr>
          <w:lang w:val="en-GB"/>
        </w:rPr>
      </w:pPr>
      <w:bookmarkStart w:id="12" w:name="_x8dsjn3fpiry" w:colFirst="0" w:colLast="0"/>
      <w:bookmarkStart w:id="13" w:name="_Toc227171674"/>
      <w:bookmarkEnd w:id="12"/>
      <w:r w:rsidRPr="00E00751">
        <w:rPr>
          <w:lang w:val="en-GB"/>
        </w:rPr>
        <w:lastRenderedPageBreak/>
        <w:t>References</w:t>
      </w:r>
      <w:bookmarkEnd w:id="13"/>
    </w:p>
    <w:p w14:paraId="7B3A00E7"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Ali, A.M. and Nouban, F., (2024) ‘Analyzing the role of leadership in promoting a positive safety culture in the construction sector’. </w:t>
      </w:r>
      <w:r w:rsidRPr="00E00751">
        <w:rPr>
          <w:rFonts w:ascii="Times New Roman" w:eastAsia="Times New Roman" w:hAnsi="Times New Roman" w:cs="Times New Roman"/>
          <w:i/>
          <w:iCs/>
          <w:sz w:val="24"/>
          <w:szCs w:val="24"/>
          <w:lang w:val="en-GB"/>
        </w:rPr>
        <w:t>World J. Adv. Res. Rev</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21</w:t>
      </w:r>
      <w:r w:rsidRPr="00E00751">
        <w:rPr>
          <w:rFonts w:ascii="Times New Roman" w:eastAsia="Times New Roman" w:hAnsi="Times New Roman" w:cs="Times New Roman"/>
          <w:sz w:val="24"/>
          <w:szCs w:val="24"/>
          <w:lang w:val="en-GB"/>
        </w:rPr>
        <w:t>(1), pp.882-887. Available at:</w:t>
      </w:r>
      <w:hyperlink r:id="rId11">
        <w:r w:rsidRPr="00E00751">
          <w:rPr>
            <w:rFonts w:ascii="Times New Roman" w:eastAsia="Times New Roman" w:hAnsi="Times New Roman" w:cs="Times New Roman"/>
            <w:sz w:val="24"/>
            <w:szCs w:val="24"/>
            <w:lang w:val="en-GB"/>
          </w:rPr>
          <w:t xml:space="preserve"> </w:t>
        </w:r>
      </w:hyperlink>
      <w:hyperlink r:id="rId12">
        <w:r w:rsidRPr="00E00751">
          <w:rPr>
            <w:rFonts w:ascii="Times New Roman" w:eastAsia="Times New Roman" w:hAnsi="Times New Roman" w:cs="Times New Roman"/>
            <w:color w:val="1155CC"/>
            <w:sz w:val="24"/>
            <w:szCs w:val="24"/>
            <w:u w:val="single"/>
            <w:lang w:val="en-GB"/>
          </w:rPr>
          <w:t>https://www.researchgate.net/profile/Abdirahman-Ali-32/publication/377387649_Analyzing_the_role_of_leadership_in_promoting_a_positive_safety_culture_in_the_construction_sector/links/65a393e040ce1c5902dac216/Analyzing-the-role-of-leadership-in-promoting-a-positive-safety-culture-in-the-construction-sector.pdf</w:t>
        </w:r>
      </w:hyperlink>
    </w:p>
    <w:p w14:paraId="7B41A190"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Ansari, M.R., Rahim, K., Bhoje, R. and Bhosale, S., (2022) ‘A study on research design and its types’. </w:t>
      </w:r>
      <w:r w:rsidRPr="00E00751">
        <w:rPr>
          <w:rFonts w:ascii="Times New Roman" w:eastAsia="Times New Roman" w:hAnsi="Times New Roman" w:cs="Times New Roman"/>
          <w:i/>
          <w:iCs/>
          <w:sz w:val="24"/>
          <w:szCs w:val="24"/>
          <w:lang w:val="en-GB"/>
        </w:rPr>
        <w:t>International Research Journal of Engineering and Technology (IRJET)</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9</w:t>
      </w:r>
      <w:r w:rsidRPr="00E00751">
        <w:rPr>
          <w:rFonts w:ascii="Times New Roman" w:eastAsia="Times New Roman" w:hAnsi="Times New Roman" w:cs="Times New Roman"/>
          <w:sz w:val="24"/>
          <w:szCs w:val="24"/>
          <w:lang w:val="en-GB"/>
        </w:rPr>
        <w:t>(7), pp.1132-1135. Available at:</w:t>
      </w:r>
      <w:hyperlink r:id="rId13">
        <w:r w:rsidRPr="00E00751">
          <w:rPr>
            <w:rFonts w:ascii="Times New Roman" w:eastAsia="Times New Roman" w:hAnsi="Times New Roman" w:cs="Times New Roman"/>
            <w:sz w:val="24"/>
            <w:szCs w:val="24"/>
            <w:lang w:val="en-GB"/>
          </w:rPr>
          <w:t xml:space="preserve"> </w:t>
        </w:r>
      </w:hyperlink>
      <w:hyperlink r:id="rId14">
        <w:r w:rsidRPr="00E00751">
          <w:rPr>
            <w:rFonts w:ascii="Times New Roman" w:eastAsia="Times New Roman" w:hAnsi="Times New Roman" w:cs="Times New Roman"/>
            <w:color w:val="1155CC"/>
            <w:sz w:val="24"/>
            <w:szCs w:val="24"/>
            <w:u w:val="single"/>
            <w:lang w:val="en-GB"/>
          </w:rPr>
          <w:t>https://www.academia.edu/download/92557672/IRJET_V9I7216.pdf</w:t>
        </w:r>
      </w:hyperlink>
    </w:p>
    <w:p w14:paraId="1FE01710"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Baldwin, J.R., Pingault, J.B., Schoeler, T., Sallis, H.M. and Munafò, M.R., (2022) ‘Protecting against researcher bias in secondary data analysis: challenges and potential solutions’. </w:t>
      </w:r>
      <w:r w:rsidRPr="00E00751">
        <w:rPr>
          <w:rFonts w:ascii="Times New Roman" w:eastAsia="Times New Roman" w:hAnsi="Times New Roman" w:cs="Times New Roman"/>
          <w:i/>
          <w:iCs/>
          <w:sz w:val="24"/>
          <w:szCs w:val="24"/>
          <w:lang w:val="en-GB"/>
        </w:rPr>
        <w:t>European journal of epidemiology</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37</w:t>
      </w:r>
      <w:r w:rsidRPr="00E00751">
        <w:rPr>
          <w:rFonts w:ascii="Times New Roman" w:eastAsia="Times New Roman" w:hAnsi="Times New Roman" w:cs="Times New Roman"/>
          <w:sz w:val="24"/>
          <w:szCs w:val="24"/>
          <w:lang w:val="en-GB"/>
        </w:rPr>
        <w:t>(1), pp.1-10. Available at:</w:t>
      </w:r>
      <w:hyperlink r:id="rId15">
        <w:r w:rsidRPr="00E00751">
          <w:rPr>
            <w:rFonts w:ascii="Times New Roman" w:eastAsia="Times New Roman" w:hAnsi="Times New Roman" w:cs="Times New Roman"/>
            <w:sz w:val="24"/>
            <w:szCs w:val="24"/>
            <w:lang w:val="en-GB"/>
          </w:rPr>
          <w:t xml:space="preserve"> </w:t>
        </w:r>
      </w:hyperlink>
      <w:hyperlink r:id="rId16">
        <w:r w:rsidRPr="00E00751">
          <w:rPr>
            <w:rFonts w:ascii="Times New Roman" w:eastAsia="Times New Roman" w:hAnsi="Times New Roman" w:cs="Times New Roman"/>
            <w:color w:val="1155CC"/>
            <w:sz w:val="24"/>
            <w:szCs w:val="24"/>
            <w:u w:val="single"/>
            <w:lang w:val="en-GB"/>
          </w:rPr>
          <w:t>https://link.springer.com/content/pdf/10.1007/s10654-021-00839-0.pdf</w:t>
        </w:r>
      </w:hyperlink>
    </w:p>
    <w:p w14:paraId="72E17D21"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highlight w:val="white"/>
          <w:lang w:val="en-GB"/>
        </w:rPr>
        <w:t xml:space="preserve">Bayramova, A., Edwards, D.J., Roberts, C. and Rillie, I., (2023) ‘Enhanced safety in complex socio-technical systems via safety-in-cohesion’. </w:t>
      </w:r>
      <w:r w:rsidRPr="00E00751">
        <w:rPr>
          <w:rFonts w:ascii="Times New Roman" w:eastAsia="Times New Roman" w:hAnsi="Times New Roman" w:cs="Times New Roman"/>
          <w:i/>
          <w:iCs/>
          <w:sz w:val="24"/>
          <w:szCs w:val="24"/>
          <w:highlight w:val="white"/>
          <w:lang w:val="en-GB"/>
        </w:rPr>
        <w:t>Safety science</w:t>
      </w:r>
      <w:r w:rsidRPr="00E00751">
        <w:rPr>
          <w:rFonts w:ascii="Times New Roman" w:eastAsia="Times New Roman" w:hAnsi="Times New Roman" w:cs="Times New Roman"/>
          <w:sz w:val="24"/>
          <w:szCs w:val="24"/>
          <w:highlight w:val="white"/>
          <w:lang w:val="en-GB"/>
        </w:rPr>
        <w:t xml:space="preserve">, </w:t>
      </w:r>
      <w:r w:rsidRPr="00E00751">
        <w:rPr>
          <w:rFonts w:ascii="Times New Roman" w:eastAsia="Times New Roman" w:hAnsi="Times New Roman" w:cs="Times New Roman"/>
          <w:i/>
          <w:iCs/>
          <w:sz w:val="24"/>
          <w:szCs w:val="24"/>
          <w:highlight w:val="white"/>
          <w:lang w:val="en-GB"/>
        </w:rPr>
        <w:t>164</w:t>
      </w:r>
      <w:r w:rsidRPr="00E00751">
        <w:rPr>
          <w:rFonts w:ascii="Times New Roman" w:eastAsia="Times New Roman" w:hAnsi="Times New Roman" w:cs="Times New Roman"/>
          <w:sz w:val="24"/>
          <w:szCs w:val="24"/>
          <w:highlight w:val="white"/>
          <w:lang w:val="en-GB"/>
        </w:rPr>
        <w:t xml:space="preserve">, p.106176. </w:t>
      </w:r>
      <w:r w:rsidRPr="00E00751">
        <w:rPr>
          <w:rFonts w:ascii="Times New Roman" w:eastAsia="Times New Roman" w:hAnsi="Times New Roman" w:cs="Times New Roman"/>
          <w:sz w:val="24"/>
          <w:szCs w:val="24"/>
          <w:lang w:val="en-GB"/>
        </w:rPr>
        <w:t>Available at:</w:t>
      </w:r>
      <w:hyperlink r:id="rId17">
        <w:r w:rsidRPr="00E00751">
          <w:rPr>
            <w:rFonts w:ascii="Times New Roman" w:eastAsia="Times New Roman" w:hAnsi="Times New Roman" w:cs="Times New Roman"/>
            <w:b/>
            <w:bCs/>
            <w:sz w:val="24"/>
            <w:szCs w:val="24"/>
            <w:lang w:val="en-GB"/>
          </w:rPr>
          <w:t xml:space="preserve"> </w:t>
        </w:r>
      </w:hyperlink>
      <w:hyperlink r:id="rId18">
        <w:r w:rsidRPr="00E00751">
          <w:rPr>
            <w:rFonts w:ascii="Times New Roman" w:eastAsia="Times New Roman" w:hAnsi="Times New Roman" w:cs="Times New Roman"/>
            <w:color w:val="1155CC"/>
            <w:sz w:val="24"/>
            <w:szCs w:val="24"/>
            <w:u w:val="single"/>
            <w:lang w:val="en-GB"/>
          </w:rPr>
          <w:t>https://www.sciencedirect.com/science/article/pii/S0925753523001182</w:t>
        </w:r>
      </w:hyperlink>
    </w:p>
    <w:p w14:paraId="4F8A3D4B"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Braun, V. and Clarke, V., (2023) ‘Toward good practice in thematic analysis: Avoiding common problems and be (com) ing a knowing researcher’. </w:t>
      </w:r>
      <w:r w:rsidRPr="00E00751">
        <w:rPr>
          <w:rFonts w:ascii="Times New Roman" w:eastAsia="Times New Roman" w:hAnsi="Times New Roman" w:cs="Times New Roman"/>
          <w:i/>
          <w:iCs/>
          <w:sz w:val="24"/>
          <w:szCs w:val="24"/>
          <w:lang w:val="en-GB"/>
        </w:rPr>
        <w:t>International journal of transgender health</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24</w:t>
      </w:r>
      <w:r w:rsidRPr="00E00751">
        <w:rPr>
          <w:rFonts w:ascii="Times New Roman" w:eastAsia="Times New Roman" w:hAnsi="Times New Roman" w:cs="Times New Roman"/>
          <w:sz w:val="24"/>
          <w:szCs w:val="24"/>
          <w:lang w:val="en-GB"/>
        </w:rPr>
        <w:t>(1), pp.1-6. Available at:</w:t>
      </w:r>
      <w:hyperlink r:id="rId19">
        <w:r w:rsidRPr="00E00751">
          <w:rPr>
            <w:rFonts w:ascii="Times New Roman" w:eastAsia="Times New Roman" w:hAnsi="Times New Roman" w:cs="Times New Roman"/>
            <w:sz w:val="24"/>
            <w:szCs w:val="24"/>
            <w:lang w:val="en-GB"/>
          </w:rPr>
          <w:t xml:space="preserve"> </w:t>
        </w:r>
      </w:hyperlink>
      <w:hyperlink r:id="rId20">
        <w:r w:rsidRPr="00E00751">
          <w:rPr>
            <w:rFonts w:ascii="Times New Roman" w:eastAsia="Times New Roman" w:hAnsi="Times New Roman" w:cs="Times New Roman"/>
            <w:color w:val="1155CC"/>
            <w:sz w:val="24"/>
            <w:szCs w:val="24"/>
            <w:u w:val="single"/>
            <w:lang w:val="en-GB"/>
          </w:rPr>
          <w:t>https://www.tandfonline.com/doi/pdf/10.1080/26895269.2022.2129597</w:t>
        </w:r>
      </w:hyperlink>
    </w:p>
    <w:p w14:paraId="055E4C14"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Ciekanowski, Z., Żurawski, S., Wysokińska, A. and Kacprzak, A., (2025) ‘The role of a leader in shaping the safety culture of an organization’. Available at:</w:t>
      </w:r>
      <w:hyperlink r:id="rId21">
        <w:r w:rsidRPr="00E00751">
          <w:rPr>
            <w:rFonts w:ascii="Times New Roman" w:eastAsia="Times New Roman" w:hAnsi="Times New Roman" w:cs="Times New Roman"/>
            <w:sz w:val="24"/>
            <w:szCs w:val="24"/>
            <w:lang w:val="en-GB"/>
          </w:rPr>
          <w:t xml:space="preserve"> </w:t>
        </w:r>
      </w:hyperlink>
      <w:hyperlink r:id="rId22">
        <w:r w:rsidRPr="00E00751">
          <w:rPr>
            <w:rFonts w:ascii="Times New Roman" w:eastAsia="Times New Roman" w:hAnsi="Times New Roman" w:cs="Times New Roman"/>
            <w:color w:val="1155CC"/>
            <w:sz w:val="24"/>
            <w:szCs w:val="24"/>
            <w:u w:val="single"/>
            <w:lang w:val="en-GB"/>
          </w:rPr>
          <w:t>https://www.um.edu.mt/library/oar/bitstream/123456789/133517/1/ERSJ28%281%29A35.pdf</w:t>
        </w:r>
      </w:hyperlink>
    </w:p>
    <w:p w14:paraId="0D9948FA" w14:textId="77777777" w:rsidR="00E00751" w:rsidRPr="00E00751" w:rsidRDefault="00E00751" w:rsidP="00E00751">
      <w:pPr>
        <w:spacing w:before="120"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Giallanza, A., La Scalia, G., Micale, R. and La Fata, C.M., (2024) ‘Occupational health and safety issues in human-robot collaboration: State of the art and open challenges’. </w:t>
      </w:r>
      <w:r w:rsidRPr="00E00751">
        <w:rPr>
          <w:rFonts w:ascii="Times New Roman" w:eastAsia="Times New Roman" w:hAnsi="Times New Roman" w:cs="Times New Roman"/>
          <w:i/>
          <w:iCs/>
          <w:sz w:val="24"/>
          <w:szCs w:val="24"/>
          <w:lang w:val="en-GB"/>
        </w:rPr>
        <w:t>Safety science</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169</w:t>
      </w:r>
      <w:r w:rsidRPr="00E00751">
        <w:rPr>
          <w:rFonts w:ascii="Times New Roman" w:eastAsia="Times New Roman" w:hAnsi="Times New Roman" w:cs="Times New Roman"/>
          <w:sz w:val="24"/>
          <w:szCs w:val="24"/>
          <w:lang w:val="en-GB"/>
        </w:rPr>
        <w:t>, p.106313. Available at:</w:t>
      </w:r>
      <w:hyperlink r:id="rId23">
        <w:r w:rsidRPr="00E00751">
          <w:rPr>
            <w:rFonts w:ascii="Times New Roman" w:eastAsia="Times New Roman" w:hAnsi="Times New Roman" w:cs="Times New Roman"/>
            <w:sz w:val="24"/>
            <w:szCs w:val="24"/>
            <w:lang w:val="en-GB"/>
          </w:rPr>
          <w:t xml:space="preserve"> </w:t>
        </w:r>
      </w:hyperlink>
      <w:hyperlink r:id="rId24">
        <w:r w:rsidRPr="00E00751">
          <w:rPr>
            <w:rFonts w:ascii="Times New Roman" w:eastAsia="Times New Roman" w:hAnsi="Times New Roman" w:cs="Times New Roman"/>
            <w:color w:val="1155CC"/>
            <w:sz w:val="24"/>
            <w:szCs w:val="24"/>
            <w:u w:val="single"/>
            <w:lang w:val="en-GB"/>
          </w:rPr>
          <w:t>https://www.sciencedirect.com/science/article/pii/S0925753523002552</w:t>
        </w:r>
      </w:hyperlink>
      <w:r w:rsidRPr="00E00751">
        <w:rPr>
          <w:rFonts w:ascii="Times New Roman" w:eastAsia="Times New Roman" w:hAnsi="Times New Roman" w:cs="Times New Roman"/>
          <w:sz w:val="24"/>
          <w:szCs w:val="24"/>
          <w:lang w:val="en-GB"/>
        </w:rPr>
        <w:t xml:space="preserve"> (Accessed: 15 April 2026).</w:t>
      </w:r>
    </w:p>
    <w:p w14:paraId="4C914AA7" w14:textId="77777777" w:rsidR="00E00751" w:rsidRPr="00E00751" w:rsidRDefault="00E00751" w:rsidP="00E00751">
      <w:pPr>
        <w:spacing w:before="120"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GOV.UK, (2026). </w:t>
      </w:r>
      <w:r w:rsidRPr="00E00751">
        <w:rPr>
          <w:rFonts w:ascii="Times New Roman" w:eastAsia="Times New Roman" w:hAnsi="Times New Roman" w:cs="Times New Roman"/>
          <w:i/>
          <w:iCs/>
          <w:sz w:val="24"/>
          <w:szCs w:val="24"/>
          <w:lang w:val="en-GB"/>
        </w:rPr>
        <w:t>Health and Safety at Work etc Act 1974</w:t>
      </w:r>
      <w:r w:rsidRPr="00E00751">
        <w:rPr>
          <w:rFonts w:ascii="Times New Roman" w:eastAsia="Times New Roman" w:hAnsi="Times New Roman" w:cs="Times New Roman"/>
          <w:sz w:val="24"/>
          <w:szCs w:val="24"/>
          <w:lang w:val="en-GB"/>
        </w:rPr>
        <w:t xml:space="preserve"> Available at:</w:t>
      </w:r>
      <w:hyperlink r:id="rId25">
        <w:r w:rsidRPr="00E00751">
          <w:rPr>
            <w:rFonts w:ascii="Times New Roman" w:eastAsia="Times New Roman" w:hAnsi="Times New Roman" w:cs="Times New Roman"/>
            <w:sz w:val="24"/>
            <w:szCs w:val="24"/>
            <w:lang w:val="en-GB"/>
          </w:rPr>
          <w:t xml:space="preserve"> </w:t>
        </w:r>
      </w:hyperlink>
      <w:hyperlink r:id="rId26">
        <w:r w:rsidRPr="00E00751">
          <w:rPr>
            <w:rFonts w:ascii="Times New Roman" w:eastAsia="Times New Roman" w:hAnsi="Times New Roman" w:cs="Times New Roman"/>
            <w:color w:val="1155CC"/>
            <w:sz w:val="24"/>
            <w:szCs w:val="24"/>
            <w:u w:val="single"/>
            <w:lang w:val="en-GB"/>
          </w:rPr>
          <w:t>https://www.hse.gov.uk/legislation/hswa.htm</w:t>
        </w:r>
      </w:hyperlink>
      <w:r w:rsidRPr="00E00751">
        <w:rPr>
          <w:rFonts w:ascii="Times New Roman" w:eastAsia="Times New Roman" w:hAnsi="Times New Roman" w:cs="Times New Roman"/>
          <w:sz w:val="24"/>
          <w:szCs w:val="24"/>
          <w:lang w:val="en-GB"/>
        </w:rPr>
        <w:t xml:space="preserve">  (Accessed: 15 April 2026).</w:t>
      </w:r>
    </w:p>
    <w:p w14:paraId="7CE9CC78"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Howard, J., Murashov, V., Roth, G., Wendt, C., Carr, J., Cheng, M., Earnest, S., Elliott, K.C., Haas, E., Liang, C.J. and Petery, G., (2025) ‘Industrial robotics and the future of work’. </w:t>
      </w:r>
      <w:r w:rsidRPr="00E00751">
        <w:rPr>
          <w:rFonts w:ascii="Times New Roman" w:eastAsia="Times New Roman" w:hAnsi="Times New Roman" w:cs="Times New Roman"/>
          <w:i/>
          <w:iCs/>
          <w:sz w:val="24"/>
          <w:szCs w:val="24"/>
          <w:lang w:val="en-GB"/>
        </w:rPr>
        <w:t>American Journal of Industrial Medicine</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68</w:t>
      </w:r>
      <w:r w:rsidRPr="00E00751">
        <w:rPr>
          <w:rFonts w:ascii="Times New Roman" w:eastAsia="Times New Roman" w:hAnsi="Times New Roman" w:cs="Times New Roman"/>
          <w:sz w:val="24"/>
          <w:szCs w:val="24"/>
          <w:lang w:val="en-GB"/>
        </w:rPr>
        <w:t>(7), pp.559-572. Available at:</w:t>
      </w:r>
      <w:hyperlink r:id="rId27">
        <w:r w:rsidRPr="00E00751">
          <w:rPr>
            <w:rFonts w:ascii="Times New Roman" w:eastAsia="Times New Roman" w:hAnsi="Times New Roman" w:cs="Times New Roman"/>
            <w:sz w:val="24"/>
            <w:szCs w:val="24"/>
            <w:lang w:val="en-GB"/>
          </w:rPr>
          <w:t xml:space="preserve"> </w:t>
        </w:r>
      </w:hyperlink>
      <w:hyperlink r:id="rId28">
        <w:r w:rsidRPr="00E00751">
          <w:rPr>
            <w:rFonts w:ascii="Times New Roman" w:eastAsia="Times New Roman" w:hAnsi="Times New Roman" w:cs="Times New Roman"/>
            <w:color w:val="1155CC"/>
            <w:sz w:val="24"/>
            <w:szCs w:val="24"/>
            <w:u w:val="single"/>
            <w:lang w:val="en-GB"/>
          </w:rPr>
          <w:t>https://scholar.google.com/scholar?output=instlink&amp;q=info:jUgCIZtw_qkJ:scholar.google.com/&amp;hl=en&amp;as_sdt=0,5&amp;as_ylo=2022&amp;scillfp=16548191584845334020&amp;oi=lle</w:t>
        </w:r>
      </w:hyperlink>
    </w:p>
    <w:p w14:paraId="305615B3" w14:textId="77777777" w:rsidR="00E00751" w:rsidRPr="00E00751" w:rsidRDefault="00E00751" w:rsidP="00E00751">
      <w:pPr>
        <w:spacing w:before="120"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Iosh Magazine, (2022). </w:t>
      </w:r>
      <w:r w:rsidRPr="00E00751">
        <w:rPr>
          <w:rFonts w:ascii="Times New Roman" w:eastAsia="Times New Roman" w:hAnsi="Times New Roman" w:cs="Times New Roman"/>
          <w:i/>
          <w:iCs/>
          <w:sz w:val="24"/>
          <w:szCs w:val="24"/>
          <w:lang w:val="en-GB"/>
        </w:rPr>
        <w:t>Bernard Matthews fined £400,000 after worker left paralysed</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Iosh Magazine</w:t>
      </w:r>
      <w:r w:rsidRPr="00E00751">
        <w:rPr>
          <w:rFonts w:ascii="Times New Roman" w:eastAsia="Times New Roman" w:hAnsi="Times New Roman" w:cs="Times New Roman"/>
          <w:sz w:val="24"/>
          <w:szCs w:val="24"/>
          <w:lang w:val="en-GB"/>
        </w:rPr>
        <w:t>, 21 October. Available at:</w:t>
      </w:r>
      <w:hyperlink r:id="rId29">
        <w:r w:rsidRPr="00E00751">
          <w:rPr>
            <w:rFonts w:ascii="Times New Roman" w:eastAsia="Times New Roman" w:hAnsi="Times New Roman" w:cs="Times New Roman"/>
            <w:sz w:val="24"/>
            <w:szCs w:val="24"/>
            <w:lang w:val="en-GB"/>
          </w:rPr>
          <w:t xml:space="preserve"> </w:t>
        </w:r>
      </w:hyperlink>
      <w:hyperlink r:id="rId30">
        <w:r w:rsidRPr="00E00751">
          <w:rPr>
            <w:rFonts w:ascii="Times New Roman" w:eastAsia="Times New Roman" w:hAnsi="Times New Roman" w:cs="Times New Roman"/>
            <w:color w:val="1155CC"/>
            <w:sz w:val="24"/>
            <w:szCs w:val="24"/>
            <w:u w:val="single"/>
            <w:lang w:val="en-GB"/>
          </w:rPr>
          <w:t>https://www.ioshmagazine.com/2022/10/21/bernard-matthews-fined-ps400000-after-worker-left-paralysed</w:t>
        </w:r>
      </w:hyperlink>
      <w:r w:rsidRPr="00E00751">
        <w:rPr>
          <w:rFonts w:ascii="Times New Roman" w:eastAsia="Times New Roman" w:hAnsi="Times New Roman" w:cs="Times New Roman"/>
          <w:sz w:val="24"/>
          <w:szCs w:val="24"/>
          <w:lang w:val="en-GB"/>
        </w:rPr>
        <w:t xml:space="preserve"> (Accessed: 15 April 2026).</w:t>
      </w:r>
    </w:p>
    <w:p w14:paraId="718B4279"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Pervin, N. and Mokhtar, M., (2022) ‘The interpretivist research paradigm: A subjective notion of a social context’. </w:t>
      </w:r>
      <w:r w:rsidRPr="00E00751">
        <w:rPr>
          <w:rFonts w:ascii="Times New Roman" w:eastAsia="Times New Roman" w:hAnsi="Times New Roman" w:cs="Times New Roman"/>
          <w:i/>
          <w:iCs/>
          <w:sz w:val="24"/>
          <w:szCs w:val="24"/>
          <w:lang w:val="en-GB"/>
        </w:rPr>
        <w:t>International Journal of Academic Research in Progressive Education and Development</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11</w:t>
      </w:r>
      <w:r w:rsidRPr="00E00751">
        <w:rPr>
          <w:rFonts w:ascii="Times New Roman" w:eastAsia="Times New Roman" w:hAnsi="Times New Roman" w:cs="Times New Roman"/>
          <w:sz w:val="24"/>
          <w:szCs w:val="24"/>
          <w:lang w:val="en-GB"/>
        </w:rPr>
        <w:t>(2), pp.419-428. Available at:</w:t>
      </w:r>
      <w:hyperlink r:id="rId31">
        <w:r w:rsidRPr="00E00751">
          <w:rPr>
            <w:rFonts w:ascii="Times New Roman" w:eastAsia="Times New Roman" w:hAnsi="Times New Roman" w:cs="Times New Roman"/>
            <w:sz w:val="24"/>
            <w:szCs w:val="24"/>
            <w:lang w:val="en-GB"/>
          </w:rPr>
          <w:t xml:space="preserve"> </w:t>
        </w:r>
      </w:hyperlink>
      <w:hyperlink r:id="rId32">
        <w:r w:rsidRPr="00E00751">
          <w:rPr>
            <w:rFonts w:ascii="Times New Roman" w:eastAsia="Times New Roman" w:hAnsi="Times New Roman" w:cs="Times New Roman"/>
            <w:color w:val="1155CC"/>
            <w:sz w:val="24"/>
            <w:szCs w:val="24"/>
            <w:u w:val="single"/>
            <w:lang w:val="en-GB"/>
          </w:rPr>
          <w:t>https://www.academia.edu/download/88131967/the-interpretivist-research-paradigm-a-subjective-notion-of-a-social-context.pdf</w:t>
        </w:r>
      </w:hyperlink>
    </w:p>
    <w:p w14:paraId="068222FB"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highlight w:val="white"/>
          <w:u w:val="single"/>
          <w:lang w:val="en-GB"/>
        </w:rPr>
      </w:pPr>
      <w:r w:rsidRPr="00E00751">
        <w:rPr>
          <w:rFonts w:ascii="Times New Roman" w:eastAsia="Times New Roman" w:hAnsi="Times New Roman" w:cs="Times New Roman"/>
          <w:sz w:val="24"/>
          <w:szCs w:val="24"/>
          <w:highlight w:val="white"/>
          <w:lang w:val="en-GB"/>
        </w:rPr>
        <w:t xml:space="preserve">Rahman, M.M., Khatun, F., Jahan, I., Devnath, R. and Bhuiyan, M.A.A., (2024) ‘Cobotics: the evolving roles and prospects of next‐generation collaborative robots in Industry 5.0’. </w:t>
      </w:r>
      <w:r w:rsidRPr="00E00751">
        <w:rPr>
          <w:rFonts w:ascii="Times New Roman" w:eastAsia="Times New Roman" w:hAnsi="Times New Roman" w:cs="Times New Roman"/>
          <w:i/>
          <w:iCs/>
          <w:sz w:val="24"/>
          <w:szCs w:val="24"/>
          <w:highlight w:val="white"/>
          <w:lang w:val="en-GB"/>
        </w:rPr>
        <w:t>Journal of Robotics</w:t>
      </w:r>
      <w:r w:rsidRPr="00E00751">
        <w:rPr>
          <w:rFonts w:ascii="Times New Roman" w:eastAsia="Times New Roman" w:hAnsi="Times New Roman" w:cs="Times New Roman"/>
          <w:sz w:val="24"/>
          <w:szCs w:val="24"/>
          <w:highlight w:val="white"/>
          <w:lang w:val="en-GB"/>
        </w:rPr>
        <w:t xml:space="preserve">, </w:t>
      </w:r>
      <w:r w:rsidRPr="00E00751">
        <w:rPr>
          <w:rFonts w:ascii="Times New Roman" w:eastAsia="Times New Roman" w:hAnsi="Times New Roman" w:cs="Times New Roman"/>
          <w:i/>
          <w:iCs/>
          <w:sz w:val="24"/>
          <w:szCs w:val="24"/>
          <w:highlight w:val="white"/>
          <w:lang w:val="en-GB"/>
        </w:rPr>
        <w:t>2024</w:t>
      </w:r>
      <w:r w:rsidRPr="00E00751">
        <w:rPr>
          <w:rFonts w:ascii="Times New Roman" w:eastAsia="Times New Roman" w:hAnsi="Times New Roman" w:cs="Times New Roman"/>
          <w:sz w:val="24"/>
          <w:szCs w:val="24"/>
          <w:highlight w:val="white"/>
          <w:lang w:val="en-GB"/>
        </w:rPr>
        <w:t xml:space="preserve">(1), p.2918089. </w:t>
      </w:r>
      <w:r w:rsidRPr="00E00751">
        <w:rPr>
          <w:rFonts w:ascii="Times New Roman" w:eastAsia="Times New Roman" w:hAnsi="Times New Roman" w:cs="Times New Roman"/>
          <w:sz w:val="24"/>
          <w:szCs w:val="24"/>
          <w:lang w:val="en-GB"/>
        </w:rPr>
        <w:t>Available at:</w:t>
      </w:r>
      <w:hyperlink r:id="rId33">
        <w:r w:rsidRPr="00E00751">
          <w:rPr>
            <w:rFonts w:ascii="Times New Roman" w:eastAsia="Times New Roman" w:hAnsi="Times New Roman" w:cs="Times New Roman"/>
            <w:sz w:val="24"/>
            <w:szCs w:val="24"/>
            <w:lang w:val="en-GB"/>
          </w:rPr>
          <w:t xml:space="preserve"> </w:t>
        </w:r>
      </w:hyperlink>
      <w:hyperlink r:id="rId34">
        <w:r w:rsidRPr="00E00751">
          <w:rPr>
            <w:rFonts w:ascii="Times New Roman" w:eastAsia="Times New Roman" w:hAnsi="Times New Roman" w:cs="Times New Roman"/>
            <w:color w:val="1155CC"/>
            <w:sz w:val="24"/>
            <w:szCs w:val="24"/>
            <w:highlight w:val="white"/>
            <w:u w:val="single"/>
            <w:lang w:val="en-GB"/>
          </w:rPr>
          <w:t>https://onlinelibrary.wiley.com/doi/pdf/10.1155/2024/2918089</w:t>
        </w:r>
      </w:hyperlink>
    </w:p>
    <w:p w14:paraId="4984B6F3"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Saunders, M.N.K., Lewis, P., and Thornhill, A. (2019) ‘Research Methods for Business Students’. 8th, Pearson, Harlow. Available at:</w:t>
      </w:r>
      <w:hyperlink r:id="rId35">
        <w:r w:rsidRPr="00E00751">
          <w:rPr>
            <w:rFonts w:ascii="Times New Roman" w:eastAsia="Times New Roman" w:hAnsi="Times New Roman" w:cs="Times New Roman"/>
            <w:sz w:val="24"/>
            <w:szCs w:val="24"/>
            <w:lang w:val="en-GB"/>
          </w:rPr>
          <w:t xml:space="preserve"> </w:t>
        </w:r>
      </w:hyperlink>
      <w:hyperlink r:id="rId36">
        <w:r w:rsidRPr="00E00751">
          <w:rPr>
            <w:rFonts w:ascii="Times New Roman" w:eastAsia="Times New Roman" w:hAnsi="Times New Roman" w:cs="Times New Roman"/>
            <w:color w:val="1155CC"/>
            <w:sz w:val="24"/>
            <w:szCs w:val="24"/>
            <w:u w:val="single"/>
            <w:lang w:val="en-GB"/>
          </w:rPr>
          <w:t>https://librarysearch.uwtsd.ac.uk/permalink/44WHELF_UWTSD/1pbrh66/alma99100313060202421</w:t>
        </w:r>
      </w:hyperlink>
    </w:p>
    <w:p w14:paraId="036B51DC"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highlight w:val="white"/>
          <w:u w:val="single"/>
          <w:lang w:val="en-GB"/>
        </w:rPr>
      </w:pPr>
      <w:r w:rsidRPr="00E00751">
        <w:rPr>
          <w:rFonts w:ascii="Times New Roman" w:eastAsia="Times New Roman" w:hAnsi="Times New Roman" w:cs="Times New Roman"/>
          <w:sz w:val="24"/>
          <w:szCs w:val="24"/>
          <w:highlight w:val="white"/>
          <w:lang w:val="en-GB"/>
        </w:rPr>
        <w:t xml:space="preserve">Ta, M.T.D., Kim, T.E. and Gausdal, A.H., (2022), January. ‘Leadership styles and safety performance in high-risk industries: a systematic review’. In </w:t>
      </w:r>
      <w:r w:rsidRPr="00E00751">
        <w:rPr>
          <w:i/>
          <w:iCs/>
          <w:lang w:val="en-GB"/>
        </w:rPr>
        <w:t>Safety and Reliability</w:t>
      </w:r>
      <w:r w:rsidRPr="00E00751">
        <w:rPr>
          <w:lang w:val="en-GB"/>
        </w:rPr>
        <w:t xml:space="preserve"> (Vol. 41, No. 1, pp. 10-44). Taylor &amp; Francis. </w:t>
      </w:r>
      <w:r w:rsidRPr="00E00751">
        <w:rPr>
          <w:rFonts w:ascii="Times New Roman" w:eastAsia="Times New Roman" w:hAnsi="Times New Roman" w:cs="Times New Roman"/>
          <w:sz w:val="24"/>
          <w:szCs w:val="24"/>
          <w:lang w:val="en-GB"/>
        </w:rPr>
        <w:t>Available at:</w:t>
      </w:r>
      <w:hyperlink r:id="rId37">
        <w:r w:rsidRPr="00E00751">
          <w:rPr>
            <w:rFonts w:ascii="Times New Roman" w:eastAsia="Times New Roman" w:hAnsi="Times New Roman" w:cs="Times New Roman"/>
            <w:sz w:val="24"/>
            <w:szCs w:val="24"/>
            <w:lang w:val="en-GB"/>
          </w:rPr>
          <w:t xml:space="preserve"> </w:t>
        </w:r>
      </w:hyperlink>
      <w:hyperlink r:id="rId38">
        <w:r w:rsidRPr="00E00751">
          <w:rPr>
            <w:rFonts w:ascii="Times New Roman" w:eastAsia="Times New Roman" w:hAnsi="Times New Roman" w:cs="Times New Roman"/>
            <w:color w:val="1155CC"/>
            <w:sz w:val="24"/>
            <w:szCs w:val="24"/>
            <w:highlight w:val="white"/>
            <w:u w:val="single"/>
            <w:lang w:val="en-GB"/>
          </w:rPr>
          <w:t>https://www.tandfonline.com/doi/pdf/10.1080/09617353.2022.2035627</w:t>
        </w:r>
      </w:hyperlink>
    </w:p>
    <w:p w14:paraId="473026A2"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lastRenderedPageBreak/>
        <w:t xml:space="preserve">Vears, D.F. and Gillam, L., (2022) ‘Inductive content analysis: A guide for beginning qualitative researchers’. </w:t>
      </w:r>
      <w:r w:rsidRPr="00E00751">
        <w:rPr>
          <w:rFonts w:ascii="Times New Roman" w:eastAsia="Times New Roman" w:hAnsi="Times New Roman" w:cs="Times New Roman"/>
          <w:i/>
          <w:iCs/>
          <w:sz w:val="24"/>
          <w:szCs w:val="24"/>
          <w:lang w:val="en-GB"/>
        </w:rPr>
        <w:t>Focus on Health Professional Education: A Multi-Professional Journal</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23</w:t>
      </w:r>
      <w:r w:rsidRPr="00E00751">
        <w:rPr>
          <w:rFonts w:ascii="Times New Roman" w:eastAsia="Times New Roman" w:hAnsi="Times New Roman" w:cs="Times New Roman"/>
          <w:sz w:val="24"/>
          <w:szCs w:val="24"/>
          <w:lang w:val="en-GB"/>
        </w:rPr>
        <w:t>(1), pp.111-127. Available at:</w:t>
      </w:r>
      <w:hyperlink r:id="rId39">
        <w:r w:rsidRPr="00E00751">
          <w:rPr>
            <w:rFonts w:ascii="Times New Roman" w:eastAsia="Times New Roman" w:hAnsi="Times New Roman" w:cs="Times New Roman"/>
            <w:sz w:val="24"/>
            <w:szCs w:val="24"/>
            <w:lang w:val="en-GB"/>
          </w:rPr>
          <w:t xml:space="preserve"> </w:t>
        </w:r>
      </w:hyperlink>
      <w:hyperlink r:id="rId40">
        <w:r w:rsidRPr="00E00751">
          <w:rPr>
            <w:rFonts w:ascii="Times New Roman" w:eastAsia="Times New Roman" w:hAnsi="Times New Roman" w:cs="Times New Roman"/>
            <w:color w:val="1155CC"/>
            <w:sz w:val="24"/>
            <w:szCs w:val="24"/>
            <w:u w:val="single"/>
            <w:lang w:val="en-GB"/>
          </w:rPr>
          <w:t>https://search.informit.org/doi/pdf/10.3316/informit.455663644555599</w:t>
        </w:r>
      </w:hyperlink>
    </w:p>
    <w:p w14:paraId="1D46FA28"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Yeboah, M.A., Kalvei, M., Ansong, L.O. and Ansong, A., (2025) ‘Responsible leadership and workplace safety: do safety culture and safety motivation matter?’. </w:t>
      </w:r>
      <w:r w:rsidRPr="00E00751">
        <w:rPr>
          <w:rFonts w:ascii="Times New Roman" w:eastAsia="Times New Roman" w:hAnsi="Times New Roman" w:cs="Times New Roman"/>
          <w:i/>
          <w:iCs/>
          <w:sz w:val="24"/>
          <w:szCs w:val="24"/>
          <w:lang w:val="en-GB"/>
        </w:rPr>
        <w:t>Asia-Pacific Journal of Business Administration</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17</w:t>
      </w:r>
      <w:r w:rsidRPr="00E00751">
        <w:rPr>
          <w:rFonts w:ascii="Times New Roman" w:eastAsia="Times New Roman" w:hAnsi="Times New Roman" w:cs="Times New Roman"/>
          <w:sz w:val="24"/>
          <w:szCs w:val="24"/>
          <w:lang w:val="en-GB"/>
        </w:rPr>
        <w:t>(2), pp.285-302. Available at:</w:t>
      </w:r>
      <w:hyperlink r:id="rId41">
        <w:r w:rsidRPr="00E00751">
          <w:rPr>
            <w:rFonts w:ascii="Times New Roman" w:eastAsia="Times New Roman" w:hAnsi="Times New Roman" w:cs="Times New Roman"/>
            <w:sz w:val="24"/>
            <w:szCs w:val="24"/>
            <w:lang w:val="en-GB"/>
          </w:rPr>
          <w:t xml:space="preserve"> </w:t>
        </w:r>
      </w:hyperlink>
      <w:hyperlink r:id="rId42">
        <w:r w:rsidRPr="00E00751">
          <w:rPr>
            <w:rFonts w:ascii="Times New Roman" w:eastAsia="Times New Roman" w:hAnsi="Times New Roman" w:cs="Times New Roman"/>
            <w:color w:val="1155CC"/>
            <w:sz w:val="24"/>
            <w:szCs w:val="24"/>
            <w:u w:val="single"/>
            <w:lang w:val="en-GB"/>
          </w:rPr>
          <w:t>https://www.emerald.com/apjba/article-pdf/17/2/285/9686424/apjba-05-2023-0207.pdf</w:t>
        </w:r>
      </w:hyperlink>
    </w:p>
    <w:p w14:paraId="46F79A30" w14:textId="77777777" w:rsidR="00301E67" w:rsidRPr="00E00751" w:rsidRDefault="00EC5423">
      <w:pPr>
        <w:rPr>
          <w:lang w:val="en-GB"/>
        </w:rPr>
      </w:pPr>
      <w:r w:rsidRPr="00E00751">
        <w:rPr>
          <w:lang w:val="en-GB"/>
        </w:rPr>
        <w:br w:type="page"/>
      </w:r>
    </w:p>
    <w:p w14:paraId="53891C14" w14:textId="1D7A8157" w:rsidR="00301E67" w:rsidRPr="00E00751" w:rsidRDefault="00EC5423" w:rsidP="00AD5F0F">
      <w:pPr>
        <w:pStyle w:val="Heading1"/>
        <w:rPr>
          <w:lang w:val="en-GB"/>
        </w:rPr>
      </w:pPr>
      <w:bookmarkStart w:id="14" w:name="_tc4memybt1uj" w:colFirst="0" w:colLast="0"/>
      <w:bookmarkStart w:id="15" w:name="_Toc227171675"/>
      <w:bookmarkEnd w:id="14"/>
      <w:r w:rsidRPr="00E00751">
        <w:rPr>
          <w:lang w:val="en-GB"/>
        </w:rPr>
        <w:lastRenderedPageBreak/>
        <w:t>Appendix</w:t>
      </w:r>
      <w:r w:rsidR="00AD5F0F">
        <w:rPr>
          <w:lang w:val="en-GB"/>
        </w:rPr>
        <w:t xml:space="preserve"> 1</w:t>
      </w:r>
      <w:r w:rsidRPr="00E00751">
        <w:rPr>
          <w:lang w:val="en-GB"/>
        </w:rPr>
        <w:t>: Research timeline</w:t>
      </w:r>
      <w:bookmarkEnd w:id="15"/>
    </w:p>
    <w:tbl>
      <w:tblPr>
        <w:tblStyle w:val="a0"/>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2849"/>
        <w:gridCol w:w="525"/>
        <w:gridCol w:w="525"/>
        <w:gridCol w:w="525"/>
        <w:gridCol w:w="525"/>
        <w:gridCol w:w="525"/>
        <w:gridCol w:w="525"/>
        <w:gridCol w:w="525"/>
        <w:gridCol w:w="540"/>
        <w:gridCol w:w="525"/>
        <w:gridCol w:w="585"/>
        <w:gridCol w:w="585"/>
        <w:gridCol w:w="583"/>
      </w:tblGrid>
      <w:tr w:rsidR="00301E67" w:rsidRPr="00E00751" w14:paraId="3248BA2A" w14:textId="77777777" w:rsidTr="00AD5F0F">
        <w:trPr>
          <w:trHeight w:val="585"/>
          <w:jc w:val="center"/>
        </w:trPr>
        <w:tc>
          <w:tcPr>
            <w:tcW w:w="1525" w:type="pct"/>
            <w:vMerge w:val="restart"/>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4E071BA8"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p w14:paraId="01BCE78F"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Actions</w:t>
            </w:r>
          </w:p>
        </w:tc>
        <w:tc>
          <w:tcPr>
            <w:tcW w:w="3475" w:type="pct"/>
            <w:gridSpan w:val="12"/>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70BFF2A"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Month</w:t>
            </w:r>
          </w:p>
        </w:tc>
      </w:tr>
      <w:tr w:rsidR="00301E67" w:rsidRPr="00E00751" w14:paraId="5E684DE2" w14:textId="77777777" w:rsidTr="00AD5F0F">
        <w:trPr>
          <w:trHeight w:val="585"/>
          <w:jc w:val="center"/>
        </w:trPr>
        <w:tc>
          <w:tcPr>
            <w:tcW w:w="1525" w:type="pct"/>
            <w:vMerge/>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2B1AA7D0" w14:textId="77777777" w:rsidR="00301E67" w:rsidRPr="00E00751" w:rsidRDefault="00301E67">
            <w:pPr>
              <w:ind w:left="-100"/>
              <w:rPr>
                <w:lang w:val="en-GB"/>
              </w:rPr>
            </w:pP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8A4A623"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1</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F8662CF"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2</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1896DBA"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3</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04339D6"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4</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E0E823C"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5</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DA725AF"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6</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05D5967"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7</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783BB269"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8</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53858DD"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9</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7DB5CD5B"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10</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294094E"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11</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435C8E2"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12</w:t>
            </w:r>
          </w:p>
        </w:tc>
      </w:tr>
      <w:tr w:rsidR="00301E67" w:rsidRPr="00E00751" w14:paraId="63FF9273"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280B163"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Identification of research topic</w:t>
            </w:r>
          </w:p>
        </w:tc>
        <w:tc>
          <w:tcPr>
            <w:tcW w:w="281" w:type="pct"/>
            <w:tcBorders>
              <w:top w:val="nil"/>
              <w:left w:val="nil"/>
              <w:bottom w:val="single" w:sz="7" w:space="0" w:color="000000"/>
              <w:right w:val="single" w:sz="7" w:space="0" w:color="000000"/>
            </w:tcBorders>
            <w:shd w:val="clear" w:color="auto" w:fill="8E7CC3"/>
            <w:tcMar>
              <w:top w:w="100" w:type="dxa"/>
              <w:left w:w="100" w:type="dxa"/>
              <w:bottom w:w="100" w:type="dxa"/>
              <w:right w:w="100" w:type="dxa"/>
            </w:tcMar>
          </w:tcPr>
          <w:p w14:paraId="7E221E7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DF6E27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359D99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8FDA69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5ED9B5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76C5AC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2E4454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0A42E10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2C0A04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72D13AC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FC9501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912742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5915EE86"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EA23724"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Determining aim and objectives, questions</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02A597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9900FF"/>
            <w:tcMar>
              <w:top w:w="100" w:type="dxa"/>
              <w:left w:w="100" w:type="dxa"/>
              <w:bottom w:w="100" w:type="dxa"/>
              <w:right w:w="100" w:type="dxa"/>
            </w:tcMar>
          </w:tcPr>
          <w:p w14:paraId="43B6E79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ADFA95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170DA8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17D52E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FE22F2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338A14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3E90B34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039ABD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F8322A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74D5A46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310082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1ED49CB3"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96C7E85"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Understanding research methods</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23E871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3D2325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1F497D"/>
            <w:tcMar>
              <w:top w:w="100" w:type="dxa"/>
              <w:left w:w="100" w:type="dxa"/>
              <w:bottom w:w="100" w:type="dxa"/>
              <w:right w:w="100" w:type="dxa"/>
            </w:tcMar>
          </w:tcPr>
          <w:p w14:paraId="31E2D08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567CF5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A8960A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34E5ED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098DBA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132EAFE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11F8A9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3214698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420E2A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0CA486D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4F75FC1A"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D8C4F46"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Collection of literature</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ACA1ED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70F472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02A4E0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943634"/>
            <w:tcMar>
              <w:top w:w="100" w:type="dxa"/>
              <w:left w:w="100" w:type="dxa"/>
              <w:bottom w:w="100" w:type="dxa"/>
              <w:right w:w="100" w:type="dxa"/>
            </w:tcMar>
          </w:tcPr>
          <w:p w14:paraId="02015E9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996386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62FE525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1AA71D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12DD711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449279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1581E08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32900FE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BBF283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7BF5D72" w14:textId="77777777" w:rsidTr="00AD5F0F">
        <w:trPr>
          <w:trHeight w:val="615"/>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C554789"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Conducting literature review</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EA647A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C17DFA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AEC11F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943634"/>
            <w:tcMar>
              <w:top w:w="100" w:type="dxa"/>
              <w:left w:w="100" w:type="dxa"/>
              <w:bottom w:w="100" w:type="dxa"/>
              <w:right w:w="100" w:type="dxa"/>
            </w:tcMar>
          </w:tcPr>
          <w:p w14:paraId="0D79F3C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A8A7C0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DC4E4B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58842D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2777EDB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3EE7829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28A818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2698C0C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D27B7B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2FA0DED6"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37084DA"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Methodological selection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EA5800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E2C73E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A67B1C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71BC3A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76923C"/>
            <w:tcMar>
              <w:top w:w="100" w:type="dxa"/>
              <w:left w:w="100" w:type="dxa"/>
              <w:bottom w:w="100" w:type="dxa"/>
              <w:right w:w="100" w:type="dxa"/>
            </w:tcMar>
          </w:tcPr>
          <w:p w14:paraId="1F2CFB5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BB3ECA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089F87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280EB3F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71BF64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66C40E4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0A64D01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890372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465A558B"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9918165"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Data collection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E1DEEB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D5C837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12CCFC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F2C448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76923C"/>
            <w:tcMar>
              <w:top w:w="100" w:type="dxa"/>
              <w:left w:w="100" w:type="dxa"/>
              <w:bottom w:w="100" w:type="dxa"/>
              <w:right w:w="100" w:type="dxa"/>
            </w:tcMar>
          </w:tcPr>
          <w:p w14:paraId="004D1E0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9867EA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7B5099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673E781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292031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168C6E8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247A0D1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954D41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1ACE84F"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2909CD3"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Collecting secondary data</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0DD10A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BD409B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0859CC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0DC5C5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76923C"/>
            <w:tcMar>
              <w:top w:w="100" w:type="dxa"/>
              <w:left w:w="100" w:type="dxa"/>
              <w:bottom w:w="100" w:type="dxa"/>
              <w:right w:w="100" w:type="dxa"/>
            </w:tcMar>
          </w:tcPr>
          <w:p w14:paraId="60CEDAC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AAC037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40D0F9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741D0D1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98D273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7274C5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9A979A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5ABFA4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6F76435"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158DDDD"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Data analysis</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94445D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B38692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E26D66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2FC3A6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15A887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0000"/>
            <w:tcMar>
              <w:top w:w="100" w:type="dxa"/>
              <w:left w:w="100" w:type="dxa"/>
              <w:bottom w:w="100" w:type="dxa"/>
              <w:right w:w="100" w:type="dxa"/>
            </w:tcMar>
          </w:tcPr>
          <w:p w14:paraId="59323CC2" w14:textId="77777777" w:rsidR="00301E67" w:rsidRPr="00E00751" w:rsidRDefault="00EC5423">
            <w:pPr>
              <w:spacing w:before="240" w:after="240"/>
              <w:ind w:left="-100"/>
              <w:rPr>
                <w:rFonts w:ascii="Times New Roman" w:eastAsia="Times New Roman" w:hAnsi="Times New Roman" w:cs="Times New Roman"/>
                <w:b/>
                <w:bCs/>
                <w:color w:val="FF0000"/>
                <w:sz w:val="24"/>
                <w:szCs w:val="24"/>
                <w:lang w:val="en-GB"/>
              </w:rPr>
            </w:pPr>
            <w:r w:rsidRPr="00E00751">
              <w:rPr>
                <w:rFonts w:ascii="Times New Roman" w:eastAsia="Times New Roman" w:hAnsi="Times New Roman" w:cs="Times New Roman"/>
                <w:b/>
                <w:bCs/>
                <w:color w:val="FF0000"/>
                <w:sz w:val="24"/>
                <w:szCs w:val="24"/>
                <w:lang w:val="en-GB"/>
              </w:rPr>
              <w:t xml:space="preserve"> </w:t>
            </w:r>
          </w:p>
        </w:tc>
        <w:tc>
          <w:tcPr>
            <w:tcW w:w="281" w:type="pct"/>
            <w:tcBorders>
              <w:top w:val="nil"/>
              <w:left w:val="nil"/>
              <w:bottom w:val="single" w:sz="7" w:space="0" w:color="000000"/>
              <w:right w:val="single" w:sz="7" w:space="0" w:color="000000"/>
            </w:tcBorders>
            <w:shd w:val="clear" w:color="auto" w:fill="FF0000"/>
            <w:tcMar>
              <w:top w:w="100" w:type="dxa"/>
              <w:left w:w="100" w:type="dxa"/>
              <w:bottom w:w="100" w:type="dxa"/>
              <w:right w:w="100" w:type="dxa"/>
            </w:tcMar>
          </w:tcPr>
          <w:p w14:paraId="7751BE28" w14:textId="77777777" w:rsidR="00301E67" w:rsidRPr="00E00751" w:rsidRDefault="00EC5423">
            <w:pPr>
              <w:spacing w:before="240" w:after="240"/>
              <w:ind w:left="-100"/>
              <w:rPr>
                <w:rFonts w:ascii="Times New Roman" w:eastAsia="Times New Roman" w:hAnsi="Times New Roman" w:cs="Times New Roman"/>
                <w:b/>
                <w:bCs/>
                <w:color w:val="FF0000"/>
                <w:sz w:val="24"/>
                <w:szCs w:val="24"/>
                <w:lang w:val="en-GB"/>
              </w:rPr>
            </w:pPr>
            <w:r w:rsidRPr="00E00751">
              <w:rPr>
                <w:rFonts w:ascii="Times New Roman" w:eastAsia="Times New Roman" w:hAnsi="Times New Roman" w:cs="Times New Roman"/>
                <w:b/>
                <w:bCs/>
                <w:color w:val="FF0000"/>
                <w:sz w:val="24"/>
                <w:szCs w:val="24"/>
                <w:lang w:val="en-GB"/>
              </w:rPr>
              <w:t xml:space="preserve"> </w:t>
            </w:r>
          </w:p>
        </w:tc>
        <w:tc>
          <w:tcPr>
            <w:tcW w:w="289" w:type="pct"/>
            <w:tcBorders>
              <w:top w:val="nil"/>
              <w:left w:val="nil"/>
              <w:bottom w:val="single" w:sz="7" w:space="0" w:color="000000"/>
              <w:right w:val="single" w:sz="7" w:space="0" w:color="000000"/>
            </w:tcBorders>
            <w:shd w:val="clear" w:color="auto" w:fill="FF0000"/>
            <w:tcMar>
              <w:top w:w="100" w:type="dxa"/>
              <w:left w:w="100" w:type="dxa"/>
              <w:bottom w:w="100" w:type="dxa"/>
              <w:right w:w="100" w:type="dxa"/>
            </w:tcMar>
          </w:tcPr>
          <w:p w14:paraId="15F90303" w14:textId="77777777" w:rsidR="00301E67" w:rsidRPr="00E00751" w:rsidRDefault="00EC5423">
            <w:pPr>
              <w:spacing w:before="240" w:after="240"/>
              <w:ind w:left="-100"/>
              <w:rPr>
                <w:rFonts w:ascii="Times New Roman" w:eastAsia="Times New Roman" w:hAnsi="Times New Roman" w:cs="Times New Roman"/>
                <w:b/>
                <w:bCs/>
                <w:color w:val="FF0000"/>
                <w:sz w:val="24"/>
                <w:szCs w:val="24"/>
                <w:lang w:val="en-GB"/>
              </w:rPr>
            </w:pPr>
            <w:r w:rsidRPr="00E00751">
              <w:rPr>
                <w:rFonts w:ascii="Times New Roman" w:eastAsia="Times New Roman" w:hAnsi="Times New Roman" w:cs="Times New Roman"/>
                <w:b/>
                <w:bCs/>
                <w:color w:val="FF0000"/>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CF554F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3AC88D0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3AD5FE9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3E9576B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361992F9"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BCBFB0D"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Monitoring and evaluation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B6B0B9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4A8B95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7D9E58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D47B0C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256A83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180876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AD61A4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2BC178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548DD4"/>
            <w:tcMar>
              <w:top w:w="100" w:type="dxa"/>
              <w:left w:w="100" w:type="dxa"/>
              <w:bottom w:w="100" w:type="dxa"/>
              <w:right w:w="100" w:type="dxa"/>
            </w:tcMar>
          </w:tcPr>
          <w:p w14:paraId="44DF584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74A8B8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1D6F3C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E524B2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EE0D2AA"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E282DB5"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Presenting findings and discussion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66E24A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A81522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E3A0F3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4678C4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37D2F9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497D61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FFC7A7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3F3A9E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5C91DD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948A54"/>
            <w:tcMar>
              <w:top w:w="100" w:type="dxa"/>
              <w:left w:w="100" w:type="dxa"/>
              <w:bottom w:w="100" w:type="dxa"/>
              <w:right w:w="100" w:type="dxa"/>
            </w:tcMar>
          </w:tcPr>
          <w:p w14:paraId="3F8A99A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33629E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0FF3967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16B603D2"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1FE7F66"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Conclusion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B6A5C5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A668D1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B3E960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B0E3DA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6C5FB82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F27DE6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78CA8A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A2E08B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310773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9B98D8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00"/>
            <w:tcMar>
              <w:top w:w="100" w:type="dxa"/>
              <w:left w:w="100" w:type="dxa"/>
              <w:bottom w:w="100" w:type="dxa"/>
              <w:right w:w="100" w:type="dxa"/>
            </w:tcMar>
          </w:tcPr>
          <w:p w14:paraId="7E77887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ABB83A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3FAAD594"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FBD4F93"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Rrecommendation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CA2B4C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8FD681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C8E3C1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7A488C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E21659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243E79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219590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017A8B4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53E4C8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209DAA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00"/>
            <w:tcMar>
              <w:top w:w="100" w:type="dxa"/>
              <w:left w:w="100" w:type="dxa"/>
              <w:bottom w:w="100" w:type="dxa"/>
              <w:right w:w="100" w:type="dxa"/>
            </w:tcMar>
          </w:tcPr>
          <w:p w14:paraId="5F167CF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CC57F1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79F6FCF" w14:textId="77777777" w:rsidTr="00AD5F0F">
        <w:trPr>
          <w:trHeight w:val="585"/>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7D0586C"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Submission and Feedback</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EDCEFE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CECC53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255B2D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CBA5A8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4302CB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7300E0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996AFB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54E0719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171E9A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A1E3A1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04A7263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0000"/>
            <w:tcMar>
              <w:top w:w="100" w:type="dxa"/>
              <w:left w:w="100" w:type="dxa"/>
              <w:bottom w:w="100" w:type="dxa"/>
              <w:right w:w="100" w:type="dxa"/>
            </w:tcMar>
          </w:tcPr>
          <w:p w14:paraId="1B72367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bl>
    <w:p w14:paraId="7BC9E2E0" w14:textId="77777777" w:rsidR="00301E67" w:rsidRPr="00E00751" w:rsidRDefault="00301E67">
      <w:pPr>
        <w:spacing w:line="360" w:lineRule="auto"/>
        <w:jc w:val="both"/>
        <w:rPr>
          <w:rFonts w:ascii="Times New Roman" w:eastAsia="Times New Roman" w:hAnsi="Times New Roman" w:cs="Times New Roman"/>
          <w:sz w:val="24"/>
          <w:szCs w:val="24"/>
          <w:lang w:val="en-GB"/>
        </w:rPr>
      </w:pPr>
    </w:p>
    <w:p w14:paraId="0B11A630" w14:textId="77777777" w:rsidR="00301E67" w:rsidRPr="00E00751" w:rsidRDefault="00301E67">
      <w:pPr>
        <w:spacing w:line="360" w:lineRule="auto"/>
        <w:jc w:val="both"/>
        <w:rPr>
          <w:rFonts w:ascii="Times New Roman" w:eastAsia="Times New Roman" w:hAnsi="Times New Roman" w:cs="Times New Roman"/>
          <w:sz w:val="24"/>
          <w:szCs w:val="24"/>
          <w:lang w:val="en-GB"/>
        </w:rPr>
      </w:pPr>
    </w:p>
    <w:p w14:paraId="3F2127D3" w14:textId="77777777" w:rsidR="00301E67" w:rsidRPr="00E00751" w:rsidRDefault="00301E67">
      <w:pPr>
        <w:spacing w:line="360" w:lineRule="auto"/>
        <w:jc w:val="center"/>
        <w:rPr>
          <w:rFonts w:ascii="Times New Roman" w:eastAsia="Times New Roman" w:hAnsi="Times New Roman" w:cs="Times New Roman"/>
          <w:b/>
          <w:bCs/>
          <w:sz w:val="24"/>
          <w:szCs w:val="24"/>
          <w:lang w:val="en-GB"/>
        </w:rPr>
      </w:pPr>
    </w:p>
    <w:sectPr w:rsidR="00301E67" w:rsidRPr="00E0075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5B2B0" w14:textId="77777777" w:rsidR="00522AEF" w:rsidRDefault="00522AEF" w:rsidP="00E00751">
      <w:pPr>
        <w:spacing w:line="240" w:lineRule="auto"/>
      </w:pPr>
      <w:r>
        <w:separator/>
      </w:r>
    </w:p>
  </w:endnote>
  <w:endnote w:type="continuationSeparator" w:id="0">
    <w:p w14:paraId="0B5A1E43" w14:textId="77777777" w:rsidR="00522AEF" w:rsidRDefault="00522AEF" w:rsidP="00E007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929D60E-450F-470B-99E6-C8819F2542AF}"/>
  </w:font>
  <w:font w:name="Cambria">
    <w:panose1 w:val="02040503050406030204"/>
    <w:charset w:val="00"/>
    <w:family w:val="roman"/>
    <w:pitch w:val="variable"/>
    <w:sig w:usb0="E00006FF" w:usb1="420024FF" w:usb2="02000000" w:usb3="00000000" w:csb0="0000019F" w:csb1="00000000"/>
    <w:embedRegular r:id="rId2" w:fontKey="{2FD84C3D-44C3-49F7-B68B-890BDE66C16E}"/>
  </w:font>
  <w:font w:name="Calibri">
    <w:panose1 w:val="020F0502020204030204"/>
    <w:charset w:val="00"/>
    <w:family w:val="swiss"/>
    <w:pitch w:val="variable"/>
    <w:sig w:usb0="E4002EFF" w:usb1="C200247B" w:usb2="00000009" w:usb3="00000000" w:csb0="000001FF" w:csb1="00000000"/>
    <w:embedRegular r:id="rId3" w:fontKey="{B7009DD1-B93A-44AD-9A06-78AC75BCA55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9EECB" w14:textId="77777777" w:rsidR="00522AEF" w:rsidRDefault="00522AEF" w:rsidP="00E00751">
      <w:pPr>
        <w:spacing w:line="240" w:lineRule="auto"/>
      </w:pPr>
      <w:r>
        <w:separator/>
      </w:r>
    </w:p>
  </w:footnote>
  <w:footnote w:type="continuationSeparator" w:id="0">
    <w:p w14:paraId="2592FCFA" w14:textId="77777777" w:rsidR="00522AEF" w:rsidRDefault="00522AEF" w:rsidP="00E007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E67"/>
    <w:rsid w:val="00052EA2"/>
    <w:rsid w:val="00140DAB"/>
    <w:rsid w:val="00151D46"/>
    <w:rsid w:val="00301E67"/>
    <w:rsid w:val="00445A81"/>
    <w:rsid w:val="004D3DE3"/>
    <w:rsid w:val="00522AEF"/>
    <w:rsid w:val="007579F4"/>
    <w:rsid w:val="00872B9F"/>
    <w:rsid w:val="00891A2C"/>
    <w:rsid w:val="00892B9D"/>
    <w:rsid w:val="008E5655"/>
    <w:rsid w:val="009544E1"/>
    <w:rsid w:val="0096446D"/>
    <w:rsid w:val="009A2F36"/>
    <w:rsid w:val="00A43004"/>
    <w:rsid w:val="00A617F0"/>
    <w:rsid w:val="00A930F6"/>
    <w:rsid w:val="00AD5F0F"/>
    <w:rsid w:val="00AE3298"/>
    <w:rsid w:val="00BB357D"/>
    <w:rsid w:val="00BD45FB"/>
    <w:rsid w:val="00E00751"/>
    <w:rsid w:val="00EA4CD6"/>
    <w:rsid w:val="00EC5423"/>
    <w:rsid w:val="00F05312"/>
    <w:rsid w:val="00FF23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0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007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751"/>
    <w:rPr>
      <w:rFonts w:ascii="Tahoma" w:hAnsi="Tahoma" w:cs="Tahoma"/>
      <w:sz w:val="16"/>
      <w:szCs w:val="16"/>
    </w:rPr>
  </w:style>
  <w:style w:type="paragraph" w:styleId="Header">
    <w:name w:val="header"/>
    <w:basedOn w:val="Normal"/>
    <w:link w:val="HeaderChar"/>
    <w:uiPriority w:val="99"/>
    <w:unhideWhenUsed/>
    <w:rsid w:val="00E00751"/>
    <w:pPr>
      <w:tabs>
        <w:tab w:val="center" w:pos="4513"/>
        <w:tab w:val="right" w:pos="9026"/>
      </w:tabs>
      <w:spacing w:line="240" w:lineRule="auto"/>
    </w:pPr>
  </w:style>
  <w:style w:type="character" w:customStyle="1" w:styleId="HeaderChar">
    <w:name w:val="Header Char"/>
    <w:basedOn w:val="DefaultParagraphFont"/>
    <w:link w:val="Header"/>
    <w:uiPriority w:val="99"/>
    <w:rsid w:val="00E00751"/>
  </w:style>
  <w:style w:type="paragraph" w:styleId="Footer">
    <w:name w:val="footer"/>
    <w:basedOn w:val="Normal"/>
    <w:link w:val="FooterChar"/>
    <w:uiPriority w:val="99"/>
    <w:unhideWhenUsed/>
    <w:rsid w:val="00E00751"/>
    <w:pPr>
      <w:tabs>
        <w:tab w:val="center" w:pos="4513"/>
        <w:tab w:val="right" w:pos="9026"/>
      </w:tabs>
      <w:spacing w:line="240" w:lineRule="auto"/>
    </w:pPr>
  </w:style>
  <w:style w:type="character" w:customStyle="1" w:styleId="FooterChar">
    <w:name w:val="Footer Char"/>
    <w:basedOn w:val="DefaultParagraphFont"/>
    <w:link w:val="Footer"/>
    <w:uiPriority w:val="99"/>
    <w:rsid w:val="00E00751"/>
  </w:style>
  <w:style w:type="character" w:styleId="Hyperlink">
    <w:name w:val="Hyperlink"/>
    <w:basedOn w:val="DefaultParagraphFont"/>
    <w:uiPriority w:val="99"/>
    <w:unhideWhenUsed/>
    <w:rsid w:val="00BD45FB"/>
    <w:rPr>
      <w:color w:val="0000FF" w:themeColor="hyperlink"/>
      <w:u w:val="single"/>
    </w:rPr>
  </w:style>
  <w:style w:type="paragraph" w:styleId="TableofFigures">
    <w:name w:val="table of figures"/>
    <w:basedOn w:val="Normal"/>
    <w:next w:val="Normal"/>
    <w:uiPriority w:val="99"/>
    <w:unhideWhenUsed/>
    <w:rsid w:val="00BD45FB"/>
    <w:pPr>
      <w:jc w:val="both"/>
    </w:pPr>
    <w:rPr>
      <w:rFonts w:ascii="Times New Roman" w:hAnsi="Times New Roman"/>
      <w:sz w:val="24"/>
    </w:rPr>
  </w:style>
  <w:style w:type="paragraph" w:styleId="ListParagraph">
    <w:name w:val="List Paragraph"/>
    <w:basedOn w:val="Normal"/>
    <w:uiPriority w:val="34"/>
    <w:qFormat/>
    <w:rsid w:val="00892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92557672/IRJET_V9I7216.pdf" TargetMode="External"/><Relationship Id="rId18" Type="http://schemas.openxmlformats.org/officeDocument/2006/relationships/hyperlink" Target="https://www.sciencedirect.com/science/article/pii/S0925753523001182" TargetMode="External"/><Relationship Id="rId26" Type="http://schemas.openxmlformats.org/officeDocument/2006/relationships/hyperlink" Target="https://www.hse.gov.uk/legislation/hswa.htm" TargetMode="External"/><Relationship Id="rId39" Type="http://schemas.openxmlformats.org/officeDocument/2006/relationships/hyperlink" Target="https://search.informit.org/doi/pdf/10.3316/informit.455663644555599" TargetMode="External"/><Relationship Id="rId21" Type="http://schemas.openxmlformats.org/officeDocument/2006/relationships/hyperlink" Target="https://www.um.edu.mt/library/oar/bitstream/123456789/133517/1/ERSJ28%281%29A35.pdf" TargetMode="External"/><Relationship Id="rId34" Type="http://schemas.openxmlformats.org/officeDocument/2006/relationships/hyperlink" Target="https://onlinelibrary.wiley.com/doi/pdf/10.1155/2024/2918089" TargetMode="External"/><Relationship Id="rId42" Type="http://schemas.openxmlformats.org/officeDocument/2006/relationships/hyperlink" Target="https://www.emerald.com/apjba/article-pdf/17/2/285/9686424/apjba-05-2023-0207.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nk.springer.com/content/pdf/10.1007/s10654-021-00839-0.pdf" TargetMode="External"/><Relationship Id="rId20" Type="http://schemas.openxmlformats.org/officeDocument/2006/relationships/hyperlink" Target="https://www.tandfonline.com/doi/pdf/10.1080/26895269.2022.2129597" TargetMode="External"/><Relationship Id="rId29" Type="http://schemas.openxmlformats.org/officeDocument/2006/relationships/hyperlink" Target="https://www.ioshmagazine.com/2022/10/21/bernard-matthews-fined-ps400000-after-worker-left-paralysed" TargetMode="External"/><Relationship Id="rId41" Type="http://schemas.openxmlformats.org/officeDocument/2006/relationships/hyperlink" Target="https://www.emerald.com/apjba/article-pdf/17/2/285/9686424/apjba-05-2023-0207.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Abdirahman-Ali-32/publication/377387649_Analyzing_the_role_of_leadership_in_promoting_a_positive_safety_culture_in_the_construction_sector/links/65a393e040ce1c5902dac216/Analyzing-the-role-of-leadership-in-promoting-a-positive-safety-culture-in-the-construction-sector.pdf" TargetMode="External"/><Relationship Id="rId24" Type="http://schemas.openxmlformats.org/officeDocument/2006/relationships/hyperlink" Target="https://www.sciencedirect.com/science/article/pii/S0925753523002552" TargetMode="External"/><Relationship Id="rId32" Type="http://schemas.openxmlformats.org/officeDocument/2006/relationships/hyperlink" Target="https://www.academia.edu/download/88131967/the-interpretivist-research-paradigm-a-subjective-notion-of-a-social-context.pdf" TargetMode="External"/><Relationship Id="rId37" Type="http://schemas.openxmlformats.org/officeDocument/2006/relationships/hyperlink" Target="https://www.tandfonline.com/doi/pdf/10.1080/09617353.2022.2035627" TargetMode="External"/><Relationship Id="rId40" Type="http://schemas.openxmlformats.org/officeDocument/2006/relationships/hyperlink" Target="https://search.informit.org/doi/pdf/10.3316/informit.455663644555599" TargetMode="External"/><Relationship Id="rId5" Type="http://schemas.openxmlformats.org/officeDocument/2006/relationships/footnotes" Target="footnotes.xml"/><Relationship Id="rId15" Type="http://schemas.openxmlformats.org/officeDocument/2006/relationships/hyperlink" Target="https://link.springer.com/content/pdf/10.1007/s10654-021-00839-0.pdf" TargetMode="External"/><Relationship Id="rId23" Type="http://schemas.openxmlformats.org/officeDocument/2006/relationships/hyperlink" Target="https://www.sciencedirect.com/science/article/pii/S0925753523002552" TargetMode="External"/><Relationship Id="rId28" Type="http://schemas.openxmlformats.org/officeDocument/2006/relationships/hyperlink" Target="https://scholar.google.com/scholar?output=instlink&amp;q=info:jUgCIZtw_qkJ:scholar.google.com/&amp;hl=en&amp;as_sdt=0,5&amp;as_ylo=2022&amp;scillfp=16548191584845334020&amp;oi=lle" TargetMode="External"/><Relationship Id="rId36" Type="http://schemas.openxmlformats.org/officeDocument/2006/relationships/hyperlink" Target="https://librarysearch.uwtsd.ac.uk/permalink/44WHELF_UWTSD/1pbrh66/alma99100313060202421" TargetMode="External"/><Relationship Id="rId10" Type="http://schemas.openxmlformats.org/officeDocument/2006/relationships/image" Target="media/image4.png"/><Relationship Id="rId19" Type="http://schemas.openxmlformats.org/officeDocument/2006/relationships/hyperlink" Target="https://www.tandfonline.com/doi/pdf/10.1080/26895269.2022.2129597" TargetMode="External"/><Relationship Id="rId31" Type="http://schemas.openxmlformats.org/officeDocument/2006/relationships/hyperlink" Target="https://www.academia.edu/download/88131967/the-interpretivist-research-paradigm-a-subjective-notion-of-a-social-context.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cademia.edu/download/92557672/IRJET_V9I7216.pdf" TargetMode="External"/><Relationship Id="rId22" Type="http://schemas.openxmlformats.org/officeDocument/2006/relationships/hyperlink" Target="https://www.um.edu.mt/library/oar/bitstream/123456789/133517/1/ERSJ28%281%29A35.pdf" TargetMode="External"/><Relationship Id="rId27" Type="http://schemas.openxmlformats.org/officeDocument/2006/relationships/hyperlink" Target="https://scholar.google.com/scholar?output=instlink&amp;q=info:jUgCIZtw_qkJ:scholar.google.com/&amp;hl=en&amp;as_sdt=0,5&amp;as_ylo=2022&amp;scillfp=16548191584845334020&amp;oi=lle" TargetMode="External"/><Relationship Id="rId30" Type="http://schemas.openxmlformats.org/officeDocument/2006/relationships/hyperlink" Target="https://www.ioshmagazine.com/2022/10/21/bernard-matthews-fined-ps400000-after-worker-left-paralysed" TargetMode="External"/><Relationship Id="rId35" Type="http://schemas.openxmlformats.org/officeDocument/2006/relationships/hyperlink" Target="https://librarysearch.uwtsd.ac.uk/permalink/44WHELF_UWTSD/1pbrh66/alma99100313060202421"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researchgate.net/profile/Abdirahman-Ali-32/publication/377387649_Analyzing_the_role_of_leadership_in_promoting_a_positive_safety_culture_in_the_construction_sector/links/65a393e040ce1c5902dac216/Analyzing-the-role-of-leadership-in-promoting-a-positive-safety-culture-in-the-construction-sector.pdf" TargetMode="External"/><Relationship Id="rId17" Type="http://schemas.openxmlformats.org/officeDocument/2006/relationships/hyperlink" Target="https://www.sciencedirect.com/science/article/pii/S0925753523001182" TargetMode="External"/><Relationship Id="rId25" Type="http://schemas.openxmlformats.org/officeDocument/2006/relationships/hyperlink" Target="https://www.hse.gov.uk/legislation/hswa.htm" TargetMode="External"/><Relationship Id="rId33" Type="http://schemas.openxmlformats.org/officeDocument/2006/relationships/hyperlink" Target="https://onlinelibrary.wiley.com/doi/pdf/10.1155/2024/2918089" TargetMode="External"/><Relationship Id="rId38" Type="http://schemas.openxmlformats.org/officeDocument/2006/relationships/hyperlink" Target="https://www.tandfonline.com/doi/pdf/10.1080/09617353.2022.203562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EE87-656A-4DCC-A035-A0DEE3E38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3750</Words>
  <Characters>21375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2026-04-17T20:33:00Z</dcterms:created>
  <dcterms:modified xsi:type="dcterms:W3CDTF">2026-04-17T20:33:00Z</dcterms:modified>
</cp:coreProperties>
</file>