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1571EE" w14:textId="77777777" w:rsidR="002D5B3F" w:rsidRDefault="009F5CB2" w:rsidP="002D5B3F">
      <w:pPr>
        <w:pStyle w:val="Header"/>
        <w:tabs>
          <w:tab w:val="clear" w:pos="4153"/>
          <w:tab w:val="clear" w:pos="8306"/>
        </w:tabs>
      </w:pPr>
      <w:r>
        <w:rPr>
          <w:noProof/>
        </w:rPr>
        <mc:AlternateContent>
          <mc:Choice Requires="wps">
            <w:drawing>
              <wp:anchor distT="0" distB="0" distL="114300" distR="114300" simplePos="0" relativeHeight="251657728" behindDoc="0" locked="0" layoutInCell="1" allowOverlap="1" wp14:anchorId="394B8EB9" wp14:editId="22AF2527">
                <wp:simplePos x="0" y="0"/>
                <wp:positionH relativeFrom="column">
                  <wp:posOffset>5173980</wp:posOffset>
                </wp:positionH>
                <wp:positionV relativeFrom="paragraph">
                  <wp:posOffset>-233680</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14:paraId="10854E18" w14:textId="77777777" w:rsidR="00AA7040" w:rsidRDefault="00AA7040" w:rsidP="008A62BC">
                            <w:pPr>
                              <w:pStyle w:val="Heading6"/>
                              <w:pBdr>
                                <w:top w:val="none" w:sz="0" w:space="0" w:color="auto"/>
                                <w:left w:val="none" w:sz="0" w:space="0" w:color="auto"/>
                                <w:bottom w:val="none" w:sz="0" w:space="0" w:color="auto"/>
                                <w:right w:val="none" w:sz="0" w:space="0" w:color="auto"/>
                              </w:pBdr>
                              <w:shd w:val="clear" w:color="auto" w:fill="E0E0E0"/>
                            </w:pPr>
                          </w:p>
                          <w:p w14:paraId="6511A9FC" w14:textId="77777777" w:rsidR="00AA7040" w:rsidRDefault="00AA7040"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74730BBD" wp14:editId="7C9635D6">
                                  <wp:extent cx="636905" cy="4400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4B8EB9" id="_x0000_t202" coordsize="21600,21600" o:spt="202" path="m,l,21600r21600,l21600,xe">
                <v:stroke joinstyle="miter"/>
                <v:path gradientshapeok="t" o:connecttype="rect"/>
              </v:shapetype>
              <v:shape id="Text Box 11" o:spid="_x0000_s1026" type="#_x0000_t202" style="position:absolute;margin-left:407.4pt;margin-top:-18.4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" fillcolor="silver" strokecolor="silver" strokeweight="2.25pt">
                <v:textbox>
                  <w:txbxContent>
                    <w:p w14:paraId="10854E18" w14:textId="77777777" w:rsidR="00AA7040" w:rsidRDefault="00AA7040" w:rsidP="008A62BC">
                      <w:pPr>
                        <w:pStyle w:val="Heading6"/>
                        <w:pBdr>
                          <w:top w:val="none" w:sz="0" w:space="0" w:color="auto"/>
                          <w:left w:val="none" w:sz="0" w:space="0" w:color="auto"/>
                          <w:bottom w:val="none" w:sz="0" w:space="0" w:color="auto"/>
                          <w:right w:val="none" w:sz="0" w:space="0" w:color="auto"/>
                        </w:pBdr>
                        <w:shd w:val="clear" w:color="auto" w:fill="E0E0E0"/>
                      </w:pPr>
                    </w:p>
                    <w:p w14:paraId="6511A9FC" w14:textId="77777777" w:rsidR="00AA7040" w:rsidRDefault="00AA7040"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74730BBD" wp14:editId="7C9635D6">
                            <wp:extent cx="636905" cy="4400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v:textbox>
              </v:shape>
            </w:pict>
          </mc:Fallback>
        </mc:AlternateContent>
      </w:r>
      <w:r w:rsidR="001A24F3">
        <w:rPr>
          <w:noProof/>
        </w:rPr>
        <w:drawing>
          <wp:inline distT="0" distB="0" distL="0" distR="0" wp14:anchorId="343109C2" wp14:editId="585020FB">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bookmarkStart w:id="0" w:name="_Hlk513302663"/>
    </w:p>
    <w:p w14:paraId="69C0A59A" w14:textId="77777777"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14:paraId="1140F4D7" w14:textId="77777777" w:rsidTr="00A55876">
        <w:tc>
          <w:tcPr>
            <w:tcW w:w="10670" w:type="dxa"/>
            <w:shd w:val="clear" w:color="auto" w:fill="C0C0C0"/>
          </w:tcPr>
          <w:p w14:paraId="1E9E05C0" w14:textId="77777777" w:rsidR="00BA6B2C" w:rsidRPr="00BA6B2C" w:rsidRDefault="0088296F" w:rsidP="00681FA9">
            <w:pPr>
              <w:jc w:val="center"/>
              <w:rPr>
                <w:rFonts w:ascii="Arial" w:hAnsi="Arial" w:cs="Arial"/>
                <w:b/>
                <w:noProof/>
                <w:sz w:val="36"/>
                <w:szCs w:val="36"/>
              </w:rPr>
            </w:pPr>
            <w:r>
              <w:rPr>
                <w:rFonts w:ascii="Arial" w:hAnsi="Arial" w:cs="Arial"/>
                <w:b/>
                <w:noProof/>
                <w:sz w:val="36"/>
                <w:szCs w:val="36"/>
              </w:rPr>
              <w:t>ASSIGNMENT DETAILS</w:t>
            </w:r>
            <w:r w:rsidR="00BA6B2C" w:rsidRPr="00BA6B2C">
              <w:rPr>
                <w:rFonts w:ascii="Arial" w:hAnsi="Arial" w:cs="Arial"/>
                <w:b/>
                <w:noProof/>
                <w:sz w:val="36"/>
                <w:szCs w:val="36"/>
              </w:rPr>
              <w:t xml:space="preserve"> AND FEEDBACK</w:t>
            </w:r>
          </w:p>
          <w:p w14:paraId="2F4F5371" w14:textId="77777777" w:rsidR="00681FA9" w:rsidRPr="009F5CB2" w:rsidRDefault="00681FA9" w:rsidP="00681FA9">
            <w:pPr>
              <w:jc w:val="center"/>
              <w:rPr>
                <w:rFonts w:ascii="Arial" w:hAnsi="Arial" w:cs="Arial"/>
              </w:rPr>
            </w:pPr>
            <w:r w:rsidRPr="009F5CB2">
              <w:rPr>
                <w:rFonts w:ascii="Arial" w:hAnsi="Arial" w:cs="Arial"/>
                <w:b/>
                <w:noProof/>
                <w:sz w:val="24"/>
                <w:szCs w:val="24"/>
              </w:rPr>
              <w:t>S</w:t>
            </w:r>
            <w:r w:rsidR="00BA6B2C">
              <w:rPr>
                <w:rFonts w:ascii="Arial" w:hAnsi="Arial" w:cs="Arial"/>
                <w:b/>
                <w:noProof/>
                <w:sz w:val="24"/>
                <w:szCs w:val="24"/>
              </w:rPr>
              <w:t>OUTH WEST WALES CENTRE FOR TEACHER EDUCATION</w:t>
            </w:r>
          </w:p>
        </w:tc>
      </w:tr>
    </w:tbl>
    <w:p w14:paraId="03FD86F8" w14:textId="77777777" w:rsidR="003A3CE5" w:rsidRPr="00BA6B2C" w:rsidRDefault="00BA6B2C" w:rsidP="002D5B3F">
      <w:pPr>
        <w:jc w:val="center"/>
        <w:rPr>
          <w:b/>
          <w:i/>
          <w:sz w:val="16"/>
          <w:szCs w:val="16"/>
        </w:rPr>
      </w:pPr>
      <w:r>
        <w:rPr>
          <w:b/>
          <w:i/>
          <w:sz w:val="16"/>
          <w:szCs w:val="16"/>
        </w:rPr>
        <w:t>Sections marked with * should be completed by module lead</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613"/>
        <w:gridCol w:w="2111"/>
      </w:tblGrid>
      <w:tr w:rsidR="003B3F9D" w:rsidRPr="00C1361B" w14:paraId="2AE13FB5" w14:textId="77777777" w:rsidTr="001A24F3">
        <w:tc>
          <w:tcPr>
            <w:tcW w:w="2093" w:type="dxa"/>
            <w:shd w:val="pct15" w:color="auto" w:fill="auto"/>
          </w:tcPr>
          <w:p w14:paraId="302F87AD" w14:textId="77777777"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781" w:type="dxa"/>
          </w:tcPr>
          <w:p w14:paraId="2A74B870" w14:textId="663D6626" w:rsidR="003B3F9D" w:rsidRPr="00C1361B" w:rsidRDefault="0017512A"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r w:rsidR="00692092">
              <w:rPr>
                <w:rFonts w:ascii="Calibri" w:hAnsi="Calibri" w:cs="Arial"/>
                <w:b/>
                <w:sz w:val="22"/>
                <w:szCs w:val="22"/>
              </w:rPr>
              <w:t>Nikita Louise Forbes</w:t>
            </w:r>
          </w:p>
        </w:tc>
        <w:tc>
          <w:tcPr>
            <w:tcW w:w="2613" w:type="dxa"/>
            <w:shd w:val="clear" w:color="auto" w:fill="D9D9D9"/>
          </w:tcPr>
          <w:p w14:paraId="5AD46A31" w14:textId="77777777"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14:paraId="21FABAE9" w14:textId="01E41398" w:rsidR="003B3F9D" w:rsidRPr="00C1361B" w:rsidRDefault="00692092" w:rsidP="001E57C1">
            <w:pPr>
              <w:spacing w:before="120" w:after="120"/>
              <w:jc w:val="both"/>
              <w:rPr>
                <w:rFonts w:ascii="Calibri" w:hAnsi="Calibri" w:cs="Arial"/>
                <w:b/>
                <w:sz w:val="22"/>
                <w:szCs w:val="22"/>
              </w:rPr>
            </w:pPr>
            <w:r>
              <w:rPr>
                <w:rFonts w:ascii="Calibri" w:hAnsi="Calibri" w:cs="Arial"/>
                <w:b/>
                <w:sz w:val="22"/>
                <w:szCs w:val="22"/>
              </w:rPr>
              <w:t>1706323</w:t>
            </w:r>
          </w:p>
        </w:tc>
      </w:tr>
      <w:tr w:rsidR="00DB116D" w:rsidRPr="00C1361B" w14:paraId="65B98E61" w14:textId="77777777" w:rsidTr="001A24F3">
        <w:tc>
          <w:tcPr>
            <w:tcW w:w="2093" w:type="dxa"/>
            <w:shd w:val="pct15" w:color="auto" w:fill="auto"/>
          </w:tcPr>
          <w:p w14:paraId="1E55CC09"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r w:rsidR="00BA6B2C">
              <w:rPr>
                <w:rFonts w:ascii="Calibri" w:hAnsi="Calibri" w:cs="Arial"/>
                <w:b/>
                <w:sz w:val="22"/>
                <w:szCs w:val="22"/>
              </w:rPr>
              <w:t xml:space="preserve"> *</w:t>
            </w:r>
          </w:p>
        </w:tc>
        <w:tc>
          <w:tcPr>
            <w:tcW w:w="8505" w:type="dxa"/>
            <w:gridSpan w:val="3"/>
          </w:tcPr>
          <w:p w14:paraId="5C814178" w14:textId="6C12B008" w:rsidR="00DB116D" w:rsidRPr="008566E5" w:rsidRDefault="007423C5" w:rsidP="00B53B62">
            <w:pPr>
              <w:spacing w:before="120" w:after="120"/>
              <w:jc w:val="both"/>
              <w:rPr>
                <w:rFonts w:ascii="Calibri" w:hAnsi="Calibri" w:cs="Arial"/>
                <w:b/>
                <w:sz w:val="22"/>
                <w:szCs w:val="22"/>
              </w:rPr>
            </w:pPr>
            <w:r>
              <w:rPr>
                <w:rFonts w:ascii="Calibri" w:hAnsi="Calibri" w:cs="Arial"/>
                <w:b/>
                <w:sz w:val="22"/>
                <w:szCs w:val="22"/>
              </w:rPr>
              <w:t xml:space="preserve">Secondary </w:t>
            </w:r>
            <w:r w:rsidR="00B53B62">
              <w:rPr>
                <w:rFonts w:ascii="Calibri" w:hAnsi="Calibri" w:cs="Arial"/>
                <w:b/>
                <w:sz w:val="22"/>
                <w:szCs w:val="22"/>
              </w:rPr>
              <w:t>Post</w:t>
            </w:r>
            <w:r>
              <w:rPr>
                <w:rFonts w:ascii="Calibri" w:hAnsi="Calibri" w:cs="Arial"/>
                <w:b/>
                <w:sz w:val="22"/>
                <w:szCs w:val="22"/>
              </w:rPr>
              <w:t xml:space="preserve"> Graduate Certificate in Education</w:t>
            </w:r>
          </w:p>
        </w:tc>
      </w:tr>
      <w:tr w:rsidR="00FB5CF8" w:rsidRPr="00C1361B" w14:paraId="2D85E5DF" w14:textId="77777777" w:rsidTr="001A24F3">
        <w:tc>
          <w:tcPr>
            <w:tcW w:w="2093" w:type="dxa"/>
            <w:shd w:val="pct15" w:color="auto" w:fill="auto"/>
          </w:tcPr>
          <w:p w14:paraId="1A980DC3" w14:textId="77777777" w:rsidR="00FB5CF8" w:rsidRPr="00C1361B" w:rsidRDefault="00FB5CF8" w:rsidP="00E51AAC">
            <w:pPr>
              <w:spacing w:before="120" w:after="120"/>
              <w:jc w:val="both"/>
              <w:rPr>
                <w:rFonts w:ascii="Calibri" w:hAnsi="Calibri" w:cs="Arial"/>
                <w:b/>
                <w:sz w:val="22"/>
                <w:szCs w:val="22"/>
              </w:rPr>
            </w:pPr>
            <w:r w:rsidRPr="00C1361B">
              <w:rPr>
                <w:rFonts w:ascii="Calibri" w:hAnsi="Calibri" w:cs="Arial"/>
                <w:b/>
                <w:sz w:val="22"/>
                <w:szCs w:val="22"/>
              </w:rPr>
              <w:t>Module:</w:t>
            </w:r>
            <w:r w:rsidR="00BA6B2C">
              <w:rPr>
                <w:rFonts w:ascii="Calibri" w:hAnsi="Calibri" w:cs="Arial"/>
                <w:b/>
                <w:sz w:val="22"/>
                <w:szCs w:val="22"/>
              </w:rPr>
              <w:t xml:space="preserve"> *</w:t>
            </w:r>
          </w:p>
        </w:tc>
        <w:tc>
          <w:tcPr>
            <w:tcW w:w="3781" w:type="dxa"/>
            <w:shd w:val="clear" w:color="auto" w:fill="auto"/>
          </w:tcPr>
          <w:p w14:paraId="5654A23E" w14:textId="157ED01D" w:rsidR="00FB5CF8" w:rsidRPr="00C1361B" w:rsidRDefault="007866E5" w:rsidP="00EA6801">
            <w:pPr>
              <w:spacing w:before="120" w:after="120"/>
              <w:rPr>
                <w:rFonts w:ascii="Calibri" w:hAnsi="Calibri" w:cs="Arial"/>
                <w:b/>
                <w:sz w:val="22"/>
                <w:szCs w:val="22"/>
              </w:rPr>
            </w:pPr>
            <w:r>
              <w:rPr>
                <w:rFonts w:ascii="Arial" w:hAnsi="Arial" w:cs="Arial"/>
                <w:b/>
                <w:szCs w:val="32"/>
              </w:rPr>
              <w:t>Curriculum Development and Enhancement</w:t>
            </w:r>
          </w:p>
        </w:tc>
        <w:tc>
          <w:tcPr>
            <w:tcW w:w="2613" w:type="dxa"/>
            <w:shd w:val="clear" w:color="auto" w:fill="D9D9D9"/>
          </w:tcPr>
          <w:p w14:paraId="07E10B67" w14:textId="77777777" w:rsidR="00FB5CF8" w:rsidRPr="00C1361B" w:rsidRDefault="00BA6B2C" w:rsidP="00E51AAC">
            <w:pPr>
              <w:spacing w:before="120" w:after="120"/>
              <w:jc w:val="both"/>
              <w:rPr>
                <w:rFonts w:ascii="Calibri" w:hAnsi="Calibri" w:cs="Arial"/>
                <w:b/>
                <w:sz w:val="22"/>
                <w:szCs w:val="22"/>
              </w:rPr>
            </w:pPr>
            <w:r>
              <w:rPr>
                <w:rFonts w:ascii="Calibri" w:hAnsi="Calibri" w:cs="Arial"/>
                <w:b/>
                <w:sz w:val="22"/>
                <w:szCs w:val="22"/>
              </w:rPr>
              <w:t>Module Level (</w:t>
            </w:r>
            <w:r w:rsidR="00FB5CF8" w:rsidRPr="00C1361B">
              <w:rPr>
                <w:rFonts w:ascii="Calibri" w:hAnsi="Calibri" w:cs="Arial"/>
                <w:b/>
                <w:sz w:val="22"/>
                <w:szCs w:val="22"/>
              </w:rPr>
              <w:t>6</w:t>
            </w:r>
            <w:r>
              <w:rPr>
                <w:rFonts w:ascii="Calibri" w:hAnsi="Calibri" w:cs="Arial"/>
                <w:b/>
                <w:sz w:val="22"/>
                <w:szCs w:val="22"/>
              </w:rPr>
              <w:t xml:space="preserve"> or 7</w:t>
            </w:r>
            <w:r w:rsidR="00FB5CF8" w:rsidRPr="00C1361B">
              <w:rPr>
                <w:rFonts w:ascii="Calibri" w:hAnsi="Calibri" w:cs="Arial"/>
                <w:b/>
                <w:sz w:val="22"/>
                <w:szCs w:val="22"/>
              </w:rPr>
              <w:t>):</w:t>
            </w:r>
            <w:r>
              <w:rPr>
                <w:rFonts w:ascii="Calibri" w:hAnsi="Calibri" w:cs="Arial"/>
                <w:b/>
                <w:sz w:val="22"/>
                <w:szCs w:val="22"/>
              </w:rPr>
              <w:t xml:space="preserve"> </w:t>
            </w:r>
          </w:p>
        </w:tc>
        <w:tc>
          <w:tcPr>
            <w:tcW w:w="2111" w:type="dxa"/>
            <w:shd w:val="clear" w:color="auto" w:fill="auto"/>
          </w:tcPr>
          <w:p w14:paraId="5F7F30F4" w14:textId="01FA5467" w:rsidR="00FB5CF8" w:rsidRPr="00C1361B" w:rsidRDefault="007423C5" w:rsidP="007866E5">
            <w:pPr>
              <w:spacing w:before="120" w:after="120"/>
              <w:jc w:val="both"/>
              <w:rPr>
                <w:rFonts w:ascii="Calibri" w:hAnsi="Calibri" w:cs="Arial"/>
                <w:b/>
                <w:sz w:val="22"/>
                <w:szCs w:val="22"/>
              </w:rPr>
            </w:pPr>
            <w:r>
              <w:rPr>
                <w:rFonts w:ascii="Calibri" w:hAnsi="Calibri" w:cs="Arial"/>
                <w:b/>
                <w:sz w:val="22"/>
                <w:szCs w:val="22"/>
              </w:rPr>
              <w:t xml:space="preserve">Level </w:t>
            </w:r>
            <w:r w:rsidR="00B53B62">
              <w:rPr>
                <w:rFonts w:ascii="Calibri" w:hAnsi="Calibri" w:cs="Arial"/>
                <w:b/>
                <w:sz w:val="22"/>
                <w:szCs w:val="22"/>
              </w:rPr>
              <w:t>7</w:t>
            </w:r>
          </w:p>
        </w:tc>
      </w:tr>
      <w:tr w:rsidR="00B84B5B" w:rsidRPr="00C1361B" w14:paraId="79A265BB" w14:textId="77777777" w:rsidTr="001A24F3">
        <w:tc>
          <w:tcPr>
            <w:tcW w:w="2093" w:type="dxa"/>
            <w:shd w:val="pct15" w:color="auto" w:fill="auto"/>
          </w:tcPr>
          <w:p w14:paraId="04D05EB4" w14:textId="77777777"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Module code:</w:t>
            </w:r>
            <w:r w:rsidR="00BA6B2C">
              <w:rPr>
                <w:rFonts w:ascii="Calibri" w:hAnsi="Calibri" w:cs="Arial"/>
                <w:b/>
                <w:sz w:val="22"/>
                <w:szCs w:val="22"/>
              </w:rPr>
              <w:t xml:space="preserve"> *</w:t>
            </w:r>
          </w:p>
        </w:tc>
        <w:tc>
          <w:tcPr>
            <w:tcW w:w="3781" w:type="dxa"/>
          </w:tcPr>
          <w:p w14:paraId="48CDC5D4" w14:textId="7F227972" w:rsidR="00B84B5B" w:rsidRPr="00C1361B" w:rsidRDefault="00E3293C" w:rsidP="00152E9D">
            <w:pPr>
              <w:spacing w:before="120" w:after="120"/>
              <w:jc w:val="both"/>
              <w:rPr>
                <w:rFonts w:ascii="Calibri" w:hAnsi="Calibri" w:cs="Arial"/>
                <w:b/>
                <w:sz w:val="22"/>
                <w:szCs w:val="22"/>
              </w:rPr>
            </w:pPr>
            <w:r w:rsidRPr="00E3293C">
              <w:rPr>
                <w:rFonts w:ascii="Calibri" w:hAnsi="Calibri" w:cs="Arial"/>
                <w:b/>
                <w:sz w:val="22"/>
                <w:szCs w:val="22"/>
              </w:rPr>
              <w:t>ECSP7002</w:t>
            </w:r>
          </w:p>
        </w:tc>
        <w:tc>
          <w:tcPr>
            <w:tcW w:w="2613" w:type="dxa"/>
            <w:shd w:val="clear" w:color="auto" w:fill="D9D9D9"/>
          </w:tcPr>
          <w:p w14:paraId="192B36D3" w14:textId="77777777" w:rsidR="00B84B5B" w:rsidRPr="00C1361B" w:rsidRDefault="00B84B5B"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14:paraId="29E30A34" w14:textId="77777777" w:rsidR="00B84B5B" w:rsidRPr="00C1361B" w:rsidRDefault="00B84B5B" w:rsidP="001E57C1">
            <w:pPr>
              <w:rPr>
                <w:rFonts w:ascii="Calibri" w:hAnsi="Calibri" w:cs="Arial"/>
                <w:b/>
                <w:sz w:val="22"/>
                <w:szCs w:val="22"/>
              </w:rPr>
            </w:pPr>
            <w:r w:rsidRPr="00C1361B">
              <w:rPr>
                <w:rFonts w:ascii="Calibri" w:hAnsi="Calibri" w:cs="Arial"/>
                <w:b/>
                <w:sz w:val="22"/>
                <w:szCs w:val="22"/>
              </w:rPr>
              <w:t>Module Assessment (%):</w:t>
            </w:r>
            <w:r w:rsidR="00BA6B2C">
              <w:rPr>
                <w:rFonts w:ascii="Calibri" w:hAnsi="Calibri" w:cs="Arial"/>
                <w:b/>
                <w:sz w:val="22"/>
                <w:szCs w:val="22"/>
              </w:rPr>
              <w:t xml:space="preserve"> *</w:t>
            </w:r>
          </w:p>
        </w:tc>
        <w:tc>
          <w:tcPr>
            <w:tcW w:w="2111" w:type="dxa"/>
          </w:tcPr>
          <w:p w14:paraId="060B46A9" w14:textId="29A14BCA" w:rsidR="00B84B5B" w:rsidRPr="00C1361B" w:rsidRDefault="007423C5" w:rsidP="00E51AAC">
            <w:pPr>
              <w:spacing w:before="120" w:after="120"/>
              <w:jc w:val="both"/>
              <w:rPr>
                <w:rFonts w:ascii="Calibri" w:hAnsi="Calibri" w:cs="Arial"/>
                <w:b/>
                <w:sz w:val="22"/>
                <w:szCs w:val="22"/>
              </w:rPr>
            </w:pPr>
            <w:r>
              <w:rPr>
                <w:rFonts w:ascii="Calibri" w:hAnsi="Calibri" w:cs="Arial"/>
                <w:b/>
                <w:sz w:val="22"/>
                <w:szCs w:val="22"/>
              </w:rPr>
              <w:t>100</w:t>
            </w:r>
          </w:p>
        </w:tc>
      </w:tr>
      <w:tr w:rsidR="00BA6B2C" w:rsidRPr="00C1361B" w14:paraId="4F3D72FF" w14:textId="77777777" w:rsidTr="00BA6B2C">
        <w:tc>
          <w:tcPr>
            <w:tcW w:w="2093" w:type="dxa"/>
            <w:shd w:val="pct15" w:color="auto" w:fill="auto"/>
          </w:tcPr>
          <w:p w14:paraId="6625BACE" w14:textId="77777777" w:rsidR="00BA6B2C" w:rsidRPr="00C1361B" w:rsidRDefault="00BA6B2C" w:rsidP="00E51AAC">
            <w:pPr>
              <w:spacing w:before="120" w:after="120"/>
              <w:jc w:val="both"/>
              <w:rPr>
                <w:rFonts w:ascii="Calibri" w:hAnsi="Calibri" w:cs="Arial"/>
                <w:b/>
                <w:sz w:val="22"/>
                <w:szCs w:val="22"/>
              </w:rPr>
            </w:pPr>
            <w:r>
              <w:rPr>
                <w:rFonts w:ascii="Calibri" w:hAnsi="Calibri" w:cs="Arial"/>
                <w:b/>
                <w:sz w:val="22"/>
                <w:szCs w:val="22"/>
              </w:rPr>
              <w:t xml:space="preserve">Module </w:t>
            </w:r>
            <w:proofErr w:type="gramStart"/>
            <w:r>
              <w:rPr>
                <w:rFonts w:ascii="Calibri" w:hAnsi="Calibri" w:cs="Arial"/>
                <w:b/>
                <w:sz w:val="22"/>
                <w:szCs w:val="22"/>
              </w:rPr>
              <w:t>Lead</w:t>
            </w:r>
            <w:r w:rsidRPr="00C1361B">
              <w:rPr>
                <w:rFonts w:ascii="Calibri" w:hAnsi="Calibri" w:cs="Arial"/>
                <w:b/>
                <w:sz w:val="22"/>
                <w:szCs w:val="22"/>
              </w:rPr>
              <w:t>:</w:t>
            </w:r>
            <w:r>
              <w:rPr>
                <w:rFonts w:ascii="Calibri" w:hAnsi="Calibri" w:cs="Arial"/>
                <w:b/>
                <w:sz w:val="22"/>
                <w:szCs w:val="22"/>
              </w:rPr>
              <w:t>*</w:t>
            </w:r>
            <w:proofErr w:type="gramEnd"/>
          </w:p>
        </w:tc>
        <w:tc>
          <w:tcPr>
            <w:tcW w:w="8505" w:type="dxa"/>
            <w:gridSpan w:val="3"/>
            <w:shd w:val="clear" w:color="auto" w:fill="FFFFFF" w:themeFill="background1"/>
          </w:tcPr>
          <w:p w14:paraId="507C650D" w14:textId="510BBF2B" w:rsidR="00BA6B2C" w:rsidRPr="00C1361B" w:rsidRDefault="00E3293C" w:rsidP="00E51AAC">
            <w:pPr>
              <w:spacing w:before="120" w:after="120"/>
              <w:jc w:val="both"/>
              <w:rPr>
                <w:rFonts w:ascii="Calibri" w:hAnsi="Calibri" w:cs="Arial"/>
                <w:b/>
                <w:sz w:val="22"/>
                <w:szCs w:val="22"/>
              </w:rPr>
            </w:pPr>
            <w:r>
              <w:rPr>
                <w:rFonts w:ascii="Calibri" w:hAnsi="Calibri" w:cs="Arial"/>
                <w:b/>
                <w:sz w:val="22"/>
                <w:szCs w:val="22"/>
              </w:rPr>
              <w:t>Jan Barnes</w:t>
            </w:r>
          </w:p>
        </w:tc>
      </w:tr>
      <w:tr w:rsidR="00DB116D" w:rsidRPr="00C1361B" w14:paraId="690C1982" w14:textId="77777777" w:rsidTr="001A24F3">
        <w:tc>
          <w:tcPr>
            <w:tcW w:w="2093" w:type="dxa"/>
            <w:shd w:val="pct15" w:color="auto" w:fill="auto"/>
          </w:tcPr>
          <w:p w14:paraId="03718139"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 xml:space="preserve">Assignment </w:t>
            </w:r>
            <w:proofErr w:type="gramStart"/>
            <w:r w:rsidRPr="00C1361B">
              <w:rPr>
                <w:rFonts w:ascii="Calibri" w:hAnsi="Calibri" w:cs="Arial"/>
                <w:b/>
                <w:sz w:val="22"/>
                <w:szCs w:val="22"/>
              </w:rPr>
              <w:t>Title:</w:t>
            </w:r>
            <w:r w:rsidR="00BA6B2C">
              <w:rPr>
                <w:rFonts w:ascii="Calibri" w:hAnsi="Calibri" w:cs="Arial"/>
                <w:b/>
                <w:sz w:val="22"/>
                <w:szCs w:val="22"/>
              </w:rPr>
              <w:t>*</w:t>
            </w:r>
            <w:proofErr w:type="gramEnd"/>
          </w:p>
        </w:tc>
        <w:tc>
          <w:tcPr>
            <w:tcW w:w="3781" w:type="dxa"/>
          </w:tcPr>
          <w:p w14:paraId="3477205B" w14:textId="4EE1ABF9" w:rsidR="00DB116D" w:rsidRPr="00F67644" w:rsidRDefault="00BC0EEA" w:rsidP="00BC0EEA">
            <w:pPr>
              <w:spacing w:before="120" w:after="120"/>
              <w:rPr>
                <w:rFonts w:ascii="Calibri" w:hAnsi="Calibri" w:cs="Arial"/>
                <w:b/>
                <w:sz w:val="22"/>
                <w:szCs w:val="22"/>
              </w:rPr>
            </w:pPr>
            <w:r>
              <w:rPr>
                <w:rFonts w:ascii="Arial" w:hAnsi="Arial" w:cs="Arial"/>
                <w:b/>
                <w:szCs w:val="32"/>
              </w:rPr>
              <w:t>Reflections on Teaching and Learning</w:t>
            </w:r>
          </w:p>
        </w:tc>
        <w:tc>
          <w:tcPr>
            <w:tcW w:w="2613" w:type="dxa"/>
            <w:shd w:val="pct15" w:color="auto" w:fill="auto"/>
          </w:tcPr>
          <w:p w14:paraId="592102D2"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No</w:t>
            </w:r>
            <w:r w:rsidR="004B5334">
              <w:rPr>
                <w:rFonts w:ascii="Calibri" w:hAnsi="Calibri" w:cs="Arial"/>
                <w:b/>
                <w:sz w:val="22"/>
                <w:szCs w:val="22"/>
              </w:rPr>
              <w:t xml:space="preserve"> (x of x)</w:t>
            </w:r>
            <w:r w:rsidRPr="00C1361B">
              <w:rPr>
                <w:rFonts w:ascii="Calibri" w:hAnsi="Calibri" w:cs="Arial"/>
                <w:b/>
                <w:sz w:val="22"/>
                <w:szCs w:val="22"/>
              </w:rPr>
              <w:t>:</w:t>
            </w:r>
          </w:p>
        </w:tc>
        <w:tc>
          <w:tcPr>
            <w:tcW w:w="2111" w:type="dxa"/>
          </w:tcPr>
          <w:p w14:paraId="6276223B" w14:textId="0BA4BD3F" w:rsidR="00DB116D" w:rsidRPr="00C1361B" w:rsidRDefault="007423C5" w:rsidP="00E51AAC">
            <w:pPr>
              <w:spacing w:before="120" w:after="120"/>
              <w:jc w:val="both"/>
              <w:rPr>
                <w:rFonts w:ascii="Calibri" w:hAnsi="Calibri" w:cs="Arial"/>
                <w:b/>
                <w:sz w:val="22"/>
                <w:szCs w:val="22"/>
              </w:rPr>
            </w:pPr>
            <w:r>
              <w:rPr>
                <w:rFonts w:ascii="Calibri" w:hAnsi="Calibri" w:cs="Arial"/>
                <w:b/>
                <w:sz w:val="22"/>
                <w:szCs w:val="22"/>
              </w:rPr>
              <w:t>1</w:t>
            </w:r>
          </w:p>
        </w:tc>
      </w:tr>
      <w:tr w:rsidR="00B84B5B" w:rsidRPr="00C1361B" w14:paraId="21437509" w14:textId="77777777" w:rsidTr="001A24F3">
        <w:tc>
          <w:tcPr>
            <w:tcW w:w="2093" w:type="dxa"/>
            <w:shd w:val="pct15" w:color="auto" w:fill="auto"/>
          </w:tcPr>
          <w:p w14:paraId="103B7588" w14:textId="77777777" w:rsidR="00B84B5B" w:rsidRPr="00C1361B" w:rsidRDefault="00BA6B2C" w:rsidP="00E51AAC">
            <w:pPr>
              <w:spacing w:before="120" w:after="120"/>
              <w:jc w:val="both"/>
              <w:rPr>
                <w:rFonts w:ascii="Calibri" w:hAnsi="Calibri" w:cs="Arial"/>
                <w:b/>
                <w:sz w:val="22"/>
                <w:szCs w:val="22"/>
              </w:rPr>
            </w:pPr>
            <w:r>
              <w:rPr>
                <w:rFonts w:ascii="Calibri" w:hAnsi="Calibri" w:cs="Arial"/>
                <w:b/>
                <w:sz w:val="22"/>
                <w:szCs w:val="22"/>
              </w:rPr>
              <w:t xml:space="preserve">Start </w:t>
            </w:r>
            <w:proofErr w:type="gramStart"/>
            <w:r>
              <w:rPr>
                <w:rFonts w:ascii="Calibri" w:hAnsi="Calibri" w:cs="Arial"/>
                <w:b/>
                <w:sz w:val="22"/>
                <w:szCs w:val="22"/>
              </w:rPr>
              <w:t>date</w:t>
            </w:r>
            <w:r w:rsidR="00B84B5B" w:rsidRPr="00C1361B">
              <w:rPr>
                <w:rFonts w:ascii="Calibri" w:hAnsi="Calibri" w:cs="Arial"/>
                <w:b/>
                <w:sz w:val="22"/>
                <w:szCs w:val="22"/>
              </w:rPr>
              <w:t>:</w:t>
            </w:r>
            <w:r>
              <w:rPr>
                <w:rFonts w:ascii="Calibri" w:hAnsi="Calibri" w:cs="Arial"/>
                <w:b/>
                <w:sz w:val="22"/>
                <w:szCs w:val="22"/>
              </w:rPr>
              <w:t>*</w:t>
            </w:r>
            <w:proofErr w:type="gramEnd"/>
          </w:p>
        </w:tc>
        <w:tc>
          <w:tcPr>
            <w:tcW w:w="3781" w:type="dxa"/>
            <w:shd w:val="clear" w:color="auto" w:fill="auto"/>
          </w:tcPr>
          <w:p w14:paraId="5418AC0F" w14:textId="3797FE30" w:rsidR="00B84B5B" w:rsidRPr="00C1361B" w:rsidRDefault="00692092" w:rsidP="005F0579">
            <w:pPr>
              <w:spacing w:before="120" w:after="120"/>
              <w:jc w:val="both"/>
              <w:rPr>
                <w:rFonts w:ascii="Calibri" w:hAnsi="Calibri" w:cs="Arial"/>
                <w:b/>
                <w:sz w:val="22"/>
                <w:szCs w:val="22"/>
              </w:rPr>
            </w:pPr>
            <w:r>
              <w:rPr>
                <w:rFonts w:ascii="Calibri" w:hAnsi="Calibri" w:cs="Arial"/>
                <w:b/>
                <w:sz w:val="22"/>
                <w:szCs w:val="22"/>
              </w:rPr>
              <w:t>09.03.2018</w:t>
            </w:r>
          </w:p>
        </w:tc>
        <w:tc>
          <w:tcPr>
            <w:tcW w:w="2613" w:type="dxa"/>
            <w:shd w:val="pct15" w:color="auto" w:fill="auto"/>
          </w:tcPr>
          <w:p w14:paraId="518DAA7E" w14:textId="77777777"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 xml:space="preserve">Submission </w:t>
            </w:r>
            <w:proofErr w:type="gramStart"/>
            <w:r w:rsidRPr="00C1361B">
              <w:rPr>
                <w:rFonts w:ascii="Calibri" w:hAnsi="Calibri" w:cs="Arial"/>
                <w:b/>
                <w:sz w:val="22"/>
                <w:szCs w:val="22"/>
              </w:rPr>
              <w:t>deadline</w:t>
            </w:r>
            <w:r w:rsidR="00B84B5B" w:rsidRPr="00C1361B">
              <w:rPr>
                <w:rFonts w:ascii="Calibri" w:hAnsi="Calibri" w:cs="Arial"/>
                <w:b/>
                <w:sz w:val="22"/>
                <w:szCs w:val="22"/>
              </w:rPr>
              <w:t>:</w:t>
            </w:r>
            <w:r w:rsidR="00BA6B2C">
              <w:rPr>
                <w:rFonts w:ascii="Calibri" w:hAnsi="Calibri" w:cs="Arial"/>
                <w:b/>
                <w:sz w:val="22"/>
                <w:szCs w:val="22"/>
              </w:rPr>
              <w:t>*</w:t>
            </w:r>
            <w:proofErr w:type="gramEnd"/>
          </w:p>
        </w:tc>
        <w:tc>
          <w:tcPr>
            <w:tcW w:w="2111" w:type="dxa"/>
          </w:tcPr>
          <w:p w14:paraId="42D284F5" w14:textId="04BBE341" w:rsidR="00B84B5B" w:rsidRPr="00C1361B" w:rsidRDefault="00BC0EEA" w:rsidP="005F0579">
            <w:pPr>
              <w:spacing w:before="120" w:after="120"/>
              <w:jc w:val="both"/>
              <w:rPr>
                <w:rFonts w:ascii="Calibri" w:hAnsi="Calibri" w:cs="Arial"/>
                <w:b/>
                <w:sz w:val="22"/>
                <w:szCs w:val="22"/>
              </w:rPr>
            </w:pPr>
            <w:r>
              <w:rPr>
                <w:rFonts w:ascii="Calibri" w:hAnsi="Calibri" w:cs="Arial"/>
                <w:b/>
                <w:sz w:val="22"/>
                <w:szCs w:val="22"/>
              </w:rPr>
              <w:t>1</w:t>
            </w:r>
            <w:r w:rsidR="00E3293C">
              <w:rPr>
                <w:rFonts w:ascii="Calibri" w:hAnsi="Calibri" w:cs="Arial"/>
                <w:b/>
                <w:sz w:val="22"/>
                <w:szCs w:val="22"/>
              </w:rPr>
              <w:t>4</w:t>
            </w:r>
            <w:r w:rsidRPr="007866E5">
              <w:rPr>
                <w:rFonts w:ascii="Calibri" w:hAnsi="Calibri" w:cs="Arial"/>
                <w:b/>
                <w:sz w:val="22"/>
                <w:szCs w:val="22"/>
                <w:vertAlign w:val="superscript"/>
              </w:rPr>
              <w:t>th</w:t>
            </w:r>
            <w:r w:rsidR="00E3293C">
              <w:rPr>
                <w:rFonts w:ascii="Calibri" w:hAnsi="Calibri" w:cs="Arial"/>
                <w:b/>
                <w:sz w:val="22"/>
                <w:szCs w:val="22"/>
              </w:rPr>
              <w:t xml:space="preserve"> May 2018</w:t>
            </w:r>
            <w:r>
              <w:rPr>
                <w:rFonts w:ascii="Calibri" w:hAnsi="Calibri" w:cs="Arial"/>
                <w:b/>
                <w:sz w:val="22"/>
                <w:szCs w:val="22"/>
              </w:rPr>
              <w:t xml:space="preserve"> –full submission</w:t>
            </w:r>
          </w:p>
        </w:tc>
      </w:tr>
      <w:tr w:rsidR="00152E9D" w:rsidRPr="00C1361B" w14:paraId="2269790A" w14:textId="77777777" w:rsidTr="00152E9D">
        <w:tc>
          <w:tcPr>
            <w:tcW w:w="2093" w:type="dxa"/>
            <w:shd w:val="pct15" w:color="auto" w:fill="auto"/>
          </w:tcPr>
          <w:p w14:paraId="33ED9F6E" w14:textId="58D4DABE" w:rsidR="00152E9D" w:rsidRPr="00C1361B" w:rsidRDefault="00152E9D" w:rsidP="00E51AAC">
            <w:pPr>
              <w:spacing w:before="120" w:after="120"/>
              <w:jc w:val="both"/>
              <w:rPr>
                <w:rFonts w:ascii="Calibri" w:hAnsi="Calibri" w:cs="Arial"/>
                <w:b/>
                <w:sz w:val="22"/>
                <w:szCs w:val="22"/>
              </w:rPr>
            </w:pPr>
            <w:r>
              <w:rPr>
                <w:rFonts w:ascii="Calibri" w:hAnsi="Calibri" w:cs="Arial"/>
                <w:b/>
                <w:sz w:val="22"/>
                <w:szCs w:val="22"/>
              </w:rPr>
              <w:t xml:space="preserve">Return date of provisional marks &amp; written </w:t>
            </w:r>
            <w:proofErr w:type="gramStart"/>
            <w:r>
              <w:rPr>
                <w:rFonts w:ascii="Calibri" w:hAnsi="Calibri" w:cs="Arial"/>
                <w:b/>
                <w:sz w:val="22"/>
                <w:szCs w:val="22"/>
              </w:rPr>
              <w:t>feedback:</w:t>
            </w:r>
            <w:r w:rsidR="00BA6B2C">
              <w:rPr>
                <w:rFonts w:ascii="Calibri" w:hAnsi="Calibri" w:cs="Arial"/>
                <w:b/>
                <w:sz w:val="22"/>
                <w:szCs w:val="22"/>
              </w:rPr>
              <w:t>*</w:t>
            </w:r>
            <w:proofErr w:type="gramEnd"/>
          </w:p>
        </w:tc>
        <w:tc>
          <w:tcPr>
            <w:tcW w:w="8505" w:type="dxa"/>
            <w:gridSpan w:val="3"/>
            <w:shd w:val="clear" w:color="auto" w:fill="auto"/>
          </w:tcPr>
          <w:p w14:paraId="3E0A0B8A" w14:textId="77D589BB" w:rsidR="007866E5" w:rsidRPr="00C1361B" w:rsidRDefault="00BC0EEA" w:rsidP="005F0579">
            <w:pPr>
              <w:spacing w:before="120" w:after="120"/>
              <w:jc w:val="both"/>
              <w:rPr>
                <w:rFonts w:ascii="Calibri" w:hAnsi="Calibri" w:cs="Arial"/>
                <w:b/>
                <w:sz w:val="22"/>
                <w:szCs w:val="22"/>
              </w:rPr>
            </w:pPr>
            <w:r>
              <w:rPr>
                <w:rFonts w:ascii="Calibri" w:hAnsi="Calibri" w:cs="Arial"/>
                <w:b/>
                <w:sz w:val="22"/>
                <w:szCs w:val="22"/>
              </w:rPr>
              <w:t>1</w:t>
            </w:r>
            <w:r w:rsidR="00E3293C">
              <w:rPr>
                <w:rFonts w:ascii="Calibri" w:hAnsi="Calibri" w:cs="Arial"/>
                <w:b/>
                <w:sz w:val="22"/>
                <w:szCs w:val="22"/>
              </w:rPr>
              <w:t>1</w:t>
            </w:r>
            <w:r w:rsidRPr="00BC0EEA">
              <w:rPr>
                <w:rFonts w:ascii="Calibri" w:hAnsi="Calibri" w:cs="Arial"/>
                <w:b/>
                <w:sz w:val="22"/>
                <w:szCs w:val="22"/>
                <w:vertAlign w:val="superscript"/>
              </w:rPr>
              <w:t>th</w:t>
            </w:r>
            <w:r>
              <w:rPr>
                <w:rFonts w:ascii="Calibri" w:hAnsi="Calibri" w:cs="Arial"/>
                <w:b/>
                <w:sz w:val="22"/>
                <w:szCs w:val="22"/>
              </w:rPr>
              <w:t xml:space="preserve"> June 201</w:t>
            </w:r>
            <w:r w:rsidR="00E3293C">
              <w:rPr>
                <w:rFonts w:ascii="Calibri" w:hAnsi="Calibri" w:cs="Arial"/>
                <w:b/>
                <w:sz w:val="22"/>
                <w:szCs w:val="22"/>
              </w:rPr>
              <w:t>8</w:t>
            </w:r>
          </w:p>
        </w:tc>
      </w:tr>
    </w:tbl>
    <w:p w14:paraId="4355282F" w14:textId="694E0065" w:rsidR="00C315AF" w:rsidRPr="00C315AF" w:rsidRDefault="00C315AF" w:rsidP="00C315AF">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14:paraId="108D345A" w14:textId="77777777">
        <w:trPr>
          <w:trHeight w:val="421"/>
        </w:trPr>
        <w:tc>
          <w:tcPr>
            <w:tcW w:w="1809" w:type="dxa"/>
            <w:tcBorders>
              <w:top w:val="single" w:sz="6" w:space="0" w:color="auto"/>
            </w:tcBorders>
            <w:shd w:val="clear" w:color="auto" w:fill="D9D9D9"/>
          </w:tcPr>
          <w:p w14:paraId="34F36BB7" w14:textId="77777777"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14:paraId="797820BF" w14:textId="77777777"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w:t>
            </w:r>
            <w:proofErr w:type="gramStart"/>
            <w:r w:rsidR="008A62BC" w:rsidRPr="008F78C2">
              <w:rPr>
                <w:rFonts w:ascii="Calibri" w:hAnsi="Calibri" w:cs="Arial"/>
                <w:sz w:val="18"/>
                <w:szCs w:val="18"/>
              </w:rPr>
              <w:t>initials</w:t>
            </w:r>
            <w:r w:rsidRPr="008F78C2">
              <w:rPr>
                <w:rFonts w:ascii="Calibri" w:hAnsi="Calibri" w:cs="Arial"/>
                <w:sz w:val="18"/>
                <w:szCs w:val="18"/>
              </w:rPr>
              <w:t xml:space="preserve">, </w:t>
            </w:r>
            <w:r w:rsidR="008A62BC" w:rsidRPr="008F78C2">
              <w:rPr>
                <w:rFonts w:ascii="Calibri" w:hAnsi="Calibri" w:cs="Arial"/>
                <w:sz w:val="18"/>
                <w:szCs w:val="18"/>
              </w:rPr>
              <w:t xml:space="preserve"> year</w:t>
            </w:r>
            <w:proofErr w:type="gramEnd"/>
            <w:r w:rsidR="008A62BC" w:rsidRPr="008F78C2">
              <w:rPr>
                <w:rFonts w:ascii="Calibri" w:hAnsi="Calibri" w:cs="Arial"/>
                <w:sz w:val="18"/>
                <w:szCs w:val="18"/>
              </w:rPr>
              <w:t xml:space="preserve"> of publication,</w:t>
            </w:r>
            <w:r w:rsidR="003B6C95">
              <w:rPr>
                <w:rFonts w:ascii="Calibri" w:hAnsi="Calibri" w:cs="Arial"/>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p>
        </w:tc>
      </w:tr>
      <w:tr w:rsidR="00FB5CF8" w:rsidRPr="00C1361B" w14:paraId="14FF598C" w14:textId="77777777" w:rsidTr="00BA1176">
        <w:trPr>
          <w:trHeight w:val="666"/>
        </w:trPr>
        <w:tc>
          <w:tcPr>
            <w:tcW w:w="1809" w:type="dxa"/>
            <w:tcBorders>
              <w:top w:val="single" w:sz="6" w:space="0" w:color="auto"/>
            </w:tcBorders>
            <w:shd w:val="clear" w:color="auto" w:fill="D9D9D9"/>
          </w:tcPr>
          <w:p w14:paraId="141E2901" w14:textId="77777777" w:rsidR="00FB5CF8" w:rsidRPr="00C1361B" w:rsidRDefault="0022746E" w:rsidP="00FB5CF8">
            <w:pPr>
              <w:rPr>
                <w:rFonts w:ascii="Calibri" w:hAnsi="Calibri" w:cs="Arial"/>
                <w:b/>
                <w:sz w:val="22"/>
                <w:szCs w:val="22"/>
              </w:rPr>
            </w:pPr>
            <w:r>
              <w:rPr>
                <w:rFonts w:ascii="Calibri" w:hAnsi="Calibri" w:cs="Arial"/>
                <w:b/>
                <w:sz w:val="22"/>
                <w:szCs w:val="22"/>
              </w:rPr>
              <w:t>Submission:</w:t>
            </w:r>
          </w:p>
        </w:tc>
        <w:tc>
          <w:tcPr>
            <w:tcW w:w="6521" w:type="dxa"/>
            <w:tcBorders>
              <w:top w:val="single" w:sz="6" w:space="0" w:color="auto"/>
            </w:tcBorders>
          </w:tcPr>
          <w:p w14:paraId="6417C9B4" w14:textId="77777777" w:rsidR="0022746E" w:rsidRPr="00152E9D" w:rsidRDefault="0022746E" w:rsidP="0022746E">
            <w:pPr>
              <w:spacing w:before="120" w:after="120"/>
              <w:jc w:val="both"/>
              <w:rPr>
                <w:rFonts w:ascii="Calibri" w:hAnsi="Calibri" w:cs="Arial"/>
                <w:sz w:val="22"/>
                <w:szCs w:val="22"/>
              </w:rPr>
            </w:pPr>
            <w:r w:rsidRPr="00152E9D">
              <w:rPr>
                <w:rFonts w:ascii="Calibri" w:hAnsi="Calibri" w:cs="Arial"/>
                <w:b/>
                <w:sz w:val="22"/>
                <w:szCs w:val="22"/>
              </w:rPr>
              <w:t xml:space="preserve">All assignments must be submitted to Turnitin unless otherwise instructed by the Lecturer. </w:t>
            </w:r>
          </w:p>
          <w:p w14:paraId="7FA1DD06" w14:textId="77777777" w:rsidR="0022746E" w:rsidRPr="0022746E" w:rsidRDefault="0022746E" w:rsidP="0022746E">
            <w:pPr>
              <w:spacing w:before="120" w:after="120"/>
              <w:jc w:val="both"/>
              <w:rPr>
                <w:rFonts w:ascii="Calibri" w:hAnsi="Calibri" w:cs="Arial"/>
                <w:sz w:val="18"/>
                <w:szCs w:val="18"/>
              </w:rPr>
            </w:pPr>
            <w:r w:rsidRPr="00152E9D">
              <w:rPr>
                <w:rFonts w:ascii="Calibri" w:hAnsi="Calibri" w:cs="Arial"/>
                <w:b/>
                <w:sz w:val="22"/>
                <w:szCs w:val="22"/>
              </w:rPr>
              <w:t>Note</w:t>
            </w:r>
            <w:r w:rsidRPr="00152E9D">
              <w:rPr>
                <w:rFonts w:ascii="Calibri" w:hAnsi="Calibri" w:cs="Arial"/>
                <w:sz w:val="22"/>
                <w:szCs w:val="22"/>
              </w:rPr>
              <w:t xml:space="preserve">: the Turnitin version is the primary submission and acts as a receipt for the student.  </w:t>
            </w:r>
            <w:r w:rsidRPr="00152E9D">
              <w:rPr>
                <w:rFonts w:ascii="Calibri" w:hAnsi="Calibri" w:cs="Arial"/>
                <w:b/>
                <w:sz w:val="22"/>
                <w:szCs w:val="22"/>
              </w:rPr>
              <w:t>Late submission of the electronic version of the assignment wi</w:t>
            </w:r>
            <w:r w:rsidR="00BA6B2C">
              <w:rPr>
                <w:rFonts w:ascii="Calibri" w:hAnsi="Calibri" w:cs="Arial"/>
                <w:b/>
                <w:sz w:val="22"/>
                <w:szCs w:val="22"/>
              </w:rPr>
              <w:t>ll result in a late penalty</w:t>
            </w:r>
            <w:r w:rsidRPr="00152E9D">
              <w:rPr>
                <w:rFonts w:ascii="Calibri" w:hAnsi="Calibri" w:cs="Arial"/>
                <w:b/>
                <w:sz w:val="22"/>
                <w:szCs w:val="22"/>
              </w:rPr>
              <w:t xml:space="preserve">.  </w:t>
            </w:r>
            <w:r w:rsidRPr="00152E9D">
              <w:rPr>
                <w:rFonts w:ascii="Calibri" w:hAnsi="Calibri" w:cs="Arial"/>
                <w:sz w:val="22"/>
                <w:szCs w:val="22"/>
              </w:rPr>
              <w:t>Penalties for l</w:t>
            </w:r>
            <w:r w:rsidR="00BA6B2C">
              <w:rPr>
                <w:rFonts w:ascii="Calibri" w:hAnsi="Calibri" w:cs="Arial"/>
                <w:sz w:val="22"/>
                <w:szCs w:val="22"/>
              </w:rPr>
              <w:t>ate submission: Up to one week late, maximum grade D.</w:t>
            </w:r>
            <w:r w:rsidRPr="00152E9D">
              <w:rPr>
                <w:rFonts w:ascii="Calibri" w:hAnsi="Calibri" w:cs="Arial"/>
                <w:sz w:val="22"/>
                <w:szCs w:val="22"/>
              </w:rPr>
              <w:t xml:space="preserve">  Over one week late, Refer.  Only the Extenuating Circumstances Panel may grant an extension.</w:t>
            </w:r>
          </w:p>
        </w:tc>
        <w:tc>
          <w:tcPr>
            <w:tcW w:w="1134" w:type="dxa"/>
            <w:tcBorders>
              <w:top w:val="single" w:sz="6" w:space="0" w:color="auto"/>
            </w:tcBorders>
            <w:shd w:val="clear" w:color="auto" w:fill="D9D9D9"/>
          </w:tcPr>
          <w:p w14:paraId="7FA918D3" w14:textId="088941B9" w:rsidR="00FB5CF8" w:rsidRPr="00C1361B" w:rsidRDefault="00FB5CF8" w:rsidP="00FB5CF8">
            <w:pPr>
              <w:rPr>
                <w:rFonts w:ascii="Calibri" w:hAnsi="Calibri" w:cs="Arial"/>
                <w:b/>
                <w:sz w:val="22"/>
                <w:szCs w:val="22"/>
              </w:rPr>
            </w:pPr>
            <w:r w:rsidRPr="00C1361B">
              <w:rPr>
                <w:rFonts w:ascii="Calibri" w:hAnsi="Calibri" w:cs="Arial"/>
                <w:b/>
                <w:sz w:val="22"/>
                <w:szCs w:val="22"/>
              </w:rPr>
              <w:t>Date:</w:t>
            </w:r>
          </w:p>
        </w:tc>
        <w:tc>
          <w:tcPr>
            <w:tcW w:w="1134" w:type="dxa"/>
            <w:tcBorders>
              <w:top w:val="single" w:sz="6" w:space="0" w:color="auto"/>
            </w:tcBorders>
          </w:tcPr>
          <w:p w14:paraId="152A5B5A" w14:textId="389B7F7E" w:rsidR="00FB5CF8" w:rsidRPr="00C1361B" w:rsidRDefault="00692092" w:rsidP="00FB5CF8">
            <w:pPr>
              <w:rPr>
                <w:rFonts w:ascii="Calibri" w:hAnsi="Calibri" w:cs="Arial"/>
                <w:b/>
              </w:rPr>
            </w:pPr>
            <w:r>
              <w:rPr>
                <w:rFonts w:ascii="Calibri" w:hAnsi="Calibri" w:cs="Arial"/>
                <w:b/>
              </w:rPr>
              <w:t>10.05.2018</w:t>
            </w:r>
          </w:p>
        </w:tc>
      </w:tr>
    </w:tbl>
    <w:p w14:paraId="231B1F23" w14:textId="77777777" w:rsidR="00C315AF" w:rsidRPr="00C315AF" w:rsidRDefault="00C315AF" w:rsidP="00C315AF">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BA1176" w:rsidRPr="00BF30FF" w14:paraId="6891BFCE" w14:textId="77777777" w:rsidTr="00152E9D">
        <w:trPr>
          <w:trHeight w:val="386"/>
        </w:trPr>
        <w:tc>
          <w:tcPr>
            <w:tcW w:w="9464" w:type="dxa"/>
            <w:vMerge w:val="restart"/>
            <w:shd w:val="pct15" w:color="auto" w:fill="auto"/>
          </w:tcPr>
          <w:p w14:paraId="62863BEF" w14:textId="77777777" w:rsidR="00BA1176" w:rsidRPr="00BA1176" w:rsidRDefault="00BA6B2C" w:rsidP="0022746E">
            <w:pPr>
              <w:spacing w:before="120" w:after="120"/>
              <w:jc w:val="both"/>
              <w:rPr>
                <w:rFonts w:ascii="Calibri" w:hAnsi="Calibri" w:cs="Calibri"/>
                <w:b/>
                <w:sz w:val="18"/>
                <w:szCs w:val="18"/>
              </w:rPr>
            </w:pPr>
            <w:r>
              <w:rPr>
                <w:rFonts w:ascii="Calibri" w:hAnsi="Calibri" w:cs="Arial"/>
                <w:sz w:val="18"/>
                <w:szCs w:val="18"/>
              </w:rPr>
              <w:t>Module lead</w:t>
            </w:r>
            <w:r w:rsidR="00152E9D" w:rsidRPr="00BA1176">
              <w:rPr>
                <w:rFonts w:ascii="Calibri" w:hAnsi="Calibri" w:cs="Arial"/>
                <w:sz w:val="18"/>
                <w:szCs w:val="18"/>
              </w:rPr>
              <w:t xml:space="preserve"> to</w:t>
            </w:r>
            <w:r w:rsidR="003B6C95">
              <w:rPr>
                <w:rFonts w:ascii="Calibri" w:hAnsi="Calibri" w:cs="Arial"/>
                <w:sz w:val="18"/>
                <w:szCs w:val="18"/>
              </w:rPr>
              <w:t xml:space="preserve"> </w:t>
            </w:r>
            <w:r w:rsidR="00152E9D" w:rsidRPr="00BA1176">
              <w:rPr>
                <w:rFonts w:ascii="Calibri" w:hAnsi="Calibri" w:cs="Arial"/>
                <w:sz w:val="18"/>
                <w:szCs w:val="18"/>
              </w:rPr>
              <w:t>t</w:t>
            </w:r>
            <w:r w:rsidR="00152E9D">
              <w:rPr>
                <w:rFonts w:ascii="Calibri" w:hAnsi="Calibri" w:cs="Arial"/>
                <w:sz w:val="18"/>
                <w:szCs w:val="18"/>
              </w:rPr>
              <w:t>ick to indicate if a hard copy</w:t>
            </w:r>
            <w:r w:rsidR="00152E9D" w:rsidRPr="00BA1176">
              <w:rPr>
                <w:rFonts w:ascii="Calibri" w:hAnsi="Calibri" w:cs="Arial"/>
                <w:sz w:val="18"/>
                <w:szCs w:val="18"/>
              </w:rPr>
              <w:t xml:space="preserve"> version of the assignment must be</w:t>
            </w:r>
            <w:r w:rsidR="00152E9D">
              <w:rPr>
                <w:rFonts w:ascii="Calibri" w:hAnsi="Calibri" w:cs="Arial"/>
                <w:sz w:val="18"/>
                <w:szCs w:val="18"/>
              </w:rPr>
              <w:t xml:space="preserve"> </w:t>
            </w:r>
            <w:proofErr w:type="gramStart"/>
            <w:r w:rsidR="00152E9D">
              <w:rPr>
                <w:rFonts w:ascii="Calibri" w:hAnsi="Calibri" w:cs="Arial"/>
                <w:sz w:val="18"/>
                <w:szCs w:val="18"/>
              </w:rPr>
              <w:t>submitted.</w:t>
            </w:r>
            <w:r>
              <w:rPr>
                <w:rFonts w:ascii="Calibri" w:hAnsi="Calibri" w:cs="Arial"/>
                <w:sz w:val="18"/>
                <w:szCs w:val="18"/>
              </w:rPr>
              <w:t>*</w:t>
            </w:r>
            <w:proofErr w:type="gramEnd"/>
          </w:p>
        </w:tc>
        <w:tc>
          <w:tcPr>
            <w:tcW w:w="567" w:type="dxa"/>
            <w:shd w:val="pct15" w:color="auto" w:fill="auto"/>
          </w:tcPr>
          <w:p w14:paraId="52B61ED5" w14:textId="77777777"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tcPr>
          <w:p w14:paraId="2FC9B782" w14:textId="77777777" w:rsidR="00BA1176" w:rsidRPr="00BF30FF" w:rsidRDefault="00BA1176" w:rsidP="00B81AD3">
            <w:pPr>
              <w:spacing w:before="120" w:after="120"/>
              <w:jc w:val="both"/>
              <w:rPr>
                <w:rFonts w:ascii="Calibri" w:hAnsi="Calibri" w:cs="Calibri"/>
                <w:b/>
              </w:rPr>
            </w:pPr>
          </w:p>
        </w:tc>
      </w:tr>
      <w:tr w:rsidR="00BA1176" w:rsidRPr="00BF30FF" w14:paraId="2E5F7482" w14:textId="77777777" w:rsidTr="00152E9D">
        <w:trPr>
          <w:trHeight w:val="408"/>
        </w:trPr>
        <w:tc>
          <w:tcPr>
            <w:tcW w:w="9464" w:type="dxa"/>
            <w:vMerge/>
            <w:shd w:val="pct15" w:color="auto" w:fill="auto"/>
          </w:tcPr>
          <w:p w14:paraId="3A7829E9" w14:textId="77777777" w:rsidR="00BA1176" w:rsidRPr="00BF30FF" w:rsidRDefault="00BA1176" w:rsidP="00B81AD3">
            <w:pPr>
              <w:spacing w:before="120" w:after="120"/>
              <w:jc w:val="both"/>
              <w:rPr>
                <w:rFonts w:ascii="Calibri" w:hAnsi="Calibri" w:cs="Calibri"/>
                <w:b/>
              </w:rPr>
            </w:pPr>
          </w:p>
        </w:tc>
        <w:tc>
          <w:tcPr>
            <w:tcW w:w="567" w:type="dxa"/>
            <w:shd w:val="pct15" w:color="auto" w:fill="auto"/>
          </w:tcPr>
          <w:p w14:paraId="2EECB4F3" w14:textId="77777777"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tcPr>
          <w:p w14:paraId="49E697EE" w14:textId="44D97981" w:rsidR="00BA1176" w:rsidRPr="00BF30FF" w:rsidRDefault="007423C5" w:rsidP="00B81AD3">
            <w:pPr>
              <w:spacing w:before="120" w:after="120"/>
              <w:jc w:val="both"/>
              <w:rPr>
                <w:rFonts w:ascii="Calibri" w:hAnsi="Calibri" w:cs="Calibri"/>
                <w:b/>
              </w:rPr>
            </w:pPr>
            <w:r>
              <w:rPr>
                <w:rFonts w:ascii="Calibri" w:hAnsi="Calibri" w:cs="Calibri"/>
                <w:b/>
              </w:rPr>
              <w:t>√</w:t>
            </w:r>
          </w:p>
        </w:tc>
      </w:tr>
    </w:tbl>
    <w:p w14:paraId="1F055A0C" w14:textId="77777777" w:rsidR="0028204E" w:rsidRDefault="0028204E" w:rsidP="00DB116D">
      <w:pPr>
        <w:rPr>
          <w:sz w:val="32"/>
        </w:rPr>
      </w:pPr>
    </w:p>
    <w:p w14:paraId="2B5C4864" w14:textId="77777777" w:rsidR="00152E9D" w:rsidRDefault="00152E9D" w:rsidP="00DB116D">
      <w:pPr>
        <w:rPr>
          <w:rFonts w:ascii="Calibri" w:hAnsi="Calibri" w:cs="Calibri"/>
          <w:b/>
        </w:rPr>
      </w:pPr>
    </w:p>
    <w:bookmarkEnd w:id="0"/>
    <w:p w14:paraId="0E51E97E" w14:textId="17367D6F" w:rsidR="00BA6B2C" w:rsidRDefault="00BA6B2C" w:rsidP="00DB116D">
      <w:pPr>
        <w:rPr>
          <w:rFonts w:ascii="Calibri" w:hAnsi="Calibri" w:cs="Calibri"/>
          <w:b/>
        </w:rPr>
      </w:pPr>
    </w:p>
    <w:p w14:paraId="2076C459" w14:textId="7D92E1DE" w:rsidR="00692092" w:rsidRDefault="00692092" w:rsidP="00DB116D">
      <w:pPr>
        <w:rPr>
          <w:rFonts w:ascii="Calibri" w:hAnsi="Calibri" w:cs="Calibri"/>
          <w:b/>
        </w:rPr>
      </w:pPr>
    </w:p>
    <w:p w14:paraId="06F00BE5" w14:textId="77777777" w:rsidR="00692092" w:rsidRDefault="00692092" w:rsidP="00DB116D">
      <w:pPr>
        <w:rPr>
          <w:rFonts w:ascii="Calibri" w:hAnsi="Calibri" w:cs="Calibri"/>
          <w:b/>
        </w:rPr>
      </w:pPr>
    </w:p>
    <w:p w14:paraId="3A3B50BE" w14:textId="10954C9D" w:rsidR="00692092" w:rsidRDefault="00692092" w:rsidP="00DB116D">
      <w:pPr>
        <w:rPr>
          <w:rFonts w:ascii="Calibri" w:hAnsi="Calibri" w:cs="Calibri"/>
          <w:b/>
        </w:rPr>
      </w:pPr>
    </w:p>
    <w:p w14:paraId="4AA8D05E" w14:textId="494E7BDE" w:rsidR="00692092" w:rsidRDefault="00692092" w:rsidP="00DB116D">
      <w:pPr>
        <w:rPr>
          <w:rFonts w:ascii="Calibri" w:hAnsi="Calibri" w:cs="Calibri"/>
          <w:b/>
        </w:rPr>
      </w:pPr>
    </w:p>
    <w:p w14:paraId="62F2C5B1" w14:textId="16971389" w:rsidR="00692092" w:rsidRDefault="00692092" w:rsidP="00DB116D">
      <w:pPr>
        <w:rPr>
          <w:rFonts w:ascii="Calibri" w:hAnsi="Calibri" w:cs="Calibri"/>
          <w:b/>
        </w:rPr>
      </w:pPr>
    </w:p>
    <w:p w14:paraId="3CD52864" w14:textId="587B51F4" w:rsidR="00692092" w:rsidRDefault="00692092" w:rsidP="00DB116D">
      <w:pPr>
        <w:rPr>
          <w:rFonts w:ascii="Calibri" w:hAnsi="Calibri" w:cs="Calibri"/>
          <w:b/>
        </w:rPr>
      </w:pPr>
    </w:p>
    <w:p w14:paraId="0E03DE60" w14:textId="4576CF75" w:rsidR="00692092" w:rsidRDefault="00692092" w:rsidP="00DB116D">
      <w:pPr>
        <w:rPr>
          <w:rFonts w:ascii="Calibri" w:hAnsi="Calibri" w:cs="Calibri"/>
          <w:b/>
        </w:rPr>
      </w:pPr>
    </w:p>
    <w:p w14:paraId="7A019963" w14:textId="2A665BA9" w:rsidR="00692092" w:rsidRPr="00692092" w:rsidRDefault="00692092" w:rsidP="00DB116D">
      <w:pPr>
        <w:rPr>
          <w:rFonts w:asciiTheme="majorHAnsi" w:hAnsiTheme="majorHAnsi" w:cstheme="majorHAnsi"/>
          <w:b/>
          <w:sz w:val="22"/>
          <w:szCs w:val="22"/>
        </w:rPr>
      </w:pPr>
    </w:p>
    <w:p w14:paraId="5E82D144" w14:textId="77777777" w:rsidR="00692092" w:rsidRPr="00692092" w:rsidRDefault="00692092" w:rsidP="00692092">
      <w:pPr>
        <w:jc w:val="center"/>
        <w:rPr>
          <w:rFonts w:asciiTheme="majorHAnsi" w:hAnsiTheme="majorHAnsi" w:cstheme="majorHAnsi"/>
          <w:b/>
          <w:sz w:val="22"/>
          <w:szCs w:val="22"/>
        </w:rPr>
      </w:pPr>
      <w:r w:rsidRPr="00692092">
        <w:rPr>
          <w:rFonts w:asciiTheme="majorHAnsi" w:hAnsiTheme="majorHAnsi" w:cstheme="majorHAnsi"/>
          <w:b/>
          <w:sz w:val="22"/>
          <w:szCs w:val="22"/>
        </w:rPr>
        <w:t>University of Wales Trinity Saint David</w:t>
      </w:r>
    </w:p>
    <w:p w14:paraId="5BA31177" w14:textId="77777777" w:rsidR="00692092" w:rsidRPr="00692092" w:rsidRDefault="00692092" w:rsidP="00692092">
      <w:pPr>
        <w:jc w:val="center"/>
        <w:rPr>
          <w:rFonts w:asciiTheme="majorHAnsi" w:hAnsiTheme="majorHAnsi" w:cstheme="majorHAnsi"/>
          <w:b/>
          <w:sz w:val="22"/>
          <w:szCs w:val="22"/>
        </w:rPr>
      </w:pPr>
      <w:r w:rsidRPr="00692092">
        <w:rPr>
          <w:rFonts w:asciiTheme="majorHAnsi" w:hAnsiTheme="majorHAnsi" w:cstheme="majorHAnsi"/>
          <w:b/>
          <w:sz w:val="22"/>
          <w:szCs w:val="22"/>
        </w:rPr>
        <w:t>Prifysgol Cymru Y Drindod Dewi Sant</w:t>
      </w:r>
    </w:p>
    <w:p w14:paraId="19E1F46D" w14:textId="77777777" w:rsidR="00692092" w:rsidRPr="00692092" w:rsidRDefault="00692092" w:rsidP="00692092">
      <w:pPr>
        <w:jc w:val="center"/>
        <w:rPr>
          <w:rFonts w:asciiTheme="majorHAnsi" w:hAnsiTheme="majorHAnsi" w:cstheme="majorHAnsi"/>
          <w:b/>
          <w:sz w:val="22"/>
          <w:szCs w:val="22"/>
        </w:rPr>
      </w:pPr>
    </w:p>
    <w:p w14:paraId="0C6AA62F" w14:textId="77777777" w:rsidR="00692092" w:rsidRPr="00692092" w:rsidRDefault="00692092" w:rsidP="00692092">
      <w:pPr>
        <w:jc w:val="center"/>
        <w:rPr>
          <w:rFonts w:asciiTheme="majorHAnsi" w:hAnsiTheme="majorHAnsi" w:cstheme="majorHAnsi"/>
          <w:i/>
          <w:sz w:val="22"/>
          <w:szCs w:val="22"/>
        </w:rPr>
      </w:pPr>
    </w:p>
    <w:p w14:paraId="72760F78" w14:textId="77777777" w:rsidR="00692092" w:rsidRPr="00692092" w:rsidRDefault="00692092" w:rsidP="00692092">
      <w:pPr>
        <w:jc w:val="center"/>
        <w:rPr>
          <w:rFonts w:asciiTheme="majorHAnsi" w:hAnsiTheme="majorHAnsi" w:cstheme="majorHAnsi"/>
          <w:i/>
          <w:sz w:val="22"/>
          <w:szCs w:val="22"/>
        </w:rPr>
      </w:pPr>
      <w:r w:rsidRPr="00692092">
        <w:rPr>
          <w:rFonts w:asciiTheme="majorHAnsi" w:hAnsiTheme="majorHAnsi" w:cstheme="majorHAnsi"/>
          <w:noProof/>
          <w:sz w:val="22"/>
          <w:szCs w:val="22"/>
        </w:rPr>
        <w:drawing>
          <wp:inline distT="0" distB="0" distL="0" distR="0" wp14:anchorId="76B42AEA" wp14:editId="78DF4425">
            <wp:extent cx="5203738" cy="2049517"/>
            <wp:effectExtent l="0" t="0" r="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37673" cy="2062882"/>
                    </a:xfrm>
                    <a:prstGeom prst="rect">
                      <a:avLst/>
                    </a:prstGeom>
                  </pic:spPr>
                </pic:pic>
              </a:graphicData>
            </a:graphic>
          </wp:inline>
        </w:drawing>
      </w:r>
    </w:p>
    <w:p w14:paraId="363C69DA" w14:textId="77777777" w:rsidR="00692092" w:rsidRPr="00692092" w:rsidRDefault="00692092" w:rsidP="00692092">
      <w:pPr>
        <w:jc w:val="center"/>
        <w:rPr>
          <w:rFonts w:asciiTheme="majorHAnsi" w:hAnsiTheme="majorHAnsi" w:cstheme="majorHAnsi"/>
          <w:i/>
          <w:sz w:val="22"/>
          <w:szCs w:val="22"/>
        </w:rPr>
      </w:pPr>
    </w:p>
    <w:p w14:paraId="46B5A264" w14:textId="77777777" w:rsidR="00692092" w:rsidRPr="00692092" w:rsidRDefault="00692092" w:rsidP="00692092">
      <w:pPr>
        <w:jc w:val="center"/>
        <w:rPr>
          <w:rFonts w:asciiTheme="majorHAnsi" w:hAnsiTheme="majorHAnsi" w:cstheme="majorHAnsi"/>
          <w:b/>
          <w:sz w:val="22"/>
          <w:szCs w:val="22"/>
        </w:rPr>
      </w:pPr>
    </w:p>
    <w:p w14:paraId="4123BA22" w14:textId="77777777" w:rsidR="00692092" w:rsidRPr="00692092" w:rsidRDefault="00692092" w:rsidP="00692092">
      <w:pPr>
        <w:jc w:val="center"/>
        <w:rPr>
          <w:rFonts w:asciiTheme="majorHAnsi" w:hAnsiTheme="majorHAnsi" w:cstheme="majorHAnsi"/>
          <w:b/>
          <w:sz w:val="22"/>
          <w:szCs w:val="22"/>
        </w:rPr>
      </w:pPr>
      <w:r w:rsidRPr="00692092">
        <w:rPr>
          <w:rFonts w:asciiTheme="majorHAnsi" w:hAnsiTheme="majorHAnsi" w:cstheme="majorHAnsi"/>
          <w:b/>
          <w:sz w:val="22"/>
          <w:szCs w:val="22"/>
        </w:rPr>
        <w:t>Faculty of Education and Communities</w:t>
      </w:r>
    </w:p>
    <w:p w14:paraId="12A88218" w14:textId="77777777" w:rsidR="00692092" w:rsidRPr="00692092" w:rsidRDefault="00692092" w:rsidP="00692092">
      <w:pPr>
        <w:jc w:val="center"/>
        <w:rPr>
          <w:rFonts w:asciiTheme="majorHAnsi" w:hAnsiTheme="majorHAnsi" w:cstheme="majorHAnsi"/>
          <w:b/>
          <w:i/>
          <w:sz w:val="22"/>
          <w:szCs w:val="22"/>
        </w:rPr>
      </w:pPr>
    </w:p>
    <w:p w14:paraId="6593A117" w14:textId="77777777" w:rsidR="00692092" w:rsidRPr="00692092" w:rsidRDefault="00692092" w:rsidP="00692092">
      <w:pPr>
        <w:jc w:val="center"/>
        <w:rPr>
          <w:rFonts w:asciiTheme="majorHAnsi" w:hAnsiTheme="majorHAnsi" w:cstheme="majorHAnsi"/>
          <w:b/>
          <w:sz w:val="22"/>
          <w:szCs w:val="22"/>
        </w:rPr>
      </w:pPr>
      <w:r w:rsidRPr="00692092">
        <w:rPr>
          <w:rFonts w:asciiTheme="majorHAnsi" w:hAnsiTheme="majorHAnsi" w:cstheme="majorHAnsi"/>
          <w:b/>
          <w:sz w:val="22"/>
          <w:szCs w:val="22"/>
        </w:rPr>
        <w:t>PGCE Secondary Religious Education with QTS</w:t>
      </w:r>
    </w:p>
    <w:p w14:paraId="6B97EF68" w14:textId="77777777" w:rsidR="00692092" w:rsidRPr="00692092" w:rsidRDefault="00692092" w:rsidP="00692092">
      <w:pPr>
        <w:jc w:val="center"/>
        <w:rPr>
          <w:rFonts w:asciiTheme="majorHAnsi" w:hAnsiTheme="majorHAnsi" w:cstheme="majorHAnsi"/>
          <w:i/>
          <w:sz w:val="22"/>
          <w:szCs w:val="22"/>
        </w:rPr>
      </w:pPr>
    </w:p>
    <w:p w14:paraId="3EC852E1" w14:textId="77777777" w:rsidR="00692092" w:rsidRPr="00692092" w:rsidRDefault="00692092" w:rsidP="00692092">
      <w:pPr>
        <w:jc w:val="center"/>
        <w:rPr>
          <w:rFonts w:asciiTheme="majorHAnsi" w:hAnsiTheme="majorHAnsi" w:cstheme="majorHAnsi"/>
          <w:b/>
          <w:sz w:val="22"/>
          <w:szCs w:val="22"/>
        </w:rPr>
      </w:pPr>
      <w:r w:rsidRPr="00692092">
        <w:rPr>
          <w:rFonts w:asciiTheme="majorHAnsi" w:hAnsiTheme="majorHAnsi" w:cstheme="majorHAnsi"/>
          <w:b/>
          <w:sz w:val="22"/>
          <w:szCs w:val="22"/>
        </w:rPr>
        <w:t>A qualitative study into the perceived impact of the use of Virtual Field Trips (VFTs) on the teaching and learning of those seen to be at a disadvantage within the education system.</w:t>
      </w:r>
    </w:p>
    <w:p w14:paraId="2620635F" w14:textId="77777777" w:rsidR="00692092" w:rsidRPr="00692092" w:rsidRDefault="00692092" w:rsidP="00692092">
      <w:pPr>
        <w:jc w:val="center"/>
        <w:rPr>
          <w:rFonts w:asciiTheme="majorHAnsi" w:hAnsiTheme="majorHAnsi" w:cstheme="majorHAnsi"/>
          <w:sz w:val="22"/>
          <w:szCs w:val="22"/>
        </w:rPr>
      </w:pPr>
    </w:p>
    <w:p w14:paraId="439100FD" w14:textId="77777777" w:rsidR="00692092" w:rsidRPr="00692092" w:rsidRDefault="00692092" w:rsidP="00692092">
      <w:pPr>
        <w:jc w:val="center"/>
        <w:rPr>
          <w:rFonts w:asciiTheme="majorHAnsi" w:hAnsiTheme="majorHAnsi" w:cstheme="majorHAnsi"/>
          <w:b/>
          <w:sz w:val="22"/>
          <w:szCs w:val="22"/>
        </w:rPr>
      </w:pPr>
      <w:r w:rsidRPr="00692092">
        <w:rPr>
          <w:rFonts w:asciiTheme="majorHAnsi" w:hAnsiTheme="majorHAnsi" w:cstheme="majorHAnsi"/>
          <w:b/>
          <w:sz w:val="22"/>
          <w:szCs w:val="22"/>
        </w:rPr>
        <w:t>ECSP7002</w:t>
      </w:r>
    </w:p>
    <w:p w14:paraId="2CDFBCB5" w14:textId="77777777" w:rsidR="00692092" w:rsidRPr="00692092" w:rsidRDefault="00692092" w:rsidP="00692092">
      <w:pPr>
        <w:jc w:val="center"/>
        <w:rPr>
          <w:rFonts w:asciiTheme="majorHAnsi" w:hAnsiTheme="majorHAnsi" w:cstheme="majorHAnsi"/>
          <w:b/>
          <w:sz w:val="22"/>
          <w:szCs w:val="22"/>
        </w:rPr>
      </w:pPr>
    </w:p>
    <w:p w14:paraId="1E573A95" w14:textId="77777777" w:rsidR="00692092" w:rsidRPr="00692092" w:rsidRDefault="00692092" w:rsidP="00692092">
      <w:pPr>
        <w:jc w:val="center"/>
        <w:rPr>
          <w:rFonts w:asciiTheme="majorHAnsi" w:hAnsiTheme="majorHAnsi" w:cstheme="majorHAnsi"/>
          <w:b/>
          <w:sz w:val="22"/>
          <w:szCs w:val="22"/>
        </w:rPr>
      </w:pPr>
      <w:r w:rsidRPr="00692092">
        <w:rPr>
          <w:rFonts w:asciiTheme="majorHAnsi" w:hAnsiTheme="majorHAnsi" w:cstheme="majorHAnsi"/>
          <w:b/>
          <w:sz w:val="22"/>
          <w:szCs w:val="22"/>
        </w:rPr>
        <w:t>Nikita Louise Forbes</w:t>
      </w:r>
    </w:p>
    <w:p w14:paraId="48A8E0F5" w14:textId="77777777" w:rsidR="004A7979" w:rsidRDefault="004A7979">
      <w:pPr>
        <w:rPr>
          <w:rFonts w:asciiTheme="majorHAnsi" w:hAnsiTheme="majorHAnsi" w:cstheme="majorHAnsi"/>
          <w:sz w:val="22"/>
          <w:szCs w:val="22"/>
        </w:rPr>
      </w:pPr>
      <w:r>
        <w:rPr>
          <w:rFonts w:asciiTheme="majorHAnsi" w:hAnsiTheme="majorHAnsi" w:cstheme="majorHAnsi"/>
          <w:sz w:val="22"/>
          <w:szCs w:val="22"/>
        </w:rPr>
        <w:br w:type="page"/>
      </w:r>
    </w:p>
    <w:p w14:paraId="4FDFDD90" w14:textId="77777777" w:rsidR="00804766" w:rsidRPr="0069123E" w:rsidRDefault="00804766" w:rsidP="00804766">
      <w:pPr>
        <w:spacing w:line="480" w:lineRule="auto"/>
        <w:rPr>
          <w:rFonts w:asciiTheme="majorHAnsi" w:hAnsiTheme="majorHAnsi" w:cstheme="majorHAnsi"/>
          <w:b/>
          <w:sz w:val="22"/>
          <w:szCs w:val="22"/>
          <w:u w:val="single"/>
        </w:rPr>
      </w:pPr>
      <w:r w:rsidRPr="00692092">
        <w:rPr>
          <w:rFonts w:asciiTheme="majorHAnsi" w:hAnsiTheme="majorHAnsi" w:cstheme="majorHAnsi"/>
          <w:b/>
          <w:sz w:val="22"/>
          <w:szCs w:val="22"/>
          <w:u w:val="single"/>
        </w:rPr>
        <w:lastRenderedPageBreak/>
        <w:t>Introduction</w:t>
      </w:r>
    </w:p>
    <w:p w14:paraId="5A43B8F3" w14:textId="77777777" w:rsidR="00804766" w:rsidRPr="00692092" w:rsidRDefault="00804766" w:rsidP="00804766">
      <w:pPr>
        <w:spacing w:line="480" w:lineRule="auto"/>
        <w:ind w:firstLine="720"/>
        <w:jc w:val="both"/>
        <w:rPr>
          <w:rFonts w:asciiTheme="majorHAnsi" w:hAnsiTheme="majorHAnsi" w:cstheme="majorHAnsi"/>
          <w:sz w:val="22"/>
          <w:szCs w:val="22"/>
          <w:lang w:eastAsia="x-none"/>
        </w:rPr>
      </w:pPr>
      <w:r w:rsidRPr="00692092">
        <w:rPr>
          <w:rFonts w:asciiTheme="majorHAnsi" w:hAnsiTheme="majorHAnsi" w:cstheme="majorHAnsi"/>
          <w:sz w:val="22"/>
          <w:szCs w:val="22"/>
        </w:rPr>
        <w:t>Virtual Field Trips (VFTs) are simulated field trips that use the internet to guide learners through an online learning experience; a way to visit a place you can’t go to in real life (</w:t>
      </w:r>
      <w:bookmarkStart w:id="1" w:name="_Hlk513929458"/>
      <w:r w:rsidRPr="00692092">
        <w:rPr>
          <w:rFonts w:asciiTheme="majorHAnsi" w:hAnsiTheme="majorHAnsi" w:cstheme="majorHAnsi"/>
          <w:sz w:val="22"/>
          <w:szCs w:val="22"/>
        </w:rPr>
        <w:t>Johnson &amp; Lamb, 2013</w:t>
      </w:r>
      <w:bookmarkEnd w:id="1"/>
      <w:r w:rsidRPr="00692092">
        <w:rPr>
          <w:rFonts w:asciiTheme="majorHAnsi" w:hAnsiTheme="majorHAnsi" w:cstheme="majorHAnsi"/>
          <w:sz w:val="22"/>
          <w:szCs w:val="22"/>
        </w:rPr>
        <w:t>). This report aims to assess the whethe</w:t>
      </w:r>
      <w:r>
        <w:rPr>
          <w:rFonts w:asciiTheme="majorHAnsi" w:hAnsiTheme="majorHAnsi" w:cstheme="majorHAnsi"/>
          <w:sz w:val="22"/>
          <w:szCs w:val="22"/>
        </w:rPr>
        <w:t>r the use of VFTs</w:t>
      </w:r>
      <w:r w:rsidRPr="00692092">
        <w:rPr>
          <w:rFonts w:asciiTheme="majorHAnsi" w:hAnsiTheme="majorHAnsi" w:cstheme="majorHAnsi"/>
          <w:sz w:val="22"/>
          <w:szCs w:val="22"/>
        </w:rPr>
        <w:t xml:space="preserve"> are perceived to have an impact on the learning environment and/or learning outcomes, and whether VFTs are able to allow for the disadvantaged learner to feel more included in the learning process within the ‘brick and mortar’ classro</w:t>
      </w:r>
      <w:r>
        <w:rPr>
          <w:rFonts w:asciiTheme="majorHAnsi" w:hAnsiTheme="majorHAnsi" w:cstheme="majorHAnsi"/>
          <w:sz w:val="22"/>
          <w:szCs w:val="22"/>
        </w:rPr>
        <w:t>om context (</w:t>
      </w:r>
      <w:bookmarkStart w:id="2" w:name="_Hlk513929469"/>
      <w:r>
        <w:rPr>
          <w:rFonts w:asciiTheme="majorHAnsi" w:hAnsiTheme="majorHAnsi" w:cstheme="majorHAnsi"/>
          <w:sz w:val="22"/>
          <w:szCs w:val="22"/>
        </w:rPr>
        <w:t>Bavisotto, 2014</w:t>
      </w:r>
      <w:bookmarkEnd w:id="2"/>
      <w:r>
        <w:rPr>
          <w:rFonts w:asciiTheme="majorHAnsi" w:hAnsiTheme="majorHAnsi" w:cstheme="majorHAnsi"/>
          <w:sz w:val="22"/>
          <w:szCs w:val="22"/>
        </w:rPr>
        <w:t xml:space="preserve">). The subsequent conclusion </w:t>
      </w:r>
      <w:r w:rsidRPr="00692092">
        <w:rPr>
          <w:rFonts w:asciiTheme="majorHAnsi" w:hAnsiTheme="majorHAnsi" w:cstheme="majorHAnsi"/>
          <w:sz w:val="22"/>
          <w:szCs w:val="22"/>
        </w:rPr>
        <w:t>will be based on the outcomes of action-based research.</w:t>
      </w:r>
    </w:p>
    <w:p w14:paraId="731B21BC" w14:textId="77777777" w:rsidR="00804766" w:rsidRPr="00692092" w:rsidRDefault="00804766" w:rsidP="00804766">
      <w:pPr>
        <w:spacing w:line="480" w:lineRule="auto"/>
        <w:ind w:firstLine="720"/>
        <w:jc w:val="both"/>
        <w:rPr>
          <w:rFonts w:asciiTheme="majorHAnsi" w:hAnsiTheme="majorHAnsi" w:cstheme="majorHAnsi"/>
          <w:sz w:val="22"/>
          <w:szCs w:val="22"/>
        </w:rPr>
      </w:pPr>
      <w:r>
        <w:rPr>
          <w:rFonts w:asciiTheme="majorHAnsi" w:hAnsiTheme="majorHAnsi" w:cstheme="majorHAnsi"/>
          <w:sz w:val="22"/>
          <w:szCs w:val="22"/>
        </w:rPr>
        <w:t>Participants of the research</w:t>
      </w:r>
      <w:r w:rsidRPr="00692092">
        <w:rPr>
          <w:rFonts w:asciiTheme="majorHAnsi" w:hAnsiTheme="majorHAnsi" w:cstheme="majorHAnsi"/>
          <w:sz w:val="22"/>
          <w:szCs w:val="22"/>
        </w:rPr>
        <w:t xml:space="preserve"> were pupils at an English-medium Secondary school in the South Wales area, known hereafter as School Y. School Y had provision for those between the ages of eleven and nineteen years of age and is categorised as a ‘green’ school, thus was identified as needing little to no support during the period of review in 2018. 84.6% of learners achieved the level 2 threshold at Key Stage 4 in this same year, which placed this school above national average with those achieving level 2 at KS4 in Wales as a whole achieving just 60.3%.</w:t>
      </w:r>
    </w:p>
    <w:p w14:paraId="72EA12DE" w14:textId="77777777" w:rsidR="00804766" w:rsidRPr="00692092" w:rsidRDefault="00804766" w:rsidP="00804766">
      <w:pPr>
        <w:spacing w:line="480" w:lineRule="auto"/>
        <w:ind w:firstLine="720"/>
        <w:jc w:val="both"/>
        <w:rPr>
          <w:rFonts w:asciiTheme="majorHAnsi" w:hAnsiTheme="majorHAnsi" w:cstheme="majorHAnsi"/>
          <w:sz w:val="22"/>
          <w:szCs w:val="22"/>
        </w:rPr>
      </w:pPr>
      <w:r w:rsidRPr="00692092">
        <w:rPr>
          <w:rFonts w:asciiTheme="majorHAnsi" w:hAnsiTheme="majorHAnsi" w:cstheme="majorHAnsi"/>
          <w:sz w:val="22"/>
          <w:szCs w:val="22"/>
        </w:rPr>
        <w:t>School Y had a three-year average of 6.3% of learners being eligible for Free School Meals (</w:t>
      </w:r>
      <w:r>
        <w:rPr>
          <w:rFonts w:asciiTheme="majorHAnsi" w:hAnsiTheme="majorHAnsi" w:cstheme="majorHAnsi"/>
          <w:sz w:val="22"/>
          <w:szCs w:val="22"/>
        </w:rPr>
        <w:t>e</w:t>
      </w:r>
      <w:r w:rsidRPr="00692092">
        <w:rPr>
          <w:rFonts w:asciiTheme="majorHAnsi" w:hAnsiTheme="majorHAnsi" w:cstheme="majorHAnsi"/>
          <w:sz w:val="22"/>
          <w:szCs w:val="22"/>
        </w:rPr>
        <w:t>FSM), being 11.7% lower than the national average in Wales.</w:t>
      </w:r>
      <w:r>
        <w:rPr>
          <w:rFonts w:asciiTheme="majorHAnsi" w:hAnsiTheme="majorHAnsi" w:cstheme="majorHAnsi"/>
          <w:sz w:val="22"/>
          <w:szCs w:val="22"/>
        </w:rPr>
        <w:t xml:space="preserve"> Employed within this study were 31 members of a Year 8 class present for three lessons per teaching fortnight on the timetable of the researcher; four of whom were recognised as disadvantaged learners.</w:t>
      </w:r>
    </w:p>
    <w:p w14:paraId="18E2CC4E" w14:textId="77777777" w:rsidR="00804766" w:rsidRDefault="00804766" w:rsidP="00804766">
      <w:pPr>
        <w:spacing w:line="480" w:lineRule="auto"/>
        <w:ind w:firstLine="720"/>
        <w:jc w:val="both"/>
        <w:rPr>
          <w:rFonts w:asciiTheme="majorHAnsi" w:hAnsiTheme="majorHAnsi" w:cstheme="majorHAnsi"/>
          <w:b/>
          <w:sz w:val="22"/>
          <w:szCs w:val="22"/>
          <w:u w:val="single"/>
        </w:rPr>
      </w:pPr>
    </w:p>
    <w:p w14:paraId="4FC49757" w14:textId="71E736A8" w:rsidR="00804766" w:rsidRDefault="00804766" w:rsidP="00804766">
      <w:pPr>
        <w:spacing w:line="480" w:lineRule="auto"/>
        <w:ind w:firstLine="720"/>
        <w:jc w:val="both"/>
        <w:rPr>
          <w:rFonts w:asciiTheme="majorHAnsi" w:hAnsiTheme="majorHAnsi" w:cstheme="majorHAnsi"/>
          <w:b/>
          <w:sz w:val="22"/>
          <w:szCs w:val="22"/>
          <w:u w:val="single"/>
        </w:rPr>
      </w:pPr>
      <w:r w:rsidRPr="002E346F">
        <w:rPr>
          <w:rFonts w:asciiTheme="majorHAnsi" w:hAnsiTheme="majorHAnsi" w:cstheme="majorHAnsi"/>
          <w:b/>
          <w:sz w:val="22"/>
          <w:szCs w:val="22"/>
          <w:u w:val="single"/>
        </w:rPr>
        <w:t>Literature Review</w:t>
      </w:r>
    </w:p>
    <w:p w14:paraId="4E28C5FD" w14:textId="45C6366C" w:rsidR="00C32523" w:rsidRPr="00C32523" w:rsidRDefault="00C32523" w:rsidP="00804766">
      <w:pPr>
        <w:spacing w:line="480" w:lineRule="auto"/>
        <w:ind w:firstLine="720"/>
        <w:jc w:val="both"/>
        <w:rPr>
          <w:rFonts w:asciiTheme="majorHAnsi" w:hAnsiTheme="majorHAnsi" w:cstheme="majorHAnsi"/>
          <w:sz w:val="22"/>
          <w:szCs w:val="22"/>
        </w:rPr>
      </w:pPr>
      <w:r>
        <w:rPr>
          <w:rFonts w:asciiTheme="majorHAnsi" w:hAnsiTheme="majorHAnsi" w:cstheme="majorHAnsi"/>
          <w:sz w:val="22"/>
          <w:szCs w:val="22"/>
        </w:rPr>
        <w:t>In order to generate research questions with relevance to the aforementioned study title, the researcher conducted a literature review into a number of related topics.</w:t>
      </w:r>
    </w:p>
    <w:p w14:paraId="43EEB7A0" w14:textId="77777777" w:rsidR="00804766" w:rsidRPr="00A40A0E" w:rsidRDefault="00804766" w:rsidP="00804766">
      <w:pPr>
        <w:spacing w:line="480" w:lineRule="auto"/>
        <w:jc w:val="both"/>
        <w:rPr>
          <w:rFonts w:asciiTheme="majorHAnsi" w:hAnsiTheme="majorHAnsi" w:cstheme="majorHAnsi"/>
          <w:b/>
          <w:sz w:val="22"/>
          <w:szCs w:val="22"/>
        </w:rPr>
      </w:pPr>
      <w:r w:rsidRPr="00A40A0E">
        <w:rPr>
          <w:rFonts w:asciiTheme="majorHAnsi" w:hAnsiTheme="majorHAnsi" w:cstheme="majorHAnsi"/>
          <w:b/>
          <w:sz w:val="22"/>
          <w:szCs w:val="22"/>
        </w:rPr>
        <w:t>Educational Field Trips</w:t>
      </w:r>
    </w:p>
    <w:p w14:paraId="380758DB" w14:textId="77777777" w:rsidR="00804766" w:rsidRDefault="00804766" w:rsidP="00804766">
      <w:pPr>
        <w:spacing w:line="480" w:lineRule="auto"/>
        <w:ind w:firstLine="720"/>
        <w:jc w:val="both"/>
        <w:rPr>
          <w:rFonts w:asciiTheme="majorHAnsi" w:hAnsiTheme="majorHAnsi" w:cstheme="majorHAnsi"/>
          <w:sz w:val="22"/>
          <w:szCs w:val="22"/>
        </w:rPr>
      </w:pPr>
      <w:r>
        <w:rPr>
          <w:rFonts w:asciiTheme="majorHAnsi" w:hAnsiTheme="majorHAnsi" w:cstheme="majorHAnsi"/>
          <w:sz w:val="22"/>
          <w:szCs w:val="22"/>
        </w:rPr>
        <w:t>Activity-based approaches to learning, such as field trips, are notoriously known for contributing towards the most memorable school experiences for most and in engaging learners’ interests. When planned well, this idea of engagement extends to the re-engagement of those who are often disengaged, and as a powerful incentive for those who struggle with school (</w:t>
      </w:r>
      <w:bookmarkStart w:id="3" w:name="_Hlk513929486"/>
      <w:r>
        <w:rPr>
          <w:rFonts w:asciiTheme="majorHAnsi" w:hAnsiTheme="majorHAnsi" w:cstheme="majorHAnsi"/>
          <w:sz w:val="22"/>
          <w:szCs w:val="22"/>
        </w:rPr>
        <w:t xml:space="preserve">Ofsted, </w:t>
      </w:r>
      <w:proofErr w:type="gramStart"/>
      <w:r>
        <w:rPr>
          <w:rFonts w:asciiTheme="majorHAnsi" w:hAnsiTheme="majorHAnsi" w:cstheme="majorHAnsi"/>
          <w:sz w:val="22"/>
          <w:szCs w:val="22"/>
        </w:rPr>
        <w:t>2008:P</w:t>
      </w:r>
      <w:proofErr w:type="gramEnd"/>
      <w:r>
        <w:rPr>
          <w:rFonts w:asciiTheme="majorHAnsi" w:hAnsiTheme="majorHAnsi" w:cstheme="majorHAnsi"/>
          <w:sz w:val="22"/>
          <w:szCs w:val="22"/>
        </w:rPr>
        <w:t>17</w:t>
      </w:r>
      <w:bookmarkEnd w:id="3"/>
      <w:r>
        <w:rPr>
          <w:rFonts w:asciiTheme="majorHAnsi" w:hAnsiTheme="majorHAnsi" w:cstheme="majorHAnsi"/>
          <w:sz w:val="22"/>
          <w:szCs w:val="22"/>
        </w:rPr>
        <w:t>). With particular reference to disadvantaged learners, school trips allow for learners to visit new and old locations, to encounter new experiences and to engage socially in new and positive ways (</w:t>
      </w:r>
      <w:bookmarkStart w:id="4" w:name="_Hlk513929494"/>
      <w:r>
        <w:rPr>
          <w:rFonts w:asciiTheme="majorHAnsi" w:hAnsiTheme="majorHAnsi" w:cstheme="majorHAnsi"/>
          <w:sz w:val="22"/>
          <w:szCs w:val="22"/>
        </w:rPr>
        <w:t>The School Travel Forum, Date Unknown</w:t>
      </w:r>
      <w:bookmarkEnd w:id="4"/>
      <w:r>
        <w:rPr>
          <w:rFonts w:asciiTheme="majorHAnsi" w:hAnsiTheme="majorHAnsi" w:cstheme="majorHAnsi"/>
          <w:sz w:val="22"/>
          <w:szCs w:val="22"/>
        </w:rPr>
        <w:t xml:space="preserve">). </w:t>
      </w:r>
      <w:bookmarkStart w:id="5" w:name="_Hlk513929500"/>
      <w:r>
        <w:rPr>
          <w:rFonts w:asciiTheme="majorHAnsi" w:hAnsiTheme="majorHAnsi" w:cstheme="majorHAnsi"/>
          <w:sz w:val="22"/>
          <w:szCs w:val="22"/>
        </w:rPr>
        <w:t>Estyn (2012)</w:t>
      </w:r>
      <w:bookmarkEnd w:id="5"/>
      <w:r>
        <w:rPr>
          <w:rFonts w:asciiTheme="majorHAnsi" w:hAnsiTheme="majorHAnsi" w:cstheme="majorHAnsi"/>
          <w:sz w:val="22"/>
          <w:szCs w:val="22"/>
        </w:rPr>
        <w:t xml:space="preserve"> put forward the idea that an effective school is one that organises trips to places and events that allow for disadvantaged learners to access areas that they might not otherwise attend, specifically places such as museums and theatres. However, due to logistical and instructional </w:t>
      </w:r>
      <w:r>
        <w:rPr>
          <w:rFonts w:asciiTheme="majorHAnsi" w:hAnsiTheme="majorHAnsi" w:cstheme="majorHAnsi"/>
          <w:sz w:val="22"/>
          <w:szCs w:val="22"/>
        </w:rPr>
        <w:lastRenderedPageBreak/>
        <w:t xml:space="preserve">constraints, many practitioners teaching in the education system today are not able to plan for or conduct physical field trips, thus withdrawing opportunities for their learners to experience education outside of the classroom </w:t>
      </w:r>
      <w:bookmarkStart w:id="6" w:name="_Hlk513929528"/>
      <w:r>
        <w:rPr>
          <w:rFonts w:asciiTheme="majorHAnsi" w:hAnsiTheme="majorHAnsi" w:cstheme="majorHAnsi"/>
          <w:sz w:val="22"/>
          <w:szCs w:val="22"/>
        </w:rPr>
        <w:t>(Klemm and Tuthill, 2003)</w:t>
      </w:r>
      <w:bookmarkEnd w:id="6"/>
      <w:r>
        <w:rPr>
          <w:rFonts w:asciiTheme="majorHAnsi" w:hAnsiTheme="majorHAnsi" w:cstheme="majorHAnsi"/>
          <w:sz w:val="22"/>
          <w:szCs w:val="22"/>
        </w:rPr>
        <w:t>. Constraints include, but are not limited to, lack of administrative support, expenses, large student numbers and variability in experience (</w:t>
      </w:r>
      <w:bookmarkStart w:id="7" w:name="_Hlk513929537"/>
      <w:r>
        <w:rPr>
          <w:rFonts w:asciiTheme="majorHAnsi" w:hAnsiTheme="majorHAnsi" w:cstheme="majorHAnsi"/>
          <w:sz w:val="22"/>
          <w:szCs w:val="22"/>
        </w:rPr>
        <w:t>Klemm and Tuthill, 2003: P177; Garner and Gallo, 2005: P14</w:t>
      </w:r>
      <w:bookmarkEnd w:id="7"/>
      <w:r>
        <w:rPr>
          <w:rFonts w:asciiTheme="majorHAnsi" w:hAnsiTheme="majorHAnsi" w:cstheme="majorHAnsi"/>
          <w:sz w:val="22"/>
          <w:szCs w:val="22"/>
        </w:rPr>
        <w:t>). These constraints further add to the notion that social studies instruction can often be deemed as uninteresting and relevant to learners; learners react adversely to passive methods that prevail in teacher-</w:t>
      </w:r>
      <w:r w:rsidRPr="00951E2B">
        <w:rPr>
          <w:rFonts w:asciiTheme="majorHAnsi" w:hAnsiTheme="majorHAnsi" w:cstheme="majorHAnsi"/>
          <w:sz w:val="22"/>
          <w:szCs w:val="22"/>
        </w:rPr>
        <w:t>led lessons and require instruction that allows for them to actively engage in their own learning (</w:t>
      </w:r>
      <w:bookmarkStart w:id="8" w:name="_Hlk513930014"/>
      <w:r w:rsidRPr="00951E2B">
        <w:rPr>
          <w:rFonts w:asciiTheme="majorHAnsi" w:hAnsiTheme="majorHAnsi" w:cstheme="majorHAnsi"/>
          <w:sz w:val="22"/>
          <w:szCs w:val="22"/>
        </w:rPr>
        <w:t>Schug, Todd and Beery, 1985; Weible and Evans, 1984</w:t>
      </w:r>
      <w:bookmarkEnd w:id="8"/>
      <w:r w:rsidRPr="00951E2B">
        <w:rPr>
          <w:rFonts w:asciiTheme="majorHAnsi" w:hAnsiTheme="majorHAnsi" w:cstheme="majorHAnsi"/>
          <w:sz w:val="22"/>
          <w:szCs w:val="22"/>
        </w:rPr>
        <w:t>).</w:t>
      </w:r>
      <w:r>
        <w:rPr>
          <w:rFonts w:asciiTheme="majorHAnsi" w:hAnsiTheme="majorHAnsi" w:cstheme="majorHAnsi"/>
          <w:sz w:val="22"/>
          <w:szCs w:val="22"/>
        </w:rPr>
        <w:t xml:space="preserve"> Learners express interest in educational philosophies that conduct a more ‘hands-on’ approach in which they can visualise, interact and engage with a range of stimuli; they have a need to develop their higher-order thinking skills through researching where and why particular phenomena have happened, not just the timeframe in which they happened (Shayghnessy and Haladyna, 1985). </w:t>
      </w:r>
      <w:bookmarkStart w:id="9" w:name="_Hlk513930028"/>
      <w:r>
        <w:rPr>
          <w:rFonts w:asciiTheme="majorHAnsi" w:hAnsiTheme="majorHAnsi" w:cstheme="majorHAnsi"/>
          <w:sz w:val="22"/>
          <w:szCs w:val="22"/>
        </w:rPr>
        <w:t>Shayghnessy and Haladyna (1985)</w:t>
      </w:r>
      <w:bookmarkEnd w:id="9"/>
      <w:r>
        <w:rPr>
          <w:rFonts w:asciiTheme="majorHAnsi" w:hAnsiTheme="majorHAnsi" w:cstheme="majorHAnsi"/>
          <w:sz w:val="22"/>
          <w:szCs w:val="22"/>
        </w:rPr>
        <w:t xml:space="preserve"> also put forward the idea that students hold their perception that social studies subjects, such as history and archaeology, are often irrelevant to learners and their current lives.  Without a sense of validity and links that are accessible to learners, they often become disengaged and unmotivated </w:t>
      </w:r>
      <w:bookmarkStart w:id="10" w:name="_Hlk513930037"/>
      <w:r>
        <w:rPr>
          <w:rFonts w:asciiTheme="majorHAnsi" w:hAnsiTheme="majorHAnsi" w:cstheme="majorHAnsi"/>
          <w:sz w:val="22"/>
          <w:szCs w:val="22"/>
        </w:rPr>
        <w:t xml:space="preserve">(VanSickle, 1990). </w:t>
      </w:r>
      <w:bookmarkEnd w:id="10"/>
    </w:p>
    <w:p w14:paraId="0CE89A56" w14:textId="77777777" w:rsidR="00804766" w:rsidRDefault="00804766" w:rsidP="00804766">
      <w:pPr>
        <w:spacing w:line="480" w:lineRule="auto"/>
        <w:jc w:val="both"/>
        <w:rPr>
          <w:rFonts w:asciiTheme="majorHAnsi" w:hAnsiTheme="majorHAnsi" w:cstheme="majorHAnsi"/>
          <w:b/>
          <w:sz w:val="22"/>
          <w:szCs w:val="22"/>
          <w:u w:val="single"/>
        </w:rPr>
      </w:pPr>
    </w:p>
    <w:p w14:paraId="52758160" w14:textId="77777777" w:rsidR="00804766" w:rsidRPr="00A40A0E" w:rsidRDefault="00804766" w:rsidP="00804766">
      <w:pPr>
        <w:spacing w:line="480" w:lineRule="auto"/>
        <w:jc w:val="both"/>
        <w:rPr>
          <w:rFonts w:asciiTheme="majorHAnsi" w:hAnsiTheme="majorHAnsi" w:cstheme="majorHAnsi"/>
          <w:b/>
          <w:sz w:val="22"/>
          <w:szCs w:val="22"/>
        </w:rPr>
      </w:pPr>
      <w:r w:rsidRPr="00A40A0E">
        <w:rPr>
          <w:rFonts w:asciiTheme="majorHAnsi" w:hAnsiTheme="majorHAnsi" w:cstheme="majorHAnsi"/>
          <w:b/>
          <w:sz w:val="22"/>
          <w:szCs w:val="22"/>
        </w:rPr>
        <w:t>Digital Technologies in the Classroom</w:t>
      </w:r>
    </w:p>
    <w:p w14:paraId="00F11932" w14:textId="77777777" w:rsidR="00804766" w:rsidRDefault="00804766" w:rsidP="00804766">
      <w:pPr>
        <w:spacing w:line="480" w:lineRule="auto"/>
        <w:ind w:firstLine="720"/>
        <w:jc w:val="both"/>
        <w:rPr>
          <w:rFonts w:asciiTheme="majorHAnsi" w:hAnsiTheme="majorHAnsi" w:cstheme="majorHAnsi"/>
          <w:sz w:val="22"/>
          <w:szCs w:val="22"/>
        </w:rPr>
      </w:pPr>
      <w:r>
        <w:rPr>
          <w:rFonts w:asciiTheme="majorHAnsi" w:hAnsiTheme="majorHAnsi" w:cstheme="majorHAnsi"/>
          <w:sz w:val="22"/>
          <w:szCs w:val="22"/>
        </w:rPr>
        <w:t xml:space="preserve">The constraints noted above are, however, far from insuperable; more so since the emergence of digital technologies within the classroom. </w:t>
      </w:r>
      <w:bookmarkStart w:id="11" w:name="_Hlk513930050"/>
      <w:r w:rsidRPr="00692092">
        <w:rPr>
          <w:rFonts w:asciiTheme="majorHAnsi" w:hAnsiTheme="majorHAnsi" w:cstheme="majorHAnsi"/>
          <w:sz w:val="22"/>
          <w:szCs w:val="22"/>
        </w:rPr>
        <w:t>Cambr</w:t>
      </w:r>
      <w:r>
        <w:rPr>
          <w:rFonts w:asciiTheme="majorHAnsi" w:hAnsiTheme="majorHAnsi" w:cstheme="majorHAnsi"/>
          <w:sz w:val="22"/>
          <w:szCs w:val="22"/>
        </w:rPr>
        <w:t>idge International (2017</w:t>
      </w:r>
      <w:r w:rsidRPr="00692092">
        <w:rPr>
          <w:rFonts w:asciiTheme="majorHAnsi" w:hAnsiTheme="majorHAnsi" w:cstheme="majorHAnsi"/>
          <w:sz w:val="22"/>
          <w:szCs w:val="22"/>
        </w:rPr>
        <w:t>)</w:t>
      </w:r>
      <w:bookmarkEnd w:id="11"/>
      <w:r w:rsidRPr="00692092">
        <w:rPr>
          <w:rFonts w:asciiTheme="majorHAnsi" w:hAnsiTheme="majorHAnsi" w:cstheme="majorHAnsi"/>
          <w:sz w:val="22"/>
          <w:szCs w:val="22"/>
        </w:rPr>
        <w:t xml:space="preserve"> defines digital technology in the classroom (DTC) in a number of ways; as </w:t>
      </w:r>
      <w:r w:rsidRPr="00692092">
        <w:rPr>
          <w:rFonts w:asciiTheme="majorHAnsi" w:hAnsiTheme="majorHAnsi" w:cstheme="majorHAnsi"/>
          <w:i/>
          <w:sz w:val="22"/>
          <w:szCs w:val="22"/>
        </w:rPr>
        <w:t>‘digital processing systems that encourage an active learning environment’</w:t>
      </w:r>
      <w:r w:rsidRPr="00692092">
        <w:rPr>
          <w:rFonts w:asciiTheme="majorHAnsi" w:hAnsiTheme="majorHAnsi" w:cstheme="majorHAnsi"/>
          <w:sz w:val="22"/>
          <w:szCs w:val="22"/>
        </w:rPr>
        <w:t xml:space="preserve">, </w:t>
      </w:r>
      <w:r w:rsidRPr="00692092">
        <w:rPr>
          <w:rFonts w:asciiTheme="majorHAnsi" w:hAnsiTheme="majorHAnsi" w:cstheme="majorHAnsi"/>
          <w:i/>
          <w:sz w:val="22"/>
          <w:szCs w:val="22"/>
        </w:rPr>
        <w:t>‘the construction of knowledge and exploration on behalf of learners’</w:t>
      </w:r>
      <w:r w:rsidRPr="00692092">
        <w:rPr>
          <w:rFonts w:asciiTheme="majorHAnsi" w:hAnsiTheme="majorHAnsi" w:cstheme="majorHAnsi"/>
          <w:sz w:val="22"/>
          <w:szCs w:val="22"/>
        </w:rPr>
        <w:t xml:space="preserve">, as well as </w:t>
      </w:r>
      <w:r w:rsidRPr="00692092">
        <w:rPr>
          <w:rFonts w:asciiTheme="majorHAnsi" w:hAnsiTheme="majorHAnsi" w:cstheme="majorHAnsi"/>
          <w:i/>
          <w:sz w:val="22"/>
          <w:szCs w:val="22"/>
        </w:rPr>
        <w:t>‘allowing for the sharing of data between teachers and learners</w:t>
      </w:r>
      <w:r w:rsidRPr="00692092">
        <w:rPr>
          <w:rFonts w:asciiTheme="majorHAnsi" w:hAnsiTheme="majorHAnsi" w:cstheme="majorHAnsi"/>
          <w:sz w:val="22"/>
          <w:szCs w:val="22"/>
        </w:rPr>
        <w:t>’.</w:t>
      </w:r>
    </w:p>
    <w:p w14:paraId="3C60340F" w14:textId="77777777" w:rsidR="00804766" w:rsidRDefault="00804766" w:rsidP="00804766">
      <w:pPr>
        <w:spacing w:line="480" w:lineRule="auto"/>
        <w:jc w:val="both"/>
        <w:rPr>
          <w:rFonts w:asciiTheme="majorHAnsi" w:hAnsiTheme="majorHAnsi" w:cstheme="majorHAnsi"/>
          <w:sz w:val="22"/>
          <w:szCs w:val="22"/>
        </w:rPr>
      </w:pPr>
      <w:r>
        <w:rPr>
          <w:rFonts w:asciiTheme="majorHAnsi" w:hAnsiTheme="majorHAnsi" w:cstheme="majorHAnsi"/>
          <w:sz w:val="22"/>
          <w:szCs w:val="22"/>
        </w:rPr>
        <w:tab/>
      </w:r>
      <w:proofErr w:type="spellStart"/>
      <w:r>
        <w:rPr>
          <w:rFonts w:asciiTheme="majorHAnsi" w:hAnsiTheme="majorHAnsi" w:cstheme="majorHAnsi"/>
          <w:sz w:val="22"/>
          <w:szCs w:val="22"/>
        </w:rPr>
        <w:t>Stamats</w:t>
      </w:r>
      <w:proofErr w:type="spellEnd"/>
      <w:r>
        <w:rPr>
          <w:rFonts w:asciiTheme="majorHAnsi" w:hAnsiTheme="majorHAnsi" w:cstheme="majorHAnsi"/>
          <w:sz w:val="22"/>
          <w:szCs w:val="22"/>
        </w:rPr>
        <w:t xml:space="preserve"> (2008) describes the learners of today as ‘technologically savvy’, and the most visually sophisticated learners of any generation. Learners are now all too familiar with interactive digital medias on the Web 2.0, including social media sites such as Facebook, Instagram and Twitter, user-generated content such as YouTube, mobile phones, blogs and virtual realities (Buzzard et al., 2011). One form of digital technology within the classroom is the VFT.</w:t>
      </w:r>
    </w:p>
    <w:p w14:paraId="51B9F353" w14:textId="77777777" w:rsidR="00804766" w:rsidRDefault="00804766" w:rsidP="00804766">
      <w:pPr>
        <w:spacing w:line="480" w:lineRule="auto"/>
        <w:jc w:val="both"/>
        <w:rPr>
          <w:rFonts w:asciiTheme="majorHAnsi" w:hAnsiTheme="majorHAnsi" w:cstheme="majorHAnsi"/>
          <w:b/>
          <w:sz w:val="22"/>
          <w:szCs w:val="22"/>
          <w:u w:val="single"/>
        </w:rPr>
      </w:pPr>
      <w:bookmarkStart w:id="12" w:name="_Hlk513930109"/>
    </w:p>
    <w:p w14:paraId="65B88E38" w14:textId="77777777" w:rsidR="00804766" w:rsidRPr="00A40A0E" w:rsidRDefault="00804766" w:rsidP="00804766">
      <w:pPr>
        <w:spacing w:line="480" w:lineRule="auto"/>
        <w:jc w:val="both"/>
        <w:rPr>
          <w:rFonts w:asciiTheme="majorHAnsi" w:hAnsiTheme="majorHAnsi" w:cstheme="majorHAnsi"/>
          <w:b/>
          <w:sz w:val="22"/>
          <w:szCs w:val="22"/>
        </w:rPr>
      </w:pPr>
      <w:r w:rsidRPr="00A40A0E">
        <w:rPr>
          <w:rFonts w:asciiTheme="majorHAnsi" w:hAnsiTheme="majorHAnsi" w:cstheme="majorHAnsi"/>
          <w:b/>
          <w:sz w:val="22"/>
          <w:szCs w:val="22"/>
        </w:rPr>
        <w:t>Virtual Field Trips</w:t>
      </w:r>
    </w:p>
    <w:p w14:paraId="7434D6BA" w14:textId="77777777" w:rsidR="00804766" w:rsidRDefault="00804766" w:rsidP="00804766">
      <w:pPr>
        <w:spacing w:line="480" w:lineRule="auto"/>
        <w:ind w:firstLine="720"/>
        <w:jc w:val="both"/>
        <w:rPr>
          <w:rFonts w:asciiTheme="majorHAnsi" w:hAnsiTheme="majorHAnsi" w:cstheme="majorHAnsi"/>
          <w:sz w:val="22"/>
          <w:szCs w:val="22"/>
        </w:rPr>
      </w:pPr>
      <w:r w:rsidRPr="00692092">
        <w:rPr>
          <w:rFonts w:asciiTheme="majorHAnsi" w:hAnsiTheme="majorHAnsi" w:cstheme="majorHAnsi"/>
          <w:sz w:val="22"/>
          <w:szCs w:val="22"/>
        </w:rPr>
        <w:t>McKenzie (2005)</w:t>
      </w:r>
      <w:bookmarkEnd w:id="12"/>
      <w:r w:rsidRPr="00692092">
        <w:rPr>
          <w:rFonts w:asciiTheme="majorHAnsi" w:hAnsiTheme="majorHAnsi" w:cstheme="majorHAnsi"/>
          <w:sz w:val="22"/>
          <w:szCs w:val="22"/>
        </w:rPr>
        <w:t xml:space="preserve"> gives a conceptual definition of the VFT as </w:t>
      </w:r>
      <w:r w:rsidRPr="00692092">
        <w:rPr>
          <w:rFonts w:asciiTheme="majorHAnsi" w:hAnsiTheme="majorHAnsi" w:cstheme="majorHAnsi"/>
          <w:i/>
          <w:sz w:val="22"/>
          <w:szCs w:val="22"/>
        </w:rPr>
        <w:t xml:space="preserve">‘a digitally vicarious experience that allows the participant to travel through space and time free of the constraints of real-world travel, including places, people and </w:t>
      </w:r>
      <w:r w:rsidRPr="00692092">
        <w:rPr>
          <w:rFonts w:asciiTheme="majorHAnsi" w:hAnsiTheme="majorHAnsi" w:cstheme="majorHAnsi"/>
          <w:i/>
          <w:sz w:val="22"/>
          <w:szCs w:val="22"/>
        </w:rPr>
        <w:lastRenderedPageBreak/>
        <w:t>events that occur naturally throughout human and natural history.’</w:t>
      </w:r>
      <w:r>
        <w:rPr>
          <w:rFonts w:asciiTheme="majorHAnsi" w:hAnsiTheme="majorHAnsi" w:cstheme="majorHAnsi"/>
          <w:sz w:val="22"/>
          <w:szCs w:val="22"/>
        </w:rPr>
        <w:t xml:space="preserve"> They are, in their purest form, computer-based simulations of physical field trips, allowing for all learners to vicariously experience the location visited, thus requiring access to technology which in turn requires further funding. However, </w:t>
      </w:r>
      <w:bookmarkStart w:id="13" w:name="_Hlk513930119"/>
      <w:r>
        <w:rPr>
          <w:rFonts w:asciiTheme="majorHAnsi" w:hAnsiTheme="majorHAnsi" w:cstheme="majorHAnsi"/>
          <w:sz w:val="22"/>
          <w:szCs w:val="22"/>
        </w:rPr>
        <w:t>Mikropolous et al. (1997)</w:t>
      </w:r>
      <w:bookmarkEnd w:id="13"/>
      <w:r>
        <w:rPr>
          <w:rFonts w:asciiTheme="majorHAnsi" w:hAnsiTheme="majorHAnsi" w:cstheme="majorHAnsi"/>
          <w:sz w:val="22"/>
          <w:szCs w:val="22"/>
        </w:rPr>
        <w:t xml:space="preserve"> argues that finances are barely a limitation of VFTs as they draw on the use of technologies that already exist in most classrooms.</w:t>
      </w:r>
    </w:p>
    <w:p w14:paraId="2A1E9C5A" w14:textId="77777777" w:rsidR="00804766" w:rsidRPr="00A40A0E" w:rsidRDefault="00804766" w:rsidP="00804766">
      <w:pPr>
        <w:spacing w:line="480" w:lineRule="auto"/>
        <w:jc w:val="both"/>
        <w:rPr>
          <w:rFonts w:asciiTheme="majorHAnsi" w:hAnsiTheme="majorHAnsi" w:cstheme="majorHAnsi"/>
          <w:i/>
          <w:sz w:val="22"/>
          <w:szCs w:val="22"/>
        </w:rPr>
      </w:pPr>
      <w:r>
        <w:rPr>
          <w:rFonts w:asciiTheme="majorHAnsi" w:hAnsiTheme="majorHAnsi" w:cstheme="majorHAnsi"/>
          <w:sz w:val="22"/>
          <w:szCs w:val="22"/>
        </w:rPr>
        <w:t>The use of technology to support learning outcomes is a focus for many (</w:t>
      </w:r>
      <w:bookmarkStart w:id="14" w:name="_Hlk514071279"/>
      <w:r>
        <w:rPr>
          <w:rFonts w:asciiTheme="majorHAnsi" w:hAnsiTheme="majorHAnsi" w:cstheme="majorHAnsi"/>
          <w:sz w:val="22"/>
          <w:szCs w:val="22"/>
        </w:rPr>
        <w:t xml:space="preserve">Young, </w:t>
      </w:r>
      <w:proofErr w:type="spellStart"/>
      <w:r>
        <w:rPr>
          <w:rFonts w:asciiTheme="majorHAnsi" w:hAnsiTheme="majorHAnsi" w:cstheme="majorHAnsi"/>
          <w:sz w:val="22"/>
          <w:szCs w:val="22"/>
        </w:rPr>
        <w:t>Klemz</w:t>
      </w:r>
      <w:proofErr w:type="spellEnd"/>
      <w:r>
        <w:rPr>
          <w:rFonts w:asciiTheme="majorHAnsi" w:hAnsiTheme="majorHAnsi" w:cstheme="majorHAnsi"/>
          <w:sz w:val="22"/>
          <w:szCs w:val="22"/>
        </w:rPr>
        <w:t xml:space="preserve"> and Murphy, 2003; Higgins et al. 2012; Jones and Rocco, 2014; </w:t>
      </w:r>
      <w:proofErr w:type="spellStart"/>
      <w:r>
        <w:rPr>
          <w:rFonts w:asciiTheme="majorHAnsi" w:hAnsiTheme="majorHAnsi" w:cstheme="majorHAnsi"/>
          <w:sz w:val="22"/>
          <w:szCs w:val="22"/>
        </w:rPr>
        <w:t>Wetton</w:t>
      </w:r>
      <w:proofErr w:type="spellEnd"/>
      <w:r>
        <w:rPr>
          <w:rFonts w:asciiTheme="majorHAnsi" w:hAnsiTheme="majorHAnsi" w:cstheme="majorHAnsi"/>
          <w:sz w:val="22"/>
          <w:szCs w:val="22"/>
        </w:rPr>
        <w:t xml:space="preserve"> and Scott, 2014)</w:t>
      </w:r>
      <w:bookmarkEnd w:id="14"/>
      <w:r>
        <w:rPr>
          <w:rFonts w:asciiTheme="majorHAnsi" w:hAnsiTheme="majorHAnsi" w:cstheme="majorHAnsi"/>
          <w:sz w:val="22"/>
          <w:szCs w:val="22"/>
        </w:rPr>
        <w:t xml:space="preserve">. The use of </w:t>
      </w:r>
      <w:r>
        <w:rPr>
          <w:rFonts w:asciiTheme="majorHAnsi" w:hAnsiTheme="majorHAnsi" w:cstheme="majorHAnsi"/>
          <w:i/>
          <w:sz w:val="22"/>
          <w:szCs w:val="22"/>
        </w:rPr>
        <w:t>effective</w:t>
      </w:r>
      <w:r>
        <w:rPr>
          <w:rFonts w:asciiTheme="majorHAnsi" w:hAnsiTheme="majorHAnsi" w:cstheme="majorHAnsi"/>
          <w:sz w:val="22"/>
          <w:szCs w:val="22"/>
        </w:rPr>
        <w:t xml:space="preserve"> technologies and one-to-one computing opportunities to support learners have shown to have a positive impact on the outcomes of assessment as well as learning (Darling-Hammond et al., 2014). It was from these studies that the researcher developed their first research question </w:t>
      </w:r>
      <w:r w:rsidRPr="00A40A0E">
        <w:rPr>
          <w:rFonts w:asciiTheme="majorHAnsi" w:hAnsiTheme="majorHAnsi" w:cstheme="majorHAnsi"/>
          <w:i/>
          <w:sz w:val="22"/>
          <w:szCs w:val="22"/>
        </w:rPr>
        <w:t>(Question 1: Does the use of VFTs appear to have an impact on the learning environment and/or enhance learning outcomes?)</w:t>
      </w:r>
    </w:p>
    <w:p w14:paraId="7360E90E" w14:textId="77777777" w:rsidR="00804766" w:rsidRDefault="00804766" w:rsidP="00804766">
      <w:pPr>
        <w:spacing w:line="480" w:lineRule="auto"/>
        <w:ind w:firstLine="720"/>
        <w:jc w:val="both"/>
        <w:rPr>
          <w:rFonts w:asciiTheme="majorHAnsi" w:hAnsiTheme="majorHAnsi" w:cstheme="majorHAnsi"/>
          <w:sz w:val="22"/>
          <w:szCs w:val="22"/>
        </w:rPr>
      </w:pPr>
      <w:r>
        <w:rPr>
          <w:rFonts w:asciiTheme="majorHAnsi" w:hAnsiTheme="majorHAnsi" w:cstheme="majorHAnsi"/>
          <w:sz w:val="22"/>
          <w:szCs w:val="22"/>
        </w:rPr>
        <w:t xml:space="preserve">There have been a number of studies conducted in recent years that look into the perceived benefits and drawbacks of the use of VFTs within the classroom. Though not focussed on VFTs, </w:t>
      </w:r>
      <w:bookmarkStart w:id="15" w:name="_Hlk513930144"/>
      <w:r>
        <w:rPr>
          <w:rFonts w:asciiTheme="majorHAnsi" w:hAnsiTheme="majorHAnsi" w:cstheme="majorHAnsi"/>
          <w:sz w:val="22"/>
          <w:szCs w:val="22"/>
        </w:rPr>
        <w:t>Xanthoudaki (1998)</w:t>
      </w:r>
      <w:bookmarkEnd w:id="15"/>
      <w:r>
        <w:rPr>
          <w:rFonts w:asciiTheme="majorHAnsi" w:hAnsiTheme="majorHAnsi" w:cstheme="majorHAnsi"/>
          <w:sz w:val="22"/>
          <w:szCs w:val="22"/>
        </w:rPr>
        <w:t xml:space="preserve"> looked at how field trips allowed for learners to be removed from the classroom setting and become immersed in their subject matter to a level that could not be accessed within the constraints of textbooks and classrooms. In the twenty years since this was published, the classroom has moved away from being more than just a room within a school building; a brick and mortar classroom (Bavisotto, 2014); the classroom has developed to be any space in which learning takes place, whether it be via an online community or even an outdoor setting. It could therefore be assumed that the proliferation of the classroom means that VFTs allow for learners to experience the same benefits of that afforded by a physical field trip?</w:t>
      </w:r>
    </w:p>
    <w:p w14:paraId="67D9BF69" w14:textId="77777777" w:rsidR="00804766" w:rsidRDefault="00804766" w:rsidP="00804766">
      <w:pPr>
        <w:spacing w:line="480" w:lineRule="auto"/>
        <w:ind w:firstLine="720"/>
        <w:jc w:val="both"/>
        <w:rPr>
          <w:rFonts w:asciiTheme="majorHAnsi" w:hAnsiTheme="majorHAnsi" w:cstheme="majorHAnsi"/>
          <w:sz w:val="22"/>
          <w:szCs w:val="22"/>
        </w:rPr>
      </w:pPr>
      <w:r>
        <w:rPr>
          <w:rFonts w:asciiTheme="majorHAnsi" w:hAnsiTheme="majorHAnsi" w:cstheme="majorHAnsi"/>
          <w:sz w:val="22"/>
          <w:szCs w:val="22"/>
        </w:rPr>
        <w:t>As well as the classroom being subjected to continual development, the idea of what constitutes as effective learning also has the attention of researchers and other practitioners (</w:t>
      </w:r>
      <w:bookmarkStart w:id="16" w:name="_Hlk513930166"/>
      <w:r>
        <w:rPr>
          <w:rFonts w:asciiTheme="majorHAnsi" w:hAnsiTheme="majorHAnsi" w:cstheme="majorHAnsi"/>
          <w:sz w:val="22"/>
          <w:szCs w:val="22"/>
        </w:rPr>
        <w:t xml:space="preserve">Watkins et al., 2002; </w:t>
      </w:r>
      <w:proofErr w:type="spellStart"/>
      <w:r>
        <w:rPr>
          <w:rFonts w:asciiTheme="majorHAnsi" w:hAnsiTheme="majorHAnsi" w:cstheme="majorHAnsi"/>
          <w:sz w:val="22"/>
          <w:szCs w:val="22"/>
        </w:rPr>
        <w:t>Ko</w:t>
      </w:r>
      <w:proofErr w:type="spellEnd"/>
      <w:r>
        <w:rPr>
          <w:rFonts w:asciiTheme="majorHAnsi" w:hAnsiTheme="majorHAnsi" w:cstheme="majorHAnsi"/>
          <w:sz w:val="22"/>
          <w:szCs w:val="22"/>
        </w:rPr>
        <w:t xml:space="preserve">, Sammons and </w:t>
      </w:r>
      <w:proofErr w:type="spellStart"/>
      <w:r>
        <w:rPr>
          <w:rFonts w:asciiTheme="majorHAnsi" w:hAnsiTheme="majorHAnsi" w:cstheme="majorHAnsi"/>
          <w:sz w:val="22"/>
          <w:szCs w:val="22"/>
        </w:rPr>
        <w:t>Bakkum</w:t>
      </w:r>
      <w:proofErr w:type="spellEnd"/>
      <w:r>
        <w:rPr>
          <w:rFonts w:asciiTheme="majorHAnsi" w:hAnsiTheme="majorHAnsi" w:cstheme="majorHAnsi"/>
          <w:sz w:val="22"/>
          <w:szCs w:val="22"/>
        </w:rPr>
        <w:t>, 2014). Bransford et al. (</w:t>
      </w:r>
      <w:proofErr w:type="gramStart"/>
      <w:r>
        <w:rPr>
          <w:rFonts w:asciiTheme="majorHAnsi" w:hAnsiTheme="majorHAnsi" w:cstheme="majorHAnsi"/>
          <w:sz w:val="22"/>
          <w:szCs w:val="22"/>
        </w:rPr>
        <w:t>2000:P</w:t>
      </w:r>
      <w:proofErr w:type="gramEnd"/>
      <w:r>
        <w:rPr>
          <w:rFonts w:asciiTheme="majorHAnsi" w:hAnsiTheme="majorHAnsi" w:cstheme="majorHAnsi"/>
          <w:sz w:val="22"/>
          <w:szCs w:val="22"/>
        </w:rPr>
        <w:t>10)</w:t>
      </w:r>
      <w:bookmarkEnd w:id="16"/>
      <w:r>
        <w:rPr>
          <w:rFonts w:asciiTheme="majorHAnsi" w:hAnsiTheme="majorHAnsi" w:cstheme="majorHAnsi"/>
          <w:sz w:val="22"/>
          <w:szCs w:val="22"/>
        </w:rPr>
        <w:t xml:space="preserve"> saw that contemporary learning, in its most general sense, was something that happened when learners constructed new knowledge and understandings based on prior knowledge and beliefs. Through the expansion of the context of learning, alongside a remarkable development in the use of technologies within the classroom, the increasing use of VFTs to support learning has supported even the earliest of education theory, such as that of </w:t>
      </w:r>
      <w:bookmarkStart w:id="17" w:name="_Hlk513930190"/>
      <w:r>
        <w:rPr>
          <w:rFonts w:asciiTheme="majorHAnsi" w:hAnsiTheme="majorHAnsi" w:cstheme="majorHAnsi"/>
          <w:sz w:val="22"/>
          <w:szCs w:val="22"/>
        </w:rPr>
        <w:t>Dewey’s (1938)</w:t>
      </w:r>
      <w:bookmarkEnd w:id="17"/>
      <w:r>
        <w:rPr>
          <w:rFonts w:asciiTheme="majorHAnsi" w:hAnsiTheme="majorHAnsi" w:cstheme="majorHAnsi"/>
          <w:sz w:val="22"/>
          <w:szCs w:val="22"/>
        </w:rPr>
        <w:t xml:space="preserve"> theory that learners learn best through doing; a view that </w:t>
      </w:r>
      <w:bookmarkStart w:id="18" w:name="_Hlk513930286"/>
      <w:r>
        <w:rPr>
          <w:rFonts w:asciiTheme="majorHAnsi" w:hAnsiTheme="majorHAnsi" w:cstheme="majorHAnsi"/>
          <w:sz w:val="22"/>
          <w:szCs w:val="22"/>
        </w:rPr>
        <w:t>Bellan (1998)</w:t>
      </w:r>
      <w:bookmarkEnd w:id="18"/>
      <w:r>
        <w:rPr>
          <w:rFonts w:asciiTheme="majorHAnsi" w:hAnsiTheme="majorHAnsi" w:cstheme="majorHAnsi"/>
          <w:sz w:val="22"/>
          <w:szCs w:val="22"/>
        </w:rPr>
        <w:t xml:space="preserve"> supports when discussing the notion that field trips pique student interest because it would allow for them to become more hands on. This is something that VFTs allow for learners to do vicariously.</w:t>
      </w:r>
      <w:bookmarkStart w:id="19" w:name="_Hlk513930197"/>
    </w:p>
    <w:p w14:paraId="27910CC4" w14:textId="77777777" w:rsidR="00804766" w:rsidRPr="0056499A" w:rsidRDefault="00804766" w:rsidP="00804766">
      <w:pPr>
        <w:spacing w:line="480" w:lineRule="auto"/>
        <w:ind w:firstLine="720"/>
        <w:jc w:val="both"/>
        <w:rPr>
          <w:rFonts w:asciiTheme="majorHAnsi" w:hAnsiTheme="majorHAnsi" w:cstheme="majorHAnsi"/>
          <w:color w:val="FF0000"/>
          <w:sz w:val="22"/>
          <w:szCs w:val="22"/>
        </w:rPr>
      </w:pPr>
      <w:r>
        <w:rPr>
          <w:rFonts w:asciiTheme="majorHAnsi" w:hAnsiTheme="majorHAnsi" w:cstheme="majorHAnsi"/>
          <w:sz w:val="22"/>
          <w:szCs w:val="22"/>
        </w:rPr>
        <w:lastRenderedPageBreak/>
        <w:t>Shaffer and Resnick (1999)</w:t>
      </w:r>
      <w:bookmarkEnd w:id="19"/>
      <w:r>
        <w:rPr>
          <w:rFonts w:asciiTheme="majorHAnsi" w:hAnsiTheme="majorHAnsi" w:cstheme="majorHAnsi"/>
          <w:sz w:val="22"/>
          <w:szCs w:val="22"/>
        </w:rPr>
        <w:t xml:space="preserve"> questioned whether we would be able to link the rising popularity of the VFT to the idea that the integration of technology within the classroom allows for a better learning environment for students, providing a change from regular activities. However, </w:t>
      </w:r>
      <w:bookmarkStart w:id="20" w:name="_Hlk513930207"/>
      <w:r>
        <w:rPr>
          <w:rFonts w:asciiTheme="majorHAnsi" w:hAnsiTheme="majorHAnsi" w:cstheme="majorHAnsi"/>
          <w:sz w:val="22"/>
          <w:szCs w:val="22"/>
        </w:rPr>
        <w:t>Rice and Wilson (1996)</w:t>
      </w:r>
      <w:bookmarkEnd w:id="20"/>
      <w:r>
        <w:rPr>
          <w:rFonts w:asciiTheme="majorHAnsi" w:hAnsiTheme="majorHAnsi" w:cstheme="majorHAnsi"/>
          <w:sz w:val="22"/>
          <w:szCs w:val="22"/>
        </w:rPr>
        <w:t xml:space="preserve"> argue that the use of technology tools such as simulations and internet resources allowed for practitioners to immerse learners into an environment by which they are able to ascertain a level of independence by making connections between their experience and prior learning, develop a deeper understanding of the curriculum and developing a further interest in their own studies. </w:t>
      </w:r>
      <w:bookmarkStart w:id="21" w:name="_Hlk513930218"/>
      <w:r>
        <w:rPr>
          <w:rFonts w:asciiTheme="majorHAnsi" w:hAnsiTheme="majorHAnsi" w:cstheme="majorHAnsi"/>
          <w:sz w:val="22"/>
          <w:szCs w:val="22"/>
        </w:rPr>
        <w:t>Brown (1999)</w:t>
      </w:r>
      <w:bookmarkEnd w:id="21"/>
      <w:r>
        <w:rPr>
          <w:rFonts w:asciiTheme="majorHAnsi" w:hAnsiTheme="majorHAnsi" w:cstheme="majorHAnsi"/>
          <w:sz w:val="22"/>
          <w:szCs w:val="22"/>
        </w:rPr>
        <w:t xml:space="preserve"> saw that the meaning-making and connections made from students would lead to an increase in academic achievement and success.</w:t>
      </w:r>
      <w:r>
        <w:rPr>
          <w:rFonts w:asciiTheme="majorHAnsi" w:hAnsiTheme="majorHAnsi" w:cstheme="majorHAnsi"/>
          <w:color w:val="FF0000"/>
          <w:sz w:val="22"/>
          <w:szCs w:val="22"/>
        </w:rPr>
        <w:t xml:space="preserve"> </w:t>
      </w:r>
      <w:bookmarkStart w:id="22" w:name="_Hlk513930228"/>
      <w:r>
        <w:rPr>
          <w:rFonts w:asciiTheme="majorHAnsi" w:hAnsiTheme="majorHAnsi" w:cstheme="majorHAnsi"/>
          <w:sz w:val="22"/>
          <w:szCs w:val="22"/>
        </w:rPr>
        <w:t>Norris et al. (2015)</w:t>
      </w:r>
      <w:bookmarkEnd w:id="22"/>
      <w:r>
        <w:rPr>
          <w:rFonts w:asciiTheme="majorHAnsi" w:hAnsiTheme="majorHAnsi" w:cstheme="majorHAnsi"/>
          <w:sz w:val="22"/>
          <w:szCs w:val="22"/>
        </w:rPr>
        <w:t xml:space="preserve"> mirrored the idea that the VFT was a changed method of learning; the use of multimodal devices is seen to be a viable source of physically active learning and this classroom technology was yet to be exploited.</w:t>
      </w:r>
    </w:p>
    <w:p w14:paraId="02A38B15" w14:textId="77777777" w:rsidR="00804766" w:rsidRDefault="00804766" w:rsidP="00804766">
      <w:pPr>
        <w:spacing w:line="480" w:lineRule="auto"/>
        <w:ind w:firstLine="720"/>
        <w:jc w:val="both"/>
        <w:rPr>
          <w:rFonts w:asciiTheme="majorHAnsi" w:hAnsiTheme="majorHAnsi" w:cstheme="majorHAnsi"/>
          <w:color w:val="FF0000"/>
          <w:sz w:val="22"/>
          <w:szCs w:val="22"/>
        </w:rPr>
      </w:pPr>
      <w:bookmarkStart w:id="23" w:name="_Hlk513930235"/>
      <w:r>
        <w:rPr>
          <w:rFonts w:asciiTheme="majorHAnsi" w:hAnsiTheme="majorHAnsi" w:cstheme="majorHAnsi"/>
          <w:sz w:val="22"/>
          <w:szCs w:val="22"/>
        </w:rPr>
        <w:t>Robinson (2009)</w:t>
      </w:r>
      <w:bookmarkEnd w:id="23"/>
      <w:r>
        <w:rPr>
          <w:rFonts w:asciiTheme="majorHAnsi" w:hAnsiTheme="majorHAnsi" w:cstheme="majorHAnsi"/>
          <w:sz w:val="22"/>
          <w:szCs w:val="22"/>
        </w:rPr>
        <w:t xml:space="preserve"> developed a controversial view towards the use of VFTs within the classroom, despite describing the VFT as ‘</w:t>
      </w:r>
      <w:r>
        <w:rPr>
          <w:rFonts w:asciiTheme="majorHAnsi" w:hAnsiTheme="majorHAnsi" w:cstheme="majorHAnsi"/>
          <w:i/>
          <w:sz w:val="22"/>
          <w:szCs w:val="22"/>
        </w:rPr>
        <w:t>an educational innovation</w:t>
      </w:r>
      <w:r>
        <w:rPr>
          <w:rFonts w:asciiTheme="majorHAnsi" w:hAnsiTheme="majorHAnsi" w:cstheme="majorHAnsi"/>
          <w:sz w:val="22"/>
          <w:szCs w:val="22"/>
        </w:rPr>
        <w:t xml:space="preserve">’ (P1). Robinson believed that learners had the innate capability to become ‘baby-like' when sat infront of a screen, clicking passively through a virtual tour and thus suggested that the highest quality VFTs were ones that were goal-orientated, in line with the current curriculum and based on sound pedagogy and educational theories. It has been suggested on a number of occasions that the effectiveness of each individual VFT must be considered carefully prior to its use; there are countless acclaimed VFTs that are perceived to be nothing more than linear virtual tours that have no purpose other than to entertain or promote a particular destination </w:t>
      </w:r>
      <w:bookmarkStart w:id="24" w:name="_Hlk513930247"/>
      <w:r>
        <w:rPr>
          <w:rFonts w:asciiTheme="majorHAnsi" w:hAnsiTheme="majorHAnsi" w:cstheme="majorHAnsi"/>
          <w:sz w:val="22"/>
          <w:szCs w:val="22"/>
        </w:rPr>
        <w:t>(Bellan and Scheurman, 2001; Mitchell and Wesolik, 2002; Qui and Hubble, 2002).</w:t>
      </w:r>
    </w:p>
    <w:p w14:paraId="571B49DE" w14:textId="77777777" w:rsidR="00804766" w:rsidRDefault="00804766" w:rsidP="00804766">
      <w:pPr>
        <w:spacing w:line="480" w:lineRule="auto"/>
        <w:ind w:firstLine="720"/>
        <w:jc w:val="both"/>
        <w:rPr>
          <w:rFonts w:asciiTheme="majorHAnsi" w:hAnsiTheme="majorHAnsi" w:cstheme="majorHAnsi"/>
          <w:sz w:val="22"/>
          <w:szCs w:val="22"/>
        </w:rPr>
      </w:pPr>
      <w:bookmarkStart w:id="25" w:name="_Hlk513930297"/>
      <w:bookmarkEnd w:id="24"/>
      <w:r>
        <w:rPr>
          <w:rFonts w:asciiTheme="majorHAnsi" w:hAnsiTheme="majorHAnsi" w:cstheme="majorHAnsi"/>
          <w:sz w:val="22"/>
          <w:szCs w:val="22"/>
        </w:rPr>
        <w:t>Oyler (2014)</w:t>
      </w:r>
      <w:bookmarkEnd w:id="25"/>
      <w:r>
        <w:rPr>
          <w:rFonts w:asciiTheme="majorHAnsi" w:hAnsiTheme="majorHAnsi" w:cstheme="majorHAnsi"/>
          <w:sz w:val="22"/>
          <w:szCs w:val="22"/>
        </w:rPr>
        <w:t xml:space="preserve"> found that the use of VFTs had a significant impact on learner comprehension and vocabulary achievement; though this study was confined to learners with disabilities, so it could be difficult to determine whether the same study would result in the same outcomes when replicated using learners who were not disabled. </w:t>
      </w:r>
    </w:p>
    <w:p w14:paraId="4CEDAE0E" w14:textId="77777777" w:rsidR="00804766" w:rsidRDefault="00804766" w:rsidP="00804766">
      <w:pPr>
        <w:spacing w:line="480" w:lineRule="auto"/>
        <w:ind w:firstLine="720"/>
        <w:jc w:val="both"/>
        <w:rPr>
          <w:rFonts w:asciiTheme="majorHAnsi" w:hAnsiTheme="majorHAnsi" w:cstheme="majorHAnsi"/>
          <w:sz w:val="22"/>
          <w:szCs w:val="22"/>
        </w:rPr>
      </w:pPr>
      <w:r>
        <w:rPr>
          <w:rFonts w:asciiTheme="majorHAnsi" w:hAnsiTheme="majorHAnsi" w:cstheme="majorHAnsi"/>
          <w:sz w:val="22"/>
          <w:szCs w:val="22"/>
        </w:rPr>
        <w:t xml:space="preserve">Though the VFT brings the museum, author, park or monument to the student (Robinson, 2009), a disadvantage of its use is that it simply cannot provide sensory stimulation to its visitors </w:t>
      </w:r>
      <w:bookmarkStart w:id="26" w:name="_Hlk513930315"/>
      <w:r>
        <w:rPr>
          <w:rFonts w:asciiTheme="majorHAnsi" w:hAnsiTheme="majorHAnsi" w:cstheme="majorHAnsi"/>
          <w:sz w:val="22"/>
          <w:szCs w:val="22"/>
        </w:rPr>
        <w:t xml:space="preserve">(Nix, 1999; Stainfield, Fisher, Ford and </w:t>
      </w:r>
      <w:proofErr w:type="spellStart"/>
      <w:r>
        <w:rPr>
          <w:rFonts w:asciiTheme="majorHAnsi" w:hAnsiTheme="majorHAnsi" w:cstheme="majorHAnsi"/>
          <w:sz w:val="22"/>
          <w:szCs w:val="22"/>
        </w:rPr>
        <w:t>Solem</w:t>
      </w:r>
      <w:proofErr w:type="spellEnd"/>
      <w:r>
        <w:rPr>
          <w:rFonts w:asciiTheme="majorHAnsi" w:hAnsiTheme="majorHAnsi" w:cstheme="majorHAnsi"/>
          <w:sz w:val="22"/>
          <w:szCs w:val="22"/>
        </w:rPr>
        <w:t xml:space="preserve">, 2000) </w:t>
      </w:r>
      <w:bookmarkEnd w:id="26"/>
      <w:r>
        <w:rPr>
          <w:rFonts w:asciiTheme="majorHAnsi" w:hAnsiTheme="majorHAnsi" w:cstheme="majorHAnsi"/>
          <w:sz w:val="22"/>
          <w:szCs w:val="22"/>
        </w:rPr>
        <w:t xml:space="preserve">nor can it allow for effective social interactions that are invaluable to the disadvantaged learner. It is due to the lack of sensory stimulation and the restrictions imposed upon learners with respect to the level of problem solving skills that can be accessed that has led to practitioners being highly reluctant to use VFTs within their classrooms (Bellan and Scheurman, 2001). </w:t>
      </w:r>
      <w:bookmarkStart w:id="27" w:name="_Hlk513930338"/>
      <w:r>
        <w:rPr>
          <w:rFonts w:asciiTheme="majorHAnsi" w:hAnsiTheme="majorHAnsi" w:cstheme="majorHAnsi"/>
          <w:sz w:val="22"/>
          <w:szCs w:val="22"/>
        </w:rPr>
        <w:t>Hehr (2014)</w:t>
      </w:r>
      <w:bookmarkEnd w:id="27"/>
      <w:r>
        <w:rPr>
          <w:rFonts w:asciiTheme="majorHAnsi" w:hAnsiTheme="majorHAnsi" w:cstheme="majorHAnsi"/>
          <w:sz w:val="22"/>
          <w:szCs w:val="22"/>
        </w:rPr>
        <w:t xml:space="preserve"> saw that whilst VFTs appear to be an innovative use of technology within the classroom, further reflecting the views of Robinson (2009), he did not believe that there was enough empirical evidence to state that VFTs are the direct cause of academic improvement. The study suggested the </w:t>
      </w:r>
      <w:r>
        <w:rPr>
          <w:rFonts w:asciiTheme="majorHAnsi" w:hAnsiTheme="majorHAnsi" w:cstheme="majorHAnsi"/>
          <w:sz w:val="22"/>
          <w:szCs w:val="22"/>
        </w:rPr>
        <w:lastRenderedPageBreak/>
        <w:t>need for further research to be conducted focussing on the use of VFTs within the social studies classroom, and for the need of practitioners to design a plethora of pedagogical approaches that would allow for all learners to access higher-order thinking skills, regardless of their levels of motivation and academic achievement.</w:t>
      </w:r>
    </w:p>
    <w:p w14:paraId="599AFDE6" w14:textId="77777777" w:rsidR="00804766" w:rsidRPr="00A40A0E" w:rsidRDefault="00804766" w:rsidP="00804766">
      <w:pPr>
        <w:spacing w:line="480" w:lineRule="auto"/>
        <w:jc w:val="both"/>
        <w:rPr>
          <w:rFonts w:asciiTheme="majorHAnsi" w:hAnsiTheme="majorHAnsi" w:cstheme="majorHAnsi"/>
          <w:sz w:val="22"/>
          <w:szCs w:val="22"/>
        </w:rPr>
      </w:pPr>
      <w:r w:rsidRPr="00A40A0E">
        <w:rPr>
          <w:rFonts w:asciiTheme="majorHAnsi" w:hAnsiTheme="majorHAnsi" w:cstheme="majorHAnsi"/>
          <w:b/>
          <w:sz w:val="22"/>
          <w:szCs w:val="22"/>
        </w:rPr>
        <w:t>Supporting Disadvantaged Learners</w:t>
      </w:r>
    </w:p>
    <w:p w14:paraId="2A0B3E11" w14:textId="541B3936" w:rsidR="00804766" w:rsidRPr="00930DCC" w:rsidRDefault="00F60012" w:rsidP="00804766">
      <w:pPr>
        <w:spacing w:line="480" w:lineRule="auto"/>
        <w:ind w:firstLine="720"/>
        <w:jc w:val="both"/>
        <w:rPr>
          <w:rFonts w:asciiTheme="majorHAnsi" w:hAnsiTheme="majorHAnsi" w:cstheme="majorHAnsi"/>
          <w:b/>
          <w:sz w:val="22"/>
          <w:szCs w:val="22"/>
          <w:u w:val="single"/>
        </w:rPr>
      </w:pPr>
      <w:r>
        <w:rPr>
          <w:rFonts w:asciiTheme="majorHAnsi" w:hAnsiTheme="majorHAnsi" w:cstheme="majorHAnsi"/>
          <w:sz w:val="22"/>
          <w:szCs w:val="22"/>
        </w:rPr>
        <w:t>Darling-</w:t>
      </w:r>
      <w:r w:rsidR="00804766">
        <w:rPr>
          <w:rFonts w:asciiTheme="majorHAnsi" w:hAnsiTheme="majorHAnsi" w:cstheme="majorHAnsi"/>
          <w:sz w:val="22"/>
          <w:szCs w:val="22"/>
        </w:rPr>
        <w:t xml:space="preserve">Hammond et al. (2014) reported that every year, more than one million high school students in the United States dropped out of the education system; averaging at one student every 29 seconds. The factors that influence these situations can be both personal (employment, mobility and homelessness) and academic (lack of support and additional learning needs) (P1). </w:t>
      </w:r>
      <w:proofErr w:type="spellStart"/>
      <w:r w:rsidR="00804766">
        <w:rPr>
          <w:rFonts w:asciiTheme="majorHAnsi" w:hAnsiTheme="majorHAnsi" w:cstheme="majorHAnsi"/>
          <w:sz w:val="22"/>
          <w:szCs w:val="22"/>
        </w:rPr>
        <w:t>Stamou</w:t>
      </w:r>
      <w:proofErr w:type="spellEnd"/>
      <w:r w:rsidR="00804766">
        <w:rPr>
          <w:rFonts w:asciiTheme="majorHAnsi" w:hAnsiTheme="majorHAnsi" w:cstheme="majorHAnsi"/>
          <w:sz w:val="22"/>
          <w:szCs w:val="22"/>
        </w:rPr>
        <w:t xml:space="preserve"> et al. (2014) see that these are factors that at-risk students in the United Kingdom are all too familiar with; there were 304,370 exclusions (both permanent and fixed-term) in the academic year of 2011-12 (P1).</w:t>
      </w:r>
    </w:p>
    <w:p w14:paraId="0C58E008" w14:textId="77777777" w:rsidR="00804766" w:rsidRDefault="00804766" w:rsidP="00804766">
      <w:pPr>
        <w:spacing w:line="480" w:lineRule="auto"/>
        <w:ind w:firstLine="720"/>
        <w:jc w:val="both"/>
        <w:rPr>
          <w:rFonts w:asciiTheme="majorHAnsi" w:hAnsiTheme="majorHAnsi" w:cstheme="majorHAnsi"/>
          <w:sz w:val="22"/>
          <w:szCs w:val="22"/>
        </w:rPr>
      </w:pPr>
      <w:r>
        <w:rPr>
          <w:rFonts w:asciiTheme="majorHAnsi" w:hAnsiTheme="majorHAnsi" w:cstheme="majorHAnsi"/>
          <w:sz w:val="22"/>
          <w:szCs w:val="22"/>
        </w:rPr>
        <w:t>European Commission (2013) maintain that digital technologies bring an abundance of benefits to the disadvantaged learner. Though there is a lack of empirical evidence to support the claim, there is a widespread belief that the use of digital technologies for learning reaps benefits for disadvantaged learners (</w:t>
      </w:r>
      <w:proofErr w:type="spellStart"/>
      <w:r>
        <w:rPr>
          <w:rFonts w:asciiTheme="majorHAnsi" w:hAnsiTheme="majorHAnsi" w:cstheme="majorHAnsi"/>
          <w:sz w:val="22"/>
          <w:szCs w:val="22"/>
        </w:rPr>
        <w:t>Biagi</w:t>
      </w:r>
      <w:proofErr w:type="spellEnd"/>
      <w:r>
        <w:rPr>
          <w:rFonts w:asciiTheme="majorHAnsi" w:hAnsiTheme="majorHAnsi" w:cstheme="majorHAnsi"/>
          <w:sz w:val="22"/>
          <w:szCs w:val="22"/>
        </w:rPr>
        <w:t xml:space="preserve"> and Rodrigues, 2017). As previously discussed, social studies instruction can often be deemed as uninteresting and relevant to learners as they react adversely to passive methods that prevail in teacher-</w:t>
      </w:r>
      <w:r w:rsidRPr="00951E2B">
        <w:rPr>
          <w:rFonts w:asciiTheme="majorHAnsi" w:hAnsiTheme="majorHAnsi" w:cstheme="majorHAnsi"/>
          <w:sz w:val="22"/>
          <w:szCs w:val="22"/>
        </w:rPr>
        <w:t>led lessons</w:t>
      </w:r>
      <w:r>
        <w:rPr>
          <w:rFonts w:asciiTheme="majorHAnsi" w:hAnsiTheme="majorHAnsi" w:cstheme="majorHAnsi"/>
          <w:sz w:val="22"/>
          <w:szCs w:val="22"/>
        </w:rPr>
        <w:t>; however, Barley et al. (2002) argue that digital technologies have the potential to afford a shift from teacher-led learning to a more learner-led instruction that is seen to benefit many disadvantaged learners.</w:t>
      </w:r>
    </w:p>
    <w:p w14:paraId="48973BD1" w14:textId="77777777" w:rsidR="00804766" w:rsidRDefault="00804766" w:rsidP="00A20AA0">
      <w:pPr>
        <w:spacing w:line="480" w:lineRule="auto"/>
        <w:ind w:firstLine="720"/>
        <w:jc w:val="both"/>
        <w:rPr>
          <w:rFonts w:asciiTheme="majorHAnsi" w:hAnsiTheme="majorHAnsi" w:cstheme="majorHAnsi"/>
          <w:b/>
          <w:i/>
          <w:sz w:val="22"/>
          <w:szCs w:val="22"/>
        </w:rPr>
      </w:pPr>
      <w:proofErr w:type="spellStart"/>
      <w:r>
        <w:rPr>
          <w:rFonts w:asciiTheme="majorHAnsi" w:hAnsiTheme="majorHAnsi" w:cstheme="majorHAnsi"/>
          <w:sz w:val="22"/>
          <w:szCs w:val="22"/>
        </w:rPr>
        <w:t>Lumby</w:t>
      </w:r>
      <w:proofErr w:type="spellEnd"/>
      <w:r>
        <w:rPr>
          <w:rFonts w:asciiTheme="majorHAnsi" w:hAnsiTheme="majorHAnsi" w:cstheme="majorHAnsi"/>
          <w:sz w:val="22"/>
          <w:szCs w:val="22"/>
        </w:rPr>
        <w:t xml:space="preserve"> (2013) found that the majority of disengaged learners, who identified school as the reason for their disengagement, often discussed how there were four classroom-based factors that could help them re-engage. These were (i) clarity of instruction; (ii) social learning; (iii) clear direction, and; (iv) active methods. Active methods would allow for different learning outcomes, piquing student interest and motivation, also downplaying the risk of behavioural issues (Darling-Hammond et al., 2014). It was from t</w:t>
      </w:r>
      <w:r w:rsidRPr="00A40A0E">
        <w:rPr>
          <w:rFonts w:asciiTheme="majorHAnsi" w:hAnsiTheme="majorHAnsi" w:cstheme="majorHAnsi"/>
          <w:sz w:val="22"/>
          <w:szCs w:val="22"/>
        </w:rPr>
        <w:t xml:space="preserve">hese factors that the researcher found inspiration for their second research question </w:t>
      </w:r>
      <w:r w:rsidRPr="00A40A0E">
        <w:rPr>
          <w:rFonts w:asciiTheme="majorHAnsi" w:hAnsiTheme="majorHAnsi" w:cstheme="majorHAnsi"/>
          <w:i/>
          <w:sz w:val="22"/>
          <w:szCs w:val="22"/>
        </w:rPr>
        <w:t>(Question 2: Does the disadvantaged learner feel more included in the learning process as a result of the use of VFTs?)</w:t>
      </w:r>
    </w:p>
    <w:p w14:paraId="6CDEA182" w14:textId="63F028CD" w:rsidR="00804766" w:rsidRPr="00A40A0E" w:rsidRDefault="00804766" w:rsidP="00804766">
      <w:pPr>
        <w:spacing w:line="480" w:lineRule="auto"/>
        <w:ind w:firstLine="720"/>
        <w:jc w:val="both"/>
        <w:rPr>
          <w:rFonts w:asciiTheme="majorHAnsi" w:hAnsiTheme="majorHAnsi" w:cstheme="majorHAnsi"/>
          <w:b/>
          <w:i/>
          <w:sz w:val="22"/>
          <w:szCs w:val="22"/>
        </w:rPr>
      </w:pPr>
      <w:r>
        <w:rPr>
          <w:rFonts w:asciiTheme="majorHAnsi" w:hAnsiTheme="majorHAnsi" w:cstheme="majorHAnsi"/>
          <w:sz w:val="22"/>
          <w:szCs w:val="22"/>
        </w:rPr>
        <w:t>The use of digital technology is a vital learning aid to assist learners, as they increasingly depend on technology and the internet for both classroom-based work and homework (</w:t>
      </w:r>
      <w:proofErr w:type="spellStart"/>
      <w:r>
        <w:rPr>
          <w:rFonts w:asciiTheme="majorHAnsi" w:hAnsiTheme="majorHAnsi" w:cstheme="majorHAnsi"/>
          <w:sz w:val="22"/>
          <w:szCs w:val="22"/>
        </w:rPr>
        <w:t>Bradbrook</w:t>
      </w:r>
      <w:proofErr w:type="spellEnd"/>
      <w:r>
        <w:rPr>
          <w:rFonts w:asciiTheme="majorHAnsi" w:hAnsiTheme="majorHAnsi" w:cstheme="majorHAnsi"/>
          <w:sz w:val="22"/>
          <w:szCs w:val="22"/>
        </w:rPr>
        <w:t xml:space="preserve"> et al., 2008). </w:t>
      </w:r>
      <w:r w:rsidRPr="002E346F">
        <w:rPr>
          <w:rFonts w:asciiTheme="majorHAnsi" w:hAnsiTheme="majorHAnsi" w:cstheme="majorHAnsi"/>
          <w:sz w:val="22"/>
          <w:szCs w:val="22"/>
        </w:rPr>
        <w:t>Though during the academic year of 2012-13 there was a total of £1.25 billion funding allocated to school across the United Kingdom to assist in raising the attainment levels of learners from low-income families elig</w:t>
      </w:r>
      <w:r>
        <w:rPr>
          <w:rFonts w:asciiTheme="majorHAnsi" w:hAnsiTheme="majorHAnsi" w:cstheme="majorHAnsi"/>
          <w:sz w:val="22"/>
          <w:szCs w:val="22"/>
        </w:rPr>
        <w:t>ible for free school meals, looked after children</w:t>
      </w:r>
      <w:r w:rsidRPr="002E346F">
        <w:rPr>
          <w:rFonts w:asciiTheme="majorHAnsi" w:hAnsiTheme="majorHAnsi" w:cstheme="majorHAnsi"/>
          <w:sz w:val="22"/>
          <w:szCs w:val="22"/>
        </w:rPr>
        <w:t xml:space="preserve"> and those from families with parents in the Armed Forces, only one in 10 school leaders said that this Pupil Premium </w:t>
      </w:r>
      <w:r w:rsidRPr="002E346F">
        <w:rPr>
          <w:rFonts w:asciiTheme="majorHAnsi" w:hAnsiTheme="majorHAnsi" w:cstheme="majorHAnsi"/>
          <w:sz w:val="22"/>
          <w:szCs w:val="22"/>
        </w:rPr>
        <w:lastRenderedPageBreak/>
        <w:t xml:space="preserve">(PP) had significantly changed the way that they supported learners from disadvantaged backgrounds </w:t>
      </w:r>
      <w:bookmarkStart w:id="28" w:name="_Hlk513930131"/>
      <w:r w:rsidRPr="002E346F">
        <w:rPr>
          <w:rFonts w:asciiTheme="majorHAnsi" w:hAnsiTheme="majorHAnsi" w:cstheme="majorHAnsi"/>
          <w:sz w:val="22"/>
          <w:szCs w:val="22"/>
        </w:rPr>
        <w:t>(Ofsted, 2012)</w:t>
      </w:r>
      <w:bookmarkEnd w:id="28"/>
      <w:r w:rsidRPr="002E346F">
        <w:rPr>
          <w:rFonts w:asciiTheme="majorHAnsi" w:hAnsiTheme="majorHAnsi" w:cstheme="majorHAnsi"/>
          <w:sz w:val="22"/>
          <w:szCs w:val="22"/>
        </w:rPr>
        <w:t xml:space="preserve">. Alongside this, it was revealed that the PP was more often than not being used to maintain or enhance existing provisions rather than to implement new initiatives- just one in 10 schools used the PP to purchase ICT hardware for learners to use both inside and </w:t>
      </w:r>
      <w:r w:rsidR="00B57C51">
        <w:rPr>
          <w:rFonts w:asciiTheme="majorHAnsi" w:hAnsiTheme="majorHAnsi" w:cstheme="majorHAnsi"/>
          <w:sz w:val="22"/>
          <w:szCs w:val="22"/>
        </w:rPr>
        <w:t>outside of the classroom</w:t>
      </w:r>
      <w:r w:rsidRPr="002E346F">
        <w:rPr>
          <w:rFonts w:asciiTheme="majorHAnsi" w:hAnsiTheme="majorHAnsi" w:cstheme="majorHAnsi"/>
          <w:sz w:val="22"/>
          <w:szCs w:val="22"/>
        </w:rPr>
        <w:t>.</w:t>
      </w:r>
    </w:p>
    <w:p w14:paraId="33E6D73D" w14:textId="66AEEF1D" w:rsidR="00804766" w:rsidRPr="00930DCC" w:rsidRDefault="00804766" w:rsidP="00804766">
      <w:pPr>
        <w:spacing w:line="480" w:lineRule="auto"/>
        <w:ind w:firstLine="720"/>
        <w:jc w:val="both"/>
        <w:rPr>
          <w:rFonts w:asciiTheme="majorHAnsi" w:hAnsiTheme="majorHAnsi" w:cstheme="majorHAnsi"/>
          <w:sz w:val="22"/>
          <w:szCs w:val="22"/>
        </w:rPr>
      </w:pPr>
      <w:r>
        <w:rPr>
          <w:rFonts w:asciiTheme="majorHAnsi" w:hAnsiTheme="majorHAnsi" w:cstheme="majorHAnsi"/>
          <w:sz w:val="22"/>
          <w:szCs w:val="22"/>
        </w:rPr>
        <w:t>However, this lack of support in assisting disadvantaged learners with poor skills often compounds disadvantage, with 80% of those with poor reading skills labelling education as a waste of time, further wanting to leave school at the earliest opportunity afforded to them (</w:t>
      </w:r>
      <w:r w:rsidR="00A97F24">
        <w:rPr>
          <w:rFonts w:asciiTheme="majorHAnsi" w:hAnsiTheme="majorHAnsi" w:cstheme="majorHAnsi"/>
          <w:sz w:val="22"/>
          <w:szCs w:val="22"/>
        </w:rPr>
        <w:t xml:space="preserve">Clark and </w:t>
      </w:r>
      <w:proofErr w:type="spellStart"/>
      <w:r w:rsidR="00A97F24">
        <w:rPr>
          <w:rFonts w:asciiTheme="majorHAnsi" w:hAnsiTheme="majorHAnsi" w:cstheme="majorHAnsi"/>
          <w:sz w:val="22"/>
          <w:szCs w:val="22"/>
        </w:rPr>
        <w:t>Rumbold</w:t>
      </w:r>
      <w:proofErr w:type="spellEnd"/>
      <w:r w:rsidR="00A97F24">
        <w:rPr>
          <w:rFonts w:asciiTheme="majorHAnsi" w:hAnsiTheme="majorHAnsi" w:cstheme="majorHAnsi"/>
          <w:sz w:val="22"/>
          <w:szCs w:val="22"/>
        </w:rPr>
        <w:t>, 2006</w:t>
      </w:r>
      <w:r>
        <w:rPr>
          <w:rFonts w:asciiTheme="majorHAnsi" w:hAnsiTheme="majorHAnsi" w:cstheme="majorHAnsi"/>
          <w:sz w:val="22"/>
          <w:szCs w:val="22"/>
        </w:rPr>
        <w:t>). With the PP not being exploited enough to comprehensively benefit disadvantaged learners, learners are hindered from achieving; at Key Stage 3, the allocation of just £100 of extra spending per year, over a three-year period, had a positive impact on attainment of eFSM pupils (DfES, 2006).</w:t>
      </w:r>
    </w:p>
    <w:p w14:paraId="39DBFEED" w14:textId="77777777" w:rsidR="00804766" w:rsidRDefault="00804766" w:rsidP="00804766">
      <w:pPr>
        <w:spacing w:line="480" w:lineRule="auto"/>
        <w:ind w:firstLine="720"/>
        <w:jc w:val="both"/>
        <w:rPr>
          <w:rFonts w:asciiTheme="majorHAnsi" w:hAnsiTheme="majorHAnsi" w:cstheme="majorHAnsi"/>
          <w:b/>
          <w:sz w:val="22"/>
          <w:szCs w:val="22"/>
          <w:u w:val="single"/>
        </w:rPr>
      </w:pPr>
    </w:p>
    <w:p w14:paraId="47CF93AD" w14:textId="77777777" w:rsidR="00804766" w:rsidRPr="00692092" w:rsidRDefault="00804766" w:rsidP="00804766">
      <w:pPr>
        <w:spacing w:line="480" w:lineRule="auto"/>
        <w:ind w:firstLine="720"/>
        <w:jc w:val="both"/>
        <w:rPr>
          <w:rFonts w:asciiTheme="majorHAnsi" w:hAnsiTheme="majorHAnsi" w:cstheme="majorHAnsi"/>
          <w:b/>
          <w:sz w:val="22"/>
          <w:szCs w:val="22"/>
          <w:u w:val="single"/>
        </w:rPr>
      </w:pPr>
      <w:r w:rsidRPr="00692092">
        <w:rPr>
          <w:rFonts w:asciiTheme="majorHAnsi" w:hAnsiTheme="majorHAnsi" w:cstheme="majorHAnsi"/>
          <w:b/>
          <w:sz w:val="22"/>
          <w:szCs w:val="22"/>
          <w:u w:val="single"/>
        </w:rPr>
        <w:t>School Policy and Practice</w:t>
      </w:r>
    </w:p>
    <w:p w14:paraId="01613BED" w14:textId="77777777" w:rsidR="00804766" w:rsidRDefault="00804766" w:rsidP="00804766">
      <w:pPr>
        <w:spacing w:line="480" w:lineRule="auto"/>
        <w:ind w:firstLine="720"/>
        <w:jc w:val="both"/>
        <w:rPr>
          <w:rFonts w:asciiTheme="majorHAnsi" w:hAnsiTheme="majorHAnsi" w:cstheme="majorHAnsi"/>
          <w:sz w:val="22"/>
          <w:szCs w:val="22"/>
        </w:rPr>
      </w:pPr>
      <w:r w:rsidRPr="00692092">
        <w:rPr>
          <w:rFonts w:asciiTheme="majorHAnsi" w:hAnsiTheme="majorHAnsi" w:cstheme="majorHAnsi"/>
          <w:sz w:val="22"/>
          <w:szCs w:val="22"/>
        </w:rPr>
        <w:t>The relevance of policies that existed within School Y were of utmost importance when considering how the dis</w:t>
      </w:r>
      <w:r>
        <w:rPr>
          <w:rFonts w:asciiTheme="majorHAnsi" w:hAnsiTheme="majorHAnsi" w:cstheme="majorHAnsi"/>
          <w:sz w:val="22"/>
          <w:szCs w:val="22"/>
        </w:rPr>
        <w:t xml:space="preserve">cussed study should take place. In line with government policy </w:t>
      </w:r>
      <w:bookmarkStart w:id="29" w:name="_Hlk513930359"/>
      <w:r>
        <w:rPr>
          <w:rFonts w:asciiTheme="majorHAnsi" w:hAnsiTheme="majorHAnsi" w:cstheme="majorHAnsi"/>
          <w:sz w:val="22"/>
          <w:szCs w:val="22"/>
        </w:rPr>
        <w:t>(Department for Education, 2015)</w:t>
      </w:r>
      <w:bookmarkEnd w:id="29"/>
      <w:r>
        <w:rPr>
          <w:rFonts w:asciiTheme="majorHAnsi" w:hAnsiTheme="majorHAnsi" w:cstheme="majorHAnsi"/>
          <w:sz w:val="22"/>
          <w:szCs w:val="22"/>
        </w:rPr>
        <w:t xml:space="preserve"> and w</w:t>
      </w:r>
      <w:r w:rsidRPr="00692092">
        <w:rPr>
          <w:rFonts w:asciiTheme="majorHAnsi" w:hAnsiTheme="majorHAnsi" w:cstheme="majorHAnsi"/>
          <w:sz w:val="22"/>
          <w:szCs w:val="22"/>
        </w:rPr>
        <w:t xml:space="preserve">ith recommendation of a statement made by </w:t>
      </w:r>
      <w:bookmarkStart w:id="30" w:name="_Hlk513930351"/>
      <w:r w:rsidRPr="00692092">
        <w:rPr>
          <w:rFonts w:asciiTheme="majorHAnsi" w:hAnsiTheme="majorHAnsi" w:cstheme="majorHAnsi"/>
          <w:sz w:val="22"/>
          <w:szCs w:val="22"/>
        </w:rPr>
        <w:t>School Y (2014)</w:t>
      </w:r>
      <w:bookmarkEnd w:id="30"/>
      <w:r w:rsidRPr="00692092">
        <w:rPr>
          <w:rFonts w:asciiTheme="majorHAnsi" w:hAnsiTheme="majorHAnsi" w:cstheme="majorHAnsi"/>
          <w:sz w:val="22"/>
          <w:szCs w:val="22"/>
        </w:rPr>
        <w:t xml:space="preserve">, this report </w:t>
      </w:r>
      <w:r>
        <w:rPr>
          <w:rFonts w:asciiTheme="majorHAnsi" w:hAnsiTheme="majorHAnsi" w:cstheme="majorHAnsi"/>
          <w:sz w:val="22"/>
          <w:szCs w:val="22"/>
        </w:rPr>
        <w:t>aimed to</w:t>
      </w:r>
      <w:r w:rsidRPr="00692092">
        <w:rPr>
          <w:rFonts w:asciiTheme="majorHAnsi" w:hAnsiTheme="majorHAnsi" w:cstheme="majorHAnsi"/>
          <w:sz w:val="22"/>
          <w:szCs w:val="22"/>
        </w:rPr>
        <w:t xml:space="preserve"> employ the term ‘disadvantaged learner’ to make reference to those from low-inco</w:t>
      </w:r>
      <w:r>
        <w:rPr>
          <w:rFonts w:asciiTheme="majorHAnsi" w:hAnsiTheme="majorHAnsi" w:cstheme="majorHAnsi"/>
          <w:sz w:val="22"/>
          <w:szCs w:val="22"/>
        </w:rPr>
        <w:t xml:space="preserve">me families who successfully met the </w:t>
      </w:r>
      <w:r w:rsidRPr="00692092">
        <w:rPr>
          <w:rFonts w:asciiTheme="majorHAnsi" w:hAnsiTheme="majorHAnsi" w:cstheme="majorHAnsi"/>
          <w:sz w:val="22"/>
          <w:szCs w:val="22"/>
        </w:rPr>
        <w:t>eligibility criteria for F</w:t>
      </w:r>
      <w:r>
        <w:rPr>
          <w:rFonts w:asciiTheme="majorHAnsi" w:hAnsiTheme="majorHAnsi" w:cstheme="majorHAnsi"/>
          <w:sz w:val="22"/>
          <w:szCs w:val="22"/>
        </w:rPr>
        <w:t xml:space="preserve">ree School </w:t>
      </w:r>
      <w:r w:rsidRPr="00692092">
        <w:rPr>
          <w:rFonts w:asciiTheme="majorHAnsi" w:hAnsiTheme="majorHAnsi" w:cstheme="majorHAnsi"/>
          <w:sz w:val="22"/>
          <w:szCs w:val="22"/>
        </w:rPr>
        <w:t>M</w:t>
      </w:r>
      <w:r>
        <w:rPr>
          <w:rFonts w:asciiTheme="majorHAnsi" w:hAnsiTheme="majorHAnsi" w:cstheme="majorHAnsi"/>
          <w:sz w:val="22"/>
          <w:szCs w:val="22"/>
        </w:rPr>
        <w:t>eals (eFSM)</w:t>
      </w:r>
      <w:r w:rsidRPr="00692092">
        <w:rPr>
          <w:rFonts w:asciiTheme="majorHAnsi" w:hAnsiTheme="majorHAnsi" w:cstheme="majorHAnsi"/>
          <w:sz w:val="22"/>
          <w:szCs w:val="22"/>
        </w:rPr>
        <w:t xml:space="preserve"> and those who have been continuously looked after for six months or more (LAC).</w:t>
      </w:r>
      <w:r>
        <w:rPr>
          <w:rFonts w:asciiTheme="majorHAnsi" w:hAnsiTheme="majorHAnsi" w:cstheme="majorHAnsi"/>
          <w:sz w:val="22"/>
          <w:szCs w:val="22"/>
        </w:rPr>
        <w:t xml:space="preserve"> Though, School Y was home to the education provision of just 3 LACs, none of whom were participants of this study were LAC, so for the purpose of this report the term ‘disadvantaged learner’ will exclusively refer to eFSM learners.</w:t>
      </w:r>
    </w:p>
    <w:p w14:paraId="0A44B20B" w14:textId="37281804" w:rsidR="00804766" w:rsidRDefault="00804766" w:rsidP="00804766">
      <w:pPr>
        <w:spacing w:line="480" w:lineRule="auto"/>
        <w:ind w:firstLine="720"/>
        <w:jc w:val="both"/>
        <w:rPr>
          <w:rFonts w:asciiTheme="majorHAnsi" w:hAnsiTheme="majorHAnsi" w:cstheme="majorHAnsi"/>
          <w:sz w:val="22"/>
          <w:szCs w:val="22"/>
        </w:rPr>
      </w:pPr>
      <w:r w:rsidRPr="00692092">
        <w:rPr>
          <w:rFonts w:asciiTheme="majorHAnsi" w:hAnsiTheme="majorHAnsi" w:cstheme="majorHAnsi"/>
          <w:sz w:val="22"/>
          <w:szCs w:val="22"/>
        </w:rPr>
        <w:t>School Y was in its final year of its three-year priorities, dated from the beginning of the academic year of 2015 to the end of the academic y</w:t>
      </w:r>
      <w:r w:rsidR="00C32523">
        <w:rPr>
          <w:rFonts w:asciiTheme="majorHAnsi" w:hAnsiTheme="majorHAnsi" w:cstheme="majorHAnsi"/>
          <w:sz w:val="22"/>
          <w:szCs w:val="22"/>
        </w:rPr>
        <w:t>ear within 2018</w:t>
      </w:r>
      <w:r w:rsidRPr="00692092">
        <w:rPr>
          <w:rFonts w:asciiTheme="majorHAnsi" w:hAnsiTheme="majorHAnsi" w:cstheme="majorHAnsi"/>
          <w:sz w:val="22"/>
          <w:szCs w:val="22"/>
        </w:rPr>
        <w:t xml:space="preserve">. The study took into account the school’s priority of increasing the involvement of pupils and parents/carers in the learning process; more specifically that of the involvement of </w:t>
      </w:r>
      <w:r>
        <w:rPr>
          <w:rFonts w:asciiTheme="majorHAnsi" w:hAnsiTheme="majorHAnsi" w:cstheme="majorHAnsi"/>
          <w:sz w:val="22"/>
          <w:szCs w:val="22"/>
        </w:rPr>
        <w:t>pupils.</w:t>
      </w:r>
    </w:p>
    <w:p w14:paraId="086EF34B" w14:textId="77777777" w:rsidR="00804766" w:rsidRDefault="00804766" w:rsidP="00804766">
      <w:pPr>
        <w:spacing w:line="480" w:lineRule="auto"/>
        <w:ind w:firstLine="720"/>
        <w:jc w:val="both"/>
        <w:rPr>
          <w:rFonts w:asciiTheme="majorHAnsi" w:hAnsiTheme="majorHAnsi" w:cstheme="majorHAnsi"/>
          <w:sz w:val="22"/>
          <w:szCs w:val="22"/>
        </w:rPr>
      </w:pPr>
      <w:r>
        <w:rPr>
          <w:rFonts w:asciiTheme="majorHAnsi" w:hAnsiTheme="majorHAnsi" w:cstheme="majorHAnsi"/>
          <w:sz w:val="22"/>
          <w:szCs w:val="22"/>
        </w:rPr>
        <w:t>School Y was a ‘curriculum pioneering’ school, contributing towards a forward-thinking and innovative curriculum for Wales (Welsh Government, 2015), mirroring the works of Donaldson (2015). This study looked to further com</w:t>
      </w:r>
      <w:r w:rsidRPr="00692092">
        <w:rPr>
          <w:rFonts w:asciiTheme="majorHAnsi" w:hAnsiTheme="majorHAnsi" w:cstheme="majorHAnsi"/>
          <w:sz w:val="22"/>
          <w:szCs w:val="22"/>
        </w:rPr>
        <w:t>plement practices that already existed within the school, with particular regard to the use of the f</w:t>
      </w:r>
      <w:r>
        <w:rPr>
          <w:rFonts w:asciiTheme="majorHAnsi" w:hAnsiTheme="majorHAnsi" w:cstheme="majorHAnsi"/>
          <w:sz w:val="22"/>
          <w:szCs w:val="22"/>
        </w:rPr>
        <w:t>our key purposes of the</w:t>
      </w:r>
      <w:r w:rsidRPr="00692092">
        <w:rPr>
          <w:rFonts w:asciiTheme="majorHAnsi" w:hAnsiTheme="majorHAnsi" w:cstheme="majorHAnsi"/>
          <w:sz w:val="22"/>
          <w:szCs w:val="22"/>
        </w:rPr>
        <w:t xml:space="preserve"> curriculum.</w:t>
      </w:r>
      <w:r>
        <w:rPr>
          <w:rFonts w:asciiTheme="majorHAnsi" w:hAnsiTheme="majorHAnsi" w:cstheme="majorHAnsi"/>
          <w:sz w:val="22"/>
          <w:szCs w:val="22"/>
        </w:rPr>
        <w:t xml:space="preserve"> These purposes were to create ambitious capable learners; enterprising, creative contributors; ethical, informed citizens, and; healthy, confident individuals (P29). The school encompassed Areas of Learning and Experience (</w:t>
      </w:r>
      <w:proofErr w:type="spellStart"/>
      <w:r>
        <w:rPr>
          <w:rFonts w:asciiTheme="majorHAnsi" w:hAnsiTheme="majorHAnsi" w:cstheme="majorHAnsi"/>
          <w:sz w:val="22"/>
          <w:szCs w:val="22"/>
        </w:rPr>
        <w:t>AoLEs</w:t>
      </w:r>
      <w:proofErr w:type="spellEnd"/>
      <w:r>
        <w:rPr>
          <w:rFonts w:asciiTheme="majorHAnsi" w:hAnsiTheme="majorHAnsi" w:cstheme="majorHAnsi"/>
          <w:sz w:val="22"/>
          <w:szCs w:val="22"/>
        </w:rPr>
        <w:t>) and aimed to bring about a balanced, broad and inclusive curriculum.</w:t>
      </w:r>
    </w:p>
    <w:p w14:paraId="23783211" w14:textId="77777777" w:rsidR="00804766" w:rsidRPr="00F318C3" w:rsidRDefault="00804766" w:rsidP="00804766">
      <w:pPr>
        <w:spacing w:line="480" w:lineRule="auto"/>
        <w:ind w:firstLine="720"/>
        <w:jc w:val="both"/>
        <w:rPr>
          <w:rFonts w:asciiTheme="majorHAnsi" w:hAnsiTheme="majorHAnsi" w:cstheme="majorHAnsi"/>
          <w:sz w:val="22"/>
          <w:szCs w:val="22"/>
        </w:rPr>
      </w:pPr>
      <w:r w:rsidRPr="00692092">
        <w:rPr>
          <w:rFonts w:asciiTheme="majorHAnsi" w:hAnsiTheme="majorHAnsi" w:cstheme="majorHAnsi"/>
          <w:sz w:val="22"/>
          <w:szCs w:val="22"/>
        </w:rPr>
        <w:lastRenderedPageBreak/>
        <w:t>In School Y’s PDG Annual Spend Plan 2017-18, it is revealed that there is funding availa</w:t>
      </w:r>
      <w:r>
        <w:rPr>
          <w:rFonts w:asciiTheme="majorHAnsi" w:hAnsiTheme="majorHAnsi" w:cstheme="majorHAnsi"/>
          <w:sz w:val="22"/>
          <w:szCs w:val="22"/>
        </w:rPr>
        <w:t>ble for disadvantaged learner that would allow for the provision of professional networks such as pastoral guidance and for a focus on the pupil welfare, health and wellbeing and the attendance of eFSM learners. S</w:t>
      </w:r>
      <w:r w:rsidRPr="00692092">
        <w:rPr>
          <w:rFonts w:asciiTheme="majorHAnsi" w:hAnsiTheme="majorHAnsi" w:cstheme="majorHAnsi"/>
          <w:sz w:val="22"/>
          <w:szCs w:val="22"/>
        </w:rPr>
        <w:t xml:space="preserve">trategic spending focussed on raising the standards of </w:t>
      </w:r>
      <w:r>
        <w:rPr>
          <w:rFonts w:asciiTheme="majorHAnsi" w:hAnsiTheme="majorHAnsi" w:cstheme="majorHAnsi"/>
          <w:sz w:val="22"/>
          <w:szCs w:val="22"/>
        </w:rPr>
        <w:t>e</w:t>
      </w:r>
      <w:r w:rsidRPr="00692092">
        <w:rPr>
          <w:rFonts w:asciiTheme="majorHAnsi" w:hAnsiTheme="majorHAnsi" w:cstheme="majorHAnsi"/>
          <w:sz w:val="22"/>
          <w:szCs w:val="22"/>
        </w:rPr>
        <w:t xml:space="preserve">FSM learners in KS4 and strategic-collaborative spending awarded funding for curriculum visits including that of theatre and field trips, as well as bursaries for </w:t>
      </w:r>
      <w:r>
        <w:rPr>
          <w:rFonts w:asciiTheme="majorHAnsi" w:hAnsiTheme="majorHAnsi" w:cstheme="majorHAnsi"/>
          <w:sz w:val="22"/>
          <w:szCs w:val="22"/>
        </w:rPr>
        <w:t xml:space="preserve">eFSM learners. The limitations imposed on this study as a result of this are discussed further into this </w:t>
      </w:r>
      <w:r w:rsidRPr="00A40A0E">
        <w:rPr>
          <w:rFonts w:asciiTheme="majorHAnsi" w:hAnsiTheme="majorHAnsi" w:cstheme="majorHAnsi"/>
          <w:sz w:val="22"/>
          <w:szCs w:val="22"/>
        </w:rPr>
        <w:t xml:space="preserve">report </w:t>
      </w:r>
      <w:r w:rsidRPr="00A40A0E">
        <w:rPr>
          <w:rFonts w:asciiTheme="majorHAnsi" w:hAnsiTheme="majorHAnsi" w:cstheme="majorHAnsi"/>
          <w:b/>
          <w:sz w:val="22"/>
          <w:szCs w:val="22"/>
        </w:rPr>
        <w:t>(see</w:t>
      </w:r>
      <w:r w:rsidRPr="00A40A0E">
        <w:rPr>
          <w:rFonts w:asciiTheme="majorHAnsi" w:hAnsiTheme="majorHAnsi" w:cstheme="majorHAnsi"/>
          <w:b/>
          <w:i/>
          <w:sz w:val="22"/>
          <w:szCs w:val="22"/>
        </w:rPr>
        <w:t xml:space="preserve"> </w:t>
      </w:r>
      <w:r>
        <w:rPr>
          <w:rFonts w:asciiTheme="majorHAnsi" w:hAnsiTheme="majorHAnsi" w:cstheme="majorHAnsi"/>
          <w:b/>
          <w:i/>
          <w:sz w:val="22"/>
          <w:szCs w:val="22"/>
        </w:rPr>
        <w:t>Limitations and Future Developments</w:t>
      </w:r>
      <w:r w:rsidRPr="00A40A0E">
        <w:rPr>
          <w:rFonts w:asciiTheme="majorHAnsi" w:hAnsiTheme="majorHAnsi" w:cstheme="majorHAnsi"/>
          <w:b/>
          <w:sz w:val="22"/>
          <w:szCs w:val="22"/>
        </w:rPr>
        <w:t>)</w:t>
      </w:r>
      <w:r w:rsidRPr="00A40A0E">
        <w:rPr>
          <w:rFonts w:asciiTheme="majorHAnsi" w:hAnsiTheme="majorHAnsi" w:cstheme="majorHAnsi"/>
          <w:sz w:val="22"/>
          <w:szCs w:val="22"/>
        </w:rPr>
        <w:t>.</w:t>
      </w:r>
    </w:p>
    <w:p w14:paraId="55257FA4" w14:textId="77777777" w:rsidR="00804766" w:rsidRDefault="00804766" w:rsidP="00804766">
      <w:pPr>
        <w:spacing w:line="480" w:lineRule="auto"/>
        <w:ind w:firstLine="720"/>
        <w:jc w:val="both"/>
        <w:rPr>
          <w:rFonts w:asciiTheme="majorHAnsi" w:hAnsiTheme="majorHAnsi" w:cstheme="majorHAnsi"/>
          <w:b/>
          <w:sz w:val="22"/>
          <w:szCs w:val="22"/>
          <w:u w:val="single"/>
        </w:rPr>
      </w:pPr>
      <w:bookmarkStart w:id="31" w:name="_Hlk513292105"/>
    </w:p>
    <w:p w14:paraId="1A9EA763" w14:textId="77777777" w:rsidR="00804766" w:rsidRPr="00692092" w:rsidRDefault="00804766" w:rsidP="00804766">
      <w:pPr>
        <w:spacing w:line="480" w:lineRule="auto"/>
        <w:ind w:firstLine="720"/>
        <w:jc w:val="both"/>
        <w:rPr>
          <w:rFonts w:asciiTheme="majorHAnsi" w:hAnsiTheme="majorHAnsi" w:cstheme="majorHAnsi"/>
          <w:b/>
          <w:sz w:val="22"/>
          <w:szCs w:val="22"/>
        </w:rPr>
      </w:pPr>
      <w:r w:rsidRPr="00692092">
        <w:rPr>
          <w:rFonts w:asciiTheme="majorHAnsi" w:hAnsiTheme="majorHAnsi" w:cstheme="majorHAnsi"/>
          <w:b/>
          <w:sz w:val="22"/>
          <w:szCs w:val="22"/>
          <w:u w:val="single"/>
        </w:rPr>
        <w:t>Methodology</w:t>
      </w:r>
    </w:p>
    <w:bookmarkEnd w:id="31"/>
    <w:p w14:paraId="538832DE" w14:textId="77777777" w:rsidR="00804766" w:rsidRDefault="00804766" w:rsidP="00804766">
      <w:pPr>
        <w:tabs>
          <w:tab w:val="left" w:pos="4962"/>
        </w:tabs>
        <w:spacing w:line="480" w:lineRule="auto"/>
        <w:ind w:firstLine="720"/>
        <w:jc w:val="both"/>
        <w:rPr>
          <w:rFonts w:asciiTheme="majorHAnsi" w:hAnsiTheme="majorHAnsi" w:cstheme="majorHAnsi"/>
          <w:sz w:val="22"/>
          <w:szCs w:val="22"/>
        </w:rPr>
      </w:pPr>
      <w:r w:rsidRPr="00692092">
        <w:rPr>
          <w:rFonts w:asciiTheme="majorHAnsi" w:hAnsiTheme="majorHAnsi" w:cstheme="majorHAnsi"/>
          <w:sz w:val="22"/>
          <w:szCs w:val="22"/>
        </w:rPr>
        <w:t>The use of a qualitative study allowed for the researcher to conduct what could be deemed as primarily ‘exploratory research’ in which the data collected could provide an in-depth understanding of a particular topic; in this case, the perceived impact of VFTs on the teaching and learning of those seen to be at a disadvanta</w:t>
      </w:r>
      <w:r>
        <w:rPr>
          <w:rFonts w:asciiTheme="majorHAnsi" w:hAnsiTheme="majorHAnsi" w:cstheme="majorHAnsi"/>
          <w:sz w:val="22"/>
          <w:szCs w:val="22"/>
        </w:rPr>
        <w:t xml:space="preserve">ge within the education system. </w:t>
      </w:r>
      <w:r w:rsidRPr="00692092">
        <w:rPr>
          <w:rFonts w:asciiTheme="majorHAnsi" w:hAnsiTheme="majorHAnsi" w:cstheme="majorHAnsi"/>
          <w:sz w:val="22"/>
          <w:szCs w:val="22"/>
        </w:rPr>
        <w:t>The researcher opted to use internet-based surveys</w:t>
      </w:r>
      <w:r>
        <w:rPr>
          <w:rFonts w:asciiTheme="majorHAnsi" w:hAnsiTheme="majorHAnsi" w:cstheme="majorHAnsi"/>
          <w:sz w:val="22"/>
          <w:szCs w:val="22"/>
        </w:rPr>
        <w:t>,</w:t>
      </w:r>
      <w:r w:rsidRPr="00692092">
        <w:rPr>
          <w:rFonts w:asciiTheme="majorHAnsi" w:hAnsiTheme="majorHAnsi" w:cstheme="majorHAnsi"/>
          <w:sz w:val="22"/>
          <w:szCs w:val="22"/>
        </w:rPr>
        <w:t xml:space="preserve"> </w:t>
      </w:r>
      <w:r>
        <w:rPr>
          <w:rFonts w:asciiTheme="majorHAnsi" w:hAnsiTheme="majorHAnsi" w:cstheme="majorHAnsi"/>
          <w:sz w:val="22"/>
          <w:szCs w:val="22"/>
        </w:rPr>
        <w:t>observations</w:t>
      </w:r>
      <w:r w:rsidRPr="00692092">
        <w:rPr>
          <w:rFonts w:asciiTheme="majorHAnsi" w:hAnsiTheme="majorHAnsi" w:cstheme="majorHAnsi"/>
          <w:sz w:val="22"/>
          <w:szCs w:val="22"/>
        </w:rPr>
        <w:t xml:space="preserve"> and pupil evaluations in order to answe</w:t>
      </w:r>
      <w:r>
        <w:rPr>
          <w:rFonts w:asciiTheme="majorHAnsi" w:hAnsiTheme="majorHAnsi" w:cstheme="majorHAnsi"/>
          <w:sz w:val="22"/>
          <w:szCs w:val="22"/>
        </w:rPr>
        <w:t xml:space="preserve">r the above research questions. </w:t>
      </w:r>
      <w:r w:rsidRPr="00692092">
        <w:rPr>
          <w:rFonts w:asciiTheme="majorHAnsi" w:hAnsiTheme="majorHAnsi" w:cstheme="majorHAnsi"/>
          <w:sz w:val="22"/>
          <w:szCs w:val="22"/>
        </w:rPr>
        <w:t xml:space="preserve">The use of a multi-methods approach, more commonly known as methodological triangulation </w:t>
      </w:r>
      <w:bookmarkStart w:id="32" w:name="_Hlk513930381"/>
      <w:r w:rsidRPr="00692092">
        <w:rPr>
          <w:rFonts w:asciiTheme="majorHAnsi" w:hAnsiTheme="majorHAnsi" w:cstheme="majorHAnsi"/>
          <w:sz w:val="22"/>
          <w:szCs w:val="22"/>
        </w:rPr>
        <w:t>(Cohen, Manion &amp; Morrison, 2007)</w:t>
      </w:r>
      <w:bookmarkEnd w:id="32"/>
      <w:r w:rsidRPr="00692092">
        <w:rPr>
          <w:rFonts w:asciiTheme="majorHAnsi" w:hAnsiTheme="majorHAnsi" w:cstheme="majorHAnsi"/>
          <w:sz w:val="22"/>
          <w:szCs w:val="22"/>
        </w:rPr>
        <w:t xml:space="preserve"> would allow for the researcher to provide deeper, more complex conclusions at the end of the study through providing both qualitative and quantitative data for analysis. Campbell and Fiske (1959) support this idea by suggesting that through the use of triangulation, researchers would be able to demonstrate a concurrent validity of their qualitative research. However, it is important that methodological triangulation is not used solely as a validation technique, but also as a method of seeking complementary information that may or may not inform the inferences made by the researcher (Hammersley, 2008).</w:t>
      </w:r>
    </w:p>
    <w:p w14:paraId="2B144771" w14:textId="77777777" w:rsidR="00804766" w:rsidRDefault="00804766" w:rsidP="00804766">
      <w:pPr>
        <w:spacing w:line="480" w:lineRule="auto"/>
        <w:jc w:val="both"/>
        <w:rPr>
          <w:rFonts w:asciiTheme="majorHAnsi" w:hAnsiTheme="majorHAnsi" w:cstheme="majorHAnsi"/>
          <w:b/>
          <w:sz w:val="22"/>
          <w:szCs w:val="22"/>
          <w:u w:val="single"/>
        </w:rPr>
      </w:pPr>
    </w:p>
    <w:p w14:paraId="440576E5" w14:textId="77777777" w:rsidR="00804766" w:rsidRPr="004A7979" w:rsidRDefault="00804766" w:rsidP="00804766">
      <w:pPr>
        <w:spacing w:line="480" w:lineRule="auto"/>
        <w:jc w:val="both"/>
        <w:rPr>
          <w:rFonts w:asciiTheme="majorHAnsi" w:hAnsiTheme="majorHAnsi" w:cstheme="majorHAnsi"/>
          <w:b/>
          <w:i/>
          <w:sz w:val="22"/>
          <w:szCs w:val="22"/>
        </w:rPr>
      </w:pPr>
      <w:r w:rsidRPr="004A7979">
        <w:rPr>
          <w:rFonts w:asciiTheme="majorHAnsi" w:hAnsiTheme="majorHAnsi" w:cstheme="majorHAnsi"/>
          <w:b/>
          <w:i/>
          <w:sz w:val="22"/>
          <w:szCs w:val="22"/>
        </w:rPr>
        <w:t>Surveys</w:t>
      </w:r>
    </w:p>
    <w:p w14:paraId="20AEF58D" w14:textId="156CD569" w:rsidR="00804766" w:rsidRDefault="00804766" w:rsidP="00804766">
      <w:pPr>
        <w:spacing w:line="480" w:lineRule="auto"/>
        <w:ind w:firstLine="720"/>
        <w:jc w:val="both"/>
        <w:rPr>
          <w:rFonts w:asciiTheme="majorHAnsi" w:hAnsiTheme="majorHAnsi" w:cstheme="majorHAnsi"/>
          <w:sz w:val="22"/>
          <w:szCs w:val="22"/>
        </w:rPr>
      </w:pPr>
      <w:r w:rsidRPr="00692092">
        <w:rPr>
          <w:rFonts w:asciiTheme="majorHAnsi" w:hAnsiTheme="majorHAnsi" w:cstheme="majorHAnsi"/>
          <w:sz w:val="22"/>
          <w:szCs w:val="22"/>
        </w:rPr>
        <w:t xml:space="preserve">Internet-based surveys have become a prominent feature of social-science in recent years, due to an increase in online population </w:t>
      </w:r>
      <w:bookmarkStart w:id="33" w:name="_Hlk513930394"/>
      <w:r w:rsidR="00083B11">
        <w:rPr>
          <w:rFonts w:asciiTheme="majorHAnsi" w:hAnsiTheme="majorHAnsi" w:cstheme="majorHAnsi"/>
          <w:sz w:val="22"/>
          <w:szCs w:val="22"/>
        </w:rPr>
        <w:t>(Wright, 2005</w:t>
      </w:r>
      <w:r w:rsidRPr="00692092">
        <w:rPr>
          <w:rFonts w:asciiTheme="majorHAnsi" w:hAnsiTheme="majorHAnsi" w:cstheme="majorHAnsi"/>
          <w:sz w:val="22"/>
          <w:szCs w:val="22"/>
        </w:rPr>
        <w:t>)</w:t>
      </w:r>
      <w:bookmarkEnd w:id="33"/>
      <w:r w:rsidRPr="00692092">
        <w:rPr>
          <w:rFonts w:asciiTheme="majorHAnsi" w:hAnsiTheme="majorHAnsi" w:cstheme="majorHAnsi"/>
          <w:sz w:val="22"/>
          <w:szCs w:val="22"/>
        </w:rPr>
        <w:t xml:space="preserve">. </w:t>
      </w:r>
      <w:r>
        <w:rPr>
          <w:rFonts w:asciiTheme="majorHAnsi" w:hAnsiTheme="majorHAnsi" w:cstheme="majorHAnsi"/>
          <w:sz w:val="22"/>
          <w:szCs w:val="22"/>
        </w:rPr>
        <w:t>In order to add an element of depth and understanding to research question (i), the researcher decided to survey a number</w:t>
      </w:r>
      <w:r w:rsidRPr="00692092">
        <w:rPr>
          <w:rFonts w:asciiTheme="majorHAnsi" w:hAnsiTheme="majorHAnsi" w:cstheme="majorHAnsi"/>
          <w:sz w:val="22"/>
          <w:szCs w:val="22"/>
        </w:rPr>
        <w:t xml:space="preserve"> of</w:t>
      </w:r>
      <w:r>
        <w:rPr>
          <w:rFonts w:asciiTheme="majorHAnsi" w:hAnsiTheme="majorHAnsi" w:cstheme="majorHAnsi"/>
          <w:sz w:val="22"/>
          <w:szCs w:val="22"/>
        </w:rPr>
        <w:t xml:space="preserve"> the 2017-2018 cohort</w:t>
      </w:r>
      <w:r w:rsidRPr="00692092">
        <w:rPr>
          <w:rFonts w:asciiTheme="majorHAnsi" w:hAnsiTheme="majorHAnsi" w:cstheme="majorHAnsi"/>
          <w:sz w:val="22"/>
          <w:szCs w:val="22"/>
        </w:rPr>
        <w:t xml:space="preserve"> PGCE students at </w:t>
      </w:r>
      <w:r>
        <w:rPr>
          <w:rFonts w:asciiTheme="majorHAnsi" w:hAnsiTheme="majorHAnsi" w:cstheme="majorHAnsi"/>
          <w:sz w:val="22"/>
          <w:szCs w:val="22"/>
        </w:rPr>
        <w:t>their university. A notification was posted electronically,</w:t>
      </w:r>
      <w:r w:rsidRPr="00692092">
        <w:rPr>
          <w:rFonts w:asciiTheme="majorHAnsi" w:hAnsiTheme="majorHAnsi" w:cstheme="majorHAnsi"/>
          <w:sz w:val="22"/>
          <w:szCs w:val="22"/>
        </w:rPr>
        <w:t xml:space="preserve"> </w:t>
      </w:r>
      <w:r>
        <w:rPr>
          <w:rFonts w:asciiTheme="majorHAnsi" w:hAnsiTheme="majorHAnsi" w:cstheme="majorHAnsi"/>
          <w:sz w:val="22"/>
          <w:szCs w:val="22"/>
        </w:rPr>
        <w:t xml:space="preserve">stating </w:t>
      </w:r>
      <w:r w:rsidRPr="00692092">
        <w:rPr>
          <w:rFonts w:asciiTheme="majorHAnsi" w:hAnsiTheme="majorHAnsi" w:cstheme="majorHAnsi"/>
          <w:sz w:val="22"/>
          <w:szCs w:val="22"/>
        </w:rPr>
        <w:t>that the researcher was seeking participants for an online survey that looked to gain an insight into the perceived effectiveness of VFTs on the teaching and le</w:t>
      </w:r>
      <w:r>
        <w:rPr>
          <w:rFonts w:asciiTheme="majorHAnsi" w:hAnsiTheme="majorHAnsi" w:cstheme="majorHAnsi"/>
          <w:sz w:val="22"/>
          <w:szCs w:val="22"/>
        </w:rPr>
        <w:t>arning of eFSM and LAC learners</w:t>
      </w:r>
      <w:r w:rsidRPr="00692092">
        <w:rPr>
          <w:rFonts w:asciiTheme="majorHAnsi" w:hAnsiTheme="majorHAnsi" w:cstheme="majorHAnsi"/>
          <w:sz w:val="22"/>
          <w:szCs w:val="22"/>
        </w:rPr>
        <w:t xml:space="preserve">. The use of an internet-based survey meant a reduction in time and money on behalf of the researcher, also enabling the researcher to make the survey accessible to a much larger unit of possible participants </w:t>
      </w:r>
      <w:bookmarkStart w:id="34" w:name="_Hlk513930408"/>
      <w:r w:rsidR="00AA7040">
        <w:rPr>
          <w:rFonts w:asciiTheme="majorHAnsi" w:hAnsiTheme="majorHAnsi" w:cstheme="majorHAnsi"/>
          <w:sz w:val="22"/>
          <w:szCs w:val="22"/>
        </w:rPr>
        <w:t>(Heiervang &amp; Goodman, 2011</w:t>
      </w:r>
      <w:r w:rsidRPr="00692092">
        <w:rPr>
          <w:rFonts w:asciiTheme="majorHAnsi" w:hAnsiTheme="majorHAnsi" w:cstheme="majorHAnsi"/>
          <w:sz w:val="22"/>
          <w:szCs w:val="22"/>
        </w:rPr>
        <w:t>; Fricker &amp; Schonlau, 2002)</w:t>
      </w:r>
      <w:bookmarkEnd w:id="34"/>
      <w:r w:rsidRPr="00692092">
        <w:rPr>
          <w:rFonts w:asciiTheme="majorHAnsi" w:hAnsiTheme="majorHAnsi" w:cstheme="majorHAnsi"/>
          <w:sz w:val="22"/>
          <w:szCs w:val="22"/>
        </w:rPr>
        <w:t xml:space="preserve">. It was the initial assumption of the researcher that the use of an internet-based survey </w:t>
      </w:r>
      <w:r w:rsidRPr="00692092">
        <w:rPr>
          <w:rFonts w:asciiTheme="majorHAnsi" w:hAnsiTheme="majorHAnsi" w:cstheme="majorHAnsi"/>
          <w:sz w:val="22"/>
          <w:szCs w:val="22"/>
        </w:rPr>
        <w:lastRenderedPageBreak/>
        <w:t>would attract a larger response rate than that of a paper-based survey, though Cohen, Manion &amp; Morrison (</w:t>
      </w:r>
      <w:proofErr w:type="gramStart"/>
      <w:r w:rsidRPr="00692092">
        <w:rPr>
          <w:rFonts w:asciiTheme="majorHAnsi" w:hAnsiTheme="majorHAnsi" w:cstheme="majorHAnsi"/>
          <w:sz w:val="22"/>
          <w:szCs w:val="22"/>
        </w:rPr>
        <w:t>2007</w:t>
      </w:r>
      <w:r>
        <w:rPr>
          <w:rFonts w:asciiTheme="majorHAnsi" w:hAnsiTheme="majorHAnsi" w:cstheme="majorHAnsi"/>
          <w:sz w:val="22"/>
          <w:szCs w:val="22"/>
        </w:rPr>
        <w:t>:</w:t>
      </w:r>
      <w:r w:rsidRPr="00692092">
        <w:rPr>
          <w:rFonts w:asciiTheme="majorHAnsi" w:hAnsiTheme="majorHAnsi" w:cstheme="majorHAnsi"/>
          <w:sz w:val="22"/>
          <w:szCs w:val="22"/>
        </w:rPr>
        <w:t>P</w:t>
      </w:r>
      <w:proofErr w:type="gramEnd"/>
      <w:r w:rsidRPr="00692092">
        <w:rPr>
          <w:rFonts w:asciiTheme="majorHAnsi" w:hAnsiTheme="majorHAnsi" w:cstheme="majorHAnsi"/>
          <w:sz w:val="22"/>
          <w:szCs w:val="22"/>
        </w:rPr>
        <w:t>238) state that the response rates for internet-based surveys were typically lower than t</w:t>
      </w:r>
      <w:r>
        <w:rPr>
          <w:rFonts w:asciiTheme="majorHAnsi" w:hAnsiTheme="majorHAnsi" w:cstheme="majorHAnsi"/>
          <w:sz w:val="22"/>
          <w:szCs w:val="22"/>
        </w:rPr>
        <w:t xml:space="preserve">he latter. </w:t>
      </w:r>
      <w:bookmarkStart w:id="35" w:name="_Hlk513930437"/>
      <w:r>
        <w:rPr>
          <w:rFonts w:asciiTheme="majorHAnsi" w:hAnsiTheme="majorHAnsi" w:cstheme="majorHAnsi"/>
          <w:sz w:val="22"/>
          <w:szCs w:val="22"/>
        </w:rPr>
        <w:t>Witmer et al. (</w:t>
      </w:r>
      <w:proofErr w:type="gramStart"/>
      <w:r>
        <w:rPr>
          <w:rFonts w:asciiTheme="majorHAnsi" w:hAnsiTheme="majorHAnsi" w:cstheme="majorHAnsi"/>
          <w:sz w:val="22"/>
          <w:szCs w:val="22"/>
        </w:rPr>
        <w:t>1999:</w:t>
      </w:r>
      <w:r w:rsidRPr="00692092">
        <w:rPr>
          <w:rFonts w:asciiTheme="majorHAnsi" w:hAnsiTheme="majorHAnsi" w:cstheme="majorHAnsi"/>
          <w:sz w:val="22"/>
          <w:szCs w:val="22"/>
        </w:rPr>
        <w:t>P</w:t>
      </w:r>
      <w:proofErr w:type="gramEnd"/>
      <w:r w:rsidRPr="00692092">
        <w:rPr>
          <w:rFonts w:asciiTheme="majorHAnsi" w:hAnsiTheme="majorHAnsi" w:cstheme="majorHAnsi"/>
          <w:sz w:val="22"/>
          <w:szCs w:val="22"/>
        </w:rPr>
        <w:t>147)</w:t>
      </w:r>
      <w:bookmarkEnd w:id="35"/>
      <w:r w:rsidRPr="00692092">
        <w:rPr>
          <w:rFonts w:asciiTheme="majorHAnsi" w:hAnsiTheme="majorHAnsi" w:cstheme="majorHAnsi"/>
          <w:sz w:val="22"/>
          <w:szCs w:val="22"/>
        </w:rPr>
        <w:t xml:space="preserve"> further this, reporting that internet-based surveys often attracted a response rate </w:t>
      </w:r>
      <w:r>
        <w:rPr>
          <w:rFonts w:asciiTheme="majorHAnsi" w:hAnsiTheme="majorHAnsi" w:cstheme="majorHAnsi"/>
          <w:sz w:val="22"/>
          <w:szCs w:val="22"/>
        </w:rPr>
        <w:t>of 10 percent or lower. Of the 15 members of the group</w:t>
      </w:r>
      <w:r w:rsidRPr="00692092">
        <w:rPr>
          <w:rFonts w:asciiTheme="majorHAnsi" w:hAnsiTheme="majorHAnsi" w:cstheme="majorHAnsi"/>
          <w:sz w:val="22"/>
          <w:szCs w:val="22"/>
        </w:rPr>
        <w:t>, six individuals volunteer</w:t>
      </w:r>
      <w:r>
        <w:rPr>
          <w:rFonts w:asciiTheme="majorHAnsi" w:hAnsiTheme="majorHAnsi" w:cstheme="majorHAnsi"/>
          <w:sz w:val="22"/>
          <w:szCs w:val="22"/>
        </w:rPr>
        <w:t xml:space="preserve">ed to participate in the study but just four responses were obtained; </w:t>
      </w:r>
      <w:r w:rsidRPr="00692092">
        <w:rPr>
          <w:rFonts w:asciiTheme="majorHAnsi" w:hAnsiTheme="majorHAnsi" w:cstheme="majorHAnsi"/>
          <w:sz w:val="22"/>
          <w:szCs w:val="22"/>
        </w:rPr>
        <w:t>a survey respon</w:t>
      </w:r>
      <w:r>
        <w:rPr>
          <w:rFonts w:asciiTheme="majorHAnsi" w:hAnsiTheme="majorHAnsi" w:cstheme="majorHAnsi"/>
          <w:sz w:val="22"/>
          <w:szCs w:val="22"/>
        </w:rPr>
        <w:t>se of 66.6</w:t>
      </w:r>
      <w:r w:rsidRPr="00692092">
        <w:rPr>
          <w:rFonts w:asciiTheme="majorHAnsi" w:hAnsiTheme="majorHAnsi" w:cstheme="majorHAnsi"/>
          <w:sz w:val="22"/>
          <w:szCs w:val="22"/>
        </w:rPr>
        <w:t>%.</w:t>
      </w:r>
    </w:p>
    <w:p w14:paraId="60FF1E88" w14:textId="77777777" w:rsidR="006F4F4E" w:rsidRDefault="006F4F4E" w:rsidP="00804766">
      <w:pPr>
        <w:spacing w:line="480" w:lineRule="auto"/>
        <w:jc w:val="both"/>
        <w:rPr>
          <w:rFonts w:asciiTheme="majorHAnsi" w:hAnsiTheme="majorHAnsi" w:cstheme="majorHAnsi"/>
          <w:b/>
          <w:i/>
          <w:sz w:val="22"/>
          <w:szCs w:val="22"/>
        </w:rPr>
      </w:pPr>
    </w:p>
    <w:p w14:paraId="730EEB33" w14:textId="3549884F" w:rsidR="00804766" w:rsidRPr="004A7979" w:rsidRDefault="00804766" w:rsidP="00804766">
      <w:pPr>
        <w:spacing w:line="480" w:lineRule="auto"/>
        <w:jc w:val="both"/>
        <w:rPr>
          <w:rFonts w:asciiTheme="majorHAnsi" w:hAnsiTheme="majorHAnsi" w:cstheme="majorHAnsi"/>
          <w:b/>
          <w:i/>
          <w:sz w:val="22"/>
          <w:szCs w:val="22"/>
        </w:rPr>
      </w:pPr>
      <w:r w:rsidRPr="004A7979">
        <w:rPr>
          <w:rFonts w:asciiTheme="majorHAnsi" w:hAnsiTheme="majorHAnsi" w:cstheme="majorHAnsi"/>
          <w:b/>
          <w:i/>
          <w:sz w:val="22"/>
          <w:szCs w:val="22"/>
        </w:rPr>
        <w:t>Observations</w:t>
      </w:r>
    </w:p>
    <w:p w14:paraId="1E620096" w14:textId="77777777" w:rsidR="00804766" w:rsidRDefault="00804766" w:rsidP="00804766">
      <w:pPr>
        <w:spacing w:line="480" w:lineRule="auto"/>
        <w:ind w:firstLine="720"/>
        <w:jc w:val="both"/>
        <w:rPr>
          <w:rFonts w:asciiTheme="majorHAnsi" w:hAnsiTheme="majorHAnsi" w:cstheme="majorHAnsi"/>
          <w:sz w:val="22"/>
          <w:szCs w:val="22"/>
        </w:rPr>
      </w:pPr>
      <w:r w:rsidRPr="00CD414C">
        <w:rPr>
          <w:rFonts w:asciiTheme="majorHAnsi" w:hAnsiTheme="majorHAnsi" w:cstheme="majorHAnsi"/>
          <w:sz w:val="22"/>
          <w:szCs w:val="22"/>
        </w:rPr>
        <w:t>The</w:t>
      </w:r>
      <w:r w:rsidRPr="00692092">
        <w:rPr>
          <w:rFonts w:asciiTheme="majorHAnsi" w:hAnsiTheme="majorHAnsi" w:cstheme="majorHAnsi"/>
          <w:sz w:val="22"/>
          <w:szCs w:val="22"/>
        </w:rPr>
        <w:t xml:space="preserve"> use of observations would allow for the researcher to observe a flow of behaviours that should contribute towards to the ecological validity of the data collected </w:t>
      </w:r>
      <w:bookmarkStart w:id="36" w:name="_Hlk513930449"/>
      <w:r w:rsidRPr="00692092">
        <w:rPr>
          <w:rFonts w:asciiTheme="majorHAnsi" w:hAnsiTheme="majorHAnsi" w:cstheme="majorHAnsi"/>
          <w:sz w:val="22"/>
          <w:szCs w:val="22"/>
        </w:rPr>
        <w:t>(McLeod, 2015)</w:t>
      </w:r>
      <w:bookmarkEnd w:id="36"/>
      <w:r w:rsidRPr="00692092">
        <w:rPr>
          <w:rFonts w:asciiTheme="majorHAnsi" w:hAnsiTheme="majorHAnsi" w:cstheme="majorHAnsi"/>
          <w:sz w:val="22"/>
          <w:szCs w:val="22"/>
        </w:rPr>
        <w:t xml:space="preserve">, though this would remain unreliable as it would not possible for the researcher to guarantee that the behaviours observed were the product of variables such as non-attendance and classroom interruptions. Due to its apparent subjective and idiosyncratic nature, the use of observation-based research in education often attracts questions over its reliability and validity. </w:t>
      </w:r>
      <w:bookmarkStart w:id="37" w:name="_Hlk513930463"/>
      <w:r w:rsidRPr="00692092">
        <w:rPr>
          <w:rFonts w:asciiTheme="majorHAnsi" w:hAnsiTheme="majorHAnsi" w:cstheme="majorHAnsi"/>
          <w:sz w:val="22"/>
          <w:szCs w:val="22"/>
        </w:rPr>
        <w:t xml:space="preserve">Denzin (1970) </w:t>
      </w:r>
      <w:bookmarkEnd w:id="37"/>
      <w:r w:rsidRPr="00692092">
        <w:rPr>
          <w:rFonts w:asciiTheme="majorHAnsi" w:hAnsiTheme="majorHAnsi" w:cstheme="majorHAnsi"/>
          <w:sz w:val="22"/>
          <w:szCs w:val="22"/>
        </w:rPr>
        <w:t>suggests that methodological triangulation should be used in order to overcome these complexities.</w:t>
      </w:r>
    </w:p>
    <w:p w14:paraId="30BD341D" w14:textId="77777777" w:rsidR="00804766" w:rsidRDefault="00804766" w:rsidP="00804766">
      <w:pPr>
        <w:spacing w:line="480" w:lineRule="auto"/>
        <w:jc w:val="both"/>
        <w:rPr>
          <w:rFonts w:asciiTheme="majorHAnsi" w:hAnsiTheme="majorHAnsi" w:cstheme="majorHAnsi"/>
          <w:b/>
          <w:sz w:val="22"/>
          <w:szCs w:val="22"/>
          <w:u w:val="single"/>
        </w:rPr>
      </w:pPr>
    </w:p>
    <w:p w14:paraId="65850A29" w14:textId="77777777" w:rsidR="00804766" w:rsidRPr="004A7979" w:rsidRDefault="00804766" w:rsidP="00804766">
      <w:pPr>
        <w:spacing w:line="480" w:lineRule="auto"/>
        <w:rPr>
          <w:rFonts w:asciiTheme="majorHAnsi" w:hAnsiTheme="majorHAnsi" w:cstheme="majorHAnsi"/>
          <w:b/>
          <w:i/>
          <w:sz w:val="22"/>
          <w:szCs w:val="22"/>
        </w:rPr>
      </w:pPr>
      <w:r w:rsidRPr="004A7979">
        <w:rPr>
          <w:rFonts w:asciiTheme="majorHAnsi" w:hAnsiTheme="majorHAnsi" w:cstheme="majorHAnsi"/>
          <w:b/>
          <w:i/>
          <w:sz w:val="22"/>
          <w:szCs w:val="22"/>
        </w:rPr>
        <w:t>Pupil Evaluations</w:t>
      </w:r>
    </w:p>
    <w:p w14:paraId="3BE3A7A1" w14:textId="4F2E1286" w:rsidR="00804766" w:rsidRDefault="00804766" w:rsidP="00804766">
      <w:pPr>
        <w:spacing w:line="480" w:lineRule="auto"/>
        <w:jc w:val="both"/>
        <w:rPr>
          <w:rFonts w:asciiTheme="majorHAnsi" w:hAnsiTheme="majorHAnsi" w:cstheme="majorHAnsi"/>
          <w:sz w:val="22"/>
          <w:szCs w:val="22"/>
        </w:rPr>
      </w:pPr>
      <w:r>
        <w:rPr>
          <w:rFonts w:asciiTheme="majorHAnsi" w:hAnsiTheme="majorHAnsi" w:cstheme="majorHAnsi"/>
          <w:sz w:val="22"/>
          <w:szCs w:val="22"/>
        </w:rPr>
        <w:tab/>
      </w:r>
      <w:bookmarkStart w:id="38" w:name="_Hlk513930474"/>
      <w:r>
        <w:rPr>
          <w:rFonts w:asciiTheme="majorHAnsi" w:hAnsiTheme="majorHAnsi" w:cstheme="majorHAnsi"/>
          <w:sz w:val="22"/>
          <w:szCs w:val="22"/>
        </w:rPr>
        <w:t>Mutch (2003)</w:t>
      </w:r>
      <w:bookmarkEnd w:id="38"/>
      <w:r>
        <w:rPr>
          <w:rFonts w:asciiTheme="majorHAnsi" w:hAnsiTheme="majorHAnsi" w:cstheme="majorHAnsi"/>
          <w:sz w:val="22"/>
          <w:szCs w:val="22"/>
        </w:rPr>
        <w:t xml:space="preserve"> argues that we can never really facilitate the idea of a pupil-led education system without fully understanding the view of the learners within it. Participants from School Y are taught through a skills-based curriculum that reflects the work of </w:t>
      </w:r>
      <w:bookmarkStart w:id="39" w:name="_Hlk513930484"/>
      <w:r>
        <w:rPr>
          <w:rFonts w:asciiTheme="majorHAnsi" w:hAnsiTheme="majorHAnsi" w:cstheme="majorHAnsi"/>
          <w:sz w:val="22"/>
          <w:szCs w:val="22"/>
        </w:rPr>
        <w:t>Donaldson (2015)</w:t>
      </w:r>
      <w:bookmarkEnd w:id="39"/>
      <w:r>
        <w:rPr>
          <w:rFonts w:asciiTheme="majorHAnsi" w:hAnsiTheme="majorHAnsi" w:cstheme="majorHAnsi"/>
          <w:sz w:val="22"/>
          <w:szCs w:val="22"/>
        </w:rPr>
        <w:t xml:space="preserve">, so in order to allow learners to assess whether they were becoming more independent, capable learners as a result of participating in a VFT, learners were asked to complete an evaluation at the end of the lesson. </w:t>
      </w:r>
      <w:bookmarkStart w:id="40" w:name="_Hlk513930495"/>
      <w:r>
        <w:rPr>
          <w:rFonts w:asciiTheme="majorHAnsi" w:hAnsiTheme="majorHAnsi" w:cstheme="majorHAnsi"/>
          <w:sz w:val="22"/>
          <w:szCs w:val="22"/>
        </w:rPr>
        <w:t>Hattie and Timperley (2007: P81)</w:t>
      </w:r>
      <w:bookmarkEnd w:id="40"/>
      <w:r>
        <w:rPr>
          <w:rFonts w:asciiTheme="majorHAnsi" w:hAnsiTheme="majorHAnsi" w:cstheme="majorHAnsi"/>
          <w:sz w:val="22"/>
          <w:szCs w:val="22"/>
        </w:rPr>
        <w:t xml:space="preserve"> state that evaluation is conceptualised as ‘</w:t>
      </w:r>
      <w:r>
        <w:rPr>
          <w:rFonts w:asciiTheme="majorHAnsi" w:hAnsiTheme="majorHAnsi" w:cstheme="majorHAnsi"/>
          <w:i/>
          <w:sz w:val="22"/>
          <w:szCs w:val="22"/>
        </w:rPr>
        <w:t xml:space="preserve">information provided by an agent regarding aspects of one’s performance or understanding’ </w:t>
      </w:r>
      <w:r>
        <w:rPr>
          <w:rFonts w:asciiTheme="majorHAnsi" w:hAnsiTheme="majorHAnsi" w:cstheme="majorHAnsi"/>
          <w:sz w:val="22"/>
          <w:szCs w:val="22"/>
        </w:rPr>
        <w:t>The evaluation was a form of feedback, which is believed to have a powerful impact on learning and achievement (Hattie and Timperley, 2007) and comprised of 12 open- and closed-questions.</w:t>
      </w:r>
    </w:p>
    <w:p w14:paraId="27A29213" w14:textId="58979EB6" w:rsidR="00804766" w:rsidRPr="00CD414C" w:rsidRDefault="00804766" w:rsidP="00804766">
      <w:pPr>
        <w:spacing w:line="480" w:lineRule="auto"/>
        <w:ind w:firstLine="720"/>
        <w:jc w:val="both"/>
        <w:rPr>
          <w:rFonts w:asciiTheme="majorHAnsi" w:hAnsiTheme="majorHAnsi" w:cstheme="majorHAnsi"/>
          <w:sz w:val="22"/>
          <w:szCs w:val="22"/>
        </w:rPr>
      </w:pPr>
      <w:r>
        <w:rPr>
          <w:rFonts w:asciiTheme="majorHAnsi" w:hAnsiTheme="majorHAnsi" w:cstheme="majorHAnsi"/>
          <w:sz w:val="22"/>
          <w:szCs w:val="22"/>
        </w:rPr>
        <w:t xml:space="preserve">A shortfall of using open-questions is that there can often be great difficulty in processing the variety of responses collected and that too many of them can become too demanding of participants’ time (Cohen, Manion and Morrison, </w:t>
      </w:r>
      <w:proofErr w:type="gramStart"/>
      <w:r w:rsidR="00B57C51">
        <w:rPr>
          <w:rFonts w:asciiTheme="majorHAnsi" w:hAnsiTheme="majorHAnsi" w:cstheme="majorHAnsi"/>
          <w:sz w:val="22"/>
          <w:szCs w:val="22"/>
        </w:rPr>
        <w:t>2007:</w:t>
      </w:r>
      <w:r>
        <w:rPr>
          <w:rFonts w:asciiTheme="majorHAnsi" w:hAnsiTheme="majorHAnsi" w:cstheme="majorHAnsi"/>
          <w:sz w:val="22"/>
          <w:szCs w:val="22"/>
        </w:rPr>
        <w:t>P</w:t>
      </w:r>
      <w:proofErr w:type="gramEnd"/>
      <w:r>
        <w:rPr>
          <w:rFonts w:asciiTheme="majorHAnsi" w:hAnsiTheme="majorHAnsi" w:cstheme="majorHAnsi"/>
          <w:sz w:val="22"/>
          <w:szCs w:val="22"/>
        </w:rPr>
        <w:t>86-249). However open-ended questions within small-scale research, such as this, can become quite attractive in that it invites participants to provide an honest and personal perception alongside selecting ‘yes’ and ‘no’ answers (Cohen, Manion and Morrison,</w:t>
      </w:r>
      <w:r w:rsidR="00B57C51">
        <w:rPr>
          <w:rFonts w:asciiTheme="majorHAnsi" w:hAnsiTheme="majorHAnsi" w:cstheme="majorHAnsi"/>
          <w:sz w:val="22"/>
          <w:szCs w:val="22"/>
        </w:rPr>
        <w:t xml:space="preserve"> </w:t>
      </w:r>
      <w:proofErr w:type="gramStart"/>
      <w:r w:rsidR="00B57C51">
        <w:rPr>
          <w:rFonts w:asciiTheme="majorHAnsi" w:hAnsiTheme="majorHAnsi" w:cstheme="majorHAnsi"/>
          <w:sz w:val="22"/>
          <w:szCs w:val="22"/>
        </w:rPr>
        <w:t>2007;</w:t>
      </w:r>
      <w:r>
        <w:rPr>
          <w:rFonts w:asciiTheme="majorHAnsi" w:hAnsiTheme="majorHAnsi" w:cstheme="majorHAnsi"/>
          <w:sz w:val="22"/>
          <w:szCs w:val="22"/>
        </w:rPr>
        <w:t>P</w:t>
      </w:r>
      <w:proofErr w:type="gramEnd"/>
      <w:r>
        <w:rPr>
          <w:rFonts w:asciiTheme="majorHAnsi" w:hAnsiTheme="majorHAnsi" w:cstheme="majorHAnsi"/>
          <w:sz w:val="22"/>
          <w:szCs w:val="22"/>
        </w:rPr>
        <w:t xml:space="preserve">255). However, in order to overcome the limitations that are described above, the researcher carefully considered including a balance of open- and closed-questions (4 closed and 5 open). </w:t>
      </w:r>
      <w:r>
        <w:rPr>
          <w:rFonts w:asciiTheme="majorHAnsi" w:hAnsiTheme="majorHAnsi" w:cstheme="majorHAnsi"/>
          <w:sz w:val="22"/>
          <w:szCs w:val="22"/>
        </w:rPr>
        <w:lastRenderedPageBreak/>
        <w:t>This left three remaining questions to be dichotomous, further requiring participants to provide an explanation of their answer.</w:t>
      </w:r>
    </w:p>
    <w:p w14:paraId="519311ED" w14:textId="77777777" w:rsidR="00804766" w:rsidRPr="00692092" w:rsidRDefault="00804766" w:rsidP="00804766">
      <w:pPr>
        <w:spacing w:line="480" w:lineRule="auto"/>
        <w:ind w:firstLine="720"/>
        <w:jc w:val="both"/>
        <w:rPr>
          <w:rFonts w:asciiTheme="majorHAnsi" w:hAnsiTheme="majorHAnsi" w:cstheme="majorHAnsi"/>
          <w:sz w:val="22"/>
          <w:szCs w:val="22"/>
        </w:rPr>
      </w:pPr>
      <w:r>
        <w:rPr>
          <w:rFonts w:asciiTheme="majorHAnsi" w:hAnsiTheme="majorHAnsi" w:cstheme="majorHAnsi"/>
          <w:b/>
          <w:sz w:val="22"/>
          <w:szCs w:val="22"/>
          <w:u w:val="single"/>
        </w:rPr>
        <w:t>Ethical Considerations</w:t>
      </w:r>
    </w:p>
    <w:p w14:paraId="12239222" w14:textId="77777777" w:rsidR="00804766" w:rsidRPr="00692092" w:rsidRDefault="00804766" w:rsidP="00804766">
      <w:pPr>
        <w:spacing w:line="480" w:lineRule="auto"/>
        <w:ind w:firstLine="720"/>
        <w:jc w:val="both"/>
        <w:rPr>
          <w:rFonts w:asciiTheme="majorHAnsi" w:hAnsiTheme="majorHAnsi" w:cstheme="majorHAnsi"/>
          <w:sz w:val="22"/>
          <w:szCs w:val="22"/>
        </w:rPr>
      </w:pPr>
      <w:r w:rsidRPr="00692092">
        <w:rPr>
          <w:rFonts w:asciiTheme="majorHAnsi" w:hAnsiTheme="majorHAnsi" w:cstheme="majorHAnsi"/>
          <w:sz w:val="22"/>
          <w:szCs w:val="22"/>
        </w:rPr>
        <w:t>The Research Integrity and Ethics Code of Practice 2017-2020 (</w:t>
      </w:r>
      <w:bookmarkStart w:id="41" w:name="_Hlk513930525"/>
      <w:r w:rsidRPr="00692092">
        <w:rPr>
          <w:rFonts w:asciiTheme="majorHAnsi" w:hAnsiTheme="majorHAnsi" w:cstheme="majorHAnsi"/>
          <w:sz w:val="22"/>
          <w:szCs w:val="22"/>
        </w:rPr>
        <w:t>University of Wales Trinity Saint David, 2017</w:t>
      </w:r>
      <w:bookmarkEnd w:id="41"/>
      <w:r w:rsidRPr="00692092">
        <w:rPr>
          <w:rFonts w:asciiTheme="majorHAnsi" w:hAnsiTheme="majorHAnsi" w:cstheme="majorHAnsi"/>
          <w:sz w:val="22"/>
          <w:szCs w:val="22"/>
        </w:rPr>
        <w:t>)</w:t>
      </w:r>
      <w:r>
        <w:rPr>
          <w:rFonts w:asciiTheme="majorHAnsi" w:hAnsiTheme="majorHAnsi" w:cstheme="majorHAnsi"/>
          <w:sz w:val="22"/>
          <w:szCs w:val="22"/>
        </w:rPr>
        <w:t xml:space="preserve"> </w:t>
      </w:r>
      <w:r w:rsidRPr="00692092">
        <w:rPr>
          <w:rFonts w:asciiTheme="majorHAnsi" w:hAnsiTheme="majorHAnsi" w:cstheme="majorHAnsi"/>
          <w:sz w:val="22"/>
          <w:szCs w:val="22"/>
        </w:rPr>
        <w:t>details that due to the nature of the research, in that it implicates the involvement of human beings and that it seeks confidential and/or personal information about participants, researchers are required to submit a detailed application for ethical approval to the University Ethics Committee. The researcher submitted this application and received approval from the Ethics Committee on 09.03.2018.</w:t>
      </w:r>
    </w:p>
    <w:p w14:paraId="79A9DE71" w14:textId="77777777" w:rsidR="00804766" w:rsidRPr="00692092" w:rsidRDefault="00804766" w:rsidP="00804766">
      <w:pPr>
        <w:spacing w:line="480" w:lineRule="auto"/>
        <w:ind w:firstLine="720"/>
        <w:jc w:val="both"/>
        <w:rPr>
          <w:rFonts w:asciiTheme="majorHAnsi" w:hAnsiTheme="majorHAnsi" w:cstheme="majorHAnsi"/>
          <w:sz w:val="22"/>
          <w:szCs w:val="22"/>
        </w:rPr>
      </w:pPr>
      <w:r w:rsidRPr="00692092">
        <w:rPr>
          <w:rFonts w:asciiTheme="majorHAnsi" w:hAnsiTheme="majorHAnsi" w:cstheme="majorHAnsi"/>
          <w:sz w:val="22"/>
          <w:szCs w:val="22"/>
        </w:rPr>
        <w:t>The researcher would not collaborate with any organisations external to that of the university and further detailed the research activity that was approved in principle through a Research Proposal Form within the researcher’s faculty of study. The researcher took into consideration a number of externa ethical guidance materials, detailed below.</w:t>
      </w:r>
    </w:p>
    <w:p w14:paraId="04C788D2" w14:textId="77777777" w:rsidR="00804766" w:rsidRPr="00692092" w:rsidRDefault="00804766" w:rsidP="00804766">
      <w:pPr>
        <w:spacing w:line="480" w:lineRule="auto"/>
        <w:ind w:firstLine="720"/>
        <w:jc w:val="both"/>
        <w:rPr>
          <w:rFonts w:asciiTheme="majorHAnsi" w:hAnsiTheme="majorHAnsi" w:cstheme="majorHAnsi"/>
          <w:sz w:val="22"/>
          <w:szCs w:val="22"/>
        </w:rPr>
      </w:pPr>
      <w:r w:rsidRPr="00692092">
        <w:rPr>
          <w:rFonts w:asciiTheme="majorHAnsi" w:hAnsiTheme="majorHAnsi" w:cstheme="majorHAnsi"/>
          <w:sz w:val="22"/>
          <w:szCs w:val="22"/>
        </w:rPr>
        <w:t>Informed consent was gained from all participants in compliance with Article 10 of the Ethical Guidelines for Educational Research (</w:t>
      </w:r>
      <w:bookmarkStart w:id="42" w:name="_Hlk513930537"/>
      <w:r w:rsidRPr="00692092">
        <w:rPr>
          <w:rFonts w:asciiTheme="majorHAnsi" w:hAnsiTheme="majorHAnsi" w:cstheme="majorHAnsi"/>
          <w:sz w:val="22"/>
          <w:szCs w:val="22"/>
        </w:rPr>
        <w:t>BERA, 2011</w:t>
      </w:r>
      <w:bookmarkEnd w:id="42"/>
      <w:r w:rsidRPr="00692092">
        <w:rPr>
          <w:rFonts w:asciiTheme="majorHAnsi" w:hAnsiTheme="majorHAnsi" w:cstheme="majorHAnsi"/>
          <w:sz w:val="22"/>
          <w:szCs w:val="22"/>
        </w:rPr>
        <w:t>); those who volunteered to participate in the internet-based survey were issued with a participant information sheet that outlined the research study and the ethical implications that were to be considered throughout. Participants who were observed, and completed ‘Pupil Exit Tickets’, were informed of the nature of the research and the ethical implications that were to be considered, as well as receiving a ‘Research Information Sheet’ that detailed the study to their respective parents. All participants were informed that their participation was voluntary and that they maintained the right to withdrawal from the study at any time with no penalty, in accordance with Articl</w:t>
      </w:r>
      <w:r>
        <w:rPr>
          <w:rFonts w:asciiTheme="majorHAnsi" w:hAnsiTheme="majorHAnsi" w:cstheme="majorHAnsi"/>
          <w:sz w:val="22"/>
          <w:szCs w:val="22"/>
        </w:rPr>
        <w:t>e 15 (BERA, 2011). P</w:t>
      </w:r>
      <w:r w:rsidRPr="00692092">
        <w:rPr>
          <w:rFonts w:asciiTheme="majorHAnsi" w:hAnsiTheme="majorHAnsi" w:cstheme="majorHAnsi"/>
          <w:sz w:val="22"/>
          <w:szCs w:val="22"/>
        </w:rPr>
        <w:t>articipants were made aware of the observation and were informed that refusal to participate would have no effect on their education or their relationship with the researcher in a pupil-teacher context. Participants were not misled at any point and at no point were incentives offered to any participants throughout the course of the research.</w:t>
      </w:r>
    </w:p>
    <w:p w14:paraId="75D885D3" w14:textId="77777777" w:rsidR="00804766" w:rsidRPr="00692092" w:rsidRDefault="00804766" w:rsidP="00804766">
      <w:pPr>
        <w:spacing w:line="480" w:lineRule="auto"/>
        <w:ind w:firstLine="720"/>
        <w:jc w:val="both"/>
        <w:rPr>
          <w:rFonts w:asciiTheme="majorHAnsi" w:hAnsiTheme="majorHAnsi" w:cstheme="majorHAnsi"/>
          <w:sz w:val="22"/>
          <w:szCs w:val="22"/>
        </w:rPr>
      </w:pPr>
      <w:r w:rsidRPr="00692092">
        <w:rPr>
          <w:rFonts w:asciiTheme="majorHAnsi" w:hAnsiTheme="majorHAnsi" w:cstheme="majorHAnsi"/>
          <w:sz w:val="22"/>
          <w:szCs w:val="22"/>
        </w:rPr>
        <w:t xml:space="preserve">In compliance with the </w:t>
      </w:r>
      <w:bookmarkStart w:id="43" w:name="_Hlk513930549"/>
      <w:r w:rsidRPr="00692092">
        <w:rPr>
          <w:rFonts w:asciiTheme="majorHAnsi" w:hAnsiTheme="majorHAnsi" w:cstheme="majorHAnsi"/>
          <w:sz w:val="22"/>
          <w:szCs w:val="22"/>
        </w:rPr>
        <w:t>Data Protection Act</w:t>
      </w:r>
      <w:bookmarkEnd w:id="43"/>
      <w:r>
        <w:rPr>
          <w:rFonts w:asciiTheme="majorHAnsi" w:hAnsiTheme="majorHAnsi" w:cstheme="majorHAnsi"/>
          <w:sz w:val="22"/>
          <w:szCs w:val="22"/>
        </w:rPr>
        <w:t>, the data collected has been used specifically for the research stated and has been handled according to the people’s data protection rights. All data collected has been kept safe and secure; electronic data has been stored on an encrypted external hard-drive, and paper-based data has been anonymised appropriately.</w:t>
      </w:r>
    </w:p>
    <w:p w14:paraId="0E92EFEF" w14:textId="77777777" w:rsidR="00804766" w:rsidRDefault="00804766" w:rsidP="00804766">
      <w:pPr>
        <w:spacing w:line="480" w:lineRule="auto"/>
        <w:ind w:firstLine="720"/>
        <w:jc w:val="both"/>
        <w:rPr>
          <w:rFonts w:asciiTheme="majorHAnsi" w:hAnsiTheme="majorHAnsi" w:cstheme="majorHAnsi"/>
          <w:b/>
          <w:sz w:val="22"/>
          <w:szCs w:val="22"/>
          <w:u w:val="single"/>
        </w:rPr>
      </w:pPr>
    </w:p>
    <w:p w14:paraId="360B561A" w14:textId="77777777" w:rsidR="00804766" w:rsidRPr="00692092" w:rsidRDefault="00804766" w:rsidP="00804766">
      <w:pPr>
        <w:spacing w:line="480" w:lineRule="auto"/>
        <w:ind w:firstLine="720"/>
        <w:jc w:val="both"/>
        <w:rPr>
          <w:rFonts w:asciiTheme="majorHAnsi" w:hAnsiTheme="majorHAnsi" w:cstheme="majorHAnsi"/>
          <w:b/>
          <w:sz w:val="22"/>
          <w:szCs w:val="22"/>
        </w:rPr>
      </w:pPr>
      <w:r w:rsidRPr="00692092">
        <w:rPr>
          <w:rFonts w:asciiTheme="majorHAnsi" w:hAnsiTheme="majorHAnsi" w:cstheme="majorHAnsi"/>
          <w:b/>
          <w:sz w:val="22"/>
          <w:szCs w:val="22"/>
          <w:u w:val="single"/>
        </w:rPr>
        <w:t>Evaluation</w:t>
      </w:r>
    </w:p>
    <w:p w14:paraId="6BF2F8B6" w14:textId="77777777" w:rsidR="00804766" w:rsidRPr="004A7979" w:rsidRDefault="00804766" w:rsidP="00804766">
      <w:pPr>
        <w:spacing w:line="480" w:lineRule="auto"/>
        <w:jc w:val="both"/>
        <w:rPr>
          <w:rFonts w:asciiTheme="majorHAnsi" w:hAnsiTheme="majorHAnsi" w:cstheme="majorHAnsi"/>
          <w:i/>
          <w:sz w:val="22"/>
          <w:szCs w:val="22"/>
        </w:rPr>
      </w:pPr>
      <w:r w:rsidRPr="004A7979">
        <w:rPr>
          <w:rFonts w:asciiTheme="majorHAnsi" w:hAnsiTheme="majorHAnsi" w:cstheme="majorHAnsi"/>
          <w:b/>
          <w:i/>
          <w:sz w:val="22"/>
          <w:szCs w:val="22"/>
        </w:rPr>
        <w:lastRenderedPageBreak/>
        <w:t>Tasks and Resources</w:t>
      </w:r>
    </w:p>
    <w:p w14:paraId="633C5314" w14:textId="77777777" w:rsidR="00804766" w:rsidRDefault="00804766" w:rsidP="00804766">
      <w:pPr>
        <w:spacing w:line="480" w:lineRule="auto"/>
        <w:jc w:val="both"/>
        <w:rPr>
          <w:rFonts w:asciiTheme="majorHAnsi" w:hAnsiTheme="majorHAnsi" w:cstheme="majorHAnsi"/>
          <w:sz w:val="22"/>
          <w:szCs w:val="22"/>
        </w:rPr>
      </w:pPr>
      <w:r>
        <w:rPr>
          <w:rFonts w:asciiTheme="majorHAnsi" w:hAnsiTheme="majorHAnsi" w:cstheme="majorHAnsi"/>
          <w:sz w:val="22"/>
          <w:szCs w:val="22"/>
        </w:rPr>
        <w:t>Literature states that in order for VFTs to be effectively implemented within the classroom, their use had to be both relevant and carefully planned (</w:t>
      </w:r>
      <w:bookmarkStart w:id="44" w:name="_Hlk513930560"/>
      <w:r>
        <w:rPr>
          <w:rFonts w:asciiTheme="majorHAnsi" w:hAnsiTheme="majorHAnsi" w:cstheme="majorHAnsi"/>
          <w:sz w:val="22"/>
          <w:szCs w:val="22"/>
        </w:rPr>
        <w:t xml:space="preserve">Klemm and Tuthill, </w:t>
      </w:r>
      <w:proofErr w:type="gramStart"/>
      <w:r>
        <w:rPr>
          <w:rFonts w:asciiTheme="majorHAnsi" w:hAnsiTheme="majorHAnsi" w:cstheme="majorHAnsi"/>
          <w:sz w:val="22"/>
          <w:szCs w:val="22"/>
        </w:rPr>
        <w:t>2003:P</w:t>
      </w:r>
      <w:proofErr w:type="gramEnd"/>
      <w:r>
        <w:rPr>
          <w:rFonts w:asciiTheme="majorHAnsi" w:hAnsiTheme="majorHAnsi" w:cstheme="majorHAnsi"/>
          <w:sz w:val="22"/>
          <w:szCs w:val="22"/>
        </w:rPr>
        <w:t>177</w:t>
      </w:r>
      <w:bookmarkEnd w:id="44"/>
      <w:r>
        <w:rPr>
          <w:rFonts w:asciiTheme="majorHAnsi" w:hAnsiTheme="majorHAnsi" w:cstheme="majorHAnsi"/>
          <w:sz w:val="22"/>
          <w:szCs w:val="22"/>
        </w:rPr>
        <w:t xml:space="preserve">). The researcher considered where in the scheme of work the use of a VFT would prove most beneficial for learners, finding that that it would be best used as a research tool in order for learners to build an argument. Learners were now three lessons in to their new scheme of work, looking at contemporary debates that focussed on archaeology and the ethics surrounding repatriation and excavation. Learners had already chosen to focus on one of three contemporary debates prior to the lesson in which the research was conducted, making their choice from the following: (i) Is it ever okay to dig up the </w:t>
      </w:r>
      <w:proofErr w:type="gramStart"/>
      <w:r>
        <w:rPr>
          <w:rFonts w:asciiTheme="majorHAnsi" w:hAnsiTheme="majorHAnsi" w:cstheme="majorHAnsi"/>
          <w:sz w:val="22"/>
          <w:szCs w:val="22"/>
        </w:rPr>
        <w:t>dead?;</w:t>
      </w:r>
      <w:proofErr w:type="gramEnd"/>
      <w:r>
        <w:rPr>
          <w:rFonts w:asciiTheme="majorHAnsi" w:hAnsiTheme="majorHAnsi" w:cstheme="majorHAnsi"/>
          <w:sz w:val="22"/>
          <w:szCs w:val="22"/>
        </w:rPr>
        <w:t xml:space="preserve"> (ii) If to steal is to “</w:t>
      </w:r>
      <w:r>
        <w:rPr>
          <w:rFonts w:asciiTheme="majorHAnsi" w:hAnsiTheme="majorHAnsi" w:cstheme="majorHAnsi"/>
          <w:i/>
          <w:sz w:val="22"/>
          <w:szCs w:val="22"/>
        </w:rPr>
        <w:t>take (another person’s property) without permission or legal right and without intending to return it</w:t>
      </w:r>
      <w:r>
        <w:rPr>
          <w:rFonts w:asciiTheme="majorHAnsi" w:hAnsiTheme="majorHAnsi" w:cstheme="majorHAnsi"/>
          <w:sz w:val="22"/>
          <w:szCs w:val="22"/>
        </w:rPr>
        <w:t>” are archaeologists thieves? and; (iii) Who owns the past? To keep or give back?</w:t>
      </w:r>
    </w:p>
    <w:p w14:paraId="1C4C14F0" w14:textId="7E0C2A6D" w:rsidR="00804766" w:rsidRDefault="00804766" w:rsidP="00804766">
      <w:pPr>
        <w:spacing w:line="480" w:lineRule="auto"/>
        <w:jc w:val="both"/>
        <w:rPr>
          <w:rFonts w:asciiTheme="majorHAnsi" w:hAnsiTheme="majorHAnsi" w:cstheme="majorHAnsi"/>
          <w:sz w:val="22"/>
          <w:szCs w:val="22"/>
        </w:rPr>
      </w:pPr>
      <w:r>
        <w:rPr>
          <w:rFonts w:asciiTheme="majorHAnsi" w:hAnsiTheme="majorHAnsi" w:cstheme="majorHAnsi"/>
          <w:sz w:val="22"/>
          <w:szCs w:val="22"/>
        </w:rPr>
        <w:tab/>
      </w:r>
      <w:r w:rsidRPr="008A7D8C">
        <w:rPr>
          <w:rFonts w:asciiTheme="majorHAnsi" w:hAnsiTheme="majorHAnsi" w:cstheme="majorHAnsi"/>
          <w:sz w:val="22"/>
          <w:szCs w:val="22"/>
        </w:rPr>
        <w:t>The tasks and resources used for this lesson were certainly the most suitable for the research being conducted. Given the aforementioned topic, it was decided that providing learners with access to a VFT to the British Museum (accessible at http://www.britishmuseum.org/with_google.aspx) would allow for learners to take an element of control over their own learning and to develop a supporting argument for their impending debates. Through the content provided in the VFT learners were afforded the opportunity to explore the museum and the hundreds of artefacts on show to record their findings and further link their findings to their chosen debate. This was done through the use of an information t</w:t>
      </w:r>
      <w:r w:rsidR="00B57C51">
        <w:rPr>
          <w:rFonts w:asciiTheme="majorHAnsi" w:hAnsiTheme="majorHAnsi" w:cstheme="majorHAnsi"/>
          <w:sz w:val="22"/>
          <w:szCs w:val="22"/>
        </w:rPr>
        <w:t>able given to them in which they would record the name and location of each artefact selected, furthering to evaluate its relationship with the selected contemporary debate question</w:t>
      </w:r>
      <w:r w:rsidRPr="008A7D8C">
        <w:rPr>
          <w:rFonts w:asciiTheme="majorHAnsi" w:hAnsiTheme="majorHAnsi" w:cstheme="majorHAnsi"/>
          <w:sz w:val="22"/>
          <w:szCs w:val="22"/>
        </w:rPr>
        <w:t>.</w:t>
      </w:r>
    </w:p>
    <w:p w14:paraId="32DE6C7F" w14:textId="77777777" w:rsidR="00804766" w:rsidRDefault="00804766" w:rsidP="00804766">
      <w:pPr>
        <w:spacing w:line="480" w:lineRule="auto"/>
        <w:jc w:val="both"/>
        <w:rPr>
          <w:rFonts w:asciiTheme="majorHAnsi" w:hAnsiTheme="majorHAnsi" w:cstheme="majorHAnsi"/>
          <w:b/>
          <w:sz w:val="22"/>
          <w:szCs w:val="22"/>
          <w:u w:val="single"/>
        </w:rPr>
      </w:pPr>
    </w:p>
    <w:p w14:paraId="19F52253" w14:textId="77777777" w:rsidR="00804766" w:rsidRPr="00A20AA0" w:rsidRDefault="00804766" w:rsidP="00804766">
      <w:pPr>
        <w:spacing w:line="480" w:lineRule="auto"/>
        <w:jc w:val="both"/>
        <w:rPr>
          <w:rFonts w:asciiTheme="majorHAnsi" w:hAnsiTheme="majorHAnsi" w:cstheme="majorHAnsi"/>
          <w:b/>
          <w:sz w:val="22"/>
          <w:szCs w:val="22"/>
        </w:rPr>
      </w:pPr>
      <w:r w:rsidRPr="00A20AA0">
        <w:rPr>
          <w:rFonts w:asciiTheme="majorHAnsi" w:hAnsiTheme="majorHAnsi" w:cstheme="majorHAnsi"/>
          <w:b/>
          <w:sz w:val="22"/>
          <w:szCs w:val="22"/>
        </w:rPr>
        <w:t>Results and Findings</w:t>
      </w:r>
    </w:p>
    <w:p w14:paraId="6C3289FD" w14:textId="77777777" w:rsidR="00804766" w:rsidRDefault="00804766" w:rsidP="00804766">
      <w:pPr>
        <w:spacing w:line="480" w:lineRule="auto"/>
        <w:jc w:val="both"/>
        <w:rPr>
          <w:rFonts w:asciiTheme="majorHAnsi" w:hAnsiTheme="majorHAnsi" w:cstheme="majorHAnsi"/>
          <w:sz w:val="22"/>
          <w:szCs w:val="22"/>
        </w:rPr>
      </w:pPr>
      <w:r>
        <w:rPr>
          <w:rFonts w:asciiTheme="majorHAnsi" w:hAnsiTheme="majorHAnsi" w:cstheme="majorHAnsi"/>
          <w:sz w:val="22"/>
          <w:szCs w:val="22"/>
        </w:rPr>
        <w:tab/>
        <w:t>The researcher deemed that results and findings would best be discussed through their ability to answer the research questions that were previously outlined. Results obtained from internet-based surveys will be used to underpin the findings of the researchers’ observations and pupil evaluations. However, 0 survey participants were eFSM learners whilst in compulsory education, so the findings will be used in relation to Question 1 only.</w:t>
      </w:r>
    </w:p>
    <w:p w14:paraId="69E4A5D2" w14:textId="77777777" w:rsidR="00804766" w:rsidRPr="00496CFA" w:rsidRDefault="00804766" w:rsidP="00804766">
      <w:pPr>
        <w:spacing w:line="480" w:lineRule="auto"/>
        <w:jc w:val="both"/>
        <w:rPr>
          <w:rFonts w:asciiTheme="majorHAnsi" w:hAnsiTheme="majorHAnsi" w:cstheme="majorHAnsi"/>
          <w:sz w:val="22"/>
          <w:szCs w:val="22"/>
        </w:rPr>
      </w:pPr>
    </w:p>
    <w:p w14:paraId="03BA4D53" w14:textId="77777777" w:rsidR="00804766" w:rsidRDefault="00804766" w:rsidP="00804766">
      <w:pPr>
        <w:spacing w:line="480" w:lineRule="auto"/>
        <w:jc w:val="both"/>
        <w:rPr>
          <w:rFonts w:asciiTheme="majorHAnsi" w:hAnsiTheme="majorHAnsi" w:cstheme="majorHAnsi"/>
          <w:b/>
          <w:sz w:val="22"/>
          <w:szCs w:val="22"/>
        </w:rPr>
      </w:pPr>
      <w:r w:rsidRPr="008A7D8C">
        <w:rPr>
          <w:rFonts w:asciiTheme="majorHAnsi" w:hAnsiTheme="majorHAnsi" w:cstheme="majorHAnsi"/>
          <w:b/>
          <w:sz w:val="22"/>
          <w:szCs w:val="22"/>
        </w:rPr>
        <w:t>Question 1: Does the use of VFTs appear to have an impact on the learning environment and/or enhance learning outcomes?</w:t>
      </w:r>
    </w:p>
    <w:p w14:paraId="1D350913" w14:textId="77777777" w:rsidR="00804766" w:rsidRDefault="00804766" w:rsidP="00804766">
      <w:pPr>
        <w:spacing w:line="480" w:lineRule="auto"/>
        <w:jc w:val="both"/>
        <w:rPr>
          <w:rFonts w:asciiTheme="majorHAnsi" w:hAnsiTheme="majorHAnsi" w:cstheme="majorHAnsi"/>
          <w:sz w:val="22"/>
          <w:szCs w:val="22"/>
        </w:rPr>
      </w:pPr>
      <w:r>
        <w:rPr>
          <w:rFonts w:asciiTheme="majorHAnsi" w:hAnsiTheme="majorHAnsi" w:cstheme="majorHAnsi"/>
          <w:sz w:val="22"/>
          <w:szCs w:val="22"/>
        </w:rPr>
        <w:tab/>
        <w:t xml:space="preserve">It was interesting for the researcher to discover that no participants within the classroom had ever participated in a VFT prior to the research lesson, as this would mean that learners would now be immersed in a new </w:t>
      </w:r>
      <w:r>
        <w:rPr>
          <w:rFonts w:asciiTheme="majorHAnsi" w:hAnsiTheme="majorHAnsi" w:cstheme="majorHAnsi"/>
          <w:sz w:val="22"/>
          <w:szCs w:val="22"/>
        </w:rPr>
        <w:lastRenderedPageBreak/>
        <w:t>learning experience altogether. Alongside this, 100% of participants of the internet-based survey reported that they were in compulsory education between the years of 2000 and 2018, all of whom revealed that they had never heard or experienced a VFT. This supported earlier literature that stated that the use of multimodal devices such as VFTs were yet to be exploited (Norris et al.,2015). 77% of learners felt that the opportunity to use VFTs more frequently would help them with their schoolwork, however 23% of learners felt that this was not the case.</w:t>
      </w:r>
    </w:p>
    <w:p w14:paraId="16A9DFEB" w14:textId="77777777" w:rsidR="00804766" w:rsidRPr="00496CFA" w:rsidRDefault="00804766" w:rsidP="00804766">
      <w:pPr>
        <w:spacing w:line="480" w:lineRule="auto"/>
        <w:ind w:firstLine="720"/>
        <w:jc w:val="both"/>
        <w:rPr>
          <w:rFonts w:asciiTheme="majorHAnsi" w:hAnsiTheme="majorHAnsi" w:cstheme="majorHAnsi"/>
          <w:color w:val="FF0000"/>
          <w:sz w:val="22"/>
          <w:szCs w:val="22"/>
        </w:rPr>
      </w:pPr>
      <w:r>
        <w:rPr>
          <w:rFonts w:asciiTheme="majorHAnsi" w:hAnsiTheme="majorHAnsi" w:cstheme="majorHAnsi"/>
          <w:sz w:val="22"/>
          <w:szCs w:val="22"/>
        </w:rPr>
        <w:t>As a result of the observations recorded and experienced, the researcher felt as though learners were more engaged in their learning when their learning objectives and instructions were delivered, when compared to prior lessons; something that 100% of survey participants agreed would have enhanced their learning whilst in compulsory education. Learners were actively involved and responded positively in making their own decisions as to what artefacts they would consider using to strengthen their contemporary debates. It seemed as though learners were enjoying the interactive lesson, a perception that is mirrored through results gathered from pupil’s evaluations, showing that 97% of all participants felt that the VFT was a good way to explore the British Museum. However, just 93% of participants felt as though the VFT had an impact on their learning. Participant’s responses were as follows:</w:t>
      </w:r>
    </w:p>
    <w:p w14:paraId="0DFFEED3" w14:textId="77777777" w:rsidR="00804766" w:rsidRDefault="00804766" w:rsidP="00804766">
      <w:pPr>
        <w:spacing w:line="480" w:lineRule="auto"/>
        <w:ind w:left="720"/>
        <w:jc w:val="both"/>
        <w:rPr>
          <w:rFonts w:asciiTheme="majorHAnsi" w:hAnsiTheme="majorHAnsi" w:cstheme="majorHAnsi"/>
          <w:i/>
          <w:sz w:val="22"/>
          <w:szCs w:val="22"/>
        </w:rPr>
      </w:pPr>
    </w:p>
    <w:p w14:paraId="2E79CDD3" w14:textId="77777777" w:rsidR="00804766" w:rsidRDefault="00804766" w:rsidP="00804766">
      <w:pPr>
        <w:spacing w:line="480" w:lineRule="auto"/>
        <w:ind w:left="720"/>
        <w:jc w:val="both"/>
        <w:rPr>
          <w:rFonts w:asciiTheme="majorHAnsi" w:hAnsiTheme="majorHAnsi" w:cstheme="majorHAnsi"/>
          <w:i/>
          <w:sz w:val="22"/>
          <w:szCs w:val="22"/>
        </w:rPr>
      </w:pPr>
      <w:r>
        <w:rPr>
          <w:rFonts w:asciiTheme="majorHAnsi" w:hAnsiTheme="majorHAnsi" w:cstheme="majorHAnsi"/>
          <w:i/>
          <w:sz w:val="22"/>
          <w:szCs w:val="22"/>
        </w:rPr>
        <w:t>“(I think that) Yes (the VFT I have done today has had an impact on my learning, because)</w:t>
      </w:r>
    </w:p>
    <w:p w14:paraId="11D9E1D6" w14:textId="77777777" w:rsidR="00804766" w:rsidRDefault="00804766" w:rsidP="00804766">
      <w:pPr>
        <w:spacing w:line="480" w:lineRule="auto"/>
        <w:ind w:left="720"/>
        <w:jc w:val="both"/>
        <w:rPr>
          <w:rFonts w:asciiTheme="majorHAnsi" w:hAnsiTheme="majorHAnsi" w:cstheme="majorHAnsi"/>
          <w:b/>
          <w:sz w:val="22"/>
          <w:szCs w:val="22"/>
        </w:rPr>
      </w:pPr>
      <w:r>
        <w:rPr>
          <w:rFonts w:asciiTheme="majorHAnsi" w:hAnsiTheme="majorHAnsi" w:cstheme="majorHAnsi"/>
          <w:i/>
          <w:sz w:val="22"/>
          <w:szCs w:val="22"/>
        </w:rPr>
        <w:t xml:space="preserve">it has given me research for the debate and I’ve learnt to be more independent.” </w:t>
      </w:r>
      <w:r w:rsidRPr="00595CB1">
        <w:rPr>
          <w:rFonts w:asciiTheme="majorHAnsi" w:hAnsiTheme="majorHAnsi" w:cstheme="majorHAnsi"/>
          <w:b/>
          <w:sz w:val="22"/>
          <w:szCs w:val="22"/>
        </w:rPr>
        <w:t>(OB2)</w:t>
      </w:r>
    </w:p>
    <w:p w14:paraId="6EB97B79" w14:textId="77777777" w:rsidR="00804766" w:rsidRDefault="00804766" w:rsidP="00804766">
      <w:pPr>
        <w:spacing w:line="480" w:lineRule="auto"/>
        <w:ind w:left="720"/>
        <w:jc w:val="both"/>
        <w:rPr>
          <w:rFonts w:asciiTheme="majorHAnsi" w:hAnsiTheme="majorHAnsi" w:cstheme="majorHAnsi"/>
          <w:b/>
          <w:i/>
          <w:sz w:val="22"/>
          <w:szCs w:val="22"/>
        </w:rPr>
      </w:pPr>
    </w:p>
    <w:p w14:paraId="5CC2BBA7" w14:textId="77777777" w:rsidR="00804766" w:rsidRDefault="00804766" w:rsidP="00804766">
      <w:pPr>
        <w:spacing w:line="480" w:lineRule="auto"/>
        <w:ind w:left="720"/>
        <w:jc w:val="both"/>
        <w:rPr>
          <w:rFonts w:asciiTheme="majorHAnsi" w:hAnsiTheme="majorHAnsi" w:cstheme="majorHAnsi"/>
          <w:i/>
          <w:sz w:val="22"/>
          <w:szCs w:val="22"/>
        </w:rPr>
      </w:pPr>
      <w:r>
        <w:rPr>
          <w:rFonts w:asciiTheme="majorHAnsi" w:hAnsiTheme="majorHAnsi" w:cstheme="majorHAnsi"/>
          <w:i/>
          <w:sz w:val="22"/>
          <w:szCs w:val="22"/>
        </w:rPr>
        <w:t>“(I think that) No (the VFT I have done today has not had an impact on my learning,</w:t>
      </w:r>
    </w:p>
    <w:p w14:paraId="35A5E8AF" w14:textId="77777777" w:rsidR="00804766" w:rsidRDefault="00804766" w:rsidP="00804766">
      <w:pPr>
        <w:spacing w:line="480" w:lineRule="auto"/>
        <w:ind w:left="720"/>
        <w:jc w:val="both"/>
        <w:rPr>
          <w:rFonts w:asciiTheme="majorHAnsi" w:hAnsiTheme="majorHAnsi" w:cstheme="majorHAnsi"/>
          <w:b/>
          <w:i/>
          <w:sz w:val="22"/>
          <w:szCs w:val="22"/>
        </w:rPr>
      </w:pPr>
      <w:r>
        <w:rPr>
          <w:rFonts w:asciiTheme="majorHAnsi" w:hAnsiTheme="majorHAnsi" w:cstheme="majorHAnsi"/>
          <w:i/>
          <w:sz w:val="22"/>
          <w:szCs w:val="22"/>
        </w:rPr>
        <w:t xml:space="preserve">because) it was just like any other trip.” </w:t>
      </w:r>
      <w:r>
        <w:rPr>
          <w:rFonts w:asciiTheme="majorHAnsi" w:hAnsiTheme="majorHAnsi" w:cstheme="majorHAnsi"/>
          <w:b/>
          <w:sz w:val="22"/>
          <w:szCs w:val="22"/>
        </w:rPr>
        <w:t>(OB8</w:t>
      </w:r>
      <w:r w:rsidRPr="00595CB1">
        <w:rPr>
          <w:rFonts w:asciiTheme="majorHAnsi" w:hAnsiTheme="majorHAnsi" w:cstheme="majorHAnsi"/>
          <w:b/>
          <w:sz w:val="22"/>
          <w:szCs w:val="22"/>
        </w:rPr>
        <w:t>)</w:t>
      </w:r>
    </w:p>
    <w:p w14:paraId="38DC5472" w14:textId="77777777" w:rsidR="00804766" w:rsidRDefault="00804766" w:rsidP="00804766">
      <w:pPr>
        <w:spacing w:line="480" w:lineRule="auto"/>
        <w:ind w:left="720"/>
        <w:jc w:val="both"/>
        <w:rPr>
          <w:rFonts w:asciiTheme="majorHAnsi" w:hAnsiTheme="majorHAnsi" w:cstheme="majorHAnsi"/>
          <w:i/>
          <w:sz w:val="22"/>
          <w:szCs w:val="22"/>
        </w:rPr>
      </w:pPr>
    </w:p>
    <w:p w14:paraId="77A06F34" w14:textId="77777777" w:rsidR="00804766" w:rsidRDefault="00804766" w:rsidP="00804766">
      <w:pPr>
        <w:spacing w:line="480" w:lineRule="auto"/>
        <w:ind w:left="720"/>
        <w:jc w:val="both"/>
        <w:rPr>
          <w:rFonts w:asciiTheme="majorHAnsi" w:hAnsiTheme="majorHAnsi" w:cstheme="majorHAnsi"/>
          <w:i/>
          <w:sz w:val="22"/>
          <w:szCs w:val="22"/>
        </w:rPr>
      </w:pPr>
      <w:r>
        <w:rPr>
          <w:rFonts w:asciiTheme="majorHAnsi" w:hAnsiTheme="majorHAnsi" w:cstheme="majorHAnsi"/>
          <w:i/>
          <w:sz w:val="22"/>
          <w:szCs w:val="22"/>
        </w:rPr>
        <w:t>“(I think that) Yes (the VFT I have done today has had an impact on my learning, because)</w:t>
      </w:r>
    </w:p>
    <w:p w14:paraId="60D71D44" w14:textId="77777777" w:rsidR="00804766" w:rsidRDefault="00804766" w:rsidP="00804766">
      <w:pPr>
        <w:spacing w:line="480" w:lineRule="auto"/>
        <w:ind w:left="720"/>
        <w:jc w:val="both"/>
        <w:rPr>
          <w:rFonts w:asciiTheme="majorHAnsi" w:hAnsiTheme="majorHAnsi" w:cstheme="majorHAnsi"/>
          <w:i/>
          <w:sz w:val="22"/>
          <w:szCs w:val="22"/>
        </w:rPr>
      </w:pPr>
      <w:r>
        <w:rPr>
          <w:rFonts w:asciiTheme="majorHAnsi" w:hAnsiTheme="majorHAnsi" w:cstheme="majorHAnsi"/>
          <w:i/>
          <w:sz w:val="22"/>
          <w:szCs w:val="22"/>
        </w:rPr>
        <w:t>it really makes me think about what actually happened and how it happened. It lets me</w:t>
      </w:r>
    </w:p>
    <w:p w14:paraId="378AB1D0" w14:textId="7A2C18DF" w:rsidR="00804766" w:rsidRDefault="00804766" w:rsidP="00804766">
      <w:pPr>
        <w:spacing w:line="480" w:lineRule="auto"/>
        <w:ind w:left="720"/>
        <w:jc w:val="both"/>
        <w:rPr>
          <w:rFonts w:asciiTheme="majorHAnsi" w:hAnsiTheme="majorHAnsi" w:cstheme="majorHAnsi"/>
          <w:b/>
          <w:sz w:val="22"/>
          <w:szCs w:val="22"/>
        </w:rPr>
      </w:pPr>
      <w:r>
        <w:rPr>
          <w:rFonts w:asciiTheme="majorHAnsi" w:hAnsiTheme="majorHAnsi" w:cstheme="majorHAnsi"/>
          <w:i/>
          <w:sz w:val="22"/>
          <w:szCs w:val="22"/>
        </w:rPr>
        <w:t xml:space="preserve">understand ancient people’s lives.” </w:t>
      </w:r>
      <w:r>
        <w:rPr>
          <w:rFonts w:asciiTheme="majorHAnsi" w:hAnsiTheme="majorHAnsi" w:cstheme="majorHAnsi"/>
          <w:b/>
          <w:sz w:val="22"/>
          <w:szCs w:val="22"/>
        </w:rPr>
        <w:t>(OB21</w:t>
      </w:r>
      <w:r w:rsidRPr="00595CB1">
        <w:rPr>
          <w:rFonts w:asciiTheme="majorHAnsi" w:hAnsiTheme="majorHAnsi" w:cstheme="majorHAnsi"/>
          <w:b/>
          <w:sz w:val="22"/>
          <w:szCs w:val="22"/>
        </w:rPr>
        <w:t>)</w:t>
      </w:r>
    </w:p>
    <w:p w14:paraId="08C32CF5" w14:textId="42A075EA" w:rsidR="00F87E6D" w:rsidRDefault="00F87E6D" w:rsidP="00804766">
      <w:pPr>
        <w:spacing w:line="480" w:lineRule="auto"/>
        <w:ind w:left="720"/>
        <w:jc w:val="both"/>
        <w:rPr>
          <w:rFonts w:asciiTheme="majorHAnsi" w:hAnsiTheme="majorHAnsi" w:cstheme="majorHAnsi"/>
          <w:b/>
          <w:i/>
          <w:sz w:val="22"/>
          <w:szCs w:val="22"/>
        </w:rPr>
      </w:pPr>
    </w:p>
    <w:p w14:paraId="20D873B7" w14:textId="1A2ED1F0" w:rsidR="00F87E6D" w:rsidRPr="00F87E6D" w:rsidRDefault="00F87E6D" w:rsidP="00F87E6D">
      <w:pPr>
        <w:spacing w:line="480" w:lineRule="auto"/>
        <w:jc w:val="both"/>
        <w:rPr>
          <w:rFonts w:asciiTheme="majorHAnsi" w:hAnsiTheme="majorHAnsi" w:cstheme="majorHAnsi"/>
          <w:sz w:val="22"/>
          <w:szCs w:val="22"/>
        </w:rPr>
      </w:pPr>
      <w:r>
        <w:rPr>
          <w:rFonts w:asciiTheme="majorHAnsi" w:hAnsiTheme="majorHAnsi" w:cstheme="majorHAnsi"/>
          <w:sz w:val="22"/>
          <w:szCs w:val="22"/>
        </w:rPr>
        <w:t>and</w:t>
      </w:r>
    </w:p>
    <w:p w14:paraId="5ED458EB" w14:textId="77777777" w:rsidR="00804766" w:rsidRDefault="00804766" w:rsidP="00804766">
      <w:pPr>
        <w:spacing w:line="480" w:lineRule="auto"/>
        <w:ind w:left="720"/>
        <w:jc w:val="both"/>
        <w:rPr>
          <w:rFonts w:asciiTheme="majorHAnsi" w:hAnsiTheme="majorHAnsi" w:cstheme="majorHAnsi"/>
          <w:i/>
          <w:sz w:val="22"/>
          <w:szCs w:val="22"/>
        </w:rPr>
      </w:pPr>
    </w:p>
    <w:p w14:paraId="13641FD7" w14:textId="77777777" w:rsidR="00804766" w:rsidRDefault="00804766" w:rsidP="00804766">
      <w:pPr>
        <w:spacing w:line="480" w:lineRule="auto"/>
        <w:ind w:left="720"/>
        <w:jc w:val="both"/>
        <w:rPr>
          <w:rFonts w:asciiTheme="majorHAnsi" w:hAnsiTheme="majorHAnsi" w:cstheme="majorHAnsi"/>
          <w:i/>
          <w:sz w:val="22"/>
          <w:szCs w:val="22"/>
        </w:rPr>
      </w:pPr>
      <w:r>
        <w:rPr>
          <w:rFonts w:asciiTheme="majorHAnsi" w:hAnsiTheme="majorHAnsi" w:cstheme="majorHAnsi"/>
          <w:i/>
          <w:sz w:val="22"/>
          <w:szCs w:val="22"/>
        </w:rPr>
        <w:t>“(I think that) Yes (the VFT I have done today has had an impact on my learning, because)</w:t>
      </w:r>
    </w:p>
    <w:p w14:paraId="0326473D" w14:textId="77777777" w:rsidR="00804766" w:rsidRDefault="00804766" w:rsidP="00804766">
      <w:pPr>
        <w:spacing w:line="480" w:lineRule="auto"/>
        <w:ind w:left="720"/>
        <w:jc w:val="both"/>
        <w:rPr>
          <w:rFonts w:asciiTheme="majorHAnsi" w:hAnsiTheme="majorHAnsi" w:cstheme="majorHAnsi"/>
          <w:b/>
          <w:i/>
          <w:sz w:val="22"/>
          <w:szCs w:val="22"/>
        </w:rPr>
      </w:pPr>
      <w:r>
        <w:rPr>
          <w:rFonts w:asciiTheme="majorHAnsi" w:hAnsiTheme="majorHAnsi" w:cstheme="majorHAnsi"/>
          <w:i/>
          <w:sz w:val="22"/>
          <w:szCs w:val="22"/>
        </w:rPr>
        <w:t xml:space="preserve">I get to do what I want and learn about different artefacts.” </w:t>
      </w:r>
      <w:r w:rsidRPr="00595CB1">
        <w:rPr>
          <w:rFonts w:asciiTheme="majorHAnsi" w:hAnsiTheme="majorHAnsi" w:cstheme="majorHAnsi"/>
          <w:b/>
          <w:sz w:val="22"/>
          <w:szCs w:val="22"/>
        </w:rPr>
        <w:t>(OB29)</w:t>
      </w:r>
    </w:p>
    <w:p w14:paraId="6E879140" w14:textId="77777777" w:rsidR="00804766" w:rsidRPr="00595CB1" w:rsidRDefault="00804766" w:rsidP="00804766">
      <w:pPr>
        <w:spacing w:line="480" w:lineRule="auto"/>
        <w:jc w:val="both"/>
        <w:rPr>
          <w:rFonts w:asciiTheme="majorHAnsi" w:hAnsiTheme="majorHAnsi" w:cstheme="majorHAnsi"/>
          <w:i/>
          <w:sz w:val="22"/>
          <w:szCs w:val="22"/>
        </w:rPr>
      </w:pPr>
    </w:p>
    <w:p w14:paraId="61DC36E4" w14:textId="6AD8657F" w:rsidR="00804766" w:rsidRPr="008D41CE" w:rsidRDefault="00804766" w:rsidP="00804766">
      <w:pPr>
        <w:spacing w:line="480" w:lineRule="auto"/>
        <w:ind w:firstLine="720"/>
        <w:jc w:val="both"/>
        <w:rPr>
          <w:rFonts w:asciiTheme="majorHAnsi" w:hAnsiTheme="majorHAnsi" w:cstheme="majorHAnsi"/>
          <w:sz w:val="22"/>
          <w:szCs w:val="22"/>
        </w:rPr>
      </w:pPr>
      <w:r>
        <w:rPr>
          <w:rFonts w:asciiTheme="majorHAnsi" w:hAnsiTheme="majorHAnsi" w:cstheme="majorHAnsi"/>
          <w:sz w:val="22"/>
          <w:szCs w:val="22"/>
        </w:rPr>
        <w:lastRenderedPageBreak/>
        <w:t xml:space="preserve">83% of participants felt that the use of the VFT allowed for them to build stronger arguments for their contemporary debates assignment. The researcher observed that there was a significant shift from learners solely providing a personal response within their debates to providing factual information that supported or negated their original hypothesis. Learners were now able to veer away from verbally discussing that they do not agree that it is ever okay to dig up the dead, to using evidence of remains stored at the British Museum (such as the mummified body of Egyptian priestess, Tjentmutengebtiu) and discussing how they are in fact a unique record of how societies have dealt with death and disposed of human bodies. </w:t>
      </w:r>
      <w:r w:rsidR="008D41CE">
        <w:rPr>
          <w:rFonts w:asciiTheme="majorHAnsi" w:hAnsiTheme="majorHAnsi" w:cstheme="majorHAnsi"/>
          <w:sz w:val="22"/>
          <w:szCs w:val="22"/>
        </w:rPr>
        <w:t xml:space="preserve">These findings clearly support the views of Bransford et al. (2000) who saw that contemporary learning was something that happened when learners constructed new knowledge and understandings based on prior knowledge and beliefs. </w:t>
      </w:r>
      <w:r>
        <w:rPr>
          <w:rFonts w:asciiTheme="majorHAnsi" w:hAnsiTheme="majorHAnsi" w:cstheme="majorHAnsi"/>
          <w:sz w:val="22"/>
          <w:szCs w:val="22"/>
        </w:rPr>
        <w:t>However, just five participants stated that the use of the VFT had not allowed for them to strengthen their arguments. Participants responded in this way, expressing that they had not strengthened their arguments due to the fact that they had learnt about specific artefacts rather than archaeology as a whole, and that they felt as though they had not retained any info</w:t>
      </w:r>
      <w:r w:rsidR="008D41CE">
        <w:rPr>
          <w:rFonts w:asciiTheme="majorHAnsi" w:hAnsiTheme="majorHAnsi" w:cstheme="majorHAnsi"/>
          <w:sz w:val="22"/>
          <w:szCs w:val="22"/>
        </w:rPr>
        <w:t xml:space="preserve">rmation as a result of the VFT. The researcher has taken into consideration the view of the learners and has made suggestions for further study </w:t>
      </w:r>
      <w:r w:rsidR="008D41CE">
        <w:rPr>
          <w:rFonts w:asciiTheme="majorHAnsi" w:hAnsiTheme="majorHAnsi" w:cstheme="majorHAnsi"/>
          <w:b/>
          <w:sz w:val="22"/>
          <w:szCs w:val="22"/>
        </w:rPr>
        <w:t xml:space="preserve">(see </w:t>
      </w:r>
      <w:r w:rsidR="008D41CE">
        <w:rPr>
          <w:rFonts w:asciiTheme="majorHAnsi" w:hAnsiTheme="majorHAnsi" w:cstheme="majorHAnsi"/>
          <w:b/>
          <w:i/>
          <w:sz w:val="22"/>
          <w:szCs w:val="22"/>
        </w:rPr>
        <w:t>Limitations and Future Development</w:t>
      </w:r>
      <w:r w:rsidR="008D41CE">
        <w:rPr>
          <w:rFonts w:asciiTheme="majorHAnsi" w:hAnsiTheme="majorHAnsi" w:cstheme="majorHAnsi"/>
          <w:b/>
          <w:sz w:val="22"/>
          <w:szCs w:val="22"/>
        </w:rPr>
        <w:t>)</w:t>
      </w:r>
      <w:r w:rsidR="008D41CE">
        <w:rPr>
          <w:rFonts w:asciiTheme="majorHAnsi" w:hAnsiTheme="majorHAnsi" w:cstheme="majorHAnsi"/>
          <w:sz w:val="22"/>
          <w:szCs w:val="22"/>
        </w:rPr>
        <w:t>.</w:t>
      </w:r>
    </w:p>
    <w:p w14:paraId="5832B64C" w14:textId="77777777" w:rsidR="00804766" w:rsidRDefault="00804766" w:rsidP="00804766">
      <w:pPr>
        <w:spacing w:line="480" w:lineRule="auto"/>
        <w:ind w:firstLine="720"/>
        <w:jc w:val="both"/>
        <w:rPr>
          <w:rFonts w:asciiTheme="majorHAnsi" w:hAnsiTheme="majorHAnsi" w:cstheme="majorHAnsi"/>
          <w:sz w:val="22"/>
          <w:szCs w:val="22"/>
        </w:rPr>
      </w:pPr>
      <w:r>
        <w:rPr>
          <w:rFonts w:asciiTheme="majorHAnsi" w:hAnsiTheme="majorHAnsi" w:cstheme="majorHAnsi"/>
          <w:sz w:val="22"/>
          <w:szCs w:val="22"/>
        </w:rPr>
        <w:t>90% of learners felt that the VFT lesson allowed for them to be more in control of their own learning. This was a positive revelation, as the researcher wanted to ascertain whether learners were able to become more independent, capable learners instead of falling short to the passive methods that prevail in teacher-led lessons. These results are supported by the earlier views of Barley et al. (2002) who argue that digital technologies have the potential to afford a shift from teacher-led learning to a more learner-led instruction that is seen to benefit many learners.</w:t>
      </w:r>
    </w:p>
    <w:p w14:paraId="2C8869E9" w14:textId="77777777" w:rsidR="00804766" w:rsidRDefault="00804766" w:rsidP="00804766">
      <w:pPr>
        <w:spacing w:line="480" w:lineRule="auto"/>
        <w:jc w:val="both"/>
        <w:rPr>
          <w:rFonts w:asciiTheme="majorHAnsi" w:hAnsiTheme="majorHAnsi" w:cstheme="majorHAnsi"/>
          <w:sz w:val="22"/>
          <w:szCs w:val="22"/>
        </w:rPr>
      </w:pPr>
      <w:r>
        <w:rPr>
          <w:rFonts w:asciiTheme="majorHAnsi" w:hAnsiTheme="majorHAnsi" w:cstheme="majorHAnsi"/>
          <w:sz w:val="22"/>
          <w:szCs w:val="22"/>
        </w:rPr>
        <w:tab/>
        <w:t>83% of learners felt that the VFT has inspired them to learn more about their current topic that centred around archaeology. The researcher observed that many learners who seemed generally disengaged with earlier teacher-led lessons were now asking relevant questions and displaying a level of enthusiasm in their discussions. Survey responses coincide with this finding, with participants stating the following:</w:t>
      </w:r>
    </w:p>
    <w:p w14:paraId="0853E37E" w14:textId="77777777" w:rsidR="00804766" w:rsidRDefault="00804766" w:rsidP="00804766">
      <w:pPr>
        <w:spacing w:line="480" w:lineRule="auto"/>
        <w:jc w:val="both"/>
        <w:rPr>
          <w:rFonts w:asciiTheme="majorHAnsi" w:hAnsiTheme="majorHAnsi" w:cstheme="majorHAnsi"/>
          <w:sz w:val="22"/>
          <w:szCs w:val="22"/>
        </w:rPr>
      </w:pPr>
    </w:p>
    <w:p w14:paraId="154B1611" w14:textId="77777777" w:rsidR="00804766" w:rsidRDefault="00804766" w:rsidP="00804766">
      <w:pPr>
        <w:spacing w:line="480" w:lineRule="auto"/>
        <w:jc w:val="both"/>
        <w:rPr>
          <w:rFonts w:asciiTheme="majorHAnsi" w:hAnsiTheme="majorHAnsi" w:cstheme="majorHAnsi"/>
          <w:i/>
          <w:sz w:val="22"/>
          <w:szCs w:val="22"/>
        </w:rPr>
      </w:pPr>
      <w:r>
        <w:rPr>
          <w:rFonts w:asciiTheme="majorHAnsi" w:hAnsiTheme="majorHAnsi" w:cstheme="majorHAnsi"/>
          <w:sz w:val="22"/>
          <w:szCs w:val="22"/>
        </w:rPr>
        <w:tab/>
      </w:r>
      <w:r>
        <w:rPr>
          <w:rFonts w:asciiTheme="majorHAnsi" w:hAnsiTheme="majorHAnsi" w:cstheme="majorHAnsi"/>
          <w:i/>
          <w:sz w:val="22"/>
          <w:szCs w:val="22"/>
        </w:rPr>
        <w:t>“(VFTs should be used more in the classroom, because) I think that VFTs</w:t>
      </w:r>
    </w:p>
    <w:p w14:paraId="7C9A53FA" w14:textId="77777777" w:rsidR="00804766" w:rsidRDefault="00804766" w:rsidP="00804766">
      <w:pPr>
        <w:spacing w:line="480" w:lineRule="auto"/>
        <w:ind w:firstLine="720"/>
        <w:jc w:val="both"/>
        <w:rPr>
          <w:rFonts w:asciiTheme="majorHAnsi" w:hAnsiTheme="majorHAnsi" w:cstheme="majorHAnsi"/>
          <w:i/>
          <w:sz w:val="22"/>
          <w:szCs w:val="22"/>
        </w:rPr>
      </w:pPr>
      <w:r>
        <w:rPr>
          <w:rFonts w:asciiTheme="majorHAnsi" w:hAnsiTheme="majorHAnsi" w:cstheme="majorHAnsi"/>
          <w:i/>
          <w:sz w:val="22"/>
          <w:szCs w:val="22"/>
        </w:rPr>
        <w:t>would enhance the teaching and learning experience of all students…</w:t>
      </w:r>
    </w:p>
    <w:p w14:paraId="47949ACD" w14:textId="77777777" w:rsidR="00804766" w:rsidRDefault="00804766" w:rsidP="00804766">
      <w:pPr>
        <w:spacing w:line="480" w:lineRule="auto"/>
        <w:ind w:left="720"/>
        <w:jc w:val="both"/>
        <w:rPr>
          <w:rFonts w:asciiTheme="majorHAnsi" w:hAnsiTheme="majorHAnsi" w:cstheme="majorHAnsi"/>
          <w:i/>
          <w:sz w:val="22"/>
          <w:szCs w:val="22"/>
        </w:rPr>
      </w:pPr>
      <w:r>
        <w:rPr>
          <w:rFonts w:asciiTheme="majorHAnsi" w:hAnsiTheme="majorHAnsi" w:cstheme="majorHAnsi"/>
          <w:i/>
          <w:sz w:val="22"/>
          <w:szCs w:val="22"/>
        </w:rPr>
        <w:t>With regards to some subjects, for example History, I believe that VFTs</w:t>
      </w:r>
    </w:p>
    <w:p w14:paraId="2B03836A" w14:textId="77777777" w:rsidR="00804766" w:rsidRDefault="00804766" w:rsidP="00804766">
      <w:pPr>
        <w:spacing w:line="480" w:lineRule="auto"/>
        <w:ind w:left="720"/>
        <w:jc w:val="both"/>
        <w:rPr>
          <w:rFonts w:asciiTheme="majorHAnsi" w:hAnsiTheme="majorHAnsi" w:cstheme="majorHAnsi"/>
          <w:i/>
          <w:sz w:val="22"/>
          <w:szCs w:val="22"/>
        </w:rPr>
      </w:pPr>
      <w:r>
        <w:rPr>
          <w:rFonts w:asciiTheme="majorHAnsi" w:hAnsiTheme="majorHAnsi" w:cstheme="majorHAnsi"/>
          <w:i/>
          <w:sz w:val="22"/>
          <w:szCs w:val="22"/>
        </w:rPr>
        <w:t>would enhance their understanding of a past even which they could be</w:t>
      </w:r>
    </w:p>
    <w:p w14:paraId="40D54449" w14:textId="77777777" w:rsidR="00804766" w:rsidRDefault="00804766" w:rsidP="00804766">
      <w:pPr>
        <w:spacing w:line="480" w:lineRule="auto"/>
        <w:ind w:left="720"/>
        <w:jc w:val="both"/>
        <w:rPr>
          <w:rFonts w:asciiTheme="majorHAnsi" w:hAnsiTheme="majorHAnsi" w:cstheme="majorHAnsi"/>
          <w:sz w:val="22"/>
          <w:szCs w:val="22"/>
        </w:rPr>
      </w:pPr>
      <w:r>
        <w:rPr>
          <w:rFonts w:asciiTheme="majorHAnsi" w:hAnsiTheme="majorHAnsi" w:cstheme="majorHAnsi"/>
          <w:i/>
          <w:sz w:val="22"/>
          <w:szCs w:val="22"/>
        </w:rPr>
        <w:t>a part of using VFTs i.e. WW2</w:t>
      </w:r>
      <w:r>
        <w:rPr>
          <w:rFonts w:asciiTheme="majorHAnsi" w:hAnsiTheme="majorHAnsi" w:cstheme="majorHAnsi"/>
          <w:sz w:val="22"/>
          <w:szCs w:val="22"/>
        </w:rPr>
        <w:t xml:space="preserve">” </w:t>
      </w:r>
      <w:r w:rsidRPr="008D41CE">
        <w:rPr>
          <w:rFonts w:asciiTheme="majorHAnsi" w:hAnsiTheme="majorHAnsi" w:cstheme="majorHAnsi"/>
          <w:b/>
          <w:sz w:val="22"/>
          <w:szCs w:val="22"/>
        </w:rPr>
        <w:t>(SURVEY2)</w:t>
      </w:r>
    </w:p>
    <w:p w14:paraId="12F98EBC" w14:textId="4FE2448F" w:rsidR="00804766" w:rsidRDefault="00804766" w:rsidP="00804766">
      <w:pPr>
        <w:spacing w:line="480" w:lineRule="auto"/>
        <w:jc w:val="both"/>
        <w:rPr>
          <w:rFonts w:asciiTheme="majorHAnsi" w:hAnsiTheme="majorHAnsi" w:cstheme="majorHAnsi"/>
          <w:sz w:val="22"/>
          <w:szCs w:val="22"/>
        </w:rPr>
      </w:pPr>
      <w:r>
        <w:rPr>
          <w:rFonts w:asciiTheme="majorHAnsi" w:hAnsiTheme="majorHAnsi" w:cstheme="majorHAnsi"/>
          <w:sz w:val="22"/>
          <w:szCs w:val="22"/>
        </w:rPr>
        <w:lastRenderedPageBreak/>
        <w:t>This idea supports the earlier workings of Shayghnessy and Haladyna (1985) who believed that learners would express greater interests in their education if they had access to a range of visual, interactive and engaging stimuli that would allow for them to develop their higher-order thinking skills, researching where and why particular events happened instead of learning solely about the time in which it happened. The suggestion made by survey participant SURVEY2 further supports the view, as it is reported there is a perception that social studies subjects such as history are often irrelevant to learners and their current lives. The use of VFTs, however, would allow for a deeper understanding and a further meaning-maki</w:t>
      </w:r>
      <w:r w:rsidR="006F4F4E">
        <w:rPr>
          <w:rFonts w:asciiTheme="majorHAnsi" w:hAnsiTheme="majorHAnsi" w:cstheme="majorHAnsi"/>
          <w:sz w:val="22"/>
          <w:szCs w:val="22"/>
        </w:rPr>
        <w:t>ng of what is being learnt (Brown, 1999).</w:t>
      </w:r>
    </w:p>
    <w:p w14:paraId="0AE56B96" w14:textId="5FE217AA" w:rsidR="00804766" w:rsidRDefault="00804766" w:rsidP="00804766">
      <w:pPr>
        <w:spacing w:line="480" w:lineRule="auto"/>
        <w:ind w:firstLine="720"/>
        <w:jc w:val="both"/>
        <w:rPr>
          <w:rFonts w:asciiTheme="majorHAnsi" w:hAnsiTheme="majorHAnsi" w:cstheme="majorHAnsi"/>
          <w:sz w:val="22"/>
          <w:szCs w:val="22"/>
        </w:rPr>
      </w:pPr>
      <w:r>
        <w:rPr>
          <w:rFonts w:asciiTheme="majorHAnsi" w:hAnsiTheme="majorHAnsi" w:cstheme="majorHAnsi"/>
          <w:sz w:val="22"/>
          <w:szCs w:val="22"/>
        </w:rPr>
        <w:t xml:space="preserve">However, 17% of learners disagreed with the above view, stating that the use of the VFT did not inspire them to learn more about their current topic. </w:t>
      </w:r>
      <w:r w:rsidR="006F4F4E">
        <w:rPr>
          <w:rFonts w:asciiTheme="majorHAnsi" w:hAnsiTheme="majorHAnsi" w:cstheme="majorHAnsi"/>
          <w:sz w:val="22"/>
          <w:szCs w:val="22"/>
        </w:rPr>
        <w:t>One of the reasons given for this are as follows:</w:t>
      </w:r>
    </w:p>
    <w:p w14:paraId="76BDF218" w14:textId="77777777" w:rsidR="006F4F4E" w:rsidRDefault="006F4F4E" w:rsidP="006F4F4E">
      <w:pPr>
        <w:spacing w:line="480" w:lineRule="auto"/>
        <w:ind w:left="720"/>
        <w:jc w:val="both"/>
        <w:rPr>
          <w:rFonts w:asciiTheme="majorHAnsi" w:hAnsiTheme="majorHAnsi" w:cstheme="majorHAnsi"/>
          <w:i/>
          <w:sz w:val="22"/>
          <w:szCs w:val="22"/>
        </w:rPr>
      </w:pPr>
    </w:p>
    <w:p w14:paraId="3B4B3F44" w14:textId="417667B2" w:rsidR="006F4F4E" w:rsidRDefault="006F4F4E" w:rsidP="006F4F4E">
      <w:pPr>
        <w:spacing w:line="480" w:lineRule="auto"/>
        <w:ind w:left="720"/>
        <w:jc w:val="both"/>
        <w:rPr>
          <w:rFonts w:asciiTheme="majorHAnsi" w:hAnsiTheme="majorHAnsi" w:cstheme="majorHAnsi"/>
          <w:b/>
          <w:sz w:val="22"/>
          <w:szCs w:val="22"/>
        </w:rPr>
      </w:pPr>
      <w:r>
        <w:rPr>
          <w:rFonts w:asciiTheme="majorHAnsi" w:hAnsiTheme="majorHAnsi" w:cstheme="majorHAnsi"/>
          <w:i/>
          <w:sz w:val="22"/>
          <w:szCs w:val="22"/>
        </w:rPr>
        <w:t xml:space="preserve">“I don’t enjoy the topic. I’m just not interested.” </w:t>
      </w:r>
      <w:r>
        <w:rPr>
          <w:rFonts w:asciiTheme="majorHAnsi" w:hAnsiTheme="majorHAnsi" w:cstheme="majorHAnsi"/>
          <w:b/>
          <w:sz w:val="22"/>
          <w:szCs w:val="22"/>
        </w:rPr>
        <w:t>(OB3</w:t>
      </w:r>
      <w:r w:rsidRPr="00595CB1">
        <w:rPr>
          <w:rFonts w:asciiTheme="majorHAnsi" w:hAnsiTheme="majorHAnsi" w:cstheme="majorHAnsi"/>
          <w:b/>
          <w:sz w:val="22"/>
          <w:szCs w:val="22"/>
        </w:rPr>
        <w:t>)</w:t>
      </w:r>
    </w:p>
    <w:p w14:paraId="24BCB6CF" w14:textId="709805BC" w:rsidR="006F4F4E" w:rsidRDefault="006F4F4E" w:rsidP="006F4F4E">
      <w:pPr>
        <w:spacing w:line="480" w:lineRule="auto"/>
        <w:jc w:val="both"/>
        <w:rPr>
          <w:rFonts w:asciiTheme="majorHAnsi" w:hAnsiTheme="majorHAnsi" w:cstheme="majorHAnsi"/>
          <w:sz w:val="22"/>
          <w:szCs w:val="22"/>
        </w:rPr>
      </w:pPr>
    </w:p>
    <w:p w14:paraId="1320E4C7" w14:textId="404B6057" w:rsidR="006F4F4E" w:rsidRDefault="006F4F4E" w:rsidP="006F4F4E">
      <w:pPr>
        <w:spacing w:line="480" w:lineRule="auto"/>
        <w:jc w:val="both"/>
        <w:rPr>
          <w:rFonts w:asciiTheme="majorHAnsi" w:hAnsiTheme="majorHAnsi" w:cstheme="majorHAnsi"/>
          <w:sz w:val="22"/>
          <w:szCs w:val="22"/>
        </w:rPr>
      </w:pPr>
      <w:r>
        <w:rPr>
          <w:rFonts w:asciiTheme="majorHAnsi" w:hAnsiTheme="majorHAnsi" w:cstheme="majorHAnsi"/>
          <w:sz w:val="22"/>
          <w:szCs w:val="22"/>
        </w:rPr>
        <w:t>However, a reason for this could be that the learner had become passive to their participation of the VFT and had not yet exploited its benefits, as they also stated that:</w:t>
      </w:r>
    </w:p>
    <w:p w14:paraId="0A46151C" w14:textId="77777777" w:rsidR="006F4F4E" w:rsidRDefault="006F4F4E" w:rsidP="006F4F4E">
      <w:pPr>
        <w:spacing w:line="480" w:lineRule="auto"/>
        <w:ind w:left="720"/>
        <w:jc w:val="both"/>
        <w:rPr>
          <w:rFonts w:asciiTheme="majorHAnsi" w:hAnsiTheme="majorHAnsi" w:cstheme="majorHAnsi"/>
          <w:i/>
          <w:sz w:val="22"/>
          <w:szCs w:val="22"/>
        </w:rPr>
      </w:pPr>
    </w:p>
    <w:p w14:paraId="3891719A" w14:textId="77777777" w:rsidR="00F87E6D" w:rsidRDefault="006F4F4E" w:rsidP="006F4F4E">
      <w:pPr>
        <w:spacing w:line="480" w:lineRule="auto"/>
        <w:ind w:left="720"/>
        <w:jc w:val="both"/>
        <w:rPr>
          <w:rFonts w:asciiTheme="majorHAnsi" w:hAnsiTheme="majorHAnsi" w:cstheme="majorHAnsi"/>
          <w:i/>
          <w:sz w:val="22"/>
          <w:szCs w:val="22"/>
        </w:rPr>
      </w:pPr>
      <w:r>
        <w:rPr>
          <w:rFonts w:asciiTheme="majorHAnsi" w:hAnsiTheme="majorHAnsi" w:cstheme="majorHAnsi"/>
          <w:i/>
          <w:sz w:val="22"/>
          <w:szCs w:val="22"/>
        </w:rPr>
        <w:t>“(No) I do not think that if I had the opportunity to pa</w:t>
      </w:r>
      <w:r w:rsidR="00F87E6D">
        <w:rPr>
          <w:rFonts w:asciiTheme="majorHAnsi" w:hAnsiTheme="majorHAnsi" w:cstheme="majorHAnsi"/>
          <w:i/>
          <w:sz w:val="22"/>
          <w:szCs w:val="22"/>
        </w:rPr>
        <w:t>rticipate in more Virtual Field</w:t>
      </w:r>
    </w:p>
    <w:p w14:paraId="5854EFC7" w14:textId="3FF1C14D" w:rsidR="006F4F4E" w:rsidRDefault="006F4F4E" w:rsidP="006F4F4E">
      <w:pPr>
        <w:spacing w:line="480" w:lineRule="auto"/>
        <w:ind w:left="720"/>
        <w:jc w:val="both"/>
        <w:rPr>
          <w:rFonts w:asciiTheme="majorHAnsi" w:hAnsiTheme="majorHAnsi" w:cstheme="majorHAnsi"/>
          <w:b/>
          <w:sz w:val="22"/>
          <w:szCs w:val="22"/>
        </w:rPr>
      </w:pPr>
      <w:r>
        <w:rPr>
          <w:rFonts w:asciiTheme="majorHAnsi" w:hAnsiTheme="majorHAnsi" w:cstheme="majorHAnsi"/>
          <w:i/>
          <w:sz w:val="22"/>
          <w:szCs w:val="22"/>
        </w:rPr>
        <w:t xml:space="preserve">Trips it would help me with my school work, because) I would enjoy it more in real life.” </w:t>
      </w:r>
      <w:r>
        <w:rPr>
          <w:rFonts w:asciiTheme="majorHAnsi" w:hAnsiTheme="majorHAnsi" w:cstheme="majorHAnsi"/>
          <w:b/>
          <w:sz w:val="22"/>
          <w:szCs w:val="22"/>
        </w:rPr>
        <w:t>(OB3</w:t>
      </w:r>
      <w:r w:rsidRPr="00595CB1">
        <w:rPr>
          <w:rFonts w:asciiTheme="majorHAnsi" w:hAnsiTheme="majorHAnsi" w:cstheme="majorHAnsi"/>
          <w:b/>
          <w:sz w:val="22"/>
          <w:szCs w:val="22"/>
        </w:rPr>
        <w:t>)</w:t>
      </w:r>
    </w:p>
    <w:p w14:paraId="5B5DAD36" w14:textId="33CAE954" w:rsidR="006F4F4E" w:rsidRDefault="006F4F4E" w:rsidP="006F4F4E">
      <w:pPr>
        <w:spacing w:line="480" w:lineRule="auto"/>
        <w:ind w:left="720"/>
        <w:jc w:val="both"/>
        <w:rPr>
          <w:rFonts w:asciiTheme="majorHAnsi" w:hAnsiTheme="majorHAnsi" w:cstheme="majorHAnsi"/>
          <w:b/>
          <w:sz w:val="22"/>
          <w:szCs w:val="22"/>
        </w:rPr>
      </w:pPr>
    </w:p>
    <w:p w14:paraId="0A6606E6" w14:textId="7D9F274B" w:rsidR="006F4F4E" w:rsidRDefault="006F4F4E" w:rsidP="006F4F4E">
      <w:pPr>
        <w:spacing w:line="480" w:lineRule="auto"/>
        <w:jc w:val="both"/>
        <w:rPr>
          <w:rFonts w:asciiTheme="majorHAnsi" w:hAnsiTheme="majorHAnsi" w:cstheme="majorHAnsi"/>
          <w:sz w:val="22"/>
          <w:szCs w:val="22"/>
        </w:rPr>
      </w:pPr>
      <w:r>
        <w:rPr>
          <w:rFonts w:asciiTheme="majorHAnsi" w:hAnsiTheme="majorHAnsi" w:cstheme="majorHAnsi"/>
          <w:sz w:val="22"/>
          <w:szCs w:val="22"/>
        </w:rPr>
        <w:t xml:space="preserve">This could be an indicator that this participant simply felt as though they learnt more when immersed in a </w:t>
      </w:r>
      <w:proofErr w:type="gramStart"/>
      <w:r>
        <w:rPr>
          <w:rFonts w:asciiTheme="majorHAnsi" w:hAnsiTheme="majorHAnsi" w:cstheme="majorHAnsi"/>
          <w:sz w:val="22"/>
          <w:szCs w:val="22"/>
        </w:rPr>
        <w:t>real life</w:t>
      </w:r>
      <w:proofErr w:type="gramEnd"/>
      <w:r>
        <w:rPr>
          <w:rFonts w:asciiTheme="majorHAnsi" w:hAnsiTheme="majorHAnsi" w:cstheme="majorHAnsi"/>
          <w:sz w:val="22"/>
          <w:szCs w:val="22"/>
        </w:rPr>
        <w:t xml:space="preserve"> setting, such as a field trip, in which their senses would be stimulated and they felt that they had a more ‘hands-on’ approach.</w:t>
      </w:r>
      <w:r w:rsidR="00F87E6D">
        <w:rPr>
          <w:rFonts w:asciiTheme="majorHAnsi" w:hAnsiTheme="majorHAnsi" w:cstheme="majorHAnsi"/>
          <w:sz w:val="22"/>
          <w:szCs w:val="22"/>
        </w:rPr>
        <w:t xml:space="preserve"> Survey participants also commented on this idea that real-life opportunities would be more beneficial for learners, stating that:</w:t>
      </w:r>
    </w:p>
    <w:p w14:paraId="678E824F" w14:textId="77777777" w:rsidR="00F87E6D" w:rsidRDefault="00F87E6D" w:rsidP="00F87E6D">
      <w:pPr>
        <w:spacing w:line="480" w:lineRule="auto"/>
        <w:ind w:left="720"/>
        <w:jc w:val="both"/>
        <w:rPr>
          <w:rFonts w:asciiTheme="majorHAnsi" w:hAnsiTheme="majorHAnsi" w:cstheme="majorHAnsi"/>
          <w:i/>
          <w:sz w:val="22"/>
          <w:szCs w:val="22"/>
        </w:rPr>
      </w:pPr>
      <w:r>
        <w:rPr>
          <w:rFonts w:asciiTheme="majorHAnsi" w:hAnsiTheme="majorHAnsi" w:cstheme="majorHAnsi"/>
          <w:sz w:val="22"/>
          <w:szCs w:val="22"/>
        </w:rPr>
        <w:tab/>
      </w:r>
    </w:p>
    <w:p w14:paraId="76DBC262" w14:textId="77777777" w:rsidR="00F87E6D" w:rsidRDefault="00F87E6D" w:rsidP="00F87E6D">
      <w:pPr>
        <w:spacing w:line="480" w:lineRule="auto"/>
        <w:ind w:left="720"/>
        <w:jc w:val="both"/>
        <w:rPr>
          <w:rFonts w:asciiTheme="majorHAnsi" w:hAnsiTheme="majorHAnsi" w:cstheme="majorHAnsi"/>
          <w:i/>
          <w:sz w:val="22"/>
          <w:szCs w:val="22"/>
        </w:rPr>
      </w:pPr>
      <w:r>
        <w:rPr>
          <w:rFonts w:asciiTheme="majorHAnsi" w:hAnsiTheme="majorHAnsi" w:cstheme="majorHAnsi"/>
          <w:i/>
          <w:sz w:val="22"/>
          <w:szCs w:val="22"/>
        </w:rPr>
        <w:t>“…it could create a false sense of reality, and learners would not have the same</w:t>
      </w:r>
    </w:p>
    <w:p w14:paraId="7DA1EC3A" w14:textId="2DA6FAF0" w:rsidR="00F87E6D" w:rsidRDefault="00F87E6D" w:rsidP="00F87E6D">
      <w:pPr>
        <w:spacing w:line="480" w:lineRule="auto"/>
        <w:ind w:left="720"/>
        <w:jc w:val="both"/>
        <w:rPr>
          <w:rFonts w:asciiTheme="majorHAnsi" w:hAnsiTheme="majorHAnsi" w:cstheme="majorHAnsi"/>
          <w:i/>
          <w:sz w:val="22"/>
          <w:szCs w:val="22"/>
        </w:rPr>
      </w:pPr>
      <w:r>
        <w:rPr>
          <w:rFonts w:asciiTheme="majorHAnsi" w:hAnsiTheme="majorHAnsi" w:cstheme="majorHAnsi"/>
          <w:i/>
          <w:sz w:val="22"/>
          <w:szCs w:val="22"/>
        </w:rPr>
        <w:t>experience as the real-world version. I would also consider the negative impact</w:t>
      </w:r>
    </w:p>
    <w:p w14:paraId="6616BC5B" w14:textId="77777777" w:rsidR="00F87E6D" w:rsidRDefault="00F87E6D" w:rsidP="00F87E6D">
      <w:pPr>
        <w:spacing w:line="480" w:lineRule="auto"/>
        <w:ind w:left="720"/>
        <w:jc w:val="both"/>
        <w:rPr>
          <w:rFonts w:asciiTheme="majorHAnsi" w:hAnsiTheme="majorHAnsi" w:cstheme="majorHAnsi"/>
          <w:i/>
          <w:sz w:val="22"/>
          <w:szCs w:val="22"/>
        </w:rPr>
      </w:pPr>
      <w:r>
        <w:rPr>
          <w:rFonts w:asciiTheme="majorHAnsi" w:hAnsiTheme="majorHAnsi" w:cstheme="majorHAnsi"/>
          <w:i/>
          <w:sz w:val="22"/>
          <w:szCs w:val="22"/>
        </w:rPr>
        <w:t>on learning of too much technology being used in substitution of traditional</w:t>
      </w:r>
    </w:p>
    <w:p w14:paraId="4C44ED9C" w14:textId="3A90F513" w:rsidR="00F87E6D" w:rsidRPr="00F87E6D" w:rsidRDefault="00F87E6D" w:rsidP="00F87E6D">
      <w:pPr>
        <w:spacing w:line="480" w:lineRule="auto"/>
        <w:ind w:left="720"/>
        <w:jc w:val="both"/>
        <w:rPr>
          <w:rFonts w:asciiTheme="majorHAnsi" w:hAnsiTheme="majorHAnsi" w:cstheme="majorHAnsi"/>
          <w:i/>
          <w:sz w:val="22"/>
          <w:szCs w:val="22"/>
        </w:rPr>
      </w:pPr>
      <w:r>
        <w:rPr>
          <w:rFonts w:asciiTheme="majorHAnsi" w:hAnsiTheme="majorHAnsi" w:cstheme="majorHAnsi"/>
          <w:i/>
          <w:sz w:val="22"/>
          <w:szCs w:val="22"/>
        </w:rPr>
        <w:t xml:space="preserve">teaching methods...” </w:t>
      </w:r>
      <w:r>
        <w:rPr>
          <w:rFonts w:asciiTheme="majorHAnsi" w:hAnsiTheme="majorHAnsi" w:cstheme="majorHAnsi"/>
          <w:b/>
          <w:sz w:val="22"/>
          <w:szCs w:val="22"/>
        </w:rPr>
        <w:t>(SURVEY2</w:t>
      </w:r>
      <w:r w:rsidRPr="00595CB1">
        <w:rPr>
          <w:rFonts w:asciiTheme="majorHAnsi" w:hAnsiTheme="majorHAnsi" w:cstheme="majorHAnsi"/>
          <w:b/>
          <w:sz w:val="22"/>
          <w:szCs w:val="22"/>
        </w:rPr>
        <w:t>)</w:t>
      </w:r>
    </w:p>
    <w:p w14:paraId="0B5C4C19" w14:textId="7600A7DB" w:rsidR="00F87E6D" w:rsidRDefault="00F87E6D" w:rsidP="00F87E6D">
      <w:pPr>
        <w:spacing w:line="480" w:lineRule="auto"/>
        <w:jc w:val="both"/>
        <w:rPr>
          <w:rFonts w:asciiTheme="majorHAnsi" w:hAnsiTheme="majorHAnsi" w:cstheme="majorHAnsi"/>
          <w:i/>
          <w:sz w:val="22"/>
          <w:szCs w:val="22"/>
        </w:rPr>
      </w:pPr>
    </w:p>
    <w:p w14:paraId="12346D54" w14:textId="0B1FAF78" w:rsidR="00F87E6D" w:rsidRPr="00F87E6D" w:rsidRDefault="00F87E6D" w:rsidP="00F87E6D">
      <w:pPr>
        <w:spacing w:line="480" w:lineRule="auto"/>
        <w:jc w:val="both"/>
        <w:rPr>
          <w:rFonts w:asciiTheme="majorHAnsi" w:hAnsiTheme="majorHAnsi" w:cstheme="majorHAnsi"/>
          <w:sz w:val="22"/>
          <w:szCs w:val="22"/>
        </w:rPr>
      </w:pPr>
      <w:r w:rsidRPr="00F87E6D">
        <w:rPr>
          <w:rFonts w:asciiTheme="majorHAnsi" w:hAnsiTheme="majorHAnsi" w:cstheme="majorHAnsi"/>
          <w:sz w:val="22"/>
          <w:szCs w:val="22"/>
        </w:rPr>
        <w:t>and</w:t>
      </w:r>
    </w:p>
    <w:p w14:paraId="1844041D" w14:textId="77777777" w:rsidR="00F87E6D" w:rsidRDefault="00F87E6D" w:rsidP="00F87E6D">
      <w:pPr>
        <w:spacing w:line="480" w:lineRule="auto"/>
        <w:ind w:left="720"/>
        <w:jc w:val="both"/>
        <w:rPr>
          <w:rFonts w:asciiTheme="majorHAnsi" w:hAnsiTheme="majorHAnsi" w:cstheme="majorHAnsi"/>
          <w:i/>
          <w:sz w:val="22"/>
          <w:szCs w:val="22"/>
        </w:rPr>
      </w:pPr>
      <w:r>
        <w:rPr>
          <w:rFonts w:asciiTheme="majorHAnsi" w:hAnsiTheme="majorHAnsi" w:cstheme="majorHAnsi"/>
          <w:i/>
          <w:sz w:val="22"/>
          <w:szCs w:val="22"/>
        </w:rPr>
        <w:lastRenderedPageBreak/>
        <w:t>“I don’t think that they will be able to completely replace field trips, which will</w:t>
      </w:r>
    </w:p>
    <w:p w14:paraId="62AF313C" w14:textId="4DE9AAA3" w:rsidR="00F87E6D" w:rsidRPr="00F87E6D" w:rsidRDefault="00F87E6D" w:rsidP="00F87E6D">
      <w:pPr>
        <w:spacing w:line="480" w:lineRule="auto"/>
        <w:ind w:left="720"/>
        <w:jc w:val="both"/>
        <w:rPr>
          <w:rFonts w:asciiTheme="majorHAnsi" w:hAnsiTheme="majorHAnsi" w:cstheme="majorHAnsi"/>
          <w:i/>
          <w:sz w:val="22"/>
          <w:szCs w:val="22"/>
        </w:rPr>
      </w:pPr>
      <w:r>
        <w:rPr>
          <w:rFonts w:asciiTheme="majorHAnsi" w:hAnsiTheme="majorHAnsi" w:cstheme="majorHAnsi"/>
          <w:i/>
          <w:sz w:val="22"/>
          <w:szCs w:val="22"/>
        </w:rPr>
        <w:t xml:space="preserve">still leave some children at a disadvantage…’ </w:t>
      </w:r>
      <w:r>
        <w:rPr>
          <w:rFonts w:asciiTheme="majorHAnsi" w:hAnsiTheme="majorHAnsi" w:cstheme="majorHAnsi"/>
          <w:b/>
          <w:sz w:val="22"/>
          <w:szCs w:val="22"/>
        </w:rPr>
        <w:t>(SURVEY5</w:t>
      </w:r>
      <w:r w:rsidRPr="00595CB1">
        <w:rPr>
          <w:rFonts w:asciiTheme="majorHAnsi" w:hAnsiTheme="majorHAnsi" w:cstheme="majorHAnsi"/>
          <w:b/>
          <w:sz w:val="22"/>
          <w:szCs w:val="22"/>
        </w:rPr>
        <w:t>)</w:t>
      </w:r>
    </w:p>
    <w:p w14:paraId="5DB357D0" w14:textId="4FB9E4AA" w:rsidR="00F87E6D" w:rsidRDefault="00F87E6D" w:rsidP="006F4F4E">
      <w:pPr>
        <w:spacing w:line="480" w:lineRule="auto"/>
        <w:jc w:val="both"/>
        <w:rPr>
          <w:rFonts w:asciiTheme="majorHAnsi" w:hAnsiTheme="majorHAnsi" w:cstheme="majorHAnsi"/>
          <w:sz w:val="22"/>
          <w:szCs w:val="22"/>
        </w:rPr>
      </w:pPr>
    </w:p>
    <w:p w14:paraId="2986243B" w14:textId="286307B9" w:rsidR="00F87E6D" w:rsidRDefault="00F87E6D" w:rsidP="006F4F4E">
      <w:pPr>
        <w:spacing w:line="480" w:lineRule="auto"/>
        <w:jc w:val="both"/>
        <w:rPr>
          <w:rFonts w:asciiTheme="majorHAnsi" w:hAnsiTheme="majorHAnsi" w:cstheme="majorHAnsi"/>
          <w:sz w:val="22"/>
          <w:szCs w:val="22"/>
        </w:rPr>
      </w:pPr>
      <w:r>
        <w:rPr>
          <w:rFonts w:asciiTheme="majorHAnsi" w:hAnsiTheme="majorHAnsi" w:cstheme="majorHAnsi"/>
          <w:sz w:val="22"/>
          <w:szCs w:val="22"/>
        </w:rPr>
        <w:t>However, this participant went on to say that:</w:t>
      </w:r>
    </w:p>
    <w:p w14:paraId="01C3C0E2" w14:textId="77777777" w:rsidR="00F87E6D" w:rsidRDefault="00F87E6D" w:rsidP="00F87E6D">
      <w:pPr>
        <w:spacing w:line="480" w:lineRule="auto"/>
        <w:ind w:left="720"/>
        <w:jc w:val="both"/>
        <w:rPr>
          <w:rFonts w:asciiTheme="majorHAnsi" w:hAnsiTheme="majorHAnsi" w:cstheme="majorHAnsi"/>
          <w:i/>
          <w:sz w:val="22"/>
          <w:szCs w:val="22"/>
        </w:rPr>
      </w:pPr>
    </w:p>
    <w:p w14:paraId="74B13F44" w14:textId="77777777" w:rsidR="00F87E6D" w:rsidRDefault="00F87E6D" w:rsidP="00F87E6D">
      <w:pPr>
        <w:spacing w:line="480" w:lineRule="auto"/>
        <w:ind w:left="720"/>
        <w:jc w:val="both"/>
        <w:rPr>
          <w:rFonts w:asciiTheme="majorHAnsi" w:hAnsiTheme="majorHAnsi" w:cstheme="majorHAnsi"/>
          <w:i/>
          <w:sz w:val="22"/>
          <w:szCs w:val="22"/>
        </w:rPr>
      </w:pPr>
      <w:r>
        <w:rPr>
          <w:rFonts w:asciiTheme="majorHAnsi" w:hAnsiTheme="majorHAnsi" w:cstheme="majorHAnsi"/>
          <w:i/>
          <w:sz w:val="22"/>
          <w:szCs w:val="22"/>
        </w:rPr>
        <w:t>“I do believe that it is a good way to include all students and allow them to</w:t>
      </w:r>
    </w:p>
    <w:p w14:paraId="297E9229" w14:textId="000FAECB" w:rsidR="00F87E6D" w:rsidRDefault="00F87E6D" w:rsidP="00F87E6D">
      <w:pPr>
        <w:spacing w:line="480" w:lineRule="auto"/>
        <w:ind w:left="720"/>
        <w:jc w:val="both"/>
        <w:rPr>
          <w:rFonts w:asciiTheme="majorHAnsi" w:hAnsiTheme="majorHAnsi" w:cstheme="majorHAnsi"/>
          <w:b/>
          <w:i/>
          <w:sz w:val="22"/>
          <w:szCs w:val="22"/>
        </w:rPr>
      </w:pPr>
      <w:r>
        <w:rPr>
          <w:rFonts w:asciiTheme="majorHAnsi" w:hAnsiTheme="majorHAnsi" w:cstheme="majorHAnsi"/>
          <w:i/>
          <w:sz w:val="22"/>
          <w:szCs w:val="22"/>
        </w:rPr>
        <w:t xml:space="preserve">all have the same experiences.” </w:t>
      </w:r>
      <w:r>
        <w:rPr>
          <w:rFonts w:asciiTheme="majorHAnsi" w:hAnsiTheme="majorHAnsi" w:cstheme="majorHAnsi"/>
          <w:b/>
          <w:sz w:val="22"/>
          <w:szCs w:val="22"/>
        </w:rPr>
        <w:t>(SURVEY5</w:t>
      </w:r>
      <w:r w:rsidRPr="00595CB1">
        <w:rPr>
          <w:rFonts w:asciiTheme="majorHAnsi" w:hAnsiTheme="majorHAnsi" w:cstheme="majorHAnsi"/>
          <w:b/>
          <w:sz w:val="22"/>
          <w:szCs w:val="22"/>
        </w:rPr>
        <w:t>)</w:t>
      </w:r>
    </w:p>
    <w:p w14:paraId="2783AE55" w14:textId="77777777" w:rsidR="00F87E6D" w:rsidRPr="006F4F4E" w:rsidRDefault="00F87E6D" w:rsidP="006F4F4E">
      <w:pPr>
        <w:spacing w:line="480" w:lineRule="auto"/>
        <w:jc w:val="both"/>
        <w:rPr>
          <w:rFonts w:asciiTheme="majorHAnsi" w:hAnsiTheme="majorHAnsi" w:cstheme="majorHAnsi"/>
          <w:sz w:val="22"/>
          <w:szCs w:val="22"/>
        </w:rPr>
      </w:pPr>
    </w:p>
    <w:p w14:paraId="1E5D1031" w14:textId="2831D5C5" w:rsidR="00804766" w:rsidRDefault="00804766" w:rsidP="00804766">
      <w:pPr>
        <w:spacing w:line="480" w:lineRule="auto"/>
        <w:jc w:val="both"/>
        <w:rPr>
          <w:rFonts w:asciiTheme="majorHAnsi" w:hAnsiTheme="majorHAnsi" w:cstheme="majorHAnsi"/>
          <w:sz w:val="22"/>
          <w:szCs w:val="22"/>
        </w:rPr>
      </w:pPr>
      <w:r>
        <w:rPr>
          <w:rFonts w:asciiTheme="majorHAnsi" w:hAnsiTheme="majorHAnsi" w:cstheme="majorHAnsi"/>
          <w:sz w:val="22"/>
          <w:szCs w:val="22"/>
        </w:rPr>
        <w:tab/>
        <w:t xml:space="preserve">90% of learners overall felt that when taking their usual lessons into account, they now felt more invested in their learning; just 3 participants felt as though they were not </w:t>
      </w:r>
      <w:r w:rsidR="00F87E6D">
        <w:rPr>
          <w:rFonts w:asciiTheme="majorHAnsi" w:hAnsiTheme="majorHAnsi" w:cstheme="majorHAnsi"/>
          <w:sz w:val="22"/>
          <w:szCs w:val="22"/>
        </w:rPr>
        <w:t xml:space="preserve">more invested. 100% of survey participants reported that they thought the use of VFTs could have enhanced their learning whilst in compulsory education, and </w:t>
      </w:r>
      <w:r w:rsidR="009170BB">
        <w:rPr>
          <w:rFonts w:asciiTheme="majorHAnsi" w:hAnsiTheme="majorHAnsi" w:cstheme="majorHAnsi"/>
          <w:sz w:val="22"/>
          <w:szCs w:val="22"/>
        </w:rPr>
        <w:t>that they thought VFTs should be used more in the classroom. Reasons given for this included, but were not limited to:</w:t>
      </w:r>
    </w:p>
    <w:p w14:paraId="061C1D0E" w14:textId="77777777" w:rsidR="009170BB" w:rsidRDefault="009170BB" w:rsidP="009170BB">
      <w:pPr>
        <w:spacing w:line="480" w:lineRule="auto"/>
        <w:ind w:left="720"/>
        <w:jc w:val="both"/>
        <w:rPr>
          <w:rFonts w:asciiTheme="majorHAnsi" w:hAnsiTheme="majorHAnsi" w:cstheme="majorHAnsi"/>
          <w:i/>
          <w:sz w:val="22"/>
          <w:szCs w:val="22"/>
        </w:rPr>
      </w:pPr>
    </w:p>
    <w:p w14:paraId="4A263597" w14:textId="77777777" w:rsidR="009170BB" w:rsidRDefault="009170BB" w:rsidP="009170BB">
      <w:pPr>
        <w:spacing w:line="480" w:lineRule="auto"/>
        <w:ind w:left="720"/>
        <w:jc w:val="both"/>
        <w:rPr>
          <w:rFonts w:asciiTheme="majorHAnsi" w:hAnsiTheme="majorHAnsi" w:cstheme="majorHAnsi"/>
          <w:i/>
          <w:sz w:val="22"/>
          <w:szCs w:val="22"/>
        </w:rPr>
      </w:pPr>
      <w:r>
        <w:rPr>
          <w:rFonts w:asciiTheme="majorHAnsi" w:hAnsiTheme="majorHAnsi" w:cstheme="majorHAnsi"/>
          <w:i/>
          <w:sz w:val="22"/>
          <w:szCs w:val="22"/>
        </w:rPr>
        <w:t>“…this way of experiencing a field trip would not alienate certain individuals</w:t>
      </w:r>
    </w:p>
    <w:p w14:paraId="6BE8AAC6" w14:textId="77777777" w:rsidR="009170BB" w:rsidRDefault="009170BB" w:rsidP="009170BB">
      <w:pPr>
        <w:spacing w:line="480" w:lineRule="auto"/>
        <w:ind w:left="720"/>
        <w:jc w:val="both"/>
        <w:rPr>
          <w:rFonts w:asciiTheme="majorHAnsi" w:hAnsiTheme="majorHAnsi" w:cstheme="majorHAnsi"/>
          <w:i/>
          <w:sz w:val="22"/>
          <w:szCs w:val="22"/>
        </w:rPr>
      </w:pPr>
      <w:r>
        <w:rPr>
          <w:rFonts w:asciiTheme="majorHAnsi" w:hAnsiTheme="majorHAnsi" w:cstheme="majorHAnsi"/>
          <w:i/>
          <w:sz w:val="22"/>
          <w:szCs w:val="22"/>
        </w:rPr>
        <w:t>who may not be able to have the same experience if they could not attend an</w:t>
      </w:r>
    </w:p>
    <w:p w14:paraId="51AE37D5" w14:textId="57EC6ECE" w:rsidR="009170BB" w:rsidRDefault="009170BB" w:rsidP="009170BB">
      <w:pPr>
        <w:spacing w:line="480" w:lineRule="auto"/>
        <w:ind w:left="720"/>
        <w:jc w:val="both"/>
        <w:rPr>
          <w:rFonts w:asciiTheme="majorHAnsi" w:hAnsiTheme="majorHAnsi" w:cstheme="majorHAnsi"/>
          <w:b/>
          <w:sz w:val="22"/>
          <w:szCs w:val="22"/>
        </w:rPr>
      </w:pPr>
      <w:r>
        <w:rPr>
          <w:rFonts w:asciiTheme="majorHAnsi" w:hAnsiTheme="majorHAnsi" w:cstheme="majorHAnsi"/>
          <w:i/>
          <w:sz w:val="22"/>
          <w:szCs w:val="22"/>
        </w:rPr>
        <w:t xml:space="preserve">actual field trip” </w:t>
      </w:r>
      <w:r>
        <w:rPr>
          <w:rFonts w:asciiTheme="majorHAnsi" w:hAnsiTheme="majorHAnsi" w:cstheme="majorHAnsi"/>
          <w:b/>
          <w:sz w:val="22"/>
          <w:szCs w:val="22"/>
        </w:rPr>
        <w:t>(SURVEY2</w:t>
      </w:r>
      <w:r w:rsidRPr="00595CB1">
        <w:rPr>
          <w:rFonts w:asciiTheme="majorHAnsi" w:hAnsiTheme="majorHAnsi" w:cstheme="majorHAnsi"/>
          <w:b/>
          <w:sz w:val="22"/>
          <w:szCs w:val="22"/>
        </w:rPr>
        <w:t>)</w:t>
      </w:r>
    </w:p>
    <w:p w14:paraId="394FA99D" w14:textId="77777777" w:rsidR="009170BB" w:rsidRDefault="009170BB" w:rsidP="009170BB">
      <w:pPr>
        <w:spacing w:line="480" w:lineRule="auto"/>
        <w:ind w:left="720"/>
        <w:jc w:val="both"/>
        <w:rPr>
          <w:rFonts w:asciiTheme="majorHAnsi" w:hAnsiTheme="majorHAnsi" w:cstheme="majorHAnsi"/>
          <w:i/>
          <w:sz w:val="22"/>
          <w:szCs w:val="22"/>
        </w:rPr>
      </w:pPr>
    </w:p>
    <w:p w14:paraId="52ACF319" w14:textId="77777777" w:rsidR="009170BB" w:rsidRDefault="009170BB" w:rsidP="009170BB">
      <w:pPr>
        <w:spacing w:line="480" w:lineRule="auto"/>
        <w:ind w:left="720"/>
        <w:jc w:val="both"/>
        <w:rPr>
          <w:rFonts w:asciiTheme="majorHAnsi" w:hAnsiTheme="majorHAnsi" w:cstheme="majorHAnsi"/>
          <w:i/>
          <w:sz w:val="22"/>
          <w:szCs w:val="22"/>
        </w:rPr>
      </w:pPr>
      <w:r>
        <w:rPr>
          <w:rFonts w:asciiTheme="majorHAnsi" w:hAnsiTheme="majorHAnsi" w:cstheme="majorHAnsi"/>
          <w:i/>
          <w:sz w:val="22"/>
          <w:szCs w:val="22"/>
        </w:rPr>
        <w:t>“It gives endless opportunities of discovery to children within the classroom”</w:t>
      </w:r>
    </w:p>
    <w:p w14:paraId="5BB57705" w14:textId="438B815B" w:rsidR="009170BB" w:rsidRDefault="009170BB" w:rsidP="009170BB">
      <w:pPr>
        <w:spacing w:line="480" w:lineRule="auto"/>
        <w:ind w:left="720"/>
        <w:jc w:val="both"/>
        <w:rPr>
          <w:rFonts w:asciiTheme="majorHAnsi" w:hAnsiTheme="majorHAnsi" w:cstheme="majorHAnsi"/>
          <w:b/>
          <w:i/>
          <w:sz w:val="22"/>
          <w:szCs w:val="22"/>
        </w:rPr>
      </w:pPr>
      <w:r>
        <w:rPr>
          <w:rFonts w:asciiTheme="majorHAnsi" w:hAnsiTheme="majorHAnsi" w:cstheme="majorHAnsi"/>
          <w:b/>
          <w:sz w:val="22"/>
          <w:szCs w:val="22"/>
        </w:rPr>
        <w:t>(SURVEY4</w:t>
      </w:r>
      <w:r w:rsidRPr="00595CB1">
        <w:rPr>
          <w:rFonts w:asciiTheme="majorHAnsi" w:hAnsiTheme="majorHAnsi" w:cstheme="majorHAnsi"/>
          <w:b/>
          <w:sz w:val="22"/>
          <w:szCs w:val="22"/>
        </w:rPr>
        <w:t>)</w:t>
      </w:r>
    </w:p>
    <w:p w14:paraId="2463BEDD" w14:textId="59EE692F" w:rsidR="009170BB" w:rsidRDefault="009170BB" w:rsidP="009170BB">
      <w:pPr>
        <w:spacing w:line="480" w:lineRule="auto"/>
        <w:ind w:left="720"/>
        <w:jc w:val="both"/>
        <w:rPr>
          <w:rFonts w:asciiTheme="majorHAnsi" w:hAnsiTheme="majorHAnsi" w:cstheme="majorHAnsi"/>
          <w:b/>
          <w:i/>
          <w:sz w:val="22"/>
          <w:szCs w:val="22"/>
        </w:rPr>
      </w:pPr>
    </w:p>
    <w:p w14:paraId="2A4603D8" w14:textId="2E2BCF5E" w:rsidR="009170BB" w:rsidRPr="009170BB" w:rsidRDefault="009170BB" w:rsidP="009170BB">
      <w:pPr>
        <w:spacing w:line="480" w:lineRule="auto"/>
        <w:jc w:val="both"/>
        <w:rPr>
          <w:rFonts w:asciiTheme="majorHAnsi" w:hAnsiTheme="majorHAnsi" w:cstheme="majorHAnsi"/>
          <w:sz w:val="22"/>
          <w:szCs w:val="22"/>
        </w:rPr>
      </w:pPr>
      <w:r>
        <w:rPr>
          <w:rFonts w:asciiTheme="majorHAnsi" w:hAnsiTheme="majorHAnsi" w:cstheme="majorHAnsi"/>
          <w:sz w:val="22"/>
          <w:szCs w:val="22"/>
        </w:rPr>
        <w:t>and</w:t>
      </w:r>
    </w:p>
    <w:p w14:paraId="4F729675" w14:textId="77777777" w:rsidR="009170BB" w:rsidRDefault="009170BB" w:rsidP="009170BB">
      <w:pPr>
        <w:spacing w:line="480" w:lineRule="auto"/>
        <w:ind w:left="720"/>
        <w:jc w:val="both"/>
        <w:rPr>
          <w:rFonts w:asciiTheme="majorHAnsi" w:hAnsiTheme="majorHAnsi" w:cstheme="majorHAnsi"/>
          <w:b/>
          <w:i/>
          <w:sz w:val="22"/>
          <w:szCs w:val="22"/>
        </w:rPr>
      </w:pPr>
    </w:p>
    <w:p w14:paraId="6CD33CA3" w14:textId="77777777" w:rsidR="009170BB" w:rsidRDefault="009170BB" w:rsidP="009170BB">
      <w:pPr>
        <w:spacing w:line="480" w:lineRule="auto"/>
        <w:ind w:left="720"/>
        <w:jc w:val="both"/>
        <w:rPr>
          <w:rFonts w:asciiTheme="majorHAnsi" w:hAnsiTheme="majorHAnsi" w:cstheme="majorHAnsi"/>
          <w:i/>
          <w:sz w:val="22"/>
          <w:szCs w:val="22"/>
        </w:rPr>
      </w:pPr>
      <w:r>
        <w:rPr>
          <w:rFonts w:asciiTheme="majorHAnsi" w:hAnsiTheme="majorHAnsi" w:cstheme="majorHAnsi"/>
          <w:i/>
          <w:sz w:val="22"/>
          <w:szCs w:val="22"/>
        </w:rPr>
        <w:t xml:space="preserve"> “…this would definitely be beneficial, especially in religious education. There are</w:t>
      </w:r>
    </w:p>
    <w:p w14:paraId="04342F36" w14:textId="77777777" w:rsidR="009170BB" w:rsidRDefault="009170BB" w:rsidP="009170BB">
      <w:pPr>
        <w:spacing w:line="480" w:lineRule="auto"/>
        <w:ind w:left="720"/>
        <w:jc w:val="both"/>
        <w:rPr>
          <w:rFonts w:asciiTheme="majorHAnsi" w:hAnsiTheme="majorHAnsi" w:cstheme="majorHAnsi"/>
          <w:i/>
          <w:sz w:val="22"/>
          <w:szCs w:val="22"/>
        </w:rPr>
      </w:pPr>
      <w:r>
        <w:rPr>
          <w:rFonts w:asciiTheme="majorHAnsi" w:hAnsiTheme="majorHAnsi" w:cstheme="majorHAnsi"/>
          <w:i/>
          <w:sz w:val="22"/>
          <w:szCs w:val="22"/>
        </w:rPr>
        <w:t>so many religious places and places of pilgrimage which could be interesting and</w:t>
      </w:r>
    </w:p>
    <w:p w14:paraId="2F15EDB9" w14:textId="77777777" w:rsidR="009170BB" w:rsidRDefault="009170BB" w:rsidP="009170BB">
      <w:pPr>
        <w:spacing w:line="480" w:lineRule="auto"/>
        <w:ind w:left="720"/>
        <w:jc w:val="both"/>
        <w:rPr>
          <w:rFonts w:asciiTheme="majorHAnsi" w:hAnsiTheme="majorHAnsi" w:cstheme="majorHAnsi"/>
          <w:i/>
          <w:sz w:val="22"/>
          <w:szCs w:val="22"/>
        </w:rPr>
      </w:pPr>
      <w:r>
        <w:rPr>
          <w:rFonts w:asciiTheme="majorHAnsi" w:hAnsiTheme="majorHAnsi" w:cstheme="majorHAnsi"/>
          <w:i/>
          <w:sz w:val="22"/>
          <w:szCs w:val="22"/>
        </w:rPr>
        <w:t>helpful to a child’s education, which are inaccessible. Not only that but it</w:t>
      </w:r>
    </w:p>
    <w:p w14:paraId="1AE2B3E5" w14:textId="7A55509C" w:rsidR="009170BB" w:rsidRPr="008A7D8C" w:rsidRDefault="009170BB" w:rsidP="009170BB">
      <w:pPr>
        <w:spacing w:line="480" w:lineRule="auto"/>
        <w:ind w:left="720"/>
        <w:jc w:val="both"/>
        <w:rPr>
          <w:rFonts w:asciiTheme="majorHAnsi" w:hAnsiTheme="majorHAnsi" w:cstheme="majorHAnsi"/>
          <w:sz w:val="22"/>
          <w:szCs w:val="22"/>
        </w:rPr>
      </w:pPr>
      <w:r>
        <w:rPr>
          <w:rFonts w:asciiTheme="majorHAnsi" w:hAnsiTheme="majorHAnsi" w:cstheme="majorHAnsi"/>
          <w:i/>
          <w:sz w:val="22"/>
          <w:szCs w:val="22"/>
        </w:rPr>
        <w:t xml:space="preserve">gives all children the same opportunities.” </w:t>
      </w:r>
      <w:r>
        <w:rPr>
          <w:rFonts w:asciiTheme="majorHAnsi" w:hAnsiTheme="majorHAnsi" w:cstheme="majorHAnsi"/>
          <w:b/>
          <w:sz w:val="22"/>
          <w:szCs w:val="22"/>
        </w:rPr>
        <w:t>(SURVEY5</w:t>
      </w:r>
      <w:r w:rsidRPr="00595CB1">
        <w:rPr>
          <w:rFonts w:asciiTheme="majorHAnsi" w:hAnsiTheme="majorHAnsi" w:cstheme="majorHAnsi"/>
          <w:b/>
          <w:sz w:val="22"/>
          <w:szCs w:val="22"/>
        </w:rPr>
        <w:t>)</w:t>
      </w:r>
      <w:r w:rsidRPr="008A7D8C">
        <w:rPr>
          <w:rFonts w:asciiTheme="majorHAnsi" w:hAnsiTheme="majorHAnsi" w:cstheme="majorHAnsi"/>
          <w:sz w:val="22"/>
          <w:szCs w:val="22"/>
        </w:rPr>
        <w:t xml:space="preserve"> </w:t>
      </w:r>
    </w:p>
    <w:p w14:paraId="7342F234" w14:textId="77777777" w:rsidR="00804766" w:rsidRDefault="00804766" w:rsidP="00804766">
      <w:pPr>
        <w:spacing w:line="480" w:lineRule="auto"/>
        <w:ind w:firstLine="720"/>
        <w:jc w:val="both"/>
        <w:rPr>
          <w:rFonts w:asciiTheme="majorHAnsi" w:hAnsiTheme="majorHAnsi" w:cstheme="majorHAnsi"/>
          <w:b/>
          <w:sz w:val="22"/>
          <w:szCs w:val="22"/>
        </w:rPr>
      </w:pPr>
    </w:p>
    <w:p w14:paraId="6A529CE4" w14:textId="77777777" w:rsidR="00804766" w:rsidRPr="00DD6D91" w:rsidRDefault="00804766" w:rsidP="00804766">
      <w:pPr>
        <w:spacing w:line="480" w:lineRule="auto"/>
        <w:jc w:val="both"/>
        <w:rPr>
          <w:rFonts w:asciiTheme="majorHAnsi" w:hAnsiTheme="majorHAnsi" w:cstheme="majorHAnsi"/>
          <w:b/>
          <w:i/>
          <w:sz w:val="22"/>
          <w:szCs w:val="22"/>
        </w:rPr>
      </w:pPr>
      <w:r w:rsidRPr="00DD6D91">
        <w:rPr>
          <w:rFonts w:asciiTheme="majorHAnsi" w:hAnsiTheme="majorHAnsi" w:cstheme="majorHAnsi"/>
          <w:b/>
          <w:i/>
          <w:sz w:val="22"/>
          <w:szCs w:val="22"/>
        </w:rPr>
        <w:t>Question 2: Does the disadvantaged learner feel more included in the learning process as a result of the use of VFTs?</w:t>
      </w:r>
    </w:p>
    <w:p w14:paraId="5287DA08" w14:textId="5A25AD4B" w:rsidR="00804766" w:rsidRDefault="00804766" w:rsidP="00804766">
      <w:pPr>
        <w:spacing w:line="480" w:lineRule="auto"/>
        <w:ind w:firstLine="720"/>
        <w:jc w:val="both"/>
        <w:rPr>
          <w:rFonts w:asciiTheme="majorHAnsi" w:hAnsiTheme="majorHAnsi" w:cstheme="majorHAnsi"/>
          <w:sz w:val="22"/>
          <w:szCs w:val="22"/>
        </w:rPr>
      </w:pPr>
      <w:r>
        <w:rPr>
          <w:rFonts w:asciiTheme="majorHAnsi" w:hAnsiTheme="majorHAnsi" w:cstheme="majorHAnsi"/>
          <w:sz w:val="22"/>
          <w:szCs w:val="22"/>
        </w:rPr>
        <w:lastRenderedPageBreak/>
        <w:t>50% of eFSM learners did not feel as though it would be possible to attend an overnight stay to the British Museum in London, compared to just 19% of their non-FSM counterparts. Learners reported that the opportunity to attend an overnight trip was something that they would not be able to afford.</w:t>
      </w:r>
      <w:r w:rsidR="00AC5019">
        <w:rPr>
          <w:rFonts w:asciiTheme="majorHAnsi" w:hAnsiTheme="majorHAnsi" w:cstheme="majorHAnsi"/>
          <w:sz w:val="22"/>
          <w:szCs w:val="22"/>
        </w:rPr>
        <w:t xml:space="preserve"> Though, the idea that eFSM learners and their non-FSM counterparts experience differentiated education due to lack of funding is not something that could necessarily be considered here, as 19% of non-FSM learners also stated that they would not be able to access funding for the proposed field trip.</w:t>
      </w:r>
    </w:p>
    <w:p w14:paraId="40C453BA" w14:textId="3E6AC50A" w:rsidR="00804766" w:rsidRDefault="00804766" w:rsidP="00804766">
      <w:pPr>
        <w:spacing w:line="480" w:lineRule="auto"/>
        <w:ind w:firstLine="720"/>
        <w:jc w:val="both"/>
        <w:rPr>
          <w:rFonts w:asciiTheme="majorHAnsi" w:hAnsiTheme="majorHAnsi" w:cstheme="majorHAnsi"/>
          <w:sz w:val="22"/>
          <w:szCs w:val="22"/>
        </w:rPr>
      </w:pPr>
      <w:r>
        <w:rPr>
          <w:rFonts w:asciiTheme="majorHAnsi" w:hAnsiTheme="majorHAnsi" w:cstheme="majorHAnsi"/>
          <w:sz w:val="22"/>
          <w:szCs w:val="22"/>
        </w:rPr>
        <w:t xml:space="preserve">100% of eFSM learners felt that </w:t>
      </w:r>
      <w:r w:rsidR="00AC5019">
        <w:rPr>
          <w:rFonts w:asciiTheme="majorHAnsi" w:hAnsiTheme="majorHAnsi" w:cstheme="majorHAnsi"/>
          <w:sz w:val="22"/>
          <w:szCs w:val="22"/>
        </w:rPr>
        <w:t>the lesson in which the VFT was put to use had allowed for them to feel more invested in their learning, whereas 12% of their non-FSM counterparts felt as though they did not feel more invested in their learning. Reasons given by eFSM learners included, but were not limited to:</w:t>
      </w:r>
    </w:p>
    <w:p w14:paraId="6E40BC88" w14:textId="77777777" w:rsidR="00AC5019" w:rsidRDefault="00AC5019" w:rsidP="00AC5019">
      <w:pPr>
        <w:spacing w:line="480" w:lineRule="auto"/>
        <w:ind w:left="720"/>
        <w:jc w:val="both"/>
        <w:rPr>
          <w:rFonts w:asciiTheme="majorHAnsi" w:hAnsiTheme="majorHAnsi" w:cstheme="majorHAnsi"/>
          <w:i/>
          <w:sz w:val="22"/>
          <w:szCs w:val="22"/>
        </w:rPr>
      </w:pPr>
    </w:p>
    <w:p w14:paraId="54FF9799" w14:textId="77777777" w:rsidR="00AC5019" w:rsidRDefault="00AC5019" w:rsidP="00AC5019">
      <w:pPr>
        <w:spacing w:line="480" w:lineRule="auto"/>
        <w:ind w:left="720"/>
        <w:jc w:val="both"/>
        <w:rPr>
          <w:rFonts w:asciiTheme="majorHAnsi" w:hAnsiTheme="majorHAnsi" w:cstheme="majorHAnsi"/>
          <w:b/>
          <w:i/>
          <w:sz w:val="22"/>
          <w:szCs w:val="22"/>
        </w:rPr>
      </w:pPr>
      <w:r>
        <w:rPr>
          <w:rFonts w:asciiTheme="majorHAnsi" w:hAnsiTheme="majorHAnsi" w:cstheme="majorHAnsi"/>
          <w:i/>
          <w:sz w:val="22"/>
          <w:szCs w:val="22"/>
        </w:rPr>
        <w:t xml:space="preserve">“We are more in control, so I can learn better.” </w:t>
      </w:r>
      <w:r>
        <w:rPr>
          <w:rFonts w:asciiTheme="majorHAnsi" w:hAnsiTheme="majorHAnsi" w:cstheme="majorHAnsi"/>
          <w:b/>
          <w:sz w:val="22"/>
          <w:szCs w:val="22"/>
        </w:rPr>
        <w:t>(OB1</w:t>
      </w:r>
      <w:r w:rsidRPr="00595CB1">
        <w:rPr>
          <w:rFonts w:asciiTheme="majorHAnsi" w:hAnsiTheme="majorHAnsi" w:cstheme="majorHAnsi"/>
          <w:b/>
          <w:sz w:val="22"/>
          <w:szCs w:val="22"/>
        </w:rPr>
        <w:t>)</w:t>
      </w:r>
    </w:p>
    <w:p w14:paraId="5FF39F96" w14:textId="77777777" w:rsidR="00AC5019" w:rsidRDefault="00AC5019" w:rsidP="00AC5019">
      <w:pPr>
        <w:spacing w:line="480" w:lineRule="auto"/>
        <w:jc w:val="both"/>
        <w:rPr>
          <w:rFonts w:asciiTheme="majorHAnsi" w:hAnsiTheme="majorHAnsi" w:cstheme="majorHAnsi"/>
          <w:sz w:val="22"/>
          <w:szCs w:val="22"/>
        </w:rPr>
      </w:pPr>
    </w:p>
    <w:p w14:paraId="33605DE1" w14:textId="2115E4B4" w:rsidR="00AC5019" w:rsidRDefault="00AC5019" w:rsidP="00AC5019">
      <w:pPr>
        <w:spacing w:line="480" w:lineRule="auto"/>
        <w:jc w:val="both"/>
        <w:rPr>
          <w:rFonts w:asciiTheme="majorHAnsi" w:hAnsiTheme="majorHAnsi" w:cstheme="majorHAnsi"/>
          <w:sz w:val="22"/>
          <w:szCs w:val="22"/>
        </w:rPr>
      </w:pPr>
      <w:r>
        <w:rPr>
          <w:rFonts w:asciiTheme="majorHAnsi" w:hAnsiTheme="majorHAnsi" w:cstheme="majorHAnsi"/>
          <w:sz w:val="22"/>
          <w:szCs w:val="22"/>
        </w:rPr>
        <w:t>and</w:t>
      </w:r>
    </w:p>
    <w:p w14:paraId="26C017C6" w14:textId="77777777" w:rsidR="00AC5019" w:rsidRDefault="00AC5019" w:rsidP="00AC5019">
      <w:pPr>
        <w:spacing w:line="480" w:lineRule="auto"/>
        <w:ind w:left="720"/>
        <w:jc w:val="both"/>
        <w:rPr>
          <w:rFonts w:asciiTheme="majorHAnsi" w:hAnsiTheme="majorHAnsi" w:cstheme="majorHAnsi"/>
          <w:i/>
          <w:sz w:val="22"/>
          <w:szCs w:val="22"/>
        </w:rPr>
      </w:pPr>
      <w:r>
        <w:rPr>
          <w:rFonts w:asciiTheme="majorHAnsi" w:hAnsiTheme="majorHAnsi" w:cstheme="majorHAnsi"/>
          <w:i/>
          <w:sz w:val="22"/>
          <w:szCs w:val="22"/>
        </w:rPr>
        <w:t xml:space="preserve"> </w:t>
      </w:r>
    </w:p>
    <w:p w14:paraId="304AD7F3" w14:textId="60DA035E" w:rsidR="00AC5019" w:rsidRDefault="00AC5019" w:rsidP="00AC5019">
      <w:pPr>
        <w:spacing w:line="480" w:lineRule="auto"/>
        <w:ind w:left="720"/>
        <w:jc w:val="both"/>
        <w:rPr>
          <w:rFonts w:asciiTheme="majorHAnsi" w:hAnsiTheme="majorHAnsi" w:cstheme="majorHAnsi"/>
          <w:b/>
          <w:i/>
          <w:sz w:val="22"/>
          <w:szCs w:val="22"/>
        </w:rPr>
      </w:pPr>
      <w:r>
        <w:rPr>
          <w:rFonts w:asciiTheme="majorHAnsi" w:hAnsiTheme="majorHAnsi" w:cstheme="majorHAnsi"/>
          <w:i/>
          <w:sz w:val="22"/>
          <w:szCs w:val="22"/>
        </w:rPr>
        <w:t xml:space="preserve">“I understand the lesson and I can choose what to make of it.” </w:t>
      </w:r>
      <w:r>
        <w:rPr>
          <w:rFonts w:asciiTheme="majorHAnsi" w:hAnsiTheme="majorHAnsi" w:cstheme="majorHAnsi"/>
          <w:b/>
          <w:sz w:val="22"/>
          <w:szCs w:val="22"/>
        </w:rPr>
        <w:t>(OB12</w:t>
      </w:r>
      <w:r w:rsidRPr="00595CB1">
        <w:rPr>
          <w:rFonts w:asciiTheme="majorHAnsi" w:hAnsiTheme="majorHAnsi" w:cstheme="majorHAnsi"/>
          <w:b/>
          <w:sz w:val="22"/>
          <w:szCs w:val="22"/>
        </w:rPr>
        <w:t>)</w:t>
      </w:r>
    </w:p>
    <w:p w14:paraId="0A90385B" w14:textId="0800592C" w:rsidR="00AC5019" w:rsidRDefault="00AC5019" w:rsidP="00804766">
      <w:pPr>
        <w:spacing w:line="480" w:lineRule="auto"/>
        <w:ind w:firstLine="720"/>
        <w:jc w:val="both"/>
        <w:rPr>
          <w:rFonts w:asciiTheme="majorHAnsi" w:hAnsiTheme="majorHAnsi" w:cstheme="majorHAnsi"/>
          <w:b/>
          <w:sz w:val="22"/>
          <w:szCs w:val="22"/>
          <w:u w:val="single"/>
        </w:rPr>
      </w:pPr>
    </w:p>
    <w:p w14:paraId="1069B0DF" w14:textId="042130FA" w:rsidR="00725C18" w:rsidRPr="00725C18" w:rsidRDefault="00725C18" w:rsidP="00804766">
      <w:pPr>
        <w:spacing w:line="480" w:lineRule="auto"/>
        <w:ind w:firstLine="720"/>
        <w:jc w:val="both"/>
        <w:rPr>
          <w:rFonts w:asciiTheme="majorHAnsi" w:hAnsiTheme="majorHAnsi" w:cstheme="majorHAnsi"/>
          <w:sz w:val="22"/>
          <w:szCs w:val="22"/>
        </w:rPr>
      </w:pPr>
      <w:r>
        <w:rPr>
          <w:rFonts w:asciiTheme="majorHAnsi" w:hAnsiTheme="majorHAnsi" w:cstheme="majorHAnsi"/>
          <w:sz w:val="22"/>
          <w:szCs w:val="22"/>
        </w:rPr>
        <w:t>Responses throughout the pupil evaluations, and the observations recorded throughout the research lesson showed that 100% of eFSM learners were susceptible to understanding the benefits of the use of VFTs, as some discussed that they were being given the same opportunities as their peers within the classroom, that they got to choose what they wanted to learn about thus appealing to their personal interests, and that the VFT was a tool that allowed them access to an easier understanding of their learning.</w:t>
      </w:r>
    </w:p>
    <w:p w14:paraId="2C851195" w14:textId="77777777" w:rsidR="00725C18" w:rsidRDefault="00725C18" w:rsidP="00804766">
      <w:pPr>
        <w:spacing w:line="480" w:lineRule="auto"/>
        <w:ind w:firstLine="720"/>
        <w:jc w:val="both"/>
        <w:rPr>
          <w:rFonts w:asciiTheme="majorHAnsi" w:hAnsiTheme="majorHAnsi" w:cstheme="majorHAnsi"/>
          <w:b/>
          <w:sz w:val="22"/>
          <w:szCs w:val="22"/>
          <w:u w:val="single"/>
        </w:rPr>
      </w:pPr>
    </w:p>
    <w:p w14:paraId="45C97DA2" w14:textId="203E214D" w:rsidR="00804766" w:rsidRDefault="00804766" w:rsidP="00804766">
      <w:pPr>
        <w:spacing w:line="480" w:lineRule="auto"/>
        <w:ind w:firstLine="720"/>
        <w:jc w:val="both"/>
        <w:rPr>
          <w:rFonts w:asciiTheme="majorHAnsi" w:hAnsiTheme="majorHAnsi" w:cstheme="majorHAnsi"/>
          <w:b/>
          <w:sz w:val="22"/>
          <w:szCs w:val="22"/>
        </w:rPr>
      </w:pPr>
      <w:r w:rsidRPr="00692092">
        <w:rPr>
          <w:rFonts w:asciiTheme="majorHAnsi" w:hAnsiTheme="majorHAnsi" w:cstheme="majorHAnsi"/>
          <w:b/>
          <w:sz w:val="22"/>
          <w:szCs w:val="22"/>
          <w:u w:val="single"/>
        </w:rPr>
        <w:t>Conclusions</w:t>
      </w:r>
    </w:p>
    <w:p w14:paraId="22A3BD73" w14:textId="77777777" w:rsidR="00DD5EC5" w:rsidRDefault="00DD5EC5" w:rsidP="00DD5EC5">
      <w:pPr>
        <w:spacing w:line="480" w:lineRule="auto"/>
        <w:jc w:val="both"/>
        <w:rPr>
          <w:rFonts w:asciiTheme="majorHAnsi" w:hAnsiTheme="majorHAnsi" w:cstheme="majorHAnsi"/>
          <w:b/>
          <w:sz w:val="22"/>
          <w:szCs w:val="22"/>
        </w:rPr>
      </w:pPr>
      <w:r>
        <w:rPr>
          <w:rFonts w:asciiTheme="majorHAnsi" w:hAnsiTheme="majorHAnsi" w:cstheme="majorHAnsi"/>
          <w:b/>
          <w:sz w:val="22"/>
          <w:szCs w:val="22"/>
        </w:rPr>
        <w:t>Question 1: Does the use of VFTs appear to have an impact on the learning environment and/or enhance learning outcomes?</w:t>
      </w:r>
    </w:p>
    <w:p w14:paraId="7EA7975A" w14:textId="77777777" w:rsidR="00DD5EC5" w:rsidRDefault="00DD5EC5" w:rsidP="00DD5EC5">
      <w:pPr>
        <w:spacing w:line="480" w:lineRule="auto"/>
        <w:ind w:firstLine="720"/>
        <w:jc w:val="both"/>
        <w:rPr>
          <w:rFonts w:asciiTheme="majorHAnsi" w:hAnsiTheme="majorHAnsi" w:cstheme="majorHAnsi"/>
          <w:sz w:val="22"/>
          <w:szCs w:val="22"/>
        </w:rPr>
      </w:pPr>
      <w:r>
        <w:rPr>
          <w:rFonts w:asciiTheme="majorHAnsi" w:hAnsiTheme="majorHAnsi" w:cstheme="majorHAnsi"/>
          <w:sz w:val="22"/>
          <w:szCs w:val="22"/>
        </w:rPr>
        <w:t xml:space="preserve">With the above results revealing that 93% of participants felt that the use of the VFT had an impact on their learning and 100% of survey participants believing that the use of VFTs would have enhanced their learning whilst in compulsory education, the researcher concludes that the use of VFTs within the classroom certainly has an impact on the learning environment and that they enhance learning outcomes. The researcher described the shift in responses </w:t>
      </w:r>
      <w:r>
        <w:rPr>
          <w:rFonts w:asciiTheme="majorHAnsi" w:hAnsiTheme="majorHAnsi" w:cstheme="majorHAnsi"/>
          <w:sz w:val="22"/>
          <w:szCs w:val="22"/>
        </w:rPr>
        <w:lastRenderedPageBreak/>
        <w:t>to the contemporary debates that were selected by individual learners, in that responses went from simply agreeing or disagreeing with the debate question to providing evidence that included new knowledge and understanding that was simply underpinned by prior knowledge and beliefs. This observation certainly reflects the views of Bransford et al. (2000) who stated that this was a contemporary form of learning, so it was evident to the researcher that the learning outcomes were successful in that learning had taken place.</w:t>
      </w:r>
    </w:p>
    <w:p w14:paraId="7E6648D5" w14:textId="6F473314" w:rsidR="00DD5EC5" w:rsidRDefault="00DD5EC5" w:rsidP="00DD5EC5">
      <w:pPr>
        <w:spacing w:line="480" w:lineRule="auto"/>
        <w:ind w:firstLine="720"/>
        <w:jc w:val="both"/>
        <w:rPr>
          <w:rFonts w:asciiTheme="majorHAnsi" w:hAnsiTheme="majorHAnsi" w:cstheme="majorHAnsi"/>
          <w:sz w:val="22"/>
          <w:szCs w:val="22"/>
        </w:rPr>
      </w:pPr>
      <w:r>
        <w:rPr>
          <w:rFonts w:asciiTheme="majorHAnsi" w:hAnsiTheme="majorHAnsi" w:cstheme="majorHAnsi"/>
          <w:sz w:val="22"/>
          <w:szCs w:val="22"/>
        </w:rPr>
        <w:t xml:space="preserve">The research took into account previous studies that focussed on the use of effective technologies and one-to-one computing to support learning outcomes (Young, </w:t>
      </w:r>
      <w:proofErr w:type="spellStart"/>
      <w:r>
        <w:rPr>
          <w:rFonts w:asciiTheme="majorHAnsi" w:hAnsiTheme="majorHAnsi" w:cstheme="majorHAnsi"/>
          <w:sz w:val="22"/>
          <w:szCs w:val="22"/>
        </w:rPr>
        <w:t>Klemz</w:t>
      </w:r>
      <w:proofErr w:type="spellEnd"/>
      <w:r>
        <w:rPr>
          <w:rFonts w:asciiTheme="majorHAnsi" w:hAnsiTheme="majorHAnsi" w:cstheme="majorHAnsi"/>
          <w:sz w:val="22"/>
          <w:szCs w:val="22"/>
        </w:rPr>
        <w:t xml:space="preserve"> and Murphy, 2003; Higgins et al. 2012; Jones and Rocco, 2014; </w:t>
      </w:r>
      <w:proofErr w:type="spellStart"/>
      <w:r>
        <w:rPr>
          <w:rFonts w:asciiTheme="majorHAnsi" w:hAnsiTheme="majorHAnsi" w:cstheme="majorHAnsi"/>
          <w:sz w:val="22"/>
          <w:szCs w:val="22"/>
        </w:rPr>
        <w:t>Wetton</w:t>
      </w:r>
      <w:proofErr w:type="spellEnd"/>
      <w:r>
        <w:rPr>
          <w:rFonts w:asciiTheme="majorHAnsi" w:hAnsiTheme="majorHAnsi" w:cstheme="majorHAnsi"/>
          <w:sz w:val="22"/>
          <w:szCs w:val="22"/>
        </w:rPr>
        <w:t xml:space="preserve"> and Scott, 2014) and the results of the research could be put forward as evidence to support the conclusions made by each of the aforementioned studies. The researcher believes that use of the VFT as a tool to enhance learning outcomes could almost certainly categorise it as a form of ‘effective technology’ as is defined by Darling-Hammond et al. (2014).</w:t>
      </w:r>
    </w:p>
    <w:p w14:paraId="35051E5F" w14:textId="4C808AAB" w:rsidR="00DD5EC5" w:rsidRDefault="00DD5EC5" w:rsidP="00DD5EC5">
      <w:pPr>
        <w:spacing w:line="480" w:lineRule="auto"/>
        <w:ind w:firstLine="720"/>
        <w:jc w:val="both"/>
        <w:rPr>
          <w:rFonts w:asciiTheme="majorHAnsi" w:hAnsiTheme="majorHAnsi" w:cstheme="majorHAnsi"/>
          <w:sz w:val="22"/>
          <w:szCs w:val="22"/>
        </w:rPr>
      </w:pPr>
      <w:r>
        <w:rPr>
          <w:rFonts w:asciiTheme="majorHAnsi" w:hAnsiTheme="majorHAnsi" w:cstheme="majorHAnsi"/>
          <w:sz w:val="22"/>
          <w:szCs w:val="22"/>
        </w:rPr>
        <w:t>When combined with the results of pupil evaluations, the results of the researcher’s observations are vital in supporting the assumption that the VFT appears to have an impact on the learning environment, as it was stated by the majority of learners that they felt they had more control over their learning and that the use of the VFT felt that further use would help them with their school work. This further confirms that the use of VFTs has enhanced the learning outcomes for many learners, and the responses from pupil evaluations along with observations has afforded the research with the ability to perceive VFTs to be successful in enhancing the learning environment as a whole.</w:t>
      </w:r>
    </w:p>
    <w:p w14:paraId="206AFA41" w14:textId="77777777" w:rsidR="00DD5EC5" w:rsidRDefault="00DD5EC5" w:rsidP="00DD5EC5">
      <w:pPr>
        <w:spacing w:line="480" w:lineRule="auto"/>
        <w:jc w:val="both"/>
        <w:rPr>
          <w:rFonts w:asciiTheme="majorHAnsi" w:hAnsiTheme="majorHAnsi" w:cstheme="majorHAnsi"/>
          <w:b/>
          <w:sz w:val="22"/>
          <w:szCs w:val="22"/>
        </w:rPr>
      </w:pPr>
    </w:p>
    <w:p w14:paraId="430F5DFD" w14:textId="77777777" w:rsidR="00DD5EC5" w:rsidRDefault="00DD5EC5" w:rsidP="00DD5EC5">
      <w:pPr>
        <w:spacing w:line="480" w:lineRule="auto"/>
        <w:jc w:val="both"/>
        <w:rPr>
          <w:rFonts w:asciiTheme="majorHAnsi" w:hAnsiTheme="majorHAnsi" w:cstheme="majorHAnsi"/>
          <w:b/>
          <w:sz w:val="22"/>
          <w:szCs w:val="22"/>
        </w:rPr>
      </w:pPr>
      <w:r>
        <w:rPr>
          <w:rFonts w:asciiTheme="majorHAnsi" w:hAnsiTheme="majorHAnsi" w:cstheme="majorHAnsi"/>
          <w:b/>
          <w:sz w:val="22"/>
          <w:szCs w:val="22"/>
        </w:rPr>
        <w:t>Question 2: Does the disadvantaged learner feel more included in the learning process as a result of the use of VFTs?</w:t>
      </w:r>
    </w:p>
    <w:p w14:paraId="3F958C9A" w14:textId="5FE91CC9" w:rsidR="00DD5EC5" w:rsidRDefault="00DD5EC5" w:rsidP="00DD5EC5">
      <w:pPr>
        <w:spacing w:line="480" w:lineRule="auto"/>
        <w:ind w:firstLine="720"/>
        <w:jc w:val="both"/>
        <w:rPr>
          <w:rFonts w:asciiTheme="majorHAnsi" w:hAnsiTheme="majorHAnsi" w:cstheme="majorHAnsi"/>
          <w:sz w:val="22"/>
          <w:szCs w:val="22"/>
        </w:rPr>
      </w:pPr>
      <w:r>
        <w:rPr>
          <w:rFonts w:asciiTheme="majorHAnsi" w:hAnsiTheme="majorHAnsi" w:cstheme="majorHAnsi"/>
          <w:sz w:val="22"/>
          <w:szCs w:val="22"/>
        </w:rPr>
        <w:t xml:space="preserve">As a result of the above study and the results gathered the researcher concludes that the disadvantaged learner does in fact feel more included in the learning process as a result of the use of VFTs. The use of the VFT has proven to be an active method of learning that allowed for participants of this research to take more control over their learning, thus creating a more learner-led environment that is beneficial for disadvantaged learners (Barley et al., 2002; </w:t>
      </w:r>
      <w:proofErr w:type="spellStart"/>
      <w:r>
        <w:rPr>
          <w:rFonts w:asciiTheme="majorHAnsi" w:hAnsiTheme="majorHAnsi" w:cstheme="majorHAnsi"/>
          <w:sz w:val="22"/>
          <w:szCs w:val="22"/>
        </w:rPr>
        <w:t>Lumby</w:t>
      </w:r>
      <w:proofErr w:type="spellEnd"/>
      <w:r>
        <w:rPr>
          <w:rFonts w:asciiTheme="majorHAnsi" w:hAnsiTheme="majorHAnsi" w:cstheme="majorHAnsi"/>
          <w:sz w:val="22"/>
          <w:szCs w:val="22"/>
        </w:rPr>
        <w:t xml:space="preserve">, 2013). The use of effective technologies (Darling-Hammond et al., 2014) has clearly demonstrated the ability to allow for disadvantaged learners to feel more included in the learning process, further showing that digital technologies are beneficial for those at a disadvantage in the education system (European Commission, 2013; </w:t>
      </w:r>
      <w:proofErr w:type="spellStart"/>
      <w:r>
        <w:rPr>
          <w:rFonts w:asciiTheme="majorHAnsi" w:hAnsiTheme="majorHAnsi" w:cstheme="majorHAnsi"/>
          <w:sz w:val="22"/>
          <w:szCs w:val="22"/>
        </w:rPr>
        <w:t>Biagi</w:t>
      </w:r>
      <w:proofErr w:type="spellEnd"/>
      <w:r>
        <w:rPr>
          <w:rFonts w:asciiTheme="majorHAnsi" w:hAnsiTheme="majorHAnsi" w:cstheme="majorHAnsi"/>
          <w:sz w:val="22"/>
          <w:szCs w:val="22"/>
        </w:rPr>
        <w:t xml:space="preserve"> and Rodrigues, 2017).</w:t>
      </w:r>
    </w:p>
    <w:p w14:paraId="7EE0B233" w14:textId="39ADEE66" w:rsidR="00725C18" w:rsidRDefault="00725C18" w:rsidP="00804766">
      <w:pPr>
        <w:spacing w:line="480" w:lineRule="auto"/>
        <w:ind w:firstLine="720"/>
        <w:jc w:val="both"/>
        <w:rPr>
          <w:rFonts w:asciiTheme="majorHAnsi" w:hAnsiTheme="majorHAnsi" w:cstheme="majorHAnsi"/>
          <w:sz w:val="22"/>
          <w:szCs w:val="22"/>
        </w:rPr>
      </w:pPr>
    </w:p>
    <w:p w14:paraId="780CB0D8" w14:textId="77777777" w:rsidR="00DD5EC5" w:rsidRPr="00522359" w:rsidRDefault="00DD5EC5" w:rsidP="00DD5EC5">
      <w:pPr>
        <w:spacing w:line="480" w:lineRule="auto"/>
        <w:ind w:firstLine="720"/>
        <w:jc w:val="both"/>
        <w:rPr>
          <w:rFonts w:asciiTheme="majorHAnsi" w:hAnsiTheme="majorHAnsi" w:cstheme="majorHAnsi"/>
          <w:sz w:val="22"/>
          <w:szCs w:val="22"/>
        </w:rPr>
      </w:pPr>
      <w:r>
        <w:rPr>
          <w:rFonts w:asciiTheme="majorHAnsi" w:hAnsiTheme="majorHAnsi" w:cstheme="majorHAnsi"/>
          <w:sz w:val="22"/>
          <w:szCs w:val="22"/>
        </w:rPr>
        <w:lastRenderedPageBreak/>
        <w:t>However, the researcher has taken into account the effects of a declining use of field trips within the education system, and does not feel as though they have enough evidence to be able to comment on whether VFTs have a better impact on learning outcomes and learning environments than the regular, physical field trip. The researcher considers whether a further study could be conducted in which learners are segregated into control groups, where one group experiences a physical field trip and the other experiences the virtual field trip of that same place, and looks to see whether participants’ view either to be of better use to them.</w:t>
      </w:r>
    </w:p>
    <w:p w14:paraId="237C70B0" w14:textId="77777777" w:rsidR="00DD5EC5" w:rsidRDefault="00DD5EC5" w:rsidP="00804766">
      <w:pPr>
        <w:spacing w:line="480" w:lineRule="auto"/>
        <w:ind w:firstLine="720"/>
        <w:jc w:val="both"/>
        <w:rPr>
          <w:rFonts w:asciiTheme="majorHAnsi" w:hAnsiTheme="majorHAnsi" w:cstheme="majorHAnsi"/>
          <w:b/>
          <w:sz w:val="22"/>
          <w:szCs w:val="22"/>
          <w:u w:val="single"/>
        </w:rPr>
      </w:pPr>
    </w:p>
    <w:p w14:paraId="490B668B" w14:textId="19E93AAB" w:rsidR="00804766" w:rsidRPr="00692092" w:rsidRDefault="00804766" w:rsidP="00804766">
      <w:pPr>
        <w:spacing w:line="480" w:lineRule="auto"/>
        <w:ind w:firstLine="720"/>
        <w:jc w:val="both"/>
        <w:rPr>
          <w:rFonts w:asciiTheme="majorHAnsi" w:hAnsiTheme="majorHAnsi" w:cstheme="majorHAnsi"/>
          <w:b/>
          <w:sz w:val="22"/>
          <w:szCs w:val="22"/>
        </w:rPr>
      </w:pPr>
      <w:r w:rsidRPr="00692092">
        <w:rPr>
          <w:rFonts w:asciiTheme="majorHAnsi" w:hAnsiTheme="majorHAnsi" w:cstheme="majorHAnsi"/>
          <w:b/>
          <w:sz w:val="22"/>
          <w:szCs w:val="22"/>
          <w:u w:val="single"/>
        </w:rPr>
        <w:t>Limitation</w:t>
      </w:r>
      <w:r>
        <w:rPr>
          <w:rFonts w:asciiTheme="majorHAnsi" w:hAnsiTheme="majorHAnsi" w:cstheme="majorHAnsi"/>
          <w:b/>
          <w:sz w:val="22"/>
          <w:szCs w:val="22"/>
          <w:u w:val="single"/>
        </w:rPr>
        <w:t>s and Future D</w:t>
      </w:r>
      <w:r w:rsidRPr="00692092">
        <w:rPr>
          <w:rFonts w:asciiTheme="majorHAnsi" w:hAnsiTheme="majorHAnsi" w:cstheme="majorHAnsi"/>
          <w:b/>
          <w:sz w:val="22"/>
          <w:szCs w:val="22"/>
          <w:u w:val="single"/>
        </w:rPr>
        <w:t>evelopment</w:t>
      </w:r>
    </w:p>
    <w:p w14:paraId="5569B9F0" w14:textId="796D5727" w:rsidR="00804766" w:rsidRPr="00692092" w:rsidRDefault="00804766" w:rsidP="00C67159">
      <w:pPr>
        <w:spacing w:line="480" w:lineRule="auto"/>
        <w:ind w:firstLine="720"/>
        <w:jc w:val="both"/>
        <w:rPr>
          <w:rFonts w:asciiTheme="majorHAnsi" w:hAnsiTheme="majorHAnsi" w:cstheme="majorHAnsi"/>
          <w:sz w:val="22"/>
          <w:szCs w:val="22"/>
        </w:rPr>
      </w:pPr>
      <w:r w:rsidRPr="00692092">
        <w:rPr>
          <w:rFonts w:asciiTheme="majorHAnsi" w:hAnsiTheme="majorHAnsi" w:cstheme="majorHAnsi"/>
          <w:sz w:val="22"/>
          <w:szCs w:val="22"/>
        </w:rPr>
        <w:t>As</w:t>
      </w:r>
      <w:r>
        <w:rPr>
          <w:rFonts w:asciiTheme="majorHAnsi" w:hAnsiTheme="majorHAnsi" w:cstheme="majorHAnsi"/>
          <w:sz w:val="22"/>
          <w:szCs w:val="22"/>
        </w:rPr>
        <w:t xml:space="preserve"> was outlined within </w:t>
      </w:r>
      <w:r w:rsidRPr="00692092">
        <w:rPr>
          <w:rFonts w:asciiTheme="majorHAnsi" w:hAnsiTheme="majorHAnsi" w:cstheme="majorHAnsi"/>
          <w:sz w:val="22"/>
          <w:szCs w:val="22"/>
        </w:rPr>
        <w:t xml:space="preserve">this report, the study imposed a number of limitations on the researcher and the development of this report. </w:t>
      </w:r>
      <w:r w:rsidR="00C32523">
        <w:rPr>
          <w:rFonts w:asciiTheme="majorHAnsi" w:hAnsiTheme="majorHAnsi" w:cstheme="majorHAnsi"/>
          <w:sz w:val="22"/>
          <w:szCs w:val="22"/>
        </w:rPr>
        <w:t xml:space="preserve">Limitations include, but are not limited to, funding reliability, objectivity, representativeness and generalisability. </w:t>
      </w:r>
      <w:r w:rsidR="00C32523" w:rsidRPr="00692092">
        <w:rPr>
          <w:rFonts w:asciiTheme="majorHAnsi" w:hAnsiTheme="majorHAnsi" w:cstheme="majorHAnsi"/>
          <w:sz w:val="22"/>
          <w:szCs w:val="22"/>
        </w:rPr>
        <w:t>These are discussed below, with respect to their category and recommendations fo</w:t>
      </w:r>
      <w:r w:rsidR="00C32523">
        <w:rPr>
          <w:rFonts w:asciiTheme="majorHAnsi" w:hAnsiTheme="majorHAnsi" w:cstheme="majorHAnsi"/>
          <w:sz w:val="22"/>
          <w:szCs w:val="22"/>
        </w:rPr>
        <w:t>r future developments are noted.</w:t>
      </w:r>
    </w:p>
    <w:p w14:paraId="329D89B6" w14:textId="77777777" w:rsidR="00B952FE" w:rsidRDefault="00B952FE" w:rsidP="00B952FE">
      <w:pPr>
        <w:spacing w:line="480" w:lineRule="auto"/>
        <w:jc w:val="both"/>
        <w:rPr>
          <w:rFonts w:asciiTheme="majorHAnsi" w:hAnsiTheme="majorHAnsi" w:cstheme="majorHAnsi"/>
          <w:b/>
          <w:i/>
          <w:sz w:val="22"/>
          <w:szCs w:val="22"/>
        </w:rPr>
      </w:pPr>
    </w:p>
    <w:p w14:paraId="58226B07" w14:textId="34EE3CC1" w:rsidR="00B952FE" w:rsidRPr="00DD6D91" w:rsidRDefault="00B952FE" w:rsidP="00B952FE">
      <w:pPr>
        <w:spacing w:line="480" w:lineRule="auto"/>
        <w:jc w:val="both"/>
        <w:rPr>
          <w:rFonts w:asciiTheme="majorHAnsi" w:hAnsiTheme="majorHAnsi" w:cstheme="majorHAnsi"/>
          <w:i/>
          <w:sz w:val="22"/>
          <w:szCs w:val="22"/>
        </w:rPr>
      </w:pPr>
      <w:r w:rsidRPr="00DD6D91">
        <w:rPr>
          <w:rFonts w:asciiTheme="majorHAnsi" w:hAnsiTheme="majorHAnsi" w:cstheme="majorHAnsi"/>
          <w:b/>
          <w:i/>
          <w:sz w:val="22"/>
          <w:szCs w:val="22"/>
        </w:rPr>
        <w:t>Funding</w:t>
      </w:r>
    </w:p>
    <w:p w14:paraId="3B70CDC6" w14:textId="77777777" w:rsidR="00B952FE" w:rsidRPr="00692092" w:rsidRDefault="00B952FE" w:rsidP="00B952FE">
      <w:pPr>
        <w:spacing w:line="480" w:lineRule="auto"/>
        <w:ind w:firstLine="720"/>
        <w:jc w:val="both"/>
        <w:rPr>
          <w:rFonts w:asciiTheme="majorHAnsi" w:hAnsiTheme="majorHAnsi" w:cstheme="majorHAnsi"/>
          <w:sz w:val="22"/>
          <w:szCs w:val="22"/>
        </w:rPr>
      </w:pPr>
      <w:r>
        <w:rPr>
          <w:rFonts w:asciiTheme="majorHAnsi" w:hAnsiTheme="majorHAnsi" w:cstheme="majorHAnsi"/>
          <w:sz w:val="22"/>
          <w:szCs w:val="22"/>
        </w:rPr>
        <w:t>I</w:t>
      </w:r>
      <w:r w:rsidRPr="00692092">
        <w:rPr>
          <w:rFonts w:asciiTheme="majorHAnsi" w:hAnsiTheme="majorHAnsi" w:cstheme="majorHAnsi"/>
          <w:sz w:val="22"/>
          <w:szCs w:val="22"/>
        </w:rPr>
        <w:t>t could be suggested that the funding allocated to School Y in overcoming the perceived constraints of being eligible for Free School Meals</w:t>
      </w:r>
      <w:r>
        <w:rPr>
          <w:rFonts w:asciiTheme="majorHAnsi" w:hAnsiTheme="majorHAnsi" w:cstheme="majorHAnsi"/>
          <w:sz w:val="22"/>
          <w:szCs w:val="22"/>
        </w:rPr>
        <w:t xml:space="preserve"> allows for learners, both eFSM and non-FSM to experience a similar education to each other</w:t>
      </w:r>
      <w:r w:rsidRPr="00692092">
        <w:rPr>
          <w:rFonts w:asciiTheme="majorHAnsi" w:hAnsiTheme="majorHAnsi" w:cstheme="majorHAnsi"/>
          <w:sz w:val="22"/>
          <w:szCs w:val="22"/>
        </w:rPr>
        <w:t>.</w:t>
      </w:r>
      <w:r>
        <w:rPr>
          <w:rFonts w:asciiTheme="majorHAnsi" w:hAnsiTheme="majorHAnsi" w:cstheme="majorHAnsi"/>
          <w:sz w:val="22"/>
          <w:szCs w:val="22"/>
        </w:rPr>
        <w:t xml:space="preserve"> Should this research be repeated for any reason, the researcher suggests that research be conducted using eFSM learners from a school in which the eFSM rate is higher than that of School Y, with non-FSM counterparts being selected from a school similar to that of School Y. By doing as such, the researcher believes that a greater difference in the experiences of learners would be able to be reported upon and observed.</w:t>
      </w:r>
    </w:p>
    <w:p w14:paraId="719303C9" w14:textId="77777777" w:rsidR="00B952FE" w:rsidRDefault="00B952FE" w:rsidP="00B952FE">
      <w:pPr>
        <w:spacing w:line="480" w:lineRule="auto"/>
        <w:jc w:val="both"/>
        <w:rPr>
          <w:rFonts w:asciiTheme="majorHAnsi" w:hAnsiTheme="majorHAnsi" w:cstheme="majorHAnsi"/>
          <w:b/>
          <w:sz w:val="22"/>
          <w:szCs w:val="22"/>
        </w:rPr>
      </w:pPr>
    </w:p>
    <w:p w14:paraId="30053493" w14:textId="77777777" w:rsidR="00B952FE" w:rsidRPr="00DD6D91" w:rsidRDefault="00B952FE" w:rsidP="00B952FE">
      <w:pPr>
        <w:spacing w:line="480" w:lineRule="auto"/>
        <w:jc w:val="both"/>
        <w:rPr>
          <w:rFonts w:asciiTheme="majorHAnsi" w:hAnsiTheme="majorHAnsi" w:cstheme="majorHAnsi"/>
          <w:b/>
          <w:i/>
          <w:sz w:val="22"/>
          <w:szCs w:val="22"/>
        </w:rPr>
      </w:pPr>
      <w:r w:rsidRPr="00DD6D91">
        <w:rPr>
          <w:rFonts w:asciiTheme="majorHAnsi" w:hAnsiTheme="majorHAnsi" w:cstheme="majorHAnsi"/>
          <w:b/>
          <w:i/>
          <w:sz w:val="22"/>
          <w:szCs w:val="22"/>
        </w:rPr>
        <w:t>Reliability</w:t>
      </w:r>
      <w:r>
        <w:rPr>
          <w:rFonts w:asciiTheme="majorHAnsi" w:hAnsiTheme="majorHAnsi" w:cstheme="majorHAnsi"/>
          <w:b/>
          <w:i/>
          <w:sz w:val="22"/>
          <w:szCs w:val="22"/>
        </w:rPr>
        <w:t xml:space="preserve"> and Objectivity</w:t>
      </w:r>
    </w:p>
    <w:p w14:paraId="52BEBD4C" w14:textId="77777777" w:rsidR="00B952FE" w:rsidRPr="00C67159" w:rsidRDefault="00B952FE" w:rsidP="00B952FE">
      <w:pPr>
        <w:spacing w:line="480" w:lineRule="auto"/>
        <w:jc w:val="both"/>
        <w:rPr>
          <w:rFonts w:asciiTheme="majorHAnsi" w:hAnsiTheme="majorHAnsi" w:cstheme="majorHAnsi"/>
          <w:sz w:val="22"/>
          <w:szCs w:val="22"/>
        </w:rPr>
      </w:pPr>
      <w:r>
        <w:rPr>
          <w:rFonts w:asciiTheme="majorHAnsi" w:hAnsiTheme="majorHAnsi" w:cstheme="majorHAnsi"/>
          <w:sz w:val="22"/>
          <w:szCs w:val="22"/>
        </w:rPr>
        <w:tab/>
        <w:t xml:space="preserve">The researcher has been aware of issues surrounding the reliability of qualitative data, in that the lack of scientific rigour and the opportunity of conclusions being a result of researcher bias can hinder the validity of the research conducted. The researcher </w:t>
      </w:r>
    </w:p>
    <w:p w14:paraId="7A70FAE7" w14:textId="77777777" w:rsidR="00B952FE" w:rsidRDefault="00B952FE" w:rsidP="00B952FE">
      <w:pPr>
        <w:spacing w:line="480" w:lineRule="auto"/>
        <w:jc w:val="both"/>
        <w:rPr>
          <w:rFonts w:asciiTheme="majorHAnsi" w:hAnsiTheme="majorHAnsi" w:cstheme="majorHAnsi"/>
          <w:b/>
          <w:i/>
          <w:sz w:val="22"/>
          <w:szCs w:val="22"/>
        </w:rPr>
      </w:pPr>
    </w:p>
    <w:p w14:paraId="5B565824" w14:textId="77777777" w:rsidR="00B952FE" w:rsidRPr="00DD6D91" w:rsidRDefault="00B952FE" w:rsidP="00B952FE">
      <w:pPr>
        <w:spacing w:line="480" w:lineRule="auto"/>
        <w:jc w:val="both"/>
        <w:rPr>
          <w:rFonts w:asciiTheme="majorHAnsi" w:hAnsiTheme="majorHAnsi" w:cstheme="majorHAnsi"/>
          <w:b/>
          <w:i/>
          <w:sz w:val="22"/>
          <w:szCs w:val="22"/>
        </w:rPr>
      </w:pPr>
      <w:r w:rsidRPr="00DD6D91">
        <w:rPr>
          <w:rFonts w:asciiTheme="majorHAnsi" w:hAnsiTheme="majorHAnsi" w:cstheme="majorHAnsi"/>
          <w:b/>
          <w:i/>
          <w:sz w:val="22"/>
          <w:szCs w:val="22"/>
        </w:rPr>
        <w:t>Representativeness</w:t>
      </w:r>
    </w:p>
    <w:p w14:paraId="1A805065" w14:textId="77777777" w:rsidR="00B952FE" w:rsidRPr="00C67159" w:rsidRDefault="00B952FE" w:rsidP="00B952FE">
      <w:pPr>
        <w:spacing w:line="480" w:lineRule="auto"/>
        <w:jc w:val="both"/>
        <w:rPr>
          <w:rFonts w:asciiTheme="majorHAnsi" w:hAnsiTheme="majorHAnsi" w:cstheme="majorHAnsi"/>
          <w:sz w:val="22"/>
          <w:szCs w:val="22"/>
        </w:rPr>
      </w:pPr>
      <w:r>
        <w:rPr>
          <w:rFonts w:asciiTheme="majorHAnsi" w:hAnsiTheme="majorHAnsi" w:cstheme="majorHAnsi"/>
          <w:sz w:val="22"/>
          <w:szCs w:val="22"/>
        </w:rPr>
        <w:tab/>
        <w:t xml:space="preserve">With just four participants making up the eFSM participants of this study, the researcher is aware of the lack of ability to class this sample as representative of eFSM learners as a whole. The conclusion that the use of VFTs </w:t>
      </w:r>
      <w:r>
        <w:rPr>
          <w:rFonts w:asciiTheme="majorHAnsi" w:hAnsiTheme="majorHAnsi" w:cstheme="majorHAnsi"/>
          <w:sz w:val="22"/>
          <w:szCs w:val="22"/>
        </w:rPr>
        <w:lastRenderedPageBreak/>
        <w:t>enhances both the learning outcomes and the learning environment, and further allows for eFSM learners to feel more included in the learning process, may not be representative of the 6.3% of eFSM learners at School Y, nor could it be representative of disadvantaged learners as a whole.</w:t>
      </w:r>
    </w:p>
    <w:p w14:paraId="540F050D" w14:textId="77777777" w:rsidR="00804766" w:rsidRDefault="00804766" w:rsidP="00804766">
      <w:pPr>
        <w:spacing w:line="480" w:lineRule="auto"/>
        <w:jc w:val="both"/>
        <w:rPr>
          <w:rFonts w:asciiTheme="majorHAnsi" w:hAnsiTheme="majorHAnsi" w:cstheme="majorHAnsi"/>
          <w:b/>
          <w:sz w:val="22"/>
          <w:szCs w:val="22"/>
          <w:u w:val="single"/>
        </w:rPr>
      </w:pPr>
    </w:p>
    <w:p w14:paraId="5F41ADE5" w14:textId="77777777" w:rsidR="00804766" w:rsidRPr="00DD6D91" w:rsidRDefault="00804766" w:rsidP="00804766">
      <w:pPr>
        <w:spacing w:line="480" w:lineRule="auto"/>
        <w:jc w:val="both"/>
        <w:rPr>
          <w:rFonts w:asciiTheme="majorHAnsi" w:hAnsiTheme="majorHAnsi" w:cstheme="majorHAnsi"/>
          <w:b/>
          <w:i/>
          <w:sz w:val="22"/>
          <w:szCs w:val="22"/>
        </w:rPr>
      </w:pPr>
      <w:r w:rsidRPr="00DD6D91">
        <w:rPr>
          <w:rFonts w:asciiTheme="majorHAnsi" w:hAnsiTheme="majorHAnsi" w:cstheme="majorHAnsi"/>
          <w:b/>
          <w:i/>
          <w:sz w:val="22"/>
          <w:szCs w:val="22"/>
        </w:rPr>
        <w:t>Generalisability</w:t>
      </w:r>
    </w:p>
    <w:p w14:paraId="103D09C8" w14:textId="77777777" w:rsidR="00B952FE" w:rsidRDefault="00804766" w:rsidP="00C67159">
      <w:pPr>
        <w:spacing w:line="480" w:lineRule="auto"/>
        <w:ind w:firstLine="720"/>
        <w:jc w:val="both"/>
        <w:rPr>
          <w:rFonts w:asciiTheme="majorHAnsi" w:hAnsiTheme="majorHAnsi" w:cstheme="majorHAnsi"/>
          <w:sz w:val="22"/>
          <w:szCs w:val="22"/>
        </w:rPr>
      </w:pPr>
      <w:r w:rsidRPr="00692092">
        <w:rPr>
          <w:rFonts w:asciiTheme="majorHAnsi" w:hAnsiTheme="majorHAnsi" w:cstheme="majorHAnsi"/>
          <w:sz w:val="22"/>
          <w:szCs w:val="22"/>
        </w:rPr>
        <w:t>School Y had a three-year avera</w:t>
      </w:r>
      <w:r w:rsidR="00B952FE">
        <w:rPr>
          <w:rFonts w:asciiTheme="majorHAnsi" w:hAnsiTheme="majorHAnsi" w:cstheme="majorHAnsi"/>
          <w:sz w:val="22"/>
          <w:szCs w:val="22"/>
        </w:rPr>
        <w:t xml:space="preserve">ge of just 6.3% of </w:t>
      </w:r>
      <w:r>
        <w:rPr>
          <w:rFonts w:asciiTheme="majorHAnsi" w:hAnsiTheme="majorHAnsi" w:cstheme="majorHAnsi"/>
          <w:sz w:val="22"/>
          <w:szCs w:val="22"/>
        </w:rPr>
        <w:t>e</w:t>
      </w:r>
      <w:r w:rsidR="00B952FE">
        <w:rPr>
          <w:rFonts w:asciiTheme="majorHAnsi" w:hAnsiTheme="majorHAnsi" w:cstheme="majorHAnsi"/>
          <w:sz w:val="22"/>
          <w:szCs w:val="22"/>
        </w:rPr>
        <w:t>FSM learners</w:t>
      </w:r>
      <w:r w:rsidRPr="00692092">
        <w:rPr>
          <w:rFonts w:asciiTheme="majorHAnsi" w:hAnsiTheme="majorHAnsi" w:cstheme="majorHAnsi"/>
          <w:sz w:val="22"/>
          <w:szCs w:val="22"/>
        </w:rPr>
        <w:t>, so the researcher found that there was a limitation imposed upon the analysis of the results of the study in terms of whether they can be regarded as generalisable or not. Being 11.7% lower than the national average in Wales as a whole, the researcher acknowledges that the results and the conclusions that have been drawn from these results may not be representative of other schools under the jurisdiction of the same Local Authority (LA) as School Y; of other schools with similar pe</w:t>
      </w:r>
      <w:r>
        <w:rPr>
          <w:rFonts w:asciiTheme="majorHAnsi" w:hAnsiTheme="majorHAnsi" w:cstheme="majorHAnsi"/>
          <w:sz w:val="22"/>
          <w:szCs w:val="22"/>
        </w:rPr>
        <w:t>rcentages of e</w:t>
      </w:r>
      <w:r w:rsidRPr="00692092">
        <w:rPr>
          <w:rFonts w:asciiTheme="majorHAnsi" w:hAnsiTheme="majorHAnsi" w:cstheme="majorHAnsi"/>
          <w:sz w:val="22"/>
          <w:szCs w:val="22"/>
        </w:rPr>
        <w:t xml:space="preserve">FSM, and; to any </w:t>
      </w:r>
      <w:r w:rsidR="00B952FE">
        <w:rPr>
          <w:rFonts w:asciiTheme="majorHAnsi" w:hAnsiTheme="majorHAnsi" w:cstheme="majorHAnsi"/>
          <w:sz w:val="22"/>
          <w:szCs w:val="22"/>
        </w:rPr>
        <w:t>school around Wales as a whole.</w:t>
      </w:r>
    </w:p>
    <w:p w14:paraId="5577B95A" w14:textId="77777777" w:rsidR="00B952FE" w:rsidRDefault="00B952FE" w:rsidP="00C67159">
      <w:pPr>
        <w:spacing w:line="480" w:lineRule="auto"/>
        <w:ind w:firstLine="720"/>
        <w:jc w:val="both"/>
        <w:rPr>
          <w:rFonts w:asciiTheme="majorHAnsi" w:hAnsiTheme="majorHAnsi" w:cstheme="majorHAnsi"/>
          <w:sz w:val="22"/>
          <w:szCs w:val="22"/>
        </w:rPr>
      </w:pPr>
    </w:p>
    <w:p w14:paraId="13E20D2D" w14:textId="77777777" w:rsidR="00B952FE" w:rsidRDefault="00B952FE" w:rsidP="00C67159">
      <w:pPr>
        <w:spacing w:line="480" w:lineRule="auto"/>
        <w:ind w:firstLine="720"/>
        <w:jc w:val="both"/>
        <w:rPr>
          <w:rFonts w:asciiTheme="majorHAnsi" w:hAnsiTheme="majorHAnsi" w:cstheme="majorHAnsi"/>
          <w:sz w:val="22"/>
          <w:szCs w:val="22"/>
        </w:rPr>
      </w:pPr>
      <w:r>
        <w:rPr>
          <w:rFonts w:asciiTheme="majorHAnsi" w:hAnsiTheme="majorHAnsi" w:cstheme="majorHAnsi"/>
          <w:sz w:val="22"/>
          <w:szCs w:val="22"/>
        </w:rPr>
        <w:t>F</w:t>
      </w:r>
      <w:r w:rsidR="00804766" w:rsidRPr="00692092">
        <w:rPr>
          <w:rFonts w:asciiTheme="majorHAnsi" w:hAnsiTheme="majorHAnsi" w:cstheme="majorHAnsi"/>
          <w:sz w:val="22"/>
          <w:szCs w:val="22"/>
        </w:rPr>
        <w:t>or future development with respect to the topic at hand, it could be suggested that should the study be replicated for any known reason, it should be undertaken as a longitudinal study; taking place over an extended period of time, and quite possibly at a range of schools so that data can be considered to be more generalisable.</w:t>
      </w:r>
    </w:p>
    <w:p w14:paraId="75B912CA" w14:textId="4C2BA702" w:rsidR="00804766" w:rsidRPr="00692092" w:rsidRDefault="00B952FE" w:rsidP="00C67159">
      <w:pPr>
        <w:spacing w:line="480" w:lineRule="auto"/>
        <w:ind w:firstLine="720"/>
        <w:jc w:val="both"/>
        <w:rPr>
          <w:rFonts w:asciiTheme="majorHAnsi" w:hAnsiTheme="majorHAnsi" w:cstheme="majorHAnsi"/>
          <w:sz w:val="22"/>
          <w:szCs w:val="22"/>
        </w:rPr>
      </w:pPr>
      <w:r>
        <w:rPr>
          <w:rFonts w:asciiTheme="majorHAnsi" w:hAnsiTheme="majorHAnsi" w:cstheme="majorHAnsi"/>
          <w:sz w:val="22"/>
          <w:szCs w:val="22"/>
        </w:rPr>
        <w:t>The researcher also suggests the use of a pre- and post-test model in which the researcher would be able to assess the extent to which learning has taken place, rather than solely using observations and pupil evaluations in order to record a change in attitudes and the learning environment.</w:t>
      </w:r>
      <w:r w:rsidR="00C32523">
        <w:rPr>
          <w:rFonts w:asciiTheme="majorHAnsi" w:hAnsiTheme="majorHAnsi" w:cstheme="majorHAnsi"/>
          <w:sz w:val="22"/>
          <w:szCs w:val="22"/>
        </w:rPr>
        <w:t xml:space="preserve"> By replicating the study with the addition of pre- and post-testing methods, the researcher may possibly be able to add a further element of validity to the conclusions drawn thereafter.</w:t>
      </w:r>
    </w:p>
    <w:p w14:paraId="55EA4E3B" w14:textId="77777777" w:rsidR="00C32523" w:rsidRDefault="00C32523" w:rsidP="00C32523">
      <w:pPr>
        <w:spacing w:line="480" w:lineRule="auto"/>
        <w:ind w:firstLine="720"/>
        <w:jc w:val="both"/>
        <w:rPr>
          <w:rFonts w:asciiTheme="majorHAnsi" w:hAnsiTheme="majorHAnsi" w:cstheme="majorHAnsi"/>
          <w:b/>
          <w:noProof/>
          <w:sz w:val="22"/>
          <w:szCs w:val="22"/>
          <w:u w:val="single"/>
        </w:rPr>
      </w:pPr>
      <w:bookmarkStart w:id="45" w:name="_GoBack"/>
      <w:bookmarkEnd w:id="45"/>
    </w:p>
    <w:p w14:paraId="4FE4BD5D" w14:textId="3DA74AB8" w:rsidR="00C32523" w:rsidRPr="00621B1E" w:rsidRDefault="00C32523" w:rsidP="00C32523">
      <w:pPr>
        <w:spacing w:line="480" w:lineRule="auto"/>
        <w:ind w:firstLine="720"/>
        <w:jc w:val="both"/>
        <w:rPr>
          <w:rFonts w:asciiTheme="majorHAnsi" w:hAnsiTheme="majorHAnsi" w:cstheme="majorHAnsi"/>
          <w:b/>
          <w:noProof/>
          <w:sz w:val="22"/>
          <w:szCs w:val="22"/>
          <w:u w:val="single"/>
        </w:rPr>
      </w:pPr>
      <w:r w:rsidRPr="00621B1E">
        <w:rPr>
          <w:rFonts w:asciiTheme="majorHAnsi" w:hAnsiTheme="majorHAnsi" w:cstheme="majorHAnsi"/>
          <w:b/>
          <w:noProof/>
          <w:sz w:val="22"/>
          <w:szCs w:val="22"/>
          <w:u w:val="single"/>
        </w:rPr>
        <w:t>References</w:t>
      </w:r>
    </w:p>
    <w:p w14:paraId="154179D2" w14:textId="77777777" w:rsidR="00C32523" w:rsidRPr="00621B1E" w:rsidRDefault="00C32523" w:rsidP="00C32523">
      <w:pPr>
        <w:spacing w:line="480" w:lineRule="auto"/>
        <w:rPr>
          <w:rFonts w:asciiTheme="majorHAnsi" w:hAnsiTheme="majorHAnsi" w:cstheme="majorHAnsi"/>
          <w:sz w:val="22"/>
          <w:szCs w:val="22"/>
        </w:rPr>
      </w:pPr>
      <w:r w:rsidRPr="00621B1E">
        <w:rPr>
          <w:rFonts w:asciiTheme="majorHAnsi" w:hAnsiTheme="majorHAnsi" w:cstheme="majorHAnsi"/>
          <w:sz w:val="22"/>
          <w:szCs w:val="22"/>
        </w:rPr>
        <w:t xml:space="preserve">Barley, Z., Lauer, P., </w:t>
      </w:r>
      <w:proofErr w:type="spellStart"/>
      <w:r w:rsidRPr="00621B1E">
        <w:rPr>
          <w:rFonts w:asciiTheme="majorHAnsi" w:hAnsiTheme="majorHAnsi" w:cstheme="majorHAnsi"/>
          <w:sz w:val="22"/>
          <w:szCs w:val="22"/>
        </w:rPr>
        <w:t>Arens</w:t>
      </w:r>
      <w:proofErr w:type="spellEnd"/>
      <w:r w:rsidRPr="00621B1E">
        <w:rPr>
          <w:rFonts w:asciiTheme="majorHAnsi" w:hAnsiTheme="majorHAnsi" w:cstheme="majorHAnsi"/>
          <w:sz w:val="22"/>
          <w:szCs w:val="22"/>
        </w:rPr>
        <w:t xml:space="preserve">, S., </w:t>
      </w:r>
      <w:proofErr w:type="spellStart"/>
      <w:r w:rsidRPr="00621B1E">
        <w:rPr>
          <w:rFonts w:asciiTheme="majorHAnsi" w:hAnsiTheme="majorHAnsi" w:cstheme="majorHAnsi"/>
          <w:sz w:val="22"/>
          <w:szCs w:val="22"/>
        </w:rPr>
        <w:t>Apthorp</w:t>
      </w:r>
      <w:proofErr w:type="spellEnd"/>
      <w:r w:rsidRPr="00621B1E">
        <w:rPr>
          <w:rFonts w:asciiTheme="majorHAnsi" w:hAnsiTheme="majorHAnsi" w:cstheme="majorHAnsi"/>
          <w:sz w:val="22"/>
          <w:szCs w:val="22"/>
        </w:rPr>
        <w:t xml:space="preserve">, H., Englert, K., Snow, D. and Akiba, M. (2002). </w:t>
      </w:r>
      <w:r w:rsidRPr="00621B1E">
        <w:rPr>
          <w:rFonts w:asciiTheme="majorHAnsi" w:hAnsiTheme="majorHAnsi" w:cstheme="majorHAnsi"/>
          <w:i/>
          <w:sz w:val="22"/>
          <w:szCs w:val="22"/>
        </w:rPr>
        <w:t>Helping at-risk students meet standards: A synthesis of evidence-based classroom practices</w:t>
      </w:r>
      <w:r w:rsidRPr="00621B1E">
        <w:rPr>
          <w:rFonts w:asciiTheme="majorHAnsi" w:hAnsiTheme="majorHAnsi" w:cstheme="majorHAnsi"/>
          <w:sz w:val="22"/>
          <w:szCs w:val="22"/>
        </w:rPr>
        <w:t>. Aurora: Mid-Continent Research for Education and Leaning.</w:t>
      </w:r>
    </w:p>
    <w:p w14:paraId="0BEB2963" w14:textId="77777777" w:rsidR="00C32523" w:rsidRPr="00621B1E" w:rsidRDefault="00C32523" w:rsidP="00C32523">
      <w:pPr>
        <w:spacing w:line="480" w:lineRule="auto"/>
        <w:rPr>
          <w:rFonts w:asciiTheme="majorHAnsi" w:hAnsiTheme="majorHAnsi" w:cstheme="majorHAnsi"/>
          <w:sz w:val="22"/>
          <w:szCs w:val="22"/>
        </w:rPr>
      </w:pPr>
      <w:r w:rsidRPr="00621B1E">
        <w:rPr>
          <w:rFonts w:asciiTheme="majorHAnsi" w:hAnsiTheme="majorHAnsi" w:cstheme="majorHAnsi"/>
          <w:sz w:val="22"/>
          <w:szCs w:val="22"/>
        </w:rPr>
        <w:t xml:space="preserve">Bavisotto, M. (2014) </w:t>
      </w:r>
      <w:r w:rsidRPr="00621B1E">
        <w:rPr>
          <w:rFonts w:asciiTheme="majorHAnsi" w:hAnsiTheme="majorHAnsi" w:cstheme="majorHAnsi"/>
          <w:i/>
          <w:sz w:val="22"/>
          <w:szCs w:val="22"/>
        </w:rPr>
        <w:t>Online vs Brick and Mortar Schools.</w:t>
      </w:r>
      <w:r w:rsidRPr="00621B1E">
        <w:rPr>
          <w:rFonts w:asciiTheme="majorHAnsi" w:hAnsiTheme="majorHAnsi" w:cstheme="majorHAnsi"/>
          <w:sz w:val="22"/>
          <w:szCs w:val="22"/>
        </w:rPr>
        <w:t xml:space="preserve"> Available at: </w:t>
      </w:r>
      <w:hyperlink r:id="rId12" w:history="1">
        <w:r w:rsidRPr="00621B1E">
          <w:rPr>
            <w:rStyle w:val="Hyperlink"/>
            <w:rFonts w:asciiTheme="majorHAnsi" w:hAnsiTheme="majorHAnsi" w:cstheme="majorHAnsi"/>
            <w:sz w:val="22"/>
            <w:szCs w:val="22"/>
            <w:u w:val="none"/>
          </w:rPr>
          <w:t>https://www.linkedin.com/pulse/20141112182019-118796435-online-vs-brick-and-mortar-schools/</w:t>
        </w:r>
      </w:hyperlink>
      <w:r w:rsidRPr="00621B1E">
        <w:rPr>
          <w:rFonts w:asciiTheme="majorHAnsi" w:hAnsiTheme="majorHAnsi" w:cstheme="majorHAnsi"/>
          <w:sz w:val="22"/>
          <w:szCs w:val="22"/>
        </w:rPr>
        <w:t xml:space="preserve"> (Last Accessed: May 3</w:t>
      </w:r>
      <w:r w:rsidRPr="00621B1E">
        <w:rPr>
          <w:rFonts w:asciiTheme="majorHAnsi" w:hAnsiTheme="majorHAnsi" w:cstheme="majorHAnsi"/>
          <w:sz w:val="22"/>
          <w:szCs w:val="22"/>
          <w:vertAlign w:val="superscript"/>
        </w:rPr>
        <w:t>rd</w:t>
      </w:r>
      <w:proofErr w:type="gramStart"/>
      <w:r w:rsidRPr="00621B1E">
        <w:rPr>
          <w:rFonts w:asciiTheme="majorHAnsi" w:hAnsiTheme="majorHAnsi" w:cstheme="majorHAnsi"/>
          <w:sz w:val="22"/>
          <w:szCs w:val="22"/>
        </w:rPr>
        <w:t xml:space="preserve"> 2018</w:t>
      </w:r>
      <w:proofErr w:type="gramEnd"/>
      <w:r w:rsidRPr="00621B1E">
        <w:rPr>
          <w:rFonts w:asciiTheme="majorHAnsi" w:hAnsiTheme="majorHAnsi" w:cstheme="majorHAnsi"/>
          <w:sz w:val="22"/>
          <w:szCs w:val="22"/>
        </w:rPr>
        <w:t>)</w:t>
      </w:r>
    </w:p>
    <w:p w14:paraId="579F6200" w14:textId="77777777" w:rsidR="00C32523" w:rsidRPr="00621B1E" w:rsidRDefault="00C32523" w:rsidP="00C32523">
      <w:pPr>
        <w:spacing w:line="480" w:lineRule="auto"/>
        <w:jc w:val="both"/>
        <w:rPr>
          <w:rFonts w:asciiTheme="majorHAnsi" w:hAnsiTheme="majorHAnsi" w:cstheme="majorHAnsi"/>
          <w:sz w:val="22"/>
          <w:szCs w:val="22"/>
        </w:rPr>
      </w:pPr>
      <w:r w:rsidRPr="00621B1E">
        <w:rPr>
          <w:rFonts w:asciiTheme="majorHAnsi" w:hAnsiTheme="majorHAnsi" w:cstheme="majorHAnsi"/>
          <w:sz w:val="22"/>
          <w:szCs w:val="22"/>
        </w:rPr>
        <w:lastRenderedPageBreak/>
        <w:t>Bellan, J. M. and Scheurman, G. (2001). “Actual and virtual reality: Making the most of field trips.” In R. L. Stevens (2001)</w:t>
      </w:r>
      <w:r w:rsidRPr="00621B1E">
        <w:rPr>
          <w:rFonts w:asciiTheme="majorHAnsi" w:hAnsiTheme="majorHAnsi" w:cstheme="majorHAnsi"/>
          <w:i/>
          <w:sz w:val="22"/>
          <w:szCs w:val="22"/>
        </w:rPr>
        <w:t xml:space="preserve"> Homespun: Teaching local history in Grades 6-12</w:t>
      </w:r>
      <w:r w:rsidRPr="00621B1E">
        <w:rPr>
          <w:rFonts w:asciiTheme="majorHAnsi" w:hAnsiTheme="majorHAnsi" w:cstheme="majorHAnsi"/>
          <w:sz w:val="22"/>
          <w:szCs w:val="22"/>
        </w:rPr>
        <w:t xml:space="preserve">. Portsmouth, </w:t>
      </w:r>
      <w:proofErr w:type="gramStart"/>
      <w:r w:rsidRPr="00621B1E">
        <w:rPr>
          <w:rFonts w:asciiTheme="majorHAnsi" w:hAnsiTheme="majorHAnsi" w:cstheme="majorHAnsi"/>
          <w:sz w:val="22"/>
          <w:szCs w:val="22"/>
        </w:rPr>
        <w:t>NH:.</w:t>
      </w:r>
      <w:proofErr w:type="gramEnd"/>
      <w:r w:rsidRPr="00621B1E">
        <w:rPr>
          <w:rFonts w:asciiTheme="majorHAnsi" w:hAnsiTheme="majorHAnsi" w:cstheme="majorHAnsi"/>
          <w:sz w:val="22"/>
          <w:szCs w:val="22"/>
        </w:rPr>
        <w:t xml:space="preserve"> Heinemann.</w:t>
      </w:r>
    </w:p>
    <w:p w14:paraId="187F8C32" w14:textId="77777777" w:rsidR="00C32523" w:rsidRPr="00621B1E" w:rsidRDefault="00C32523" w:rsidP="00C32523">
      <w:pPr>
        <w:spacing w:line="480" w:lineRule="auto"/>
        <w:rPr>
          <w:rFonts w:asciiTheme="majorHAnsi" w:hAnsiTheme="majorHAnsi" w:cstheme="majorHAnsi"/>
          <w:sz w:val="22"/>
          <w:szCs w:val="22"/>
        </w:rPr>
      </w:pPr>
      <w:r w:rsidRPr="00621B1E">
        <w:rPr>
          <w:rFonts w:asciiTheme="majorHAnsi" w:hAnsiTheme="majorHAnsi" w:cstheme="majorHAnsi"/>
          <w:color w:val="333333"/>
          <w:sz w:val="22"/>
          <w:szCs w:val="22"/>
          <w:shd w:val="clear" w:color="auto" w:fill="FFFFFF"/>
        </w:rPr>
        <w:t>British Educational Research Association (BERA) (2011) </w:t>
      </w:r>
      <w:r w:rsidRPr="00621B1E">
        <w:rPr>
          <w:rStyle w:val="Emphasis"/>
          <w:rFonts w:asciiTheme="majorHAnsi" w:hAnsiTheme="majorHAnsi" w:cstheme="majorHAnsi"/>
          <w:color w:val="333333"/>
          <w:sz w:val="22"/>
          <w:szCs w:val="22"/>
          <w:shd w:val="clear" w:color="auto" w:fill="FFFFFF"/>
        </w:rPr>
        <w:t>Ethical guidelines for educational research</w:t>
      </w:r>
      <w:r w:rsidRPr="00621B1E">
        <w:rPr>
          <w:rFonts w:asciiTheme="majorHAnsi" w:hAnsiTheme="majorHAnsi" w:cstheme="majorHAnsi"/>
          <w:color w:val="333333"/>
          <w:sz w:val="22"/>
          <w:szCs w:val="22"/>
          <w:shd w:val="clear" w:color="auto" w:fill="FFFFFF"/>
        </w:rPr>
        <w:t>. Available online at: </w:t>
      </w:r>
      <w:hyperlink r:id="rId13" w:tgtFrame="_blank" w:history="1">
        <w:r w:rsidRPr="00621B1E">
          <w:rPr>
            <w:rStyle w:val="Hyperlink"/>
            <w:rFonts w:asciiTheme="majorHAnsi" w:hAnsiTheme="majorHAnsi" w:cstheme="majorHAnsi"/>
            <w:color w:val="337AB7"/>
            <w:sz w:val="22"/>
            <w:szCs w:val="22"/>
            <w:u w:val="none"/>
            <w:shd w:val="clear" w:color="auto" w:fill="FFFFFF"/>
          </w:rPr>
          <w:t>https://www.bera.ac.uk/researchers-resources/publications/ethical-guidelines-for-educational-research-2011</w:t>
        </w:r>
      </w:hyperlink>
      <w:r w:rsidRPr="00621B1E">
        <w:rPr>
          <w:rFonts w:asciiTheme="majorHAnsi" w:hAnsiTheme="majorHAnsi" w:cstheme="majorHAnsi"/>
          <w:color w:val="333333"/>
          <w:sz w:val="22"/>
          <w:szCs w:val="22"/>
          <w:shd w:val="clear" w:color="auto" w:fill="FFFFFF"/>
        </w:rPr>
        <w:t> (Last accessed:  March 11</w:t>
      </w:r>
      <w:r w:rsidRPr="00621B1E">
        <w:rPr>
          <w:rFonts w:asciiTheme="majorHAnsi" w:hAnsiTheme="majorHAnsi" w:cstheme="majorHAnsi"/>
          <w:color w:val="333333"/>
          <w:sz w:val="22"/>
          <w:szCs w:val="22"/>
          <w:shd w:val="clear" w:color="auto" w:fill="FFFFFF"/>
          <w:vertAlign w:val="superscript"/>
        </w:rPr>
        <w:t>th</w:t>
      </w:r>
      <w:r w:rsidRPr="00621B1E">
        <w:rPr>
          <w:rFonts w:asciiTheme="majorHAnsi" w:hAnsiTheme="majorHAnsi" w:cstheme="majorHAnsi"/>
          <w:color w:val="333333"/>
          <w:sz w:val="22"/>
          <w:szCs w:val="22"/>
          <w:shd w:val="clear" w:color="auto" w:fill="FFFFFF"/>
        </w:rPr>
        <w:t xml:space="preserve"> 2018).</w:t>
      </w:r>
    </w:p>
    <w:p w14:paraId="703206BE" w14:textId="77777777" w:rsidR="00C32523" w:rsidRPr="00621B1E" w:rsidRDefault="00C32523" w:rsidP="00C32523">
      <w:pPr>
        <w:spacing w:line="480" w:lineRule="auto"/>
        <w:jc w:val="both"/>
        <w:rPr>
          <w:rFonts w:asciiTheme="majorHAnsi" w:hAnsiTheme="majorHAnsi" w:cstheme="majorHAnsi"/>
          <w:sz w:val="22"/>
          <w:szCs w:val="22"/>
        </w:rPr>
      </w:pPr>
      <w:proofErr w:type="spellStart"/>
      <w:r w:rsidRPr="00621B1E">
        <w:rPr>
          <w:rFonts w:asciiTheme="majorHAnsi" w:hAnsiTheme="majorHAnsi" w:cstheme="majorHAnsi"/>
          <w:sz w:val="22"/>
          <w:szCs w:val="22"/>
        </w:rPr>
        <w:t>Bradbrook</w:t>
      </w:r>
      <w:proofErr w:type="spellEnd"/>
      <w:r w:rsidRPr="00621B1E">
        <w:rPr>
          <w:rFonts w:asciiTheme="majorHAnsi" w:hAnsiTheme="majorHAnsi" w:cstheme="majorHAnsi"/>
          <w:sz w:val="22"/>
          <w:szCs w:val="22"/>
        </w:rPr>
        <w:t xml:space="preserve">, G., </w:t>
      </w:r>
      <w:proofErr w:type="spellStart"/>
      <w:r w:rsidRPr="00621B1E">
        <w:rPr>
          <w:rFonts w:asciiTheme="majorHAnsi" w:hAnsiTheme="majorHAnsi" w:cstheme="majorHAnsi"/>
          <w:sz w:val="22"/>
          <w:szCs w:val="22"/>
        </w:rPr>
        <w:t>Alvi</w:t>
      </w:r>
      <w:proofErr w:type="spellEnd"/>
      <w:r w:rsidRPr="00621B1E">
        <w:rPr>
          <w:rFonts w:asciiTheme="majorHAnsi" w:hAnsiTheme="majorHAnsi" w:cstheme="majorHAnsi"/>
          <w:sz w:val="22"/>
          <w:szCs w:val="22"/>
        </w:rPr>
        <w:t xml:space="preserve">, I., Fisher, J., Lloyd, H., Moore, R., Thompson, V., Brake, D., </w:t>
      </w:r>
      <w:proofErr w:type="spellStart"/>
      <w:r w:rsidRPr="00621B1E">
        <w:rPr>
          <w:rFonts w:asciiTheme="majorHAnsi" w:hAnsiTheme="majorHAnsi" w:cstheme="majorHAnsi"/>
          <w:sz w:val="22"/>
          <w:szCs w:val="22"/>
        </w:rPr>
        <w:t>Helsper</w:t>
      </w:r>
      <w:proofErr w:type="spellEnd"/>
      <w:r w:rsidRPr="00621B1E">
        <w:rPr>
          <w:rFonts w:asciiTheme="majorHAnsi" w:hAnsiTheme="majorHAnsi" w:cstheme="majorHAnsi"/>
          <w:sz w:val="22"/>
          <w:szCs w:val="22"/>
        </w:rPr>
        <w:t xml:space="preserve">, E. and Livingstone, S. (2007) </w:t>
      </w:r>
      <w:r w:rsidRPr="00621B1E">
        <w:rPr>
          <w:rFonts w:asciiTheme="majorHAnsi" w:hAnsiTheme="majorHAnsi" w:cstheme="majorHAnsi"/>
          <w:i/>
          <w:sz w:val="22"/>
          <w:szCs w:val="22"/>
        </w:rPr>
        <w:t xml:space="preserve">Meeting their potential: the role of education and technology in overcoming disadvantage and disaffection in young people. </w:t>
      </w:r>
      <w:r w:rsidRPr="00621B1E">
        <w:rPr>
          <w:rFonts w:asciiTheme="majorHAnsi" w:hAnsiTheme="majorHAnsi" w:cstheme="majorHAnsi"/>
          <w:sz w:val="22"/>
          <w:szCs w:val="22"/>
        </w:rPr>
        <w:t xml:space="preserve">United Kingdom: </w:t>
      </w:r>
      <w:proofErr w:type="spellStart"/>
      <w:r w:rsidRPr="00621B1E">
        <w:rPr>
          <w:rFonts w:asciiTheme="majorHAnsi" w:hAnsiTheme="majorHAnsi" w:cstheme="majorHAnsi"/>
          <w:sz w:val="22"/>
          <w:szCs w:val="22"/>
        </w:rPr>
        <w:t>Becta</w:t>
      </w:r>
      <w:proofErr w:type="spellEnd"/>
      <w:r w:rsidRPr="00621B1E">
        <w:rPr>
          <w:rFonts w:asciiTheme="majorHAnsi" w:hAnsiTheme="majorHAnsi" w:cstheme="majorHAnsi"/>
          <w:sz w:val="22"/>
          <w:szCs w:val="22"/>
        </w:rPr>
        <w:t>.</w:t>
      </w:r>
    </w:p>
    <w:p w14:paraId="4A39AA26" w14:textId="77777777" w:rsidR="00C32523" w:rsidRPr="00621B1E" w:rsidRDefault="00C32523" w:rsidP="00C32523">
      <w:pPr>
        <w:spacing w:line="480" w:lineRule="auto"/>
        <w:rPr>
          <w:rFonts w:asciiTheme="majorHAnsi" w:hAnsiTheme="majorHAnsi" w:cstheme="majorHAnsi"/>
          <w:sz w:val="22"/>
          <w:szCs w:val="22"/>
        </w:rPr>
      </w:pPr>
      <w:r w:rsidRPr="00621B1E">
        <w:rPr>
          <w:rFonts w:asciiTheme="majorHAnsi" w:hAnsiTheme="majorHAnsi" w:cstheme="majorHAnsi"/>
          <w:sz w:val="22"/>
          <w:szCs w:val="22"/>
        </w:rPr>
        <w:t xml:space="preserve">Bransford, J., Brown, A. and Cocking, R. (2000) </w:t>
      </w:r>
      <w:r w:rsidRPr="00621B1E">
        <w:rPr>
          <w:rFonts w:asciiTheme="majorHAnsi" w:hAnsiTheme="majorHAnsi" w:cstheme="majorHAnsi"/>
          <w:i/>
          <w:sz w:val="22"/>
          <w:szCs w:val="22"/>
        </w:rPr>
        <w:t>How People Learn: Brain, Mind, Experience and School.</w:t>
      </w:r>
      <w:r w:rsidRPr="00621B1E">
        <w:rPr>
          <w:rFonts w:asciiTheme="majorHAnsi" w:hAnsiTheme="majorHAnsi" w:cstheme="majorHAnsi"/>
          <w:sz w:val="22"/>
          <w:szCs w:val="22"/>
        </w:rPr>
        <w:t xml:space="preserve"> Washington DC: National Academy Press.</w:t>
      </w:r>
    </w:p>
    <w:p w14:paraId="214148DA" w14:textId="77777777" w:rsidR="00C32523" w:rsidRPr="00621B1E" w:rsidRDefault="00C32523" w:rsidP="00C32523">
      <w:pPr>
        <w:spacing w:line="480" w:lineRule="auto"/>
        <w:rPr>
          <w:rFonts w:asciiTheme="majorHAnsi" w:hAnsiTheme="majorHAnsi" w:cstheme="majorHAnsi"/>
          <w:sz w:val="22"/>
          <w:szCs w:val="22"/>
        </w:rPr>
      </w:pPr>
      <w:proofErr w:type="spellStart"/>
      <w:r w:rsidRPr="00621B1E">
        <w:rPr>
          <w:rFonts w:asciiTheme="majorHAnsi" w:hAnsiTheme="majorHAnsi" w:cstheme="majorHAnsi"/>
          <w:sz w:val="22"/>
          <w:szCs w:val="22"/>
        </w:rPr>
        <w:t>Biagi</w:t>
      </w:r>
      <w:proofErr w:type="spellEnd"/>
      <w:r w:rsidRPr="00621B1E">
        <w:rPr>
          <w:rFonts w:asciiTheme="majorHAnsi" w:hAnsiTheme="majorHAnsi" w:cstheme="majorHAnsi"/>
          <w:sz w:val="22"/>
          <w:szCs w:val="22"/>
        </w:rPr>
        <w:t xml:space="preserve">, F. and Rodrigues, M. (2017) </w:t>
      </w:r>
      <w:r w:rsidRPr="00621B1E">
        <w:rPr>
          <w:rFonts w:asciiTheme="majorHAnsi" w:hAnsiTheme="majorHAnsi" w:cstheme="majorHAnsi"/>
          <w:i/>
          <w:sz w:val="22"/>
          <w:szCs w:val="22"/>
        </w:rPr>
        <w:t>Digital technologies and learning outcomes of students from low socio-economic background: An analysis of PISA 2015.</w:t>
      </w:r>
      <w:r w:rsidRPr="00621B1E">
        <w:rPr>
          <w:rFonts w:asciiTheme="majorHAnsi" w:hAnsiTheme="majorHAnsi" w:cstheme="majorHAnsi"/>
          <w:sz w:val="22"/>
          <w:szCs w:val="22"/>
        </w:rPr>
        <w:t xml:space="preserve"> Luxembourg: Publications Office of the European Union.</w:t>
      </w:r>
    </w:p>
    <w:p w14:paraId="60948CE3" w14:textId="77777777" w:rsidR="00C32523" w:rsidRPr="00621B1E" w:rsidRDefault="00C32523" w:rsidP="00C32523">
      <w:pPr>
        <w:spacing w:line="480" w:lineRule="auto"/>
        <w:rPr>
          <w:rFonts w:asciiTheme="majorHAnsi" w:hAnsiTheme="majorHAnsi" w:cstheme="majorHAnsi"/>
          <w:sz w:val="22"/>
          <w:szCs w:val="22"/>
        </w:rPr>
      </w:pPr>
      <w:r w:rsidRPr="00621B1E">
        <w:rPr>
          <w:rFonts w:asciiTheme="majorHAnsi" w:hAnsiTheme="majorHAnsi" w:cstheme="majorHAnsi"/>
          <w:sz w:val="22"/>
          <w:szCs w:val="22"/>
        </w:rPr>
        <w:t xml:space="preserve">Brown, H. (1999) “M&amp;Ms for language classrooms? Another look at motivation.” In J. </w:t>
      </w:r>
      <w:proofErr w:type="spellStart"/>
      <w:r w:rsidRPr="00621B1E">
        <w:rPr>
          <w:rFonts w:asciiTheme="majorHAnsi" w:hAnsiTheme="majorHAnsi" w:cstheme="majorHAnsi"/>
          <w:sz w:val="22"/>
          <w:szCs w:val="22"/>
        </w:rPr>
        <w:t>Alatis</w:t>
      </w:r>
      <w:proofErr w:type="spellEnd"/>
      <w:r w:rsidRPr="00621B1E">
        <w:rPr>
          <w:rFonts w:asciiTheme="majorHAnsi" w:hAnsiTheme="majorHAnsi" w:cstheme="majorHAnsi"/>
          <w:sz w:val="22"/>
          <w:szCs w:val="22"/>
        </w:rPr>
        <w:t xml:space="preserve"> (ed.), </w:t>
      </w:r>
      <w:r w:rsidRPr="00621B1E">
        <w:rPr>
          <w:rFonts w:asciiTheme="majorHAnsi" w:hAnsiTheme="majorHAnsi" w:cstheme="majorHAnsi"/>
          <w:i/>
          <w:sz w:val="22"/>
          <w:szCs w:val="22"/>
        </w:rPr>
        <w:t>Georgetown University round table on language and linguistics 1990.</w:t>
      </w:r>
      <w:r w:rsidRPr="00621B1E">
        <w:rPr>
          <w:rFonts w:asciiTheme="majorHAnsi" w:hAnsiTheme="majorHAnsi" w:cstheme="majorHAnsi"/>
          <w:sz w:val="22"/>
          <w:szCs w:val="22"/>
        </w:rPr>
        <w:t xml:space="preserve"> P383-393.</w:t>
      </w:r>
    </w:p>
    <w:p w14:paraId="3DEDDB6C" w14:textId="77777777" w:rsidR="00C32523" w:rsidRPr="00621B1E" w:rsidRDefault="00C32523" w:rsidP="00C32523">
      <w:pPr>
        <w:spacing w:line="480" w:lineRule="auto"/>
        <w:rPr>
          <w:rFonts w:asciiTheme="majorHAnsi" w:hAnsiTheme="majorHAnsi" w:cstheme="majorHAnsi"/>
          <w:sz w:val="22"/>
          <w:szCs w:val="22"/>
        </w:rPr>
      </w:pPr>
      <w:r w:rsidRPr="00621B1E">
        <w:rPr>
          <w:rFonts w:asciiTheme="majorHAnsi" w:hAnsiTheme="majorHAnsi" w:cstheme="majorHAnsi"/>
          <w:sz w:val="22"/>
          <w:szCs w:val="22"/>
        </w:rPr>
        <w:t xml:space="preserve">Buzzard, C., Crittenden, V., Crittenden, w. and McCarty, P. (2011) “The use of Digital Technologies in the Classroom: A Teaching and Learning Perspective.” </w:t>
      </w:r>
      <w:r w:rsidRPr="00621B1E">
        <w:rPr>
          <w:rFonts w:asciiTheme="majorHAnsi" w:hAnsiTheme="majorHAnsi" w:cstheme="majorHAnsi"/>
          <w:i/>
          <w:sz w:val="22"/>
          <w:szCs w:val="22"/>
        </w:rPr>
        <w:t>Journal of Marketing Education.</w:t>
      </w:r>
      <w:r w:rsidRPr="00621B1E">
        <w:rPr>
          <w:rFonts w:asciiTheme="majorHAnsi" w:hAnsiTheme="majorHAnsi" w:cstheme="majorHAnsi"/>
          <w:sz w:val="22"/>
          <w:szCs w:val="22"/>
        </w:rPr>
        <w:t xml:space="preserve"> Volume 33(2). P131-139.</w:t>
      </w:r>
    </w:p>
    <w:p w14:paraId="69079AD8" w14:textId="77777777" w:rsidR="00C32523" w:rsidRPr="00621B1E" w:rsidRDefault="00C32523" w:rsidP="00C32523">
      <w:pPr>
        <w:spacing w:line="480" w:lineRule="auto"/>
        <w:rPr>
          <w:rFonts w:asciiTheme="majorHAnsi" w:hAnsiTheme="majorHAnsi" w:cstheme="majorHAnsi"/>
          <w:sz w:val="22"/>
          <w:szCs w:val="22"/>
        </w:rPr>
      </w:pPr>
      <w:r w:rsidRPr="00621B1E">
        <w:rPr>
          <w:rFonts w:asciiTheme="majorHAnsi" w:hAnsiTheme="majorHAnsi" w:cstheme="majorHAnsi"/>
          <w:sz w:val="22"/>
          <w:szCs w:val="22"/>
        </w:rPr>
        <w:t xml:space="preserve">Cambridge International (2017) </w:t>
      </w:r>
      <w:r w:rsidRPr="00621B1E">
        <w:rPr>
          <w:rFonts w:asciiTheme="majorHAnsi" w:hAnsiTheme="majorHAnsi" w:cstheme="majorHAnsi"/>
          <w:i/>
          <w:sz w:val="22"/>
          <w:szCs w:val="22"/>
        </w:rPr>
        <w:t xml:space="preserve">Digital technologies in the classroom. </w:t>
      </w:r>
      <w:r w:rsidRPr="00621B1E">
        <w:rPr>
          <w:rFonts w:asciiTheme="majorHAnsi" w:hAnsiTheme="majorHAnsi" w:cstheme="majorHAnsi"/>
          <w:sz w:val="22"/>
          <w:szCs w:val="22"/>
        </w:rPr>
        <w:t>Cambridge: Cambridge Assessment International Education.</w:t>
      </w:r>
    </w:p>
    <w:p w14:paraId="63CC3DCA" w14:textId="77777777" w:rsidR="00C32523" w:rsidRPr="00621B1E" w:rsidRDefault="00C32523" w:rsidP="00C32523">
      <w:pPr>
        <w:spacing w:line="480" w:lineRule="auto"/>
        <w:rPr>
          <w:rFonts w:asciiTheme="majorHAnsi" w:hAnsiTheme="majorHAnsi" w:cstheme="majorHAnsi"/>
          <w:sz w:val="22"/>
          <w:szCs w:val="22"/>
        </w:rPr>
      </w:pPr>
      <w:r w:rsidRPr="00621B1E">
        <w:rPr>
          <w:rFonts w:asciiTheme="majorHAnsi" w:hAnsiTheme="majorHAnsi" w:cstheme="majorHAnsi"/>
          <w:color w:val="333333"/>
          <w:sz w:val="22"/>
          <w:szCs w:val="22"/>
          <w:shd w:val="clear" w:color="auto" w:fill="FFFFFF"/>
        </w:rPr>
        <w:t xml:space="preserve">Campbell, D. and Fiske, D. (1959) “Convergent and discriminant validation by the </w:t>
      </w:r>
      <w:proofErr w:type="spellStart"/>
      <w:r w:rsidRPr="00621B1E">
        <w:rPr>
          <w:rFonts w:asciiTheme="majorHAnsi" w:hAnsiTheme="majorHAnsi" w:cstheme="majorHAnsi"/>
          <w:color w:val="333333"/>
          <w:sz w:val="22"/>
          <w:szCs w:val="22"/>
          <w:shd w:val="clear" w:color="auto" w:fill="FFFFFF"/>
        </w:rPr>
        <w:t>multitrait</w:t>
      </w:r>
      <w:proofErr w:type="spellEnd"/>
      <w:r w:rsidRPr="00621B1E">
        <w:rPr>
          <w:rFonts w:asciiTheme="majorHAnsi" w:hAnsiTheme="majorHAnsi" w:cstheme="majorHAnsi"/>
          <w:color w:val="333333"/>
          <w:sz w:val="22"/>
          <w:szCs w:val="22"/>
          <w:shd w:val="clear" w:color="auto" w:fill="FFFFFF"/>
        </w:rPr>
        <w:t>-multimethod matrix.” </w:t>
      </w:r>
      <w:r w:rsidRPr="00621B1E">
        <w:rPr>
          <w:rStyle w:val="Emphasis"/>
          <w:rFonts w:asciiTheme="majorHAnsi" w:hAnsiTheme="majorHAnsi" w:cstheme="majorHAnsi"/>
          <w:color w:val="333333"/>
          <w:sz w:val="22"/>
          <w:szCs w:val="22"/>
          <w:shd w:val="clear" w:color="auto" w:fill="FFFFFF"/>
        </w:rPr>
        <w:t xml:space="preserve">Psychological Bulletin, </w:t>
      </w:r>
      <w:r w:rsidRPr="00621B1E">
        <w:rPr>
          <w:rStyle w:val="Emphasis"/>
          <w:rFonts w:asciiTheme="majorHAnsi" w:hAnsiTheme="majorHAnsi" w:cstheme="majorHAnsi"/>
          <w:i w:val="0"/>
          <w:color w:val="333333"/>
          <w:sz w:val="22"/>
          <w:szCs w:val="22"/>
          <w:shd w:val="clear" w:color="auto" w:fill="FFFFFF"/>
        </w:rPr>
        <w:t>Volume 56</w:t>
      </w:r>
      <w:r w:rsidRPr="00621B1E">
        <w:rPr>
          <w:rFonts w:asciiTheme="majorHAnsi" w:hAnsiTheme="majorHAnsi" w:cstheme="majorHAnsi"/>
          <w:color w:val="333333"/>
          <w:sz w:val="22"/>
          <w:szCs w:val="22"/>
          <w:shd w:val="clear" w:color="auto" w:fill="FFFFFF"/>
        </w:rPr>
        <w:t>(2). P81-105.</w:t>
      </w:r>
    </w:p>
    <w:p w14:paraId="2D6B48BF" w14:textId="77777777" w:rsidR="00C32523" w:rsidRPr="00621B1E" w:rsidRDefault="00C32523" w:rsidP="00C32523">
      <w:pPr>
        <w:spacing w:line="480" w:lineRule="auto"/>
        <w:rPr>
          <w:rFonts w:asciiTheme="majorHAnsi" w:hAnsiTheme="majorHAnsi" w:cstheme="majorHAnsi"/>
          <w:sz w:val="22"/>
          <w:szCs w:val="22"/>
        </w:rPr>
      </w:pPr>
      <w:r w:rsidRPr="00621B1E">
        <w:rPr>
          <w:rFonts w:asciiTheme="majorHAnsi" w:hAnsiTheme="majorHAnsi" w:cstheme="majorHAnsi"/>
          <w:sz w:val="22"/>
          <w:szCs w:val="22"/>
        </w:rPr>
        <w:t xml:space="preserve">Clark, C. and </w:t>
      </w:r>
      <w:proofErr w:type="spellStart"/>
      <w:r w:rsidRPr="00621B1E">
        <w:rPr>
          <w:rFonts w:asciiTheme="majorHAnsi" w:hAnsiTheme="majorHAnsi" w:cstheme="majorHAnsi"/>
          <w:sz w:val="22"/>
          <w:szCs w:val="22"/>
        </w:rPr>
        <w:t>Rumbold</w:t>
      </w:r>
      <w:proofErr w:type="spellEnd"/>
      <w:r w:rsidRPr="00621B1E">
        <w:rPr>
          <w:rFonts w:asciiTheme="majorHAnsi" w:hAnsiTheme="majorHAnsi" w:cstheme="majorHAnsi"/>
          <w:sz w:val="22"/>
          <w:szCs w:val="22"/>
        </w:rPr>
        <w:t xml:space="preserve">, K. (2006) </w:t>
      </w:r>
      <w:r w:rsidRPr="00621B1E">
        <w:rPr>
          <w:rFonts w:asciiTheme="majorHAnsi" w:hAnsiTheme="majorHAnsi" w:cstheme="majorHAnsi"/>
          <w:i/>
          <w:sz w:val="22"/>
          <w:szCs w:val="22"/>
        </w:rPr>
        <w:t>Reading for Pleasure: A research overview.</w:t>
      </w:r>
      <w:r w:rsidRPr="00621B1E">
        <w:rPr>
          <w:rFonts w:asciiTheme="majorHAnsi" w:hAnsiTheme="majorHAnsi" w:cstheme="majorHAnsi"/>
          <w:sz w:val="22"/>
          <w:szCs w:val="22"/>
        </w:rPr>
        <w:t xml:space="preserve"> London: National Literacy Trust.</w:t>
      </w:r>
    </w:p>
    <w:p w14:paraId="07D2A37A" w14:textId="77777777" w:rsidR="00C32523" w:rsidRPr="00621B1E" w:rsidRDefault="00C32523" w:rsidP="00C32523">
      <w:pPr>
        <w:spacing w:line="480" w:lineRule="auto"/>
        <w:rPr>
          <w:rFonts w:asciiTheme="majorHAnsi" w:hAnsiTheme="majorHAnsi" w:cstheme="majorHAnsi"/>
          <w:sz w:val="22"/>
          <w:szCs w:val="22"/>
        </w:rPr>
      </w:pPr>
      <w:r w:rsidRPr="00621B1E">
        <w:rPr>
          <w:rFonts w:asciiTheme="majorHAnsi" w:hAnsiTheme="majorHAnsi" w:cstheme="majorHAnsi"/>
          <w:sz w:val="22"/>
          <w:szCs w:val="22"/>
        </w:rPr>
        <w:t xml:space="preserve">Cohen, L., Manion, L. and Morrison, K. (2007) </w:t>
      </w:r>
      <w:r w:rsidRPr="00621B1E">
        <w:rPr>
          <w:rFonts w:asciiTheme="majorHAnsi" w:hAnsiTheme="majorHAnsi" w:cstheme="majorHAnsi"/>
          <w:i/>
          <w:sz w:val="22"/>
          <w:szCs w:val="22"/>
        </w:rPr>
        <w:t>Research Methods in Education (6</w:t>
      </w:r>
      <w:r w:rsidRPr="00621B1E">
        <w:rPr>
          <w:rFonts w:asciiTheme="majorHAnsi" w:hAnsiTheme="majorHAnsi" w:cstheme="majorHAnsi"/>
          <w:i/>
          <w:sz w:val="22"/>
          <w:szCs w:val="22"/>
          <w:vertAlign w:val="superscript"/>
        </w:rPr>
        <w:t>th</w:t>
      </w:r>
      <w:r w:rsidRPr="00621B1E">
        <w:rPr>
          <w:rFonts w:asciiTheme="majorHAnsi" w:hAnsiTheme="majorHAnsi" w:cstheme="majorHAnsi"/>
          <w:i/>
          <w:sz w:val="22"/>
          <w:szCs w:val="22"/>
        </w:rPr>
        <w:t xml:space="preserve"> Edition)</w:t>
      </w:r>
      <w:r w:rsidRPr="00621B1E">
        <w:rPr>
          <w:rFonts w:asciiTheme="majorHAnsi" w:hAnsiTheme="majorHAnsi" w:cstheme="majorHAnsi"/>
          <w:sz w:val="22"/>
          <w:szCs w:val="22"/>
        </w:rPr>
        <w:t>. London: Routledge-Falmer.</w:t>
      </w:r>
    </w:p>
    <w:p w14:paraId="36D63BDD" w14:textId="77777777" w:rsidR="00C32523" w:rsidRPr="00621B1E" w:rsidRDefault="00C32523" w:rsidP="00C32523">
      <w:pPr>
        <w:spacing w:line="480" w:lineRule="auto"/>
        <w:rPr>
          <w:rFonts w:asciiTheme="majorHAnsi" w:hAnsiTheme="majorHAnsi" w:cstheme="majorHAnsi"/>
          <w:sz w:val="22"/>
          <w:szCs w:val="22"/>
        </w:rPr>
      </w:pPr>
      <w:r w:rsidRPr="00621B1E">
        <w:rPr>
          <w:rFonts w:asciiTheme="majorHAnsi" w:hAnsiTheme="majorHAnsi" w:cstheme="majorHAnsi"/>
          <w:sz w:val="22"/>
          <w:szCs w:val="22"/>
        </w:rPr>
        <w:t xml:space="preserve">Darling-Hammond, L., </w:t>
      </w:r>
      <w:proofErr w:type="spellStart"/>
      <w:r w:rsidRPr="00621B1E">
        <w:rPr>
          <w:rFonts w:asciiTheme="majorHAnsi" w:hAnsiTheme="majorHAnsi" w:cstheme="majorHAnsi"/>
          <w:sz w:val="22"/>
          <w:szCs w:val="22"/>
        </w:rPr>
        <w:t>Zielezinski</w:t>
      </w:r>
      <w:proofErr w:type="spellEnd"/>
      <w:r w:rsidRPr="00621B1E">
        <w:rPr>
          <w:rFonts w:asciiTheme="majorHAnsi" w:hAnsiTheme="majorHAnsi" w:cstheme="majorHAnsi"/>
          <w:sz w:val="22"/>
          <w:szCs w:val="22"/>
        </w:rPr>
        <w:t xml:space="preserve">, M. and Goldman, S. (2014) </w:t>
      </w:r>
      <w:r w:rsidRPr="00621B1E">
        <w:rPr>
          <w:rFonts w:asciiTheme="majorHAnsi" w:hAnsiTheme="majorHAnsi" w:cstheme="majorHAnsi"/>
          <w:i/>
          <w:sz w:val="22"/>
          <w:szCs w:val="22"/>
        </w:rPr>
        <w:t>Using Technology to Support At-Risk Students’ Learning.</w:t>
      </w:r>
      <w:r w:rsidRPr="00621B1E">
        <w:rPr>
          <w:rFonts w:asciiTheme="majorHAnsi" w:hAnsiTheme="majorHAnsi" w:cstheme="majorHAnsi"/>
          <w:sz w:val="22"/>
          <w:szCs w:val="22"/>
        </w:rPr>
        <w:t xml:space="preserve"> Stanford: Alliance for Excellent Education.</w:t>
      </w:r>
    </w:p>
    <w:p w14:paraId="53C35E22" w14:textId="77777777" w:rsidR="00C32523" w:rsidRPr="00621B1E" w:rsidRDefault="00C32523" w:rsidP="00C32523">
      <w:pPr>
        <w:spacing w:line="480" w:lineRule="auto"/>
        <w:rPr>
          <w:rFonts w:asciiTheme="majorHAnsi" w:hAnsiTheme="majorHAnsi" w:cstheme="majorHAnsi"/>
          <w:i/>
          <w:sz w:val="22"/>
          <w:szCs w:val="22"/>
        </w:rPr>
      </w:pPr>
      <w:r w:rsidRPr="00621B1E">
        <w:rPr>
          <w:rFonts w:asciiTheme="majorHAnsi" w:hAnsiTheme="majorHAnsi" w:cstheme="majorHAnsi"/>
          <w:sz w:val="22"/>
          <w:szCs w:val="22"/>
        </w:rPr>
        <w:t xml:space="preserve">Denzin, N. (1970) </w:t>
      </w:r>
      <w:r w:rsidRPr="00621B1E">
        <w:rPr>
          <w:rFonts w:asciiTheme="majorHAnsi" w:hAnsiTheme="majorHAnsi" w:cstheme="majorHAnsi"/>
          <w:i/>
          <w:sz w:val="22"/>
          <w:szCs w:val="22"/>
        </w:rPr>
        <w:t>Sociological Methods: A Sourcebook.</w:t>
      </w:r>
      <w:r w:rsidRPr="00621B1E">
        <w:rPr>
          <w:rFonts w:asciiTheme="majorHAnsi" w:hAnsiTheme="majorHAnsi" w:cstheme="majorHAnsi"/>
          <w:sz w:val="22"/>
          <w:szCs w:val="22"/>
        </w:rPr>
        <w:t xml:space="preserve"> New Brunswick: Transaction Publishers.</w:t>
      </w:r>
    </w:p>
    <w:p w14:paraId="08FF17D2" w14:textId="77777777" w:rsidR="00C32523" w:rsidRPr="00621B1E" w:rsidRDefault="00C32523" w:rsidP="00C32523">
      <w:pPr>
        <w:spacing w:line="480" w:lineRule="auto"/>
        <w:rPr>
          <w:rFonts w:asciiTheme="majorHAnsi" w:hAnsiTheme="majorHAnsi" w:cstheme="majorHAnsi"/>
          <w:sz w:val="22"/>
          <w:szCs w:val="22"/>
        </w:rPr>
      </w:pPr>
      <w:r w:rsidRPr="00621B1E">
        <w:rPr>
          <w:rFonts w:asciiTheme="majorHAnsi" w:hAnsiTheme="majorHAnsi" w:cstheme="majorHAnsi"/>
          <w:sz w:val="22"/>
          <w:szCs w:val="22"/>
        </w:rPr>
        <w:t xml:space="preserve">Department for Education (2015) </w:t>
      </w:r>
      <w:r w:rsidRPr="00621B1E">
        <w:rPr>
          <w:rFonts w:asciiTheme="majorHAnsi" w:hAnsiTheme="majorHAnsi" w:cstheme="majorHAnsi"/>
          <w:i/>
          <w:sz w:val="22"/>
          <w:szCs w:val="22"/>
        </w:rPr>
        <w:t xml:space="preserve">2010 to 2015 government policy: education of disadvantaged children. </w:t>
      </w:r>
      <w:r w:rsidRPr="00621B1E">
        <w:rPr>
          <w:rFonts w:asciiTheme="majorHAnsi" w:hAnsiTheme="majorHAnsi" w:cstheme="majorHAnsi"/>
          <w:sz w:val="22"/>
          <w:szCs w:val="22"/>
        </w:rPr>
        <w:t>London: Crown.</w:t>
      </w:r>
    </w:p>
    <w:p w14:paraId="3D41821F" w14:textId="77777777" w:rsidR="00C32523" w:rsidRPr="00621B1E" w:rsidRDefault="00C32523" w:rsidP="00C32523">
      <w:pPr>
        <w:spacing w:line="480" w:lineRule="auto"/>
        <w:rPr>
          <w:rFonts w:asciiTheme="majorHAnsi" w:hAnsiTheme="majorHAnsi" w:cstheme="majorHAnsi"/>
          <w:sz w:val="22"/>
          <w:szCs w:val="22"/>
        </w:rPr>
      </w:pPr>
      <w:r w:rsidRPr="00621B1E">
        <w:rPr>
          <w:rFonts w:asciiTheme="majorHAnsi" w:hAnsiTheme="majorHAnsi" w:cstheme="majorHAnsi"/>
          <w:sz w:val="22"/>
          <w:szCs w:val="22"/>
        </w:rPr>
        <w:t xml:space="preserve">Dewey, J. (1938) </w:t>
      </w:r>
      <w:r w:rsidRPr="00621B1E">
        <w:rPr>
          <w:rFonts w:asciiTheme="majorHAnsi" w:hAnsiTheme="majorHAnsi" w:cstheme="majorHAnsi"/>
          <w:i/>
          <w:sz w:val="22"/>
          <w:szCs w:val="22"/>
        </w:rPr>
        <w:t>Experience and education.</w:t>
      </w:r>
      <w:r w:rsidRPr="00621B1E">
        <w:rPr>
          <w:rFonts w:asciiTheme="majorHAnsi" w:hAnsiTheme="majorHAnsi" w:cstheme="majorHAnsi"/>
          <w:sz w:val="22"/>
          <w:szCs w:val="22"/>
        </w:rPr>
        <w:t xml:space="preserve"> New York: MacMillan.</w:t>
      </w:r>
    </w:p>
    <w:p w14:paraId="1529A6E5" w14:textId="77777777" w:rsidR="00C32523" w:rsidRPr="00621B1E" w:rsidRDefault="00C32523" w:rsidP="00C32523">
      <w:pPr>
        <w:spacing w:line="480" w:lineRule="auto"/>
        <w:rPr>
          <w:rFonts w:asciiTheme="majorHAnsi" w:hAnsiTheme="majorHAnsi" w:cstheme="majorHAnsi"/>
          <w:sz w:val="22"/>
          <w:szCs w:val="22"/>
        </w:rPr>
      </w:pPr>
      <w:r w:rsidRPr="00621B1E">
        <w:rPr>
          <w:rFonts w:asciiTheme="majorHAnsi" w:hAnsiTheme="majorHAnsi" w:cstheme="majorHAnsi"/>
          <w:sz w:val="22"/>
          <w:szCs w:val="22"/>
        </w:rPr>
        <w:lastRenderedPageBreak/>
        <w:t xml:space="preserve">Donaldson, G. (2015) </w:t>
      </w:r>
      <w:r w:rsidRPr="00621B1E">
        <w:rPr>
          <w:rFonts w:asciiTheme="majorHAnsi" w:hAnsiTheme="majorHAnsi" w:cstheme="majorHAnsi"/>
          <w:i/>
          <w:sz w:val="22"/>
          <w:szCs w:val="22"/>
        </w:rPr>
        <w:t xml:space="preserve">Successful Futures. </w:t>
      </w:r>
      <w:r w:rsidRPr="00621B1E">
        <w:rPr>
          <w:rFonts w:asciiTheme="majorHAnsi" w:hAnsiTheme="majorHAnsi" w:cstheme="majorHAnsi"/>
          <w:sz w:val="22"/>
          <w:szCs w:val="22"/>
        </w:rPr>
        <w:t>United Kingdom: Crown.</w:t>
      </w:r>
    </w:p>
    <w:p w14:paraId="79F46B8A" w14:textId="77777777" w:rsidR="00C32523" w:rsidRPr="00621B1E" w:rsidRDefault="00C32523" w:rsidP="00C32523">
      <w:pPr>
        <w:spacing w:line="480" w:lineRule="auto"/>
        <w:rPr>
          <w:rFonts w:asciiTheme="majorHAnsi" w:hAnsiTheme="majorHAnsi" w:cstheme="majorHAnsi"/>
          <w:sz w:val="22"/>
          <w:szCs w:val="22"/>
        </w:rPr>
      </w:pPr>
      <w:r w:rsidRPr="00621B1E">
        <w:rPr>
          <w:rFonts w:asciiTheme="majorHAnsi" w:hAnsiTheme="majorHAnsi" w:cstheme="majorHAnsi"/>
          <w:sz w:val="22"/>
          <w:szCs w:val="22"/>
        </w:rPr>
        <w:t xml:space="preserve">Estyn (2012) </w:t>
      </w:r>
      <w:r w:rsidRPr="00621B1E">
        <w:rPr>
          <w:rFonts w:asciiTheme="majorHAnsi" w:hAnsiTheme="majorHAnsi" w:cstheme="majorHAnsi"/>
          <w:i/>
          <w:sz w:val="22"/>
          <w:szCs w:val="22"/>
        </w:rPr>
        <w:t>Effective practice in tackling poverty and disadvantage in schools</w:t>
      </w:r>
      <w:r w:rsidRPr="00621B1E">
        <w:rPr>
          <w:rFonts w:asciiTheme="majorHAnsi" w:hAnsiTheme="majorHAnsi" w:cstheme="majorHAnsi"/>
          <w:sz w:val="22"/>
          <w:szCs w:val="22"/>
        </w:rPr>
        <w:t>. Cardiff: Crown.</w:t>
      </w:r>
    </w:p>
    <w:p w14:paraId="30CE90DC" w14:textId="77777777" w:rsidR="00C32523" w:rsidRPr="00621B1E" w:rsidRDefault="00C32523" w:rsidP="00C32523">
      <w:pPr>
        <w:spacing w:line="480" w:lineRule="auto"/>
        <w:jc w:val="both"/>
        <w:rPr>
          <w:rFonts w:asciiTheme="majorHAnsi" w:hAnsiTheme="majorHAnsi" w:cstheme="majorHAnsi"/>
          <w:sz w:val="22"/>
          <w:szCs w:val="22"/>
        </w:rPr>
      </w:pPr>
      <w:r w:rsidRPr="00621B1E">
        <w:rPr>
          <w:rFonts w:asciiTheme="majorHAnsi" w:hAnsiTheme="majorHAnsi" w:cstheme="majorHAnsi"/>
          <w:sz w:val="22"/>
          <w:szCs w:val="22"/>
        </w:rPr>
        <w:t xml:space="preserve">European Commission (2013) </w:t>
      </w:r>
      <w:r w:rsidRPr="00621B1E">
        <w:rPr>
          <w:rFonts w:asciiTheme="majorHAnsi" w:hAnsiTheme="majorHAnsi" w:cstheme="majorHAnsi"/>
          <w:i/>
          <w:sz w:val="22"/>
          <w:szCs w:val="22"/>
        </w:rPr>
        <w:t>Investing in children: Breaking the cycle of disadvantage.</w:t>
      </w:r>
      <w:r w:rsidRPr="00621B1E">
        <w:rPr>
          <w:rFonts w:asciiTheme="majorHAnsi" w:hAnsiTheme="majorHAnsi" w:cstheme="majorHAnsi"/>
          <w:sz w:val="22"/>
          <w:szCs w:val="22"/>
        </w:rPr>
        <w:t xml:space="preserve"> Luxembourg: Publications Office of the European Union.</w:t>
      </w:r>
    </w:p>
    <w:p w14:paraId="7F9807FB" w14:textId="77777777" w:rsidR="00C32523" w:rsidRPr="00621B1E" w:rsidRDefault="00C32523" w:rsidP="00C32523">
      <w:pPr>
        <w:spacing w:line="480" w:lineRule="auto"/>
        <w:jc w:val="both"/>
        <w:rPr>
          <w:rFonts w:asciiTheme="majorHAnsi" w:hAnsiTheme="majorHAnsi" w:cstheme="majorHAnsi"/>
          <w:sz w:val="22"/>
          <w:szCs w:val="22"/>
        </w:rPr>
      </w:pPr>
      <w:r w:rsidRPr="00621B1E">
        <w:rPr>
          <w:rFonts w:asciiTheme="majorHAnsi" w:hAnsiTheme="majorHAnsi" w:cstheme="majorHAnsi"/>
          <w:sz w:val="22"/>
          <w:szCs w:val="22"/>
        </w:rPr>
        <w:t xml:space="preserve">Fricker, R. and Schonlau, M. (2002) “Advantages and Disadvantages of Internet Research Surveys: Evidence from the Literature.” </w:t>
      </w:r>
      <w:r w:rsidRPr="00621B1E">
        <w:rPr>
          <w:rFonts w:asciiTheme="majorHAnsi" w:hAnsiTheme="majorHAnsi" w:cstheme="majorHAnsi"/>
          <w:i/>
          <w:sz w:val="22"/>
          <w:szCs w:val="22"/>
        </w:rPr>
        <w:t xml:space="preserve">Field Methods. </w:t>
      </w:r>
      <w:r w:rsidRPr="00621B1E">
        <w:rPr>
          <w:rFonts w:asciiTheme="majorHAnsi" w:hAnsiTheme="majorHAnsi" w:cstheme="majorHAnsi"/>
          <w:sz w:val="22"/>
          <w:szCs w:val="22"/>
        </w:rPr>
        <w:t>Volume 14(4). P347-367.</w:t>
      </w:r>
    </w:p>
    <w:p w14:paraId="06773401" w14:textId="77777777" w:rsidR="00C32523" w:rsidRPr="00621B1E" w:rsidRDefault="00C32523" w:rsidP="00C32523">
      <w:pPr>
        <w:spacing w:line="480" w:lineRule="auto"/>
        <w:rPr>
          <w:rFonts w:asciiTheme="majorHAnsi" w:hAnsiTheme="majorHAnsi" w:cstheme="majorHAnsi"/>
          <w:sz w:val="22"/>
          <w:szCs w:val="22"/>
        </w:rPr>
      </w:pPr>
      <w:r w:rsidRPr="00621B1E">
        <w:rPr>
          <w:rFonts w:asciiTheme="majorHAnsi" w:hAnsiTheme="majorHAnsi" w:cstheme="majorHAnsi"/>
          <w:sz w:val="22"/>
          <w:szCs w:val="22"/>
        </w:rPr>
        <w:t xml:space="preserve">Garner, L. and Gallo, M. (2005) “Field Trips and Their Effect on Student Achievement and Attitudes: A Comparison of Physical versus Virtual Field Trips to the Indian River Lagoon.” </w:t>
      </w:r>
      <w:r w:rsidRPr="00621B1E">
        <w:rPr>
          <w:rFonts w:asciiTheme="majorHAnsi" w:hAnsiTheme="majorHAnsi" w:cstheme="majorHAnsi"/>
          <w:i/>
          <w:sz w:val="22"/>
          <w:szCs w:val="22"/>
        </w:rPr>
        <w:t xml:space="preserve">Journal of College Science Teaching. </w:t>
      </w:r>
      <w:r w:rsidRPr="00621B1E">
        <w:rPr>
          <w:rFonts w:asciiTheme="majorHAnsi" w:hAnsiTheme="majorHAnsi" w:cstheme="majorHAnsi"/>
          <w:sz w:val="22"/>
          <w:szCs w:val="22"/>
        </w:rPr>
        <w:t>Volume 34(5). P14-17.</w:t>
      </w:r>
    </w:p>
    <w:p w14:paraId="2612BBBE" w14:textId="77777777" w:rsidR="00C32523" w:rsidRPr="00621B1E" w:rsidRDefault="00C32523" w:rsidP="00C32523">
      <w:pPr>
        <w:spacing w:line="480" w:lineRule="auto"/>
        <w:rPr>
          <w:rFonts w:asciiTheme="majorHAnsi" w:hAnsiTheme="majorHAnsi" w:cstheme="majorHAnsi"/>
          <w:sz w:val="22"/>
          <w:szCs w:val="22"/>
        </w:rPr>
      </w:pPr>
      <w:r w:rsidRPr="00621B1E">
        <w:rPr>
          <w:rFonts w:asciiTheme="majorHAnsi" w:hAnsiTheme="majorHAnsi" w:cstheme="majorHAnsi"/>
          <w:sz w:val="22"/>
          <w:szCs w:val="22"/>
        </w:rPr>
        <w:t xml:space="preserve">Hammersley, M. (2008) </w:t>
      </w:r>
      <w:r w:rsidRPr="00621B1E">
        <w:rPr>
          <w:rFonts w:asciiTheme="majorHAnsi" w:hAnsiTheme="majorHAnsi" w:cstheme="majorHAnsi"/>
          <w:i/>
          <w:sz w:val="22"/>
          <w:szCs w:val="22"/>
        </w:rPr>
        <w:t>Questioning Qualitative Inquiry.</w:t>
      </w:r>
      <w:r w:rsidRPr="00621B1E">
        <w:rPr>
          <w:rFonts w:asciiTheme="majorHAnsi" w:hAnsiTheme="majorHAnsi" w:cstheme="majorHAnsi"/>
          <w:sz w:val="22"/>
          <w:szCs w:val="22"/>
        </w:rPr>
        <w:t xml:space="preserve"> UK: The Open University.</w:t>
      </w:r>
    </w:p>
    <w:p w14:paraId="37B93666" w14:textId="77777777" w:rsidR="00C32523" w:rsidRPr="00621B1E" w:rsidRDefault="00C32523" w:rsidP="00C32523">
      <w:pPr>
        <w:spacing w:line="480" w:lineRule="auto"/>
        <w:jc w:val="both"/>
        <w:rPr>
          <w:rFonts w:asciiTheme="majorHAnsi" w:hAnsiTheme="majorHAnsi" w:cstheme="majorHAnsi"/>
          <w:sz w:val="22"/>
          <w:szCs w:val="22"/>
        </w:rPr>
      </w:pPr>
      <w:r w:rsidRPr="00621B1E">
        <w:rPr>
          <w:rFonts w:asciiTheme="majorHAnsi" w:hAnsiTheme="majorHAnsi" w:cstheme="majorHAnsi"/>
          <w:sz w:val="22"/>
          <w:szCs w:val="22"/>
        </w:rPr>
        <w:t xml:space="preserve">Hattie, J. and Timperley, H. (2007) “The Power of Feedback.” </w:t>
      </w:r>
      <w:r w:rsidRPr="00621B1E">
        <w:rPr>
          <w:rFonts w:asciiTheme="majorHAnsi" w:hAnsiTheme="majorHAnsi" w:cstheme="majorHAnsi"/>
          <w:i/>
          <w:sz w:val="22"/>
          <w:szCs w:val="22"/>
        </w:rPr>
        <w:t>Review of Educational Research.</w:t>
      </w:r>
      <w:r w:rsidRPr="00621B1E">
        <w:rPr>
          <w:rFonts w:asciiTheme="majorHAnsi" w:hAnsiTheme="majorHAnsi" w:cstheme="majorHAnsi"/>
          <w:sz w:val="22"/>
          <w:szCs w:val="22"/>
        </w:rPr>
        <w:t xml:space="preserve"> Volume 77(1). P81-112.</w:t>
      </w:r>
    </w:p>
    <w:p w14:paraId="5768C0BE" w14:textId="77777777" w:rsidR="00C32523" w:rsidRPr="00621B1E" w:rsidRDefault="00C32523" w:rsidP="00C32523">
      <w:pPr>
        <w:shd w:val="clear" w:color="auto" w:fill="FFFFFF" w:themeFill="background1"/>
        <w:spacing w:line="480" w:lineRule="auto"/>
        <w:jc w:val="both"/>
        <w:rPr>
          <w:rFonts w:asciiTheme="majorHAnsi" w:hAnsiTheme="majorHAnsi" w:cstheme="majorHAnsi"/>
          <w:sz w:val="22"/>
          <w:szCs w:val="22"/>
        </w:rPr>
      </w:pPr>
      <w:r w:rsidRPr="00621B1E">
        <w:rPr>
          <w:rFonts w:asciiTheme="majorHAnsi" w:hAnsiTheme="majorHAnsi" w:cstheme="majorHAnsi"/>
          <w:sz w:val="22"/>
          <w:szCs w:val="22"/>
        </w:rPr>
        <w:t xml:space="preserve">Heiervang, E. and Goodman, R. (2011) </w:t>
      </w:r>
      <w:r w:rsidRPr="00621B1E">
        <w:rPr>
          <w:rStyle w:val="Strong"/>
          <w:rFonts w:asciiTheme="majorHAnsi" w:hAnsiTheme="majorHAnsi" w:cstheme="majorHAnsi"/>
          <w:b w:val="0"/>
          <w:color w:val="000000"/>
          <w:sz w:val="22"/>
          <w:szCs w:val="22"/>
          <w:shd w:val="clear" w:color="auto" w:fill="FFFFFF" w:themeFill="background1"/>
        </w:rPr>
        <w:t xml:space="preserve">Advantages and limitations of web-based surveys: evidence from a child mental health survey. </w:t>
      </w:r>
      <w:r w:rsidRPr="00621B1E">
        <w:rPr>
          <w:rStyle w:val="Strong"/>
          <w:rFonts w:asciiTheme="majorHAnsi" w:hAnsiTheme="majorHAnsi" w:cstheme="majorHAnsi"/>
          <w:b w:val="0"/>
          <w:i/>
          <w:color w:val="000000"/>
          <w:sz w:val="22"/>
          <w:szCs w:val="22"/>
          <w:shd w:val="clear" w:color="auto" w:fill="FFFFFF" w:themeFill="background1"/>
        </w:rPr>
        <w:t>Social Psychiatry and Psychiatric Epidemiology.</w:t>
      </w:r>
      <w:r w:rsidRPr="00621B1E">
        <w:rPr>
          <w:rStyle w:val="Strong"/>
          <w:rFonts w:asciiTheme="majorHAnsi" w:hAnsiTheme="majorHAnsi" w:cstheme="majorHAnsi"/>
          <w:b w:val="0"/>
          <w:color w:val="000000"/>
          <w:sz w:val="22"/>
          <w:szCs w:val="22"/>
          <w:shd w:val="clear" w:color="auto" w:fill="FFFFFF" w:themeFill="background1"/>
        </w:rPr>
        <w:t xml:space="preserve"> Volume 46(1). P69-76.</w:t>
      </w:r>
    </w:p>
    <w:p w14:paraId="68B7231F" w14:textId="77777777" w:rsidR="00C32523" w:rsidRPr="00621B1E" w:rsidRDefault="00C32523" w:rsidP="00C32523">
      <w:pPr>
        <w:spacing w:line="480" w:lineRule="auto"/>
        <w:jc w:val="both"/>
        <w:rPr>
          <w:rFonts w:asciiTheme="majorHAnsi" w:hAnsiTheme="majorHAnsi" w:cstheme="majorHAnsi"/>
          <w:sz w:val="22"/>
          <w:szCs w:val="22"/>
        </w:rPr>
      </w:pPr>
      <w:r w:rsidRPr="00621B1E">
        <w:rPr>
          <w:rFonts w:asciiTheme="majorHAnsi" w:hAnsiTheme="majorHAnsi" w:cstheme="majorHAnsi"/>
          <w:sz w:val="22"/>
          <w:szCs w:val="22"/>
        </w:rPr>
        <w:t xml:space="preserve">Hehr, K. (2014) </w:t>
      </w:r>
      <w:r w:rsidRPr="00621B1E">
        <w:rPr>
          <w:rFonts w:asciiTheme="majorHAnsi" w:hAnsiTheme="majorHAnsi" w:cstheme="majorHAnsi"/>
          <w:i/>
          <w:sz w:val="22"/>
          <w:szCs w:val="22"/>
        </w:rPr>
        <w:t xml:space="preserve">Virtual field trips as an educational and motivational strategy to teach Iowa history. </w:t>
      </w:r>
      <w:r w:rsidRPr="00621B1E">
        <w:rPr>
          <w:rFonts w:asciiTheme="majorHAnsi" w:hAnsiTheme="majorHAnsi" w:cstheme="majorHAnsi"/>
          <w:sz w:val="22"/>
          <w:szCs w:val="22"/>
        </w:rPr>
        <w:t>Iowa: Iowa State University.</w:t>
      </w:r>
    </w:p>
    <w:p w14:paraId="54CB3DE4" w14:textId="77777777" w:rsidR="00C32523" w:rsidRPr="00621B1E" w:rsidRDefault="00C32523" w:rsidP="00C32523">
      <w:pPr>
        <w:spacing w:line="480" w:lineRule="auto"/>
        <w:jc w:val="both"/>
        <w:rPr>
          <w:rFonts w:asciiTheme="majorHAnsi" w:hAnsiTheme="majorHAnsi" w:cstheme="majorHAnsi"/>
          <w:sz w:val="22"/>
          <w:szCs w:val="22"/>
        </w:rPr>
      </w:pPr>
      <w:r w:rsidRPr="00621B1E">
        <w:rPr>
          <w:rFonts w:asciiTheme="majorHAnsi" w:hAnsiTheme="majorHAnsi" w:cstheme="majorHAnsi"/>
          <w:sz w:val="22"/>
          <w:szCs w:val="22"/>
        </w:rPr>
        <w:t xml:space="preserve">Higgins, S., Xiao, Z. and </w:t>
      </w:r>
      <w:proofErr w:type="spellStart"/>
      <w:r w:rsidRPr="00621B1E">
        <w:rPr>
          <w:rFonts w:asciiTheme="majorHAnsi" w:hAnsiTheme="majorHAnsi" w:cstheme="majorHAnsi"/>
          <w:sz w:val="22"/>
          <w:szCs w:val="22"/>
        </w:rPr>
        <w:t>Katsipataki</w:t>
      </w:r>
      <w:proofErr w:type="spellEnd"/>
      <w:r w:rsidRPr="00621B1E">
        <w:rPr>
          <w:rFonts w:asciiTheme="majorHAnsi" w:hAnsiTheme="majorHAnsi" w:cstheme="majorHAnsi"/>
          <w:sz w:val="22"/>
          <w:szCs w:val="22"/>
        </w:rPr>
        <w:t xml:space="preserve">, M. (2012) </w:t>
      </w:r>
      <w:r w:rsidRPr="00621B1E">
        <w:rPr>
          <w:rFonts w:asciiTheme="majorHAnsi" w:hAnsiTheme="majorHAnsi" w:cstheme="majorHAnsi"/>
          <w:i/>
          <w:sz w:val="22"/>
          <w:szCs w:val="22"/>
        </w:rPr>
        <w:t xml:space="preserve">The Impact of Digital Technology on Learning: A Summary for the Education Endowment Foundation. </w:t>
      </w:r>
      <w:r w:rsidRPr="00621B1E">
        <w:rPr>
          <w:rFonts w:asciiTheme="majorHAnsi" w:hAnsiTheme="majorHAnsi" w:cstheme="majorHAnsi"/>
          <w:sz w:val="22"/>
          <w:szCs w:val="22"/>
        </w:rPr>
        <w:t>Durham University, Durham: Education Endowment Foundation.</w:t>
      </w:r>
    </w:p>
    <w:p w14:paraId="141247AC" w14:textId="77777777" w:rsidR="00C32523" w:rsidRPr="00621B1E" w:rsidRDefault="00C32523" w:rsidP="00C32523">
      <w:pPr>
        <w:spacing w:line="480" w:lineRule="auto"/>
        <w:rPr>
          <w:rFonts w:asciiTheme="majorHAnsi" w:hAnsiTheme="majorHAnsi" w:cstheme="majorHAnsi"/>
          <w:sz w:val="22"/>
          <w:szCs w:val="22"/>
        </w:rPr>
      </w:pPr>
      <w:r w:rsidRPr="00621B1E">
        <w:rPr>
          <w:rFonts w:asciiTheme="majorHAnsi" w:hAnsiTheme="majorHAnsi" w:cstheme="majorHAnsi"/>
          <w:sz w:val="22"/>
          <w:szCs w:val="22"/>
        </w:rPr>
        <w:t xml:space="preserve">Johnson, L. and Lamb, A. (2013) </w:t>
      </w:r>
      <w:r w:rsidRPr="00621B1E">
        <w:rPr>
          <w:rFonts w:asciiTheme="majorHAnsi" w:hAnsiTheme="majorHAnsi" w:cstheme="majorHAnsi"/>
          <w:i/>
          <w:sz w:val="22"/>
          <w:szCs w:val="22"/>
        </w:rPr>
        <w:t>Digital and Virtual Field Trips</w:t>
      </w:r>
      <w:r w:rsidRPr="00621B1E">
        <w:rPr>
          <w:rFonts w:asciiTheme="majorHAnsi" w:hAnsiTheme="majorHAnsi" w:cstheme="majorHAnsi"/>
          <w:sz w:val="22"/>
          <w:szCs w:val="22"/>
        </w:rPr>
        <w:t xml:space="preserve">. Available at: </w:t>
      </w:r>
      <w:hyperlink r:id="rId14" w:history="1">
        <w:r w:rsidRPr="00621B1E">
          <w:rPr>
            <w:rStyle w:val="Hyperlink"/>
            <w:rFonts w:asciiTheme="majorHAnsi" w:hAnsiTheme="majorHAnsi" w:cstheme="majorHAnsi"/>
            <w:sz w:val="22"/>
            <w:szCs w:val="22"/>
            <w:u w:val="none"/>
          </w:rPr>
          <w:t>https://eduscapes.com/tap/topic35.htm</w:t>
        </w:r>
      </w:hyperlink>
      <w:r w:rsidRPr="00621B1E">
        <w:rPr>
          <w:rFonts w:asciiTheme="majorHAnsi" w:hAnsiTheme="majorHAnsi" w:cstheme="majorHAnsi"/>
          <w:sz w:val="22"/>
          <w:szCs w:val="22"/>
        </w:rPr>
        <w:t xml:space="preserve"> (Last Accessed: April 21</w:t>
      </w:r>
      <w:r w:rsidRPr="00621B1E">
        <w:rPr>
          <w:rFonts w:asciiTheme="majorHAnsi" w:hAnsiTheme="majorHAnsi" w:cstheme="majorHAnsi"/>
          <w:sz w:val="22"/>
          <w:szCs w:val="22"/>
          <w:vertAlign w:val="superscript"/>
        </w:rPr>
        <w:t>st</w:t>
      </w:r>
      <w:proofErr w:type="gramStart"/>
      <w:r w:rsidRPr="00621B1E">
        <w:rPr>
          <w:rFonts w:asciiTheme="majorHAnsi" w:hAnsiTheme="majorHAnsi" w:cstheme="majorHAnsi"/>
          <w:sz w:val="22"/>
          <w:szCs w:val="22"/>
        </w:rPr>
        <w:t xml:space="preserve"> 2018</w:t>
      </w:r>
      <w:proofErr w:type="gramEnd"/>
      <w:r w:rsidRPr="00621B1E">
        <w:rPr>
          <w:rFonts w:asciiTheme="majorHAnsi" w:hAnsiTheme="majorHAnsi" w:cstheme="majorHAnsi"/>
          <w:sz w:val="22"/>
          <w:szCs w:val="22"/>
        </w:rPr>
        <w:t>)</w:t>
      </w:r>
    </w:p>
    <w:p w14:paraId="1C543DEB" w14:textId="77777777" w:rsidR="00C32523" w:rsidRPr="00621B1E" w:rsidRDefault="00C32523" w:rsidP="00C32523">
      <w:pPr>
        <w:pStyle w:val="Heading1"/>
        <w:rPr>
          <w:rFonts w:asciiTheme="majorHAnsi" w:hAnsiTheme="majorHAnsi" w:cstheme="majorHAnsi"/>
          <w:b w:val="0"/>
          <w:color w:val="333333"/>
          <w:sz w:val="22"/>
          <w:szCs w:val="22"/>
        </w:rPr>
      </w:pPr>
      <w:r w:rsidRPr="00621B1E">
        <w:rPr>
          <w:rFonts w:asciiTheme="majorHAnsi" w:hAnsiTheme="majorHAnsi" w:cstheme="majorHAnsi"/>
          <w:b w:val="0"/>
          <w:sz w:val="22"/>
          <w:szCs w:val="22"/>
        </w:rPr>
        <w:t xml:space="preserve">Jones, T. and Rocco, P. (2014) “Research </w:t>
      </w:r>
      <w:r w:rsidRPr="00621B1E">
        <w:rPr>
          <w:rStyle w:val="nlmarticle-title"/>
          <w:rFonts w:asciiTheme="majorHAnsi" w:hAnsiTheme="majorHAnsi" w:cstheme="majorHAnsi"/>
          <w:b w:val="0"/>
          <w:color w:val="333333"/>
          <w:sz w:val="22"/>
          <w:szCs w:val="22"/>
        </w:rPr>
        <w:t xml:space="preserve">Framework and Dimensions for Evaluating the Effectiveness of Educational Technology Systems on Learning Outcomes.” </w:t>
      </w:r>
      <w:r w:rsidRPr="00621B1E">
        <w:rPr>
          <w:rStyle w:val="nlmarticle-title"/>
          <w:rFonts w:asciiTheme="majorHAnsi" w:hAnsiTheme="majorHAnsi" w:cstheme="majorHAnsi"/>
          <w:b w:val="0"/>
          <w:i/>
          <w:color w:val="333333"/>
          <w:sz w:val="22"/>
          <w:szCs w:val="22"/>
        </w:rPr>
        <w:t>Journal of Research on Computing in Education.</w:t>
      </w:r>
      <w:r w:rsidRPr="00621B1E">
        <w:rPr>
          <w:rStyle w:val="nlmarticle-title"/>
          <w:rFonts w:asciiTheme="majorHAnsi" w:hAnsiTheme="majorHAnsi" w:cstheme="majorHAnsi"/>
          <w:b w:val="0"/>
          <w:color w:val="333333"/>
          <w:sz w:val="22"/>
          <w:szCs w:val="22"/>
        </w:rPr>
        <w:t xml:space="preserve"> Volume 32(1). P17-27</w:t>
      </w:r>
    </w:p>
    <w:p w14:paraId="66D82F32" w14:textId="77777777" w:rsidR="00C32523" w:rsidRPr="00621B1E" w:rsidRDefault="00C32523" w:rsidP="00C32523">
      <w:pPr>
        <w:spacing w:line="480" w:lineRule="auto"/>
        <w:rPr>
          <w:rFonts w:asciiTheme="majorHAnsi" w:hAnsiTheme="majorHAnsi" w:cstheme="majorHAnsi"/>
          <w:sz w:val="22"/>
          <w:szCs w:val="22"/>
        </w:rPr>
      </w:pPr>
      <w:r w:rsidRPr="00621B1E">
        <w:rPr>
          <w:rFonts w:asciiTheme="majorHAnsi" w:hAnsiTheme="majorHAnsi" w:cstheme="majorHAnsi"/>
          <w:sz w:val="22"/>
          <w:szCs w:val="22"/>
        </w:rPr>
        <w:t xml:space="preserve">Klemm, E. and Tuthill, G (2003) “Virtual Field Trips: Best Practices.” </w:t>
      </w:r>
      <w:r w:rsidRPr="00621B1E">
        <w:rPr>
          <w:rFonts w:asciiTheme="majorHAnsi" w:hAnsiTheme="majorHAnsi" w:cstheme="majorHAnsi"/>
          <w:i/>
          <w:sz w:val="22"/>
          <w:szCs w:val="22"/>
        </w:rPr>
        <w:t>International Journal of Instructional Media</w:t>
      </w:r>
      <w:r w:rsidRPr="00621B1E">
        <w:rPr>
          <w:rFonts w:asciiTheme="majorHAnsi" w:hAnsiTheme="majorHAnsi" w:cstheme="majorHAnsi"/>
          <w:sz w:val="22"/>
          <w:szCs w:val="22"/>
        </w:rPr>
        <w:t>. Volume 30(2). P177</w:t>
      </w:r>
    </w:p>
    <w:p w14:paraId="0E976E4E" w14:textId="77777777" w:rsidR="00C32523" w:rsidRPr="00621B1E" w:rsidRDefault="00C32523" w:rsidP="00C32523">
      <w:pPr>
        <w:spacing w:line="480" w:lineRule="auto"/>
        <w:rPr>
          <w:rFonts w:asciiTheme="majorHAnsi" w:hAnsiTheme="majorHAnsi" w:cstheme="majorHAnsi"/>
          <w:sz w:val="22"/>
          <w:szCs w:val="22"/>
        </w:rPr>
      </w:pPr>
      <w:proofErr w:type="spellStart"/>
      <w:r w:rsidRPr="00621B1E">
        <w:rPr>
          <w:rFonts w:asciiTheme="majorHAnsi" w:hAnsiTheme="majorHAnsi" w:cstheme="majorHAnsi"/>
          <w:sz w:val="22"/>
          <w:szCs w:val="22"/>
        </w:rPr>
        <w:t>Ko</w:t>
      </w:r>
      <w:proofErr w:type="spellEnd"/>
      <w:r w:rsidRPr="00621B1E">
        <w:rPr>
          <w:rFonts w:asciiTheme="majorHAnsi" w:hAnsiTheme="majorHAnsi" w:cstheme="majorHAnsi"/>
          <w:sz w:val="22"/>
          <w:szCs w:val="22"/>
        </w:rPr>
        <w:t xml:space="preserve">, J., Sammons, P. and </w:t>
      </w:r>
      <w:proofErr w:type="spellStart"/>
      <w:r w:rsidRPr="00621B1E">
        <w:rPr>
          <w:rFonts w:asciiTheme="majorHAnsi" w:hAnsiTheme="majorHAnsi" w:cstheme="majorHAnsi"/>
          <w:sz w:val="22"/>
          <w:szCs w:val="22"/>
        </w:rPr>
        <w:t>Bakkum</w:t>
      </w:r>
      <w:proofErr w:type="spellEnd"/>
      <w:r w:rsidRPr="00621B1E">
        <w:rPr>
          <w:rFonts w:asciiTheme="majorHAnsi" w:hAnsiTheme="majorHAnsi" w:cstheme="majorHAnsi"/>
          <w:sz w:val="22"/>
          <w:szCs w:val="22"/>
        </w:rPr>
        <w:t xml:space="preserve">, L. (2014) </w:t>
      </w:r>
      <w:r w:rsidRPr="00621B1E">
        <w:rPr>
          <w:rFonts w:asciiTheme="majorHAnsi" w:hAnsiTheme="majorHAnsi" w:cstheme="majorHAnsi"/>
          <w:i/>
          <w:sz w:val="22"/>
          <w:szCs w:val="22"/>
        </w:rPr>
        <w:t>Effective teaching: a review of research and evidence</w:t>
      </w:r>
      <w:r w:rsidRPr="00621B1E">
        <w:rPr>
          <w:rFonts w:asciiTheme="majorHAnsi" w:hAnsiTheme="majorHAnsi" w:cstheme="majorHAnsi"/>
          <w:sz w:val="22"/>
          <w:szCs w:val="22"/>
        </w:rPr>
        <w:t xml:space="preserve">. Berkshire: </w:t>
      </w:r>
      <w:proofErr w:type="spellStart"/>
      <w:r w:rsidRPr="00621B1E">
        <w:rPr>
          <w:rFonts w:asciiTheme="majorHAnsi" w:hAnsiTheme="majorHAnsi" w:cstheme="majorHAnsi"/>
          <w:sz w:val="22"/>
          <w:szCs w:val="22"/>
        </w:rPr>
        <w:t>CfBT</w:t>
      </w:r>
      <w:proofErr w:type="spellEnd"/>
      <w:r w:rsidRPr="00621B1E">
        <w:rPr>
          <w:rFonts w:asciiTheme="majorHAnsi" w:hAnsiTheme="majorHAnsi" w:cstheme="majorHAnsi"/>
          <w:sz w:val="22"/>
          <w:szCs w:val="22"/>
        </w:rPr>
        <w:t xml:space="preserve"> Education Trust.</w:t>
      </w:r>
    </w:p>
    <w:p w14:paraId="626F5158" w14:textId="77777777" w:rsidR="00C32523" w:rsidRPr="00621B1E" w:rsidRDefault="00C32523" w:rsidP="00C32523">
      <w:pPr>
        <w:spacing w:line="480" w:lineRule="auto"/>
        <w:rPr>
          <w:rFonts w:asciiTheme="majorHAnsi" w:hAnsiTheme="majorHAnsi" w:cstheme="majorHAnsi"/>
          <w:sz w:val="22"/>
          <w:szCs w:val="22"/>
        </w:rPr>
      </w:pPr>
      <w:proofErr w:type="spellStart"/>
      <w:r w:rsidRPr="00621B1E">
        <w:rPr>
          <w:rStyle w:val="personname"/>
          <w:rFonts w:asciiTheme="majorHAnsi" w:hAnsiTheme="majorHAnsi" w:cstheme="majorHAnsi"/>
          <w:color w:val="000000"/>
          <w:spacing w:val="-2"/>
          <w:sz w:val="22"/>
          <w:szCs w:val="22"/>
          <w:shd w:val="clear" w:color="auto" w:fill="FFFFFF"/>
        </w:rPr>
        <w:t>Lumby</w:t>
      </w:r>
      <w:proofErr w:type="spellEnd"/>
      <w:r w:rsidRPr="00621B1E">
        <w:rPr>
          <w:rStyle w:val="personname"/>
          <w:rFonts w:asciiTheme="majorHAnsi" w:hAnsiTheme="majorHAnsi" w:cstheme="majorHAnsi"/>
          <w:color w:val="000000"/>
          <w:spacing w:val="-2"/>
          <w:sz w:val="22"/>
          <w:szCs w:val="22"/>
          <w:shd w:val="clear" w:color="auto" w:fill="FFFFFF"/>
        </w:rPr>
        <w:t>, J.</w:t>
      </w:r>
      <w:r w:rsidRPr="00621B1E">
        <w:rPr>
          <w:rFonts w:asciiTheme="majorHAnsi" w:hAnsiTheme="majorHAnsi" w:cstheme="majorHAnsi"/>
          <w:color w:val="000000"/>
          <w:spacing w:val="-2"/>
          <w:sz w:val="22"/>
          <w:szCs w:val="22"/>
          <w:shd w:val="clear" w:color="auto" w:fill="FFFFFF"/>
        </w:rPr>
        <w:t> </w:t>
      </w:r>
      <w:r w:rsidRPr="00621B1E">
        <w:rPr>
          <w:rStyle w:val="date"/>
          <w:rFonts w:asciiTheme="majorHAnsi" w:hAnsiTheme="majorHAnsi" w:cstheme="majorHAnsi"/>
          <w:color w:val="000000"/>
          <w:spacing w:val="-2"/>
          <w:sz w:val="22"/>
          <w:szCs w:val="22"/>
          <w:shd w:val="clear" w:color="auto" w:fill="FFFFFF"/>
        </w:rPr>
        <w:t>(2013)</w:t>
      </w:r>
      <w:r w:rsidRPr="00621B1E">
        <w:rPr>
          <w:rFonts w:asciiTheme="majorHAnsi" w:hAnsiTheme="majorHAnsi" w:cstheme="majorHAnsi"/>
          <w:color w:val="000000"/>
          <w:spacing w:val="-2"/>
          <w:sz w:val="22"/>
          <w:szCs w:val="22"/>
          <w:shd w:val="clear" w:color="auto" w:fill="FFFFFF"/>
        </w:rPr>
        <w:t> </w:t>
      </w:r>
      <w:r w:rsidRPr="00621B1E">
        <w:rPr>
          <w:rStyle w:val="Emphasis"/>
          <w:rFonts w:asciiTheme="majorHAnsi" w:hAnsiTheme="majorHAnsi" w:cstheme="majorHAnsi"/>
          <w:color w:val="000000"/>
          <w:spacing w:val="-2"/>
          <w:sz w:val="22"/>
          <w:szCs w:val="22"/>
          <w:shd w:val="clear" w:color="auto" w:fill="FFFFFF"/>
        </w:rPr>
        <w:t xml:space="preserve">Education isn't working for us: listening to disengaged young people. </w:t>
      </w:r>
      <w:r w:rsidRPr="00621B1E">
        <w:rPr>
          <w:rStyle w:val="place"/>
          <w:rFonts w:asciiTheme="majorHAnsi" w:hAnsiTheme="majorHAnsi" w:cstheme="majorHAnsi"/>
          <w:color w:val="000000"/>
          <w:spacing w:val="-2"/>
          <w:sz w:val="22"/>
          <w:szCs w:val="22"/>
          <w:shd w:val="clear" w:color="auto" w:fill="FFFFFF"/>
        </w:rPr>
        <w:t xml:space="preserve">London, GB: </w:t>
      </w:r>
      <w:r w:rsidRPr="00621B1E">
        <w:rPr>
          <w:rStyle w:val="publisher"/>
          <w:rFonts w:asciiTheme="majorHAnsi" w:hAnsiTheme="majorHAnsi" w:cstheme="majorHAnsi"/>
          <w:color w:val="000000"/>
          <w:spacing w:val="-2"/>
          <w:sz w:val="22"/>
          <w:szCs w:val="22"/>
          <w:shd w:val="clear" w:color="auto" w:fill="FFFFFF"/>
        </w:rPr>
        <w:t>British Educational Research Association.</w:t>
      </w:r>
    </w:p>
    <w:p w14:paraId="639080D9" w14:textId="77777777" w:rsidR="00C32523" w:rsidRPr="00621B1E" w:rsidRDefault="00C32523" w:rsidP="00C32523">
      <w:pPr>
        <w:spacing w:line="480" w:lineRule="auto"/>
        <w:rPr>
          <w:rFonts w:asciiTheme="majorHAnsi" w:hAnsiTheme="majorHAnsi" w:cstheme="majorHAnsi"/>
          <w:sz w:val="22"/>
          <w:szCs w:val="22"/>
        </w:rPr>
      </w:pPr>
      <w:r w:rsidRPr="00621B1E">
        <w:rPr>
          <w:rFonts w:asciiTheme="majorHAnsi" w:hAnsiTheme="majorHAnsi" w:cstheme="majorHAnsi"/>
          <w:sz w:val="22"/>
          <w:szCs w:val="22"/>
        </w:rPr>
        <w:t xml:space="preserve">McKenzie (2005) </w:t>
      </w:r>
      <w:r w:rsidRPr="00621B1E">
        <w:rPr>
          <w:rFonts w:asciiTheme="majorHAnsi" w:hAnsiTheme="majorHAnsi" w:cstheme="majorHAnsi"/>
          <w:i/>
          <w:sz w:val="22"/>
          <w:szCs w:val="22"/>
        </w:rPr>
        <w:t>Virtual Field Trips</w:t>
      </w:r>
      <w:r w:rsidRPr="00621B1E">
        <w:rPr>
          <w:rFonts w:asciiTheme="majorHAnsi" w:hAnsiTheme="majorHAnsi" w:cstheme="majorHAnsi"/>
          <w:sz w:val="22"/>
          <w:szCs w:val="22"/>
        </w:rPr>
        <w:t>. Available at http://surfaquarium.com/presentations/Virtual_Field_Trips.pdf. (Last Accessed: May 3</w:t>
      </w:r>
      <w:r w:rsidRPr="00621B1E">
        <w:rPr>
          <w:rFonts w:asciiTheme="majorHAnsi" w:hAnsiTheme="majorHAnsi" w:cstheme="majorHAnsi"/>
          <w:sz w:val="22"/>
          <w:szCs w:val="22"/>
          <w:vertAlign w:val="superscript"/>
        </w:rPr>
        <w:t>rd,</w:t>
      </w:r>
      <w:r w:rsidRPr="00621B1E">
        <w:rPr>
          <w:rFonts w:asciiTheme="majorHAnsi" w:hAnsiTheme="majorHAnsi" w:cstheme="majorHAnsi"/>
          <w:sz w:val="22"/>
          <w:szCs w:val="22"/>
        </w:rPr>
        <w:t xml:space="preserve"> 2018).</w:t>
      </w:r>
    </w:p>
    <w:p w14:paraId="39ABE38B" w14:textId="77777777" w:rsidR="00C32523" w:rsidRPr="00621B1E" w:rsidRDefault="00C32523" w:rsidP="00C32523">
      <w:pPr>
        <w:spacing w:line="480" w:lineRule="auto"/>
        <w:rPr>
          <w:rFonts w:asciiTheme="majorHAnsi" w:hAnsiTheme="majorHAnsi" w:cstheme="majorHAnsi"/>
          <w:sz w:val="22"/>
          <w:szCs w:val="22"/>
        </w:rPr>
      </w:pPr>
      <w:r w:rsidRPr="00621B1E">
        <w:rPr>
          <w:rFonts w:asciiTheme="majorHAnsi" w:hAnsiTheme="majorHAnsi" w:cstheme="majorHAnsi"/>
          <w:sz w:val="22"/>
          <w:szCs w:val="22"/>
        </w:rPr>
        <w:lastRenderedPageBreak/>
        <w:t xml:space="preserve">McLeod, S. (2015) </w:t>
      </w:r>
      <w:r w:rsidRPr="00621B1E">
        <w:rPr>
          <w:rFonts w:asciiTheme="majorHAnsi" w:hAnsiTheme="majorHAnsi" w:cstheme="majorHAnsi"/>
          <w:i/>
          <w:sz w:val="22"/>
          <w:szCs w:val="22"/>
        </w:rPr>
        <w:t>Cognitive Psychology.</w:t>
      </w:r>
      <w:r w:rsidRPr="00621B1E">
        <w:rPr>
          <w:rFonts w:asciiTheme="majorHAnsi" w:hAnsiTheme="majorHAnsi" w:cstheme="majorHAnsi"/>
          <w:sz w:val="22"/>
          <w:szCs w:val="22"/>
        </w:rPr>
        <w:t xml:space="preserve"> Available at </w:t>
      </w:r>
      <w:hyperlink r:id="rId15" w:history="1">
        <w:r w:rsidRPr="00621B1E">
          <w:rPr>
            <w:rStyle w:val="Hyperlink"/>
            <w:rFonts w:asciiTheme="majorHAnsi" w:hAnsiTheme="majorHAnsi" w:cstheme="majorHAnsi"/>
            <w:sz w:val="22"/>
            <w:szCs w:val="22"/>
            <w:u w:val="none"/>
          </w:rPr>
          <w:t>https://www.simplypsychology.org/cognitive.html</w:t>
        </w:r>
      </w:hyperlink>
      <w:r w:rsidRPr="00621B1E">
        <w:rPr>
          <w:rFonts w:asciiTheme="majorHAnsi" w:hAnsiTheme="majorHAnsi" w:cstheme="majorHAnsi"/>
          <w:sz w:val="22"/>
          <w:szCs w:val="22"/>
        </w:rPr>
        <w:t>. (Last accessed: March 27</w:t>
      </w:r>
      <w:r w:rsidRPr="00621B1E">
        <w:rPr>
          <w:rFonts w:asciiTheme="majorHAnsi" w:hAnsiTheme="majorHAnsi" w:cstheme="majorHAnsi"/>
          <w:sz w:val="22"/>
          <w:szCs w:val="22"/>
          <w:vertAlign w:val="superscript"/>
        </w:rPr>
        <w:t>th</w:t>
      </w:r>
      <w:proofErr w:type="gramStart"/>
      <w:r w:rsidRPr="00621B1E">
        <w:rPr>
          <w:rFonts w:asciiTheme="majorHAnsi" w:hAnsiTheme="majorHAnsi" w:cstheme="majorHAnsi"/>
          <w:sz w:val="22"/>
          <w:szCs w:val="22"/>
        </w:rPr>
        <w:t xml:space="preserve"> 2018</w:t>
      </w:r>
      <w:proofErr w:type="gramEnd"/>
      <w:r w:rsidRPr="00621B1E">
        <w:rPr>
          <w:rFonts w:asciiTheme="majorHAnsi" w:hAnsiTheme="majorHAnsi" w:cstheme="majorHAnsi"/>
          <w:sz w:val="22"/>
          <w:szCs w:val="22"/>
        </w:rPr>
        <w:t>).</w:t>
      </w:r>
    </w:p>
    <w:p w14:paraId="124515C1" w14:textId="77777777" w:rsidR="00C32523" w:rsidRPr="00621B1E" w:rsidRDefault="00C32523" w:rsidP="00C32523">
      <w:pPr>
        <w:spacing w:line="480" w:lineRule="auto"/>
        <w:rPr>
          <w:rFonts w:asciiTheme="majorHAnsi" w:hAnsiTheme="majorHAnsi" w:cstheme="majorHAnsi"/>
          <w:sz w:val="22"/>
          <w:szCs w:val="22"/>
        </w:rPr>
      </w:pPr>
      <w:r w:rsidRPr="00621B1E">
        <w:rPr>
          <w:rFonts w:asciiTheme="majorHAnsi" w:hAnsiTheme="majorHAnsi" w:cstheme="majorHAnsi"/>
          <w:sz w:val="22"/>
          <w:szCs w:val="22"/>
        </w:rPr>
        <w:t xml:space="preserve">Mikropolous, T., </w:t>
      </w:r>
      <w:proofErr w:type="spellStart"/>
      <w:r w:rsidRPr="00621B1E">
        <w:rPr>
          <w:rFonts w:asciiTheme="majorHAnsi" w:hAnsiTheme="majorHAnsi" w:cstheme="majorHAnsi"/>
          <w:sz w:val="22"/>
          <w:szCs w:val="22"/>
        </w:rPr>
        <w:t>Chalkidis</w:t>
      </w:r>
      <w:proofErr w:type="spellEnd"/>
      <w:r w:rsidRPr="00621B1E">
        <w:rPr>
          <w:rFonts w:asciiTheme="majorHAnsi" w:hAnsiTheme="majorHAnsi" w:cstheme="majorHAnsi"/>
          <w:sz w:val="22"/>
          <w:szCs w:val="22"/>
        </w:rPr>
        <w:t xml:space="preserve">, A., </w:t>
      </w:r>
      <w:proofErr w:type="spellStart"/>
      <w:r w:rsidRPr="00621B1E">
        <w:rPr>
          <w:rFonts w:asciiTheme="majorHAnsi" w:hAnsiTheme="majorHAnsi" w:cstheme="majorHAnsi"/>
          <w:sz w:val="22"/>
          <w:szCs w:val="22"/>
        </w:rPr>
        <w:t>Katsikis</w:t>
      </w:r>
      <w:proofErr w:type="spellEnd"/>
      <w:r w:rsidRPr="00621B1E">
        <w:rPr>
          <w:rFonts w:asciiTheme="majorHAnsi" w:hAnsiTheme="majorHAnsi" w:cstheme="majorHAnsi"/>
          <w:sz w:val="22"/>
          <w:szCs w:val="22"/>
        </w:rPr>
        <w:t xml:space="preserve">, A. and </w:t>
      </w:r>
      <w:proofErr w:type="spellStart"/>
      <w:r w:rsidRPr="00621B1E">
        <w:rPr>
          <w:rFonts w:asciiTheme="majorHAnsi" w:hAnsiTheme="majorHAnsi" w:cstheme="majorHAnsi"/>
          <w:sz w:val="22"/>
          <w:szCs w:val="22"/>
        </w:rPr>
        <w:t>Kossivaki</w:t>
      </w:r>
      <w:proofErr w:type="spellEnd"/>
      <w:r w:rsidRPr="00621B1E">
        <w:rPr>
          <w:rFonts w:asciiTheme="majorHAnsi" w:hAnsiTheme="majorHAnsi" w:cstheme="majorHAnsi"/>
          <w:sz w:val="22"/>
          <w:szCs w:val="22"/>
        </w:rPr>
        <w:t xml:space="preserve">, P. (1997) “Virtual realities in environmental education: The project LAKE.” </w:t>
      </w:r>
      <w:r w:rsidRPr="00621B1E">
        <w:rPr>
          <w:rFonts w:asciiTheme="majorHAnsi" w:hAnsiTheme="majorHAnsi" w:cstheme="majorHAnsi"/>
          <w:i/>
          <w:sz w:val="22"/>
          <w:szCs w:val="22"/>
        </w:rPr>
        <w:t>Education and Information Technologies.</w:t>
      </w:r>
      <w:r w:rsidRPr="00621B1E">
        <w:rPr>
          <w:rFonts w:asciiTheme="majorHAnsi" w:hAnsiTheme="majorHAnsi" w:cstheme="majorHAnsi"/>
          <w:sz w:val="22"/>
          <w:szCs w:val="22"/>
        </w:rPr>
        <w:t xml:space="preserve"> Volume 2(2). P131-142.</w:t>
      </w:r>
    </w:p>
    <w:p w14:paraId="7F6040CF" w14:textId="77777777" w:rsidR="00C32523" w:rsidRPr="00621B1E" w:rsidRDefault="00C32523" w:rsidP="00C32523">
      <w:pPr>
        <w:spacing w:line="480" w:lineRule="auto"/>
        <w:jc w:val="both"/>
        <w:rPr>
          <w:rFonts w:asciiTheme="majorHAnsi" w:hAnsiTheme="majorHAnsi" w:cstheme="majorHAnsi"/>
          <w:sz w:val="22"/>
          <w:szCs w:val="22"/>
        </w:rPr>
      </w:pPr>
      <w:r w:rsidRPr="00621B1E">
        <w:rPr>
          <w:rFonts w:asciiTheme="majorHAnsi" w:hAnsiTheme="majorHAnsi" w:cstheme="majorHAnsi"/>
          <w:sz w:val="22"/>
          <w:szCs w:val="22"/>
        </w:rPr>
        <w:t>Mitchell, S. &amp; Wesolik, F. J. (2002). “Virtual field trips for early and middle childhood educators.” Paper presented at the 18th Annual Conference on Distance Teaching and Learning, Madison, WI. Available online at: http://www.uwex.edu/disted/conference/proceedings/DL2002_W3.pdf (Last accessed: April 26</w:t>
      </w:r>
      <w:r w:rsidRPr="00621B1E">
        <w:rPr>
          <w:rFonts w:asciiTheme="majorHAnsi" w:hAnsiTheme="majorHAnsi" w:cstheme="majorHAnsi"/>
          <w:sz w:val="22"/>
          <w:szCs w:val="22"/>
          <w:vertAlign w:val="superscript"/>
        </w:rPr>
        <w:t>th</w:t>
      </w:r>
      <w:r w:rsidRPr="00621B1E">
        <w:rPr>
          <w:rFonts w:asciiTheme="majorHAnsi" w:hAnsiTheme="majorHAnsi" w:cstheme="majorHAnsi"/>
          <w:sz w:val="22"/>
          <w:szCs w:val="22"/>
        </w:rPr>
        <w:t>, 2018)</w:t>
      </w:r>
    </w:p>
    <w:p w14:paraId="2AA35224" w14:textId="77777777" w:rsidR="00C32523" w:rsidRPr="00621B1E" w:rsidRDefault="00C32523" w:rsidP="00C32523">
      <w:pPr>
        <w:spacing w:line="480" w:lineRule="auto"/>
        <w:jc w:val="both"/>
        <w:rPr>
          <w:rFonts w:asciiTheme="majorHAnsi" w:hAnsiTheme="majorHAnsi" w:cstheme="majorHAnsi"/>
          <w:sz w:val="22"/>
          <w:szCs w:val="22"/>
        </w:rPr>
      </w:pPr>
      <w:r w:rsidRPr="00621B1E">
        <w:rPr>
          <w:rFonts w:asciiTheme="majorHAnsi" w:hAnsiTheme="majorHAnsi" w:cstheme="majorHAnsi"/>
          <w:sz w:val="22"/>
          <w:szCs w:val="22"/>
        </w:rPr>
        <w:t xml:space="preserve">Mutch, A. (2003) “Exploring the Practice of Feedback to Students”. </w:t>
      </w:r>
      <w:r w:rsidRPr="00621B1E">
        <w:rPr>
          <w:rFonts w:asciiTheme="majorHAnsi" w:hAnsiTheme="majorHAnsi" w:cstheme="majorHAnsi"/>
          <w:i/>
          <w:sz w:val="22"/>
          <w:szCs w:val="22"/>
        </w:rPr>
        <w:t>Active Learning in Higher Education.</w:t>
      </w:r>
      <w:r w:rsidRPr="00621B1E">
        <w:rPr>
          <w:rFonts w:asciiTheme="majorHAnsi" w:hAnsiTheme="majorHAnsi" w:cstheme="majorHAnsi"/>
          <w:sz w:val="22"/>
          <w:szCs w:val="22"/>
        </w:rPr>
        <w:t xml:space="preserve"> Volume 4(1). P24-38.</w:t>
      </w:r>
    </w:p>
    <w:p w14:paraId="5692FC2E" w14:textId="77777777" w:rsidR="00C32523" w:rsidRPr="00621B1E" w:rsidRDefault="00C32523" w:rsidP="00C32523">
      <w:pPr>
        <w:spacing w:line="480" w:lineRule="auto"/>
        <w:jc w:val="both"/>
        <w:rPr>
          <w:rFonts w:asciiTheme="majorHAnsi" w:hAnsiTheme="majorHAnsi" w:cstheme="majorHAnsi"/>
          <w:sz w:val="22"/>
          <w:szCs w:val="22"/>
        </w:rPr>
      </w:pPr>
      <w:r w:rsidRPr="00621B1E">
        <w:rPr>
          <w:rFonts w:asciiTheme="majorHAnsi" w:hAnsiTheme="majorHAnsi" w:cstheme="majorHAnsi"/>
          <w:sz w:val="22"/>
          <w:szCs w:val="22"/>
        </w:rPr>
        <w:t>Nix, R. K. (1999). “A critical evaluation of science-related virtual field trips available on the World Wide Web”. Available online at: http://www.dallas.net/rnix/vft_text.html</w:t>
      </w:r>
      <w:r w:rsidRPr="00621B1E">
        <w:rPr>
          <w:rStyle w:val="Hyperlink"/>
          <w:rFonts w:asciiTheme="majorHAnsi" w:hAnsiTheme="majorHAnsi" w:cstheme="majorHAnsi"/>
          <w:color w:val="auto"/>
          <w:sz w:val="22"/>
          <w:szCs w:val="22"/>
          <w:u w:val="none"/>
        </w:rPr>
        <w:t xml:space="preserve"> (Last accessed: May 1</w:t>
      </w:r>
      <w:r w:rsidRPr="00621B1E">
        <w:rPr>
          <w:rStyle w:val="Hyperlink"/>
          <w:rFonts w:asciiTheme="majorHAnsi" w:hAnsiTheme="majorHAnsi" w:cstheme="majorHAnsi"/>
          <w:color w:val="auto"/>
          <w:sz w:val="22"/>
          <w:szCs w:val="22"/>
          <w:u w:val="none"/>
          <w:vertAlign w:val="superscript"/>
        </w:rPr>
        <w:t>st</w:t>
      </w:r>
      <w:r w:rsidRPr="00621B1E">
        <w:rPr>
          <w:rStyle w:val="Hyperlink"/>
          <w:rFonts w:asciiTheme="majorHAnsi" w:hAnsiTheme="majorHAnsi" w:cstheme="majorHAnsi"/>
          <w:sz w:val="22"/>
          <w:szCs w:val="22"/>
          <w:u w:val="none"/>
        </w:rPr>
        <w:t>, 2018</w:t>
      </w:r>
      <w:r w:rsidRPr="00621B1E">
        <w:rPr>
          <w:rStyle w:val="Hyperlink"/>
          <w:rFonts w:asciiTheme="majorHAnsi" w:hAnsiTheme="majorHAnsi" w:cstheme="majorHAnsi"/>
          <w:color w:val="auto"/>
          <w:sz w:val="22"/>
          <w:szCs w:val="22"/>
          <w:u w:val="none"/>
        </w:rPr>
        <w:t>)</w:t>
      </w:r>
    </w:p>
    <w:p w14:paraId="5FE14707" w14:textId="77777777" w:rsidR="00C32523" w:rsidRPr="00621B1E" w:rsidRDefault="00C32523" w:rsidP="00C32523">
      <w:pPr>
        <w:spacing w:line="480" w:lineRule="auto"/>
        <w:rPr>
          <w:rFonts w:asciiTheme="majorHAnsi" w:hAnsiTheme="majorHAnsi" w:cstheme="majorHAnsi"/>
          <w:sz w:val="22"/>
          <w:szCs w:val="22"/>
        </w:rPr>
      </w:pPr>
      <w:r w:rsidRPr="00621B1E">
        <w:rPr>
          <w:rFonts w:asciiTheme="majorHAnsi" w:hAnsiTheme="majorHAnsi" w:cstheme="majorHAnsi"/>
          <w:sz w:val="22"/>
          <w:szCs w:val="22"/>
        </w:rPr>
        <w:t xml:space="preserve">Norris, E., Shelton, N., Dunsmuir, S., Duke-Williams, O. and </w:t>
      </w:r>
      <w:proofErr w:type="spellStart"/>
      <w:r w:rsidRPr="00621B1E">
        <w:rPr>
          <w:rFonts w:asciiTheme="majorHAnsi" w:hAnsiTheme="majorHAnsi" w:cstheme="majorHAnsi"/>
          <w:sz w:val="22"/>
          <w:szCs w:val="22"/>
        </w:rPr>
        <w:t>Stamatakis</w:t>
      </w:r>
      <w:proofErr w:type="spellEnd"/>
      <w:r w:rsidRPr="00621B1E">
        <w:rPr>
          <w:rFonts w:asciiTheme="majorHAnsi" w:hAnsiTheme="majorHAnsi" w:cstheme="majorHAnsi"/>
          <w:sz w:val="22"/>
          <w:szCs w:val="22"/>
        </w:rPr>
        <w:t xml:space="preserve">, E. (2015) “Virtual field trips as physically active lessons for children: a pilot study.” </w:t>
      </w:r>
      <w:r w:rsidRPr="00621B1E">
        <w:rPr>
          <w:rFonts w:asciiTheme="majorHAnsi" w:hAnsiTheme="majorHAnsi" w:cstheme="majorHAnsi"/>
          <w:i/>
          <w:sz w:val="22"/>
          <w:szCs w:val="22"/>
        </w:rPr>
        <w:t xml:space="preserve">BMC Public Health. </w:t>
      </w:r>
      <w:r w:rsidRPr="00621B1E">
        <w:rPr>
          <w:rFonts w:asciiTheme="majorHAnsi" w:hAnsiTheme="majorHAnsi" w:cstheme="majorHAnsi"/>
          <w:sz w:val="22"/>
          <w:szCs w:val="22"/>
        </w:rPr>
        <w:t>Volume 8.</w:t>
      </w:r>
    </w:p>
    <w:p w14:paraId="606EBAF9" w14:textId="77777777" w:rsidR="00C32523" w:rsidRPr="00621B1E" w:rsidRDefault="00C32523" w:rsidP="00C32523">
      <w:pPr>
        <w:spacing w:line="480" w:lineRule="auto"/>
        <w:rPr>
          <w:rFonts w:asciiTheme="majorHAnsi" w:hAnsiTheme="majorHAnsi" w:cstheme="majorHAnsi"/>
          <w:sz w:val="22"/>
          <w:szCs w:val="22"/>
        </w:rPr>
      </w:pPr>
      <w:r w:rsidRPr="00621B1E">
        <w:rPr>
          <w:rFonts w:asciiTheme="majorHAnsi" w:hAnsiTheme="majorHAnsi" w:cstheme="majorHAnsi"/>
          <w:sz w:val="22"/>
          <w:szCs w:val="22"/>
        </w:rPr>
        <w:t xml:space="preserve">Ofsted (2008) </w:t>
      </w:r>
      <w:r w:rsidRPr="00621B1E">
        <w:rPr>
          <w:rFonts w:asciiTheme="majorHAnsi" w:hAnsiTheme="majorHAnsi" w:cstheme="majorHAnsi"/>
          <w:i/>
          <w:sz w:val="22"/>
          <w:szCs w:val="22"/>
        </w:rPr>
        <w:t>Learning outside the classroom: How far should you go?</w:t>
      </w:r>
      <w:r w:rsidRPr="00621B1E">
        <w:rPr>
          <w:rFonts w:asciiTheme="majorHAnsi" w:hAnsiTheme="majorHAnsi" w:cstheme="majorHAnsi"/>
          <w:sz w:val="22"/>
          <w:szCs w:val="22"/>
        </w:rPr>
        <w:t xml:space="preserve"> London: Crown. P17</w:t>
      </w:r>
    </w:p>
    <w:p w14:paraId="1307BDB9" w14:textId="77777777" w:rsidR="00C32523" w:rsidRPr="00621B1E" w:rsidRDefault="00C32523" w:rsidP="00C32523">
      <w:pPr>
        <w:spacing w:line="480" w:lineRule="auto"/>
        <w:rPr>
          <w:rFonts w:asciiTheme="majorHAnsi" w:hAnsiTheme="majorHAnsi" w:cstheme="majorHAnsi"/>
          <w:sz w:val="22"/>
          <w:szCs w:val="22"/>
        </w:rPr>
      </w:pPr>
      <w:r w:rsidRPr="00621B1E">
        <w:rPr>
          <w:rFonts w:asciiTheme="majorHAnsi" w:hAnsiTheme="majorHAnsi" w:cstheme="majorHAnsi"/>
          <w:sz w:val="22"/>
          <w:szCs w:val="22"/>
        </w:rPr>
        <w:t xml:space="preserve">Ofsted (2012) </w:t>
      </w:r>
      <w:r w:rsidRPr="00621B1E">
        <w:rPr>
          <w:rFonts w:asciiTheme="majorHAnsi" w:hAnsiTheme="majorHAnsi" w:cstheme="majorHAnsi"/>
          <w:i/>
          <w:sz w:val="22"/>
          <w:szCs w:val="22"/>
        </w:rPr>
        <w:t>The Pupil Premium.</w:t>
      </w:r>
      <w:r w:rsidRPr="00621B1E">
        <w:rPr>
          <w:rFonts w:asciiTheme="majorHAnsi" w:hAnsiTheme="majorHAnsi" w:cstheme="majorHAnsi"/>
          <w:sz w:val="22"/>
          <w:szCs w:val="22"/>
        </w:rPr>
        <w:t xml:space="preserve"> Manchester: Ofsted.</w:t>
      </w:r>
    </w:p>
    <w:p w14:paraId="2B061ED3" w14:textId="77777777" w:rsidR="00C32523" w:rsidRPr="00621B1E" w:rsidRDefault="00C32523" w:rsidP="00C32523">
      <w:pPr>
        <w:spacing w:line="480" w:lineRule="auto"/>
        <w:rPr>
          <w:rFonts w:asciiTheme="majorHAnsi" w:hAnsiTheme="majorHAnsi" w:cstheme="majorHAnsi"/>
          <w:sz w:val="22"/>
          <w:szCs w:val="22"/>
        </w:rPr>
      </w:pPr>
      <w:r w:rsidRPr="00621B1E">
        <w:rPr>
          <w:rFonts w:asciiTheme="majorHAnsi" w:hAnsiTheme="majorHAnsi" w:cstheme="majorHAnsi"/>
          <w:sz w:val="22"/>
          <w:szCs w:val="22"/>
        </w:rPr>
        <w:t xml:space="preserve">Oyler, M. (2014) </w:t>
      </w:r>
      <w:r w:rsidRPr="00621B1E">
        <w:rPr>
          <w:rFonts w:asciiTheme="majorHAnsi" w:hAnsiTheme="majorHAnsi" w:cstheme="majorHAnsi"/>
          <w:i/>
          <w:sz w:val="22"/>
          <w:szCs w:val="22"/>
        </w:rPr>
        <w:t xml:space="preserve">DOES THE USE OF VIRTUAL FIELD TRIPS INCREASE VOCABULARY AND COMPREHENSION SCORES FOR STUDENTS WITH LEARNING DISABILITIES? </w:t>
      </w:r>
      <w:r w:rsidRPr="00621B1E">
        <w:rPr>
          <w:rFonts w:asciiTheme="majorHAnsi" w:hAnsiTheme="majorHAnsi" w:cstheme="majorHAnsi"/>
          <w:sz w:val="22"/>
          <w:szCs w:val="22"/>
        </w:rPr>
        <w:t>Maryville, Missouri: College of Education and Human Services.</w:t>
      </w:r>
    </w:p>
    <w:p w14:paraId="24D95C78" w14:textId="77777777" w:rsidR="00C32523" w:rsidRPr="00621B1E" w:rsidRDefault="00C32523" w:rsidP="00C32523">
      <w:pPr>
        <w:spacing w:line="480" w:lineRule="auto"/>
        <w:jc w:val="both"/>
        <w:rPr>
          <w:rFonts w:asciiTheme="majorHAnsi" w:hAnsiTheme="majorHAnsi" w:cstheme="majorHAnsi"/>
          <w:sz w:val="22"/>
          <w:szCs w:val="22"/>
        </w:rPr>
      </w:pPr>
      <w:r w:rsidRPr="00621B1E">
        <w:rPr>
          <w:rFonts w:asciiTheme="majorHAnsi" w:hAnsiTheme="majorHAnsi" w:cstheme="majorHAnsi"/>
          <w:sz w:val="22"/>
          <w:szCs w:val="22"/>
        </w:rPr>
        <w:t xml:space="preserve">Qui, W. &amp; Hubble, T. (2002). “The advantages and disadvantages of virtual field trips in geoscience education.” </w:t>
      </w:r>
      <w:r w:rsidRPr="00621B1E">
        <w:rPr>
          <w:rFonts w:asciiTheme="majorHAnsi" w:hAnsiTheme="majorHAnsi" w:cstheme="majorHAnsi"/>
          <w:i/>
          <w:sz w:val="22"/>
          <w:szCs w:val="22"/>
        </w:rPr>
        <w:t>The China Papers</w:t>
      </w:r>
      <w:r w:rsidRPr="00621B1E">
        <w:rPr>
          <w:rFonts w:asciiTheme="majorHAnsi" w:hAnsiTheme="majorHAnsi" w:cstheme="majorHAnsi"/>
          <w:sz w:val="22"/>
          <w:szCs w:val="22"/>
        </w:rPr>
        <w:t xml:space="preserve"> (pp. 75-79).</w:t>
      </w:r>
    </w:p>
    <w:p w14:paraId="41BD3CF0" w14:textId="77777777" w:rsidR="00C32523" w:rsidRPr="00621B1E" w:rsidRDefault="00C32523" w:rsidP="00C32523">
      <w:pPr>
        <w:spacing w:line="480" w:lineRule="auto"/>
        <w:rPr>
          <w:rFonts w:asciiTheme="majorHAnsi" w:hAnsiTheme="majorHAnsi" w:cstheme="majorHAnsi"/>
          <w:sz w:val="22"/>
          <w:szCs w:val="22"/>
        </w:rPr>
      </w:pPr>
      <w:r w:rsidRPr="00621B1E">
        <w:rPr>
          <w:rFonts w:asciiTheme="majorHAnsi" w:hAnsiTheme="majorHAnsi" w:cstheme="majorHAnsi"/>
          <w:sz w:val="22"/>
          <w:szCs w:val="22"/>
        </w:rPr>
        <w:t xml:space="preserve">Rice, M. and Wilson, E. (1996) “How Technology Aids Constructivism in the Social Studies Classroom.” </w:t>
      </w:r>
      <w:r w:rsidRPr="00621B1E">
        <w:rPr>
          <w:rFonts w:asciiTheme="majorHAnsi" w:hAnsiTheme="majorHAnsi" w:cstheme="majorHAnsi"/>
          <w:i/>
          <w:sz w:val="22"/>
          <w:szCs w:val="22"/>
        </w:rPr>
        <w:t>The Social Studies.</w:t>
      </w:r>
      <w:r w:rsidRPr="00621B1E">
        <w:rPr>
          <w:rFonts w:asciiTheme="majorHAnsi" w:hAnsiTheme="majorHAnsi" w:cstheme="majorHAnsi"/>
          <w:sz w:val="22"/>
          <w:szCs w:val="22"/>
        </w:rPr>
        <w:t xml:space="preserve"> Volume 90(1). P28-33.</w:t>
      </w:r>
    </w:p>
    <w:p w14:paraId="13D798C2" w14:textId="77777777" w:rsidR="00C32523" w:rsidRPr="00621B1E" w:rsidRDefault="00C32523" w:rsidP="00C32523">
      <w:pPr>
        <w:spacing w:line="480" w:lineRule="auto"/>
        <w:rPr>
          <w:rFonts w:asciiTheme="majorHAnsi" w:hAnsiTheme="majorHAnsi" w:cstheme="majorHAnsi"/>
          <w:sz w:val="22"/>
          <w:szCs w:val="22"/>
        </w:rPr>
      </w:pPr>
      <w:r w:rsidRPr="00621B1E">
        <w:rPr>
          <w:rFonts w:asciiTheme="majorHAnsi" w:hAnsiTheme="majorHAnsi" w:cstheme="majorHAnsi"/>
          <w:sz w:val="22"/>
          <w:szCs w:val="22"/>
        </w:rPr>
        <w:t xml:space="preserve">Robinson, L. (2009) </w:t>
      </w:r>
      <w:r w:rsidRPr="00621B1E">
        <w:rPr>
          <w:rFonts w:asciiTheme="majorHAnsi" w:hAnsiTheme="majorHAnsi" w:cstheme="majorHAnsi"/>
          <w:i/>
          <w:sz w:val="22"/>
          <w:szCs w:val="22"/>
        </w:rPr>
        <w:t>Virtual Field Trips: The Pros and Cons of an Educational Innovation.</w:t>
      </w:r>
      <w:r w:rsidRPr="00621B1E">
        <w:rPr>
          <w:rFonts w:asciiTheme="majorHAnsi" w:hAnsiTheme="majorHAnsi" w:cstheme="majorHAnsi"/>
          <w:sz w:val="22"/>
          <w:szCs w:val="22"/>
        </w:rPr>
        <w:t xml:space="preserve"> New Zealand: University of Otago.</w:t>
      </w:r>
    </w:p>
    <w:p w14:paraId="510C0E96" w14:textId="77777777" w:rsidR="00C32523" w:rsidRPr="00621B1E" w:rsidRDefault="00C32523" w:rsidP="00C32523">
      <w:pPr>
        <w:spacing w:line="480" w:lineRule="auto"/>
        <w:jc w:val="both"/>
        <w:rPr>
          <w:rFonts w:asciiTheme="majorHAnsi" w:hAnsiTheme="majorHAnsi" w:cstheme="majorHAnsi"/>
          <w:i/>
          <w:noProof/>
          <w:sz w:val="22"/>
          <w:szCs w:val="22"/>
        </w:rPr>
      </w:pPr>
      <w:r w:rsidRPr="00621B1E">
        <w:rPr>
          <w:rFonts w:asciiTheme="majorHAnsi" w:hAnsiTheme="majorHAnsi" w:cstheme="majorHAnsi"/>
          <w:noProof/>
          <w:sz w:val="22"/>
          <w:szCs w:val="22"/>
        </w:rPr>
        <w:t xml:space="preserve">School Y (2014) </w:t>
      </w:r>
      <w:r w:rsidRPr="00621B1E">
        <w:rPr>
          <w:rFonts w:asciiTheme="majorHAnsi" w:hAnsiTheme="majorHAnsi" w:cstheme="majorHAnsi"/>
          <w:i/>
          <w:noProof/>
          <w:sz w:val="22"/>
          <w:szCs w:val="22"/>
        </w:rPr>
        <w:t>School PDG Statement</w:t>
      </w:r>
    </w:p>
    <w:p w14:paraId="56986E9A" w14:textId="77777777" w:rsidR="00C32523" w:rsidRPr="00621B1E" w:rsidRDefault="00C32523" w:rsidP="00C32523">
      <w:pPr>
        <w:spacing w:line="480" w:lineRule="auto"/>
        <w:jc w:val="both"/>
        <w:rPr>
          <w:rFonts w:asciiTheme="majorHAnsi" w:hAnsiTheme="majorHAnsi" w:cstheme="majorHAnsi"/>
          <w:i/>
          <w:noProof/>
          <w:sz w:val="22"/>
          <w:szCs w:val="22"/>
        </w:rPr>
      </w:pPr>
      <w:r w:rsidRPr="00621B1E">
        <w:rPr>
          <w:rFonts w:asciiTheme="majorHAnsi" w:hAnsiTheme="majorHAnsi" w:cstheme="majorHAnsi"/>
          <w:noProof/>
          <w:sz w:val="22"/>
          <w:szCs w:val="22"/>
        </w:rPr>
        <w:t xml:space="preserve">School Y (2017) 2017-18 </w:t>
      </w:r>
      <w:r w:rsidRPr="00621B1E">
        <w:rPr>
          <w:rFonts w:asciiTheme="majorHAnsi" w:hAnsiTheme="majorHAnsi" w:cstheme="majorHAnsi"/>
          <w:i/>
          <w:noProof/>
          <w:sz w:val="22"/>
          <w:szCs w:val="22"/>
        </w:rPr>
        <w:t>Pupil Deprivation Grant (PDG): Annual Spend Plan</w:t>
      </w:r>
    </w:p>
    <w:p w14:paraId="30D7E92E" w14:textId="77777777" w:rsidR="00C32523" w:rsidRPr="00621B1E" w:rsidRDefault="00C32523" w:rsidP="00C32523">
      <w:pPr>
        <w:spacing w:line="480" w:lineRule="auto"/>
        <w:rPr>
          <w:rFonts w:asciiTheme="majorHAnsi" w:hAnsiTheme="majorHAnsi" w:cstheme="majorHAnsi"/>
          <w:sz w:val="22"/>
          <w:szCs w:val="22"/>
        </w:rPr>
      </w:pPr>
      <w:r w:rsidRPr="00621B1E">
        <w:rPr>
          <w:rFonts w:asciiTheme="majorHAnsi" w:hAnsiTheme="majorHAnsi" w:cstheme="majorHAnsi"/>
          <w:sz w:val="22"/>
          <w:szCs w:val="22"/>
        </w:rPr>
        <w:t>Schug, M., Todd, R. and Beery, R. (1985) “Why Kids Don’t Like Social Studies</w:t>
      </w:r>
      <w:r w:rsidRPr="00621B1E">
        <w:rPr>
          <w:rFonts w:asciiTheme="majorHAnsi" w:hAnsiTheme="majorHAnsi" w:cstheme="majorHAnsi"/>
          <w:i/>
          <w:sz w:val="22"/>
          <w:szCs w:val="22"/>
        </w:rPr>
        <w:t>.” Social Education</w:t>
      </w:r>
      <w:r w:rsidRPr="00621B1E">
        <w:rPr>
          <w:rFonts w:asciiTheme="majorHAnsi" w:hAnsiTheme="majorHAnsi" w:cstheme="majorHAnsi"/>
          <w:sz w:val="22"/>
          <w:szCs w:val="22"/>
        </w:rPr>
        <w:t>. Volume 48(1). P382-387.</w:t>
      </w:r>
    </w:p>
    <w:p w14:paraId="66195E61" w14:textId="77777777" w:rsidR="00C32523" w:rsidRPr="00621B1E" w:rsidRDefault="00C32523" w:rsidP="00C32523">
      <w:pPr>
        <w:spacing w:line="480" w:lineRule="auto"/>
        <w:rPr>
          <w:rFonts w:asciiTheme="majorHAnsi" w:hAnsiTheme="majorHAnsi" w:cstheme="majorHAnsi"/>
          <w:sz w:val="22"/>
          <w:szCs w:val="22"/>
        </w:rPr>
      </w:pPr>
      <w:r w:rsidRPr="00621B1E">
        <w:rPr>
          <w:rFonts w:asciiTheme="majorHAnsi" w:hAnsiTheme="majorHAnsi" w:cstheme="majorHAnsi"/>
          <w:sz w:val="22"/>
          <w:szCs w:val="22"/>
        </w:rPr>
        <w:t xml:space="preserve">Shaffer, W. and Resnick, M. (1999) ““Thick” Authenticity: New Media and Authentic Learning.” </w:t>
      </w:r>
      <w:r w:rsidRPr="00621B1E">
        <w:rPr>
          <w:rFonts w:asciiTheme="majorHAnsi" w:hAnsiTheme="majorHAnsi" w:cstheme="majorHAnsi"/>
          <w:i/>
          <w:sz w:val="22"/>
          <w:szCs w:val="22"/>
        </w:rPr>
        <w:t>Journal of Interactive Learning Research.</w:t>
      </w:r>
      <w:r w:rsidRPr="00621B1E">
        <w:rPr>
          <w:rFonts w:asciiTheme="majorHAnsi" w:hAnsiTheme="majorHAnsi" w:cstheme="majorHAnsi"/>
          <w:sz w:val="22"/>
          <w:szCs w:val="22"/>
        </w:rPr>
        <w:t xml:space="preserve"> Volume 10(2). P195-215.</w:t>
      </w:r>
    </w:p>
    <w:p w14:paraId="764692D1" w14:textId="77777777" w:rsidR="00C32523" w:rsidRPr="00621B1E" w:rsidRDefault="00C32523" w:rsidP="00C32523">
      <w:pPr>
        <w:spacing w:line="480" w:lineRule="auto"/>
        <w:rPr>
          <w:rFonts w:asciiTheme="majorHAnsi" w:hAnsiTheme="majorHAnsi" w:cstheme="majorHAnsi"/>
          <w:sz w:val="22"/>
          <w:szCs w:val="22"/>
        </w:rPr>
      </w:pPr>
      <w:r w:rsidRPr="00621B1E">
        <w:rPr>
          <w:rFonts w:asciiTheme="majorHAnsi" w:hAnsiTheme="majorHAnsi" w:cstheme="majorHAnsi"/>
          <w:sz w:val="22"/>
          <w:szCs w:val="22"/>
        </w:rPr>
        <w:lastRenderedPageBreak/>
        <w:t xml:space="preserve">Shayghnessy, J. and Haladyna, T. (1985) “Research on Student Attitude Toward Social Studies.” </w:t>
      </w:r>
      <w:r w:rsidRPr="00621B1E">
        <w:rPr>
          <w:rFonts w:asciiTheme="majorHAnsi" w:hAnsiTheme="majorHAnsi" w:cstheme="majorHAnsi"/>
          <w:i/>
          <w:sz w:val="22"/>
          <w:szCs w:val="22"/>
        </w:rPr>
        <w:t>Social Education.</w:t>
      </w:r>
      <w:r w:rsidRPr="00621B1E">
        <w:rPr>
          <w:rFonts w:asciiTheme="majorHAnsi" w:hAnsiTheme="majorHAnsi" w:cstheme="majorHAnsi"/>
          <w:sz w:val="22"/>
          <w:szCs w:val="22"/>
        </w:rPr>
        <w:t xml:space="preserve"> Volume 49(8). P692-695.</w:t>
      </w:r>
    </w:p>
    <w:p w14:paraId="0C7B4521" w14:textId="77777777" w:rsidR="00C32523" w:rsidRPr="00621B1E" w:rsidRDefault="00C32523" w:rsidP="00C32523">
      <w:pPr>
        <w:spacing w:line="480" w:lineRule="auto"/>
        <w:jc w:val="both"/>
        <w:rPr>
          <w:rFonts w:asciiTheme="majorHAnsi" w:hAnsiTheme="majorHAnsi" w:cstheme="majorHAnsi"/>
          <w:sz w:val="22"/>
          <w:szCs w:val="22"/>
        </w:rPr>
      </w:pPr>
      <w:r w:rsidRPr="00621B1E">
        <w:rPr>
          <w:rFonts w:asciiTheme="majorHAnsi" w:hAnsiTheme="majorHAnsi" w:cstheme="majorHAnsi"/>
          <w:sz w:val="22"/>
          <w:szCs w:val="22"/>
        </w:rPr>
        <w:t xml:space="preserve">Stainfield, J., Fisher, P., Ford, B. &amp; </w:t>
      </w:r>
      <w:proofErr w:type="spellStart"/>
      <w:r w:rsidRPr="00621B1E">
        <w:rPr>
          <w:rFonts w:asciiTheme="majorHAnsi" w:hAnsiTheme="majorHAnsi" w:cstheme="majorHAnsi"/>
          <w:sz w:val="22"/>
          <w:szCs w:val="22"/>
        </w:rPr>
        <w:t>Solem</w:t>
      </w:r>
      <w:proofErr w:type="spellEnd"/>
      <w:r w:rsidRPr="00621B1E">
        <w:rPr>
          <w:rFonts w:asciiTheme="majorHAnsi" w:hAnsiTheme="majorHAnsi" w:cstheme="majorHAnsi"/>
          <w:sz w:val="22"/>
          <w:szCs w:val="22"/>
        </w:rPr>
        <w:t xml:space="preserve">, M. (2000). “International virtual field trips: A new direction?” </w:t>
      </w:r>
      <w:r w:rsidRPr="00621B1E">
        <w:rPr>
          <w:rFonts w:asciiTheme="majorHAnsi" w:hAnsiTheme="majorHAnsi" w:cstheme="majorHAnsi"/>
          <w:i/>
          <w:sz w:val="22"/>
          <w:szCs w:val="22"/>
        </w:rPr>
        <w:t>Journal of Geography in Higher Education</w:t>
      </w:r>
      <w:r w:rsidRPr="00621B1E">
        <w:rPr>
          <w:rFonts w:asciiTheme="majorHAnsi" w:hAnsiTheme="majorHAnsi" w:cstheme="majorHAnsi"/>
          <w:sz w:val="22"/>
          <w:szCs w:val="22"/>
        </w:rPr>
        <w:t>. Volume 24(2), 255-262.</w:t>
      </w:r>
    </w:p>
    <w:p w14:paraId="7017B75C" w14:textId="77777777" w:rsidR="00C32523" w:rsidRPr="00621B1E" w:rsidRDefault="00C32523" w:rsidP="00C32523">
      <w:pPr>
        <w:spacing w:line="480" w:lineRule="auto"/>
        <w:jc w:val="both"/>
        <w:rPr>
          <w:rFonts w:asciiTheme="majorHAnsi" w:hAnsiTheme="majorHAnsi" w:cstheme="majorHAnsi"/>
          <w:sz w:val="22"/>
          <w:szCs w:val="22"/>
        </w:rPr>
      </w:pPr>
      <w:proofErr w:type="spellStart"/>
      <w:r w:rsidRPr="00621B1E">
        <w:rPr>
          <w:rFonts w:asciiTheme="majorHAnsi" w:hAnsiTheme="majorHAnsi" w:cstheme="majorHAnsi"/>
          <w:sz w:val="22"/>
          <w:szCs w:val="22"/>
        </w:rPr>
        <w:t>Stamats</w:t>
      </w:r>
      <w:proofErr w:type="spellEnd"/>
      <w:r w:rsidRPr="00621B1E">
        <w:rPr>
          <w:rFonts w:asciiTheme="majorHAnsi" w:hAnsiTheme="majorHAnsi" w:cstheme="majorHAnsi"/>
          <w:sz w:val="22"/>
          <w:szCs w:val="22"/>
        </w:rPr>
        <w:t xml:space="preserve">, Inc. (2008) </w:t>
      </w:r>
      <w:r w:rsidRPr="00621B1E">
        <w:rPr>
          <w:rFonts w:asciiTheme="majorHAnsi" w:hAnsiTheme="majorHAnsi" w:cstheme="majorHAnsi"/>
          <w:i/>
          <w:sz w:val="22"/>
          <w:szCs w:val="22"/>
        </w:rPr>
        <w:t>Students of today… and tomorrow:  Report prepared for the Board of Trustees.</w:t>
      </w:r>
      <w:r w:rsidRPr="00621B1E">
        <w:rPr>
          <w:rFonts w:asciiTheme="majorHAnsi" w:hAnsiTheme="majorHAnsi" w:cstheme="majorHAnsi"/>
          <w:sz w:val="22"/>
          <w:szCs w:val="22"/>
        </w:rPr>
        <w:t xml:space="preserve"> Lyon College, Batesville: </w:t>
      </w:r>
      <w:proofErr w:type="spellStart"/>
      <w:r w:rsidRPr="00621B1E">
        <w:rPr>
          <w:rFonts w:asciiTheme="majorHAnsi" w:hAnsiTheme="majorHAnsi" w:cstheme="majorHAnsi"/>
          <w:sz w:val="22"/>
          <w:szCs w:val="22"/>
        </w:rPr>
        <w:t>Stamats</w:t>
      </w:r>
      <w:proofErr w:type="spellEnd"/>
      <w:r w:rsidRPr="00621B1E">
        <w:rPr>
          <w:rFonts w:asciiTheme="majorHAnsi" w:hAnsiTheme="majorHAnsi" w:cstheme="majorHAnsi"/>
          <w:sz w:val="22"/>
          <w:szCs w:val="22"/>
        </w:rPr>
        <w:t>, Inc.</w:t>
      </w:r>
    </w:p>
    <w:p w14:paraId="58E24359" w14:textId="77777777" w:rsidR="00C32523" w:rsidRPr="00621B1E" w:rsidRDefault="00C32523" w:rsidP="00C32523">
      <w:pPr>
        <w:spacing w:line="480" w:lineRule="auto"/>
        <w:jc w:val="both"/>
        <w:rPr>
          <w:rFonts w:asciiTheme="majorHAnsi" w:hAnsiTheme="majorHAnsi" w:cstheme="majorHAnsi"/>
          <w:sz w:val="22"/>
          <w:szCs w:val="22"/>
        </w:rPr>
      </w:pPr>
      <w:proofErr w:type="spellStart"/>
      <w:r w:rsidRPr="00621B1E">
        <w:rPr>
          <w:rFonts w:asciiTheme="majorHAnsi" w:hAnsiTheme="majorHAnsi" w:cstheme="majorHAnsi"/>
          <w:sz w:val="22"/>
          <w:szCs w:val="22"/>
        </w:rPr>
        <w:t>Stamou</w:t>
      </w:r>
      <w:proofErr w:type="spellEnd"/>
      <w:r w:rsidRPr="00621B1E">
        <w:rPr>
          <w:rFonts w:asciiTheme="majorHAnsi" w:hAnsiTheme="majorHAnsi" w:cstheme="majorHAnsi"/>
          <w:sz w:val="22"/>
          <w:szCs w:val="22"/>
        </w:rPr>
        <w:t xml:space="preserve">, E., Edwards, A., Daniels, H. and Ferguson, L. (2014) </w:t>
      </w:r>
      <w:r w:rsidRPr="00621B1E">
        <w:rPr>
          <w:rFonts w:asciiTheme="majorHAnsi" w:hAnsiTheme="majorHAnsi" w:cstheme="majorHAnsi"/>
          <w:i/>
          <w:sz w:val="22"/>
          <w:szCs w:val="22"/>
        </w:rPr>
        <w:t>Young People At-risk of Drop-out from Education: Recognising and Responding to their Needs.</w:t>
      </w:r>
      <w:r w:rsidRPr="00621B1E">
        <w:rPr>
          <w:rFonts w:asciiTheme="majorHAnsi" w:hAnsiTheme="majorHAnsi" w:cstheme="majorHAnsi"/>
          <w:sz w:val="22"/>
          <w:szCs w:val="22"/>
        </w:rPr>
        <w:t xml:space="preserve"> Oxford: Oxford University Department of </w:t>
      </w:r>
      <w:proofErr w:type="spellStart"/>
      <w:r w:rsidRPr="00621B1E">
        <w:rPr>
          <w:rFonts w:asciiTheme="majorHAnsi" w:hAnsiTheme="majorHAnsi" w:cstheme="majorHAnsi"/>
          <w:sz w:val="22"/>
          <w:szCs w:val="22"/>
        </w:rPr>
        <w:t>Educaiton</w:t>
      </w:r>
      <w:proofErr w:type="spellEnd"/>
    </w:p>
    <w:p w14:paraId="7B3EA224" w14:textId="77777777" w:rsidR="00C32523" w:rsidRPr="00621B1E" w:rsidRDefault="00C32523" w:rsidP="00C32523">
      <w:pPr>
        <w:spacing w:line="480" w:lineRule="auto"/>
        <w:rPr>
          <w:rFonts w:asciiTheme="majorHAnsi" w:hAnsiTheme="majorHAnsi" w:cstheme="majorHAnsi"/>
          <w:sz w:val="22"/>
          <w:szCs w:val="22"/>
        </w:rPr>
      </w:pPr>
      <w:r w:rsidRPr="00621B1E">
        <w:rPr>
          <w:rFonts w:asciiTheme="majorHAnsi" w:hAnsiTheme="majorHAnsi" w:cstheme="majorHAnsi"/>
          <w:sz w:val="22"/>
          <w:szCs w:val="22"/>
        </w:rPr>
        <w:t xml:space="preserve">The School Travel Forum (Date Unknown) </w:t>
      </w:r>
      <w:r w:rsidRPr="00621B1E">
        <w:rPr>
          <w:rFonts w:asciiTheme="majorHAnsi" w:hAnsiTheme="majorHAnsi" w:cstheme="majorHAnsi"/>
          <w:i/>
          <w:sz w:val="22"/>
          <w:szCs w:val="22"/>
        </w:rPr>
        <w:t>The Benefits of Outdoor Learning</w:t>
      </w:r>
      <w:r w:rsidRPr="00621B1E">
        <w:rPr>
          <w:rFonts w:asciiTheme="majorHAnsi" w:hAnsiTheme="majorHAnsi" w:cstheme="majorHAnsi"/>
          <w:sz w:val="22"/>
          <w:szCs w:val="22"/>
        </w:rPr>
        <w:t>. Herefordshire: The School Travel Forum.</w:t>
      </w:r>
    </w:p>
    <w:p w14:paraId="2CDF461A" w14:textId="77777777" w:rsidR="00C32523" w:rsidRPr="00621B1E" w:rsidRDefault="00C32523" w:rsidP="00C32523">
      <w:pPr>
        <w:spacing w:line="480" w:lineRule="auto"/>
        <w:rPr>
          <w:rFonts w:asciiTheme="majorHAnsi" w:hAnsiTheme="majorHAnsi" w:cstheme="majorHAnsi"/>
          <w:sz w:val="22"/>
          <w:szCs w:val="22"/>
        </w:rPr>
      </w:pPr>
      <w:r w:rsidRPr="00621B1E">
        <w:rPr>
          <w:rFonts w:asciiTheme="majorHAnsi" w:hAnsiTheme="majorHAnsi" w:cstheme="majorHAnsi"/>
          <w:sz w:val="22"/>
          <w:szCs w:val="22"/>
        </w:rPr>
        <w:t xml:space="preserve">University of Wales Trinity Saint David (2017) </w:t>
      </w:r>
      <w:r w:rsidRPr="00621B1E">
        <w:rPr>
          <w:rFonts w:asciiTheme="majorHAnsi" w:hAnsiTheme="majorHAnsi" w:cstheme="majorHAnsi"/>
          <w:i/>
          <w:sz w:val="22"/>
          <w:szCs w:val="22"/>
        </w:rPr>
        <w:t xml:space="preserve">Research Ethics &amp; Integrity Code of </w:t>
      </w:r>
      <w:proofErr w:type="spellStart"/>
      <w:r w:rsidRPr="00621B1E">
        <w:rPr>
          <w:rFonts w:asciiTheme="majorHAnsi" w:hAnsiTheme="majorHAnsi" w:cstheme="majorHAnsi"/>
          <w:i/>
          <w:sz w:val="22"/>
          <w:szCs w:val="22"/>
        </w:rPr>
        <w:t>Practice.</w:t>
      </w:r>
      <w:r w:rsidRPr="00621B1E">
        <w:rPr>
          <w:rFonts w:asciiTheme="majorHAnsi" w:hAnsiTheme="majorHAnsi" w:cstheme="majorHAnsi"/>
          <w:sz w:val="22"/>
          <w:szCs w:val="22"/>
        </w:rPr>
        <w:t>Swansea</w:t>
      </w:r>
      <w:proofErr w:type="spellEnd"/>
      <w:r w:rsidRPr="00621B1E">
        <w:rPr>
          <w:rFonts w:asciiTheme="majorHAnsi" w:hAnsiTheme="majorHAnsi" w:cstheme="majorHAnsi"/>
          <w:sz w:val="22"/>
          <w:szCs w:val="22"/>
        </w:rPr>
        <w:t>: UWTSD.</w:t>
      </w:r>
    </w:p>
    <w:p w14:paraId="0C911336" w14:textId="77777777" w:rsidR="00C32523" w:rsidRPr="00621B1E" w:rsidRDefault="00C32523" w:rsidP="00C32523">
      <w:pPr>
        <w:spacing w:line="480" w:lineRule="auto"/>
        <w:rPr>
          <w:rFonts w:asciiTheme="majorHAnsi" w:hAnsiTheme="majorHAnsi" w:cstheme="majorHAnsi"/>
          <w:sz w:val="22"/>
          <w:szCs w:val="22"/>
        </w:rPr>
      </w:pPr>
      <w:r w:rsidRPr="00621B1E">
        <w:rPr>
          <w:rFonts w:asciiTheme="majorHAnsi" w:hAnsiTheme="majorHAnsi" w:cstheme="majorHAnsi"/>
          <w:sz w:val="22"/>
          <w:szCs w:val="22"/>
        </w:rPr>
        <w:t xml:space="preserve">VanSickle, R. (1990)” The personal relevance of the social studies.” </w:t>
      </w:r>
      <w:r w:rsidRPr="00621B1E">
        <w:rPr>
          <w:rFonts w:asciiTheme="majorHAnsi" w:hAnsiTheme="majorHAnsi" w:cstheme="majorHAnsi"/>
          <w:i/>
          <w:sz w:val="22"/>
          <w:szCs w:val="22"/>
        </w:rPr>
        <w:t>Social Education</w:t>
      </w:r>
      <w:r w:rsidRPr="00621B1E">
        <w:rPr>
          <w:rFonts w:asciiTheme="majorHAnsi" w:hAnsiTheme="majorHAnsi" w:cstheme="majorHAnsi"/>
          <w:sz w:val="22"/>
          <w:szCs w:val="22"/>
        </w:rPr>
        <w:t>. Volume 54(1). P23-27.</w:t>
      </w:r>
    </w:p>
    <w:p w14:paraId="349AC833" w14:textId="77777777" w:rsidR="00C32523" w:rsidRPr="00621B1E" w:rsidRDefault="00C32523" w:rsidP="00C32523">
      <w:pPr>
        <w:spacing w:line="480" w:lineRule="auto"/>
        <w:rPr>
          <w:rFonts w:asciiTheme="majorHAnsi" w:hAnsiTheme="majorHAnsi" w:cstheme="majorHAnsi"/>
          <w:sz w:val="22"/>
          <w:szCs w:val="22"/>
        </w:rPr>
      </w:pPr>
      <w:r w:rsidRPr="00621B1E">
        <w:rPr>
          <w:rFonts w:asciiTheme="majorHAnsi" w:hAnsiTheme="majorHAnsi" w:cstheme="majorHAnsi"/>
          <w:sz w:val="22"/>
          <w:szCs w:val="22"/>
        </w:rPr>
        <w:t xml:space="preserve">Watkins, C., Carnell, E., Lodge, C, Wagner, P. and </w:t>
      </w:r>
      <w:proofErr w:type="spellStart"/>
      <w:r w:rsidRPr="00621B1E">
        <w:rPr>
          <w:rFonts w:asciiTheme="majorHAnsi" w:hAnsiTheme="majorHAnsi" w:cstheme="majorHAnsi"/>
          <w:sz w:val="22"/>
          <w:szCs w:val="22"/>
        </w:rPr>
        <w:t>Whalley</w:t>
      </w:r>
      <w:proofErr w:type="spellEnd"/>
      <w:r w:rsidRPr="00621B1E">
        <w:rPr>
          <w:rFonts w:asciiTheme="majorHAnsi" w:hAnsiTheme="majorHAnsi" w:cstheme="majorHAnsi"/>
          <w:sz w:val="22"/>
          <w:szCs w:val="22"/>
        </w:rPr>
        <w:t xml:space="preserve">, C. (2002) “Effective Learning.” In J. Reed (ed.) </w:t>
      </w:r>
      <w:r w:rsidRPr="00621B1E">
        <w:rPr>
          <w:rFonts w:asciiTheme="majorHAnsi" w:hAnsiTheme="majorHAnsi" w:cstheme="majorHAnsi"/>
          <w:i/>
          <w:sz w:val="22"/>
          <w:szCs w:val="22"/>
        </w:rPr>
        <w:t>Research Matters</w:t>
      </w:r>
      <w:r w:rsidRPr="00621B1E">
        <w:rPr>
          <w:rFonts w:asciiTheme="majorHAnsi" w:hAnsiTheme="majorHAnsi" w:cstheme="majorHAnsi"/>
          <w:sz w:val="22"/>
          <w:szCs w:val="22"/>
        </w:rPr>
        <w:t>. P1-8.</w:t>
      </w:r>
    </w:p>
    <w:p w14:paraId="30FF0E3E" w14:textId="77777777" w:rsidR="00C32523" w:rsidRPr="00621B1E" w:rsidRDefault="00C32523" w:rsidP="00C32523">
      <w:pPr>
        <w:spacing w:line="480" w:lineRule="auto"/>
        <w:rPr>
          <w:rFonts w:asciiTheme="majorHAnsi" w:hAnsiTheme="majorHAnsi" w:cstheme="majorHAnsi"/>
          <w:sz w:val="22"/>
          <w:szCs w:val="22"/>
        </w:rPr>
      </w:pPr>
      <w:r w:rsidRPr="00621B1E">
        <w:rPr>
          <w:rFonts w:asciiTheme="majorHAnsi" w:hAnsiTheme="majorHAnsi" w:cstheme="majorHAnsi"/>
          <w:sz w:val="22"/>
          <w:szCs w:val="22"/>
        </w:rPr>
        <w:t xml:space="preserve">Weible, T. and Evans, C. (1984) “Elementary Students’ Perceptions of Social Studies.” </w:t>
      </w:r>
      <w:r w:rsidRPr="00621B1E">
        <w:rPr>
          <w:rFonts w:asciiTheme="majorHAnsi" w:hAnsiTheme="majorHAnsi" w:cstheme="majorHAnsi"/>
          <w:i/>
          <w:sz w:val="22"/>
          <w:szCs w:val="22"/>
        </w:rPr>
        <w:t>Social Studies</w:t>
      </w:r>
      <w:r w:rsidRPr="00621B1E">
        <w:rPr>
          <w:rFonts w:asciiTheme="majorHAnsi" w:hAnsiTheme="majorHAnsi" w:cstheme="majorHAnsi"/>
          <w:sz w:val="22"/>
          <w:szCs w:val="22"/>
        </w:rPr>
        <w:t>. Volume 75(6). P244-247.</w:t>
      </w:r>
    </w:p>
    <w:p w14:paraId="43D21F77" w14:textId="77777777" w:rsidR="00C32523" w:rsidRPr="00621B1E" w:rsidRDefault="00C32523" w:rsidP="00C32523">
      <w:pPr>
        <w:spacing w:line="480" w:lineRule="auto"/>
        <w:rPr>
          <w:rFonts w:asciiTheme="majorHAnsi" w:hAnsiTheme="majorHAnsi" w:cstheme="majorHAnsi"/>
          <w:sz w:val="22"/>
          <w:szCs w:val="22"/>
        </w:rPr>
      </w:pPr>
      <w:r w:rsidRPr="00621B1E">
        <w:rPr>
          <w:rFonts w:asciiTheme="majorHAnsi" w:hAnsiTheme="majorHAnsi" w:cstheme="majorHAnsi"/>
          <w:sz w:val="22"/>
          <w:szCs w:val="22"/>
        </w:rPr>
        <w:t>Welsh Government (2015)</w:t>
      </w:r>
      <w:r w:rsidRPr="00621B1E">
        <w:rPr>
          <w:rFonts w:asciiTheme="majorHAnsi" w:hAnsiTheme="majorHAnsi" w:cstheme="majorHAnsi"/>
          <w:i/>
          <w:sz w:val="22"/>
          <w:szCs w:val="22"/>
        </w:rPr>
        <w:t xml:space="preserve"> A curriculum for Wales- a curriculum for life.</w:t>
      </w:r>
      <w:r w:rsidRPr="00621B1E">
        <w:rPr>
          <w:rFonts w:asciiTheme="majorHAnsi" w:hAnsiTheme="majorHAnsi" w:cstheme="majorHAnsi"/>
          <w:sz w:val="22"/>
          <w:szCs w:val="22"/>
        </w:rPr>
        <w:t xml:space="preserve"> Cardiff: Welsh Government.</w:t>
      </w:r>
    </w:p>
    <w:p w14:paraId="6F0DE1E2" w14:textId="77777777" w:rsidR="00C32523" w:rsidRPr="00621B1E" w:rsidRDefault="00C32523" w:rsidP="00C32523">
      <w:pPr>
        <w:spacing w:line="480" w:lineRule="auto"/>
        <w:rPr>
          <w:rFonts w:asciiTheme="majorHAnsi" w:hAnsiTheme="majorHAnsi" w:cstheme="majorHAnsi"/>
          <w:sz w:val="22"/>
          <w:szCs w:val="22"/>
        </w:rPr>
      </w:pPr>
      <w:proofErr w:type="spellStart"/>
      <w:r w:rsidRPr="00621B1E">
        <w:rPr>
          <w:rFonts w:asciiTheme="majorHAnsi" w:hAnsiTheme="majorHAnsi" w:cstheme="majorHAnsi"/>
          <w:sz w:val="22"/>
          <w:szCs w:val="22"/>
        </w:rPr>
        <w:t>Wetton</w:t>
      </w:r>
      <w:proofErr w:type="spellEnd"/>
      <w:r w:rsidRPr="00621B1E">
        <w:rPr>
          <w:rFonts w:asciiTheme="majorHAnsi" w:hAnsiTheme="majorHAnsi" w:cstheme="majorHAnsi"/>
          <w:sz w:val="22"/>
          <w:szCs w:val="22"/>
        </w:rPr>
        <w:t xml:space="preserve">, M. and Scott, A. (2014) </w:t>
      </w:r>
      <w:r w:rsidRPr="00621B1E">
        <w:rPr>
          <w:rFonts w:asciiTheme="majorHAnsi" w:hAnsiTheme="majorHAnsi" w:cstheme="majorHAnsi"/>
          <w:i/>
          <w:sz w:val="22"/>
          <w:szCs w:val="22"/>
        </w:rPr>
        <w:t>IS Technology Enhanced Learning Strategy.</w:t>
      </w:r>
      <w:r w:rsidRPr="00621B1E">
        <w:rPr>
          <w:rFonts w:asciiTheme="majorHAnsi" w:hAnsiTheme="majorHAnsi" w:cstheme="majorHAnsi"/>
          <w:sz w:val="22"/>
          <w:szCs w:val="22"/>
        </w:rPr>
        <w:t xml:space="preserve"> Edinburgh: University of Edinburgh.</w:t>
      </w:r>
    </w:p>
    <w:p w14:paraId="029F8A26" w14:textId="77777777" w:rsidR="00C32523" w:rsidRPr="00621B1E" w:rsidRDefault="00C32523" w:rsidP="00C32523">
      <w:pPr>
        <w:spacing w:line="480" w:lineRule="auto"/>
        <w:jc w:val="both"/>
        <w:rPr>
          <w:rFonts w:asciiTheme="majorHAnsi" w:hAnsiTheme="majorHAnsi" w:cstheme="majorHAnsi"/>
          <w:sz w:val="22"/>
          <w:szCs w:val="22"/>
        </w:rPr>
      </w:pPr>
      <w:r w:rsidRPr="00621B1E">
        <w:rPr>
          <w:rFonts w:asciiTheme="majorHAnsi" w:hAnsiTheme="majorHAnsi" w:cstheme="majorHAnsi"/>
          <w:sz w:val="22"/>
          <w:szCs w:val="22"/>
        </w:rPr>
        <w:t xml:space="preserve">Witmer, D., Colman, R. and Katzman, S. (1999) “From paper-and-pencil to screen-and-keyboard.” In </w:t>
      </w:r>
      <w:r w:rsidRPr="00621B1E">
        <w:rPr>
          <w:rFonts w:asciiTheme="majorHAnsi" w:hAnsiTheme="majorHAnsi" w:cstheme="majorHAnsi"/>
          <w:i/>
          <w:sz w:val="22"/>
          <w:szCs w:val="22"/>
        </w:rPr>
        <w:t>Doing Internet Research: Critical Issues and Methods for Examining the Net.</w:t>
      </w:r>
      <w:r w:rsidRPr="00621B1E">
        <w:rPr>
          <w:rFonts w:asciiTheme="majorHAnsi" w:hAnsiTheme="majorHAnsi" w:cstheme="majorHAnsi"/>
          <w:sz w:val="22"/>
          <w:szCs w:val="22"/>
        </w:rPr>
        <w:t xml:space="preserve"> Jones, S. (</w:t>
      </w:r>
      <w:proofErr w:type="spellStart"/>
      <w:r w:rsidRPr="00621B1E">
        <w:rPr>
          <w:rFonts w:asciiTheme="majorHAnsi" w:hAnsiTheme="majorHAnsi" w:cstheme="majorHAnsi"/>
          <w:sz w:val="22"/>
          <w:szCs w:val="22"/>
        </w:rPr>
        <w:t>ed</w:t>
      </w:r>
      <w:proofErr w:type="spellEnd"/>
      <w:r w:rsidRPr="00621B1E">
        <w:rPr>
          <w:rFonts w:asciiTheme="majorHAnsi" w:hAnsiTheme="majorHAnsi" w:cstheme="majorHAnsi"/>
          <w:sz w:val="22"/>
          <w:szCs w:val="22"/>
        </w:rPr>
        <w:t>). Thousand Oaks: Sage. P147.</w:t>
      </w:r>
    </w:p>
    <w:p w14:paraId="3D838EC6" w14:textId="77777777" w:rsidR="00C32523" w:rsidRPr="00621B1E" w:rsidRDefault="00C32523" w:rsidP="00C32523">
      <w:pPr>
        <w:pStyle w:val="Heading2"/>
        <w:shd w:val="clear" w:color="auto" w:fill="FFFFFF"/>
        <w:spacing w:before="150" w:after="225" w:line="450" w:lineRule="atLeast"/>
        <w:rPr>
          <w:rFonts w:asciiTheme="majorHAnsi" w:hAnsiTheme="majorHAnsi" w:cstheme="majorHAnsi"/>
          <w:b w:val="0"/>
          <w:color w:val="1C1D1E"/>
          <w:sz w:val="22"/>
          <w:szCs w:val="22"/>
        </w:rPr>
      </w:pPr>
      <w:r w:rsidRPr="00621B1E">
        <w:rPr>
          <w:rFonts w:asciiTheme="majorHAnsi" w:hAnsiTheme="majorHAnsi" w:cstheme="majorHAnsi"/>
          <w:b w:val="0"/>
          <w:sz w:val="22"/>
          <w:szCs w:val="22"/>
        </w:rPr>
        <w:t>Wright, K. (2005) “</w:t>
      </w:r>
      <w:r w:rsidRPr="00621B1E">
        <w:rPr>
          <w:rFonts w:asciiTheme="majorHAnsi" w:hAnsiTheme="majorHAnsi" w:cstheme="majorHAnsi"/>
          <w:b w:val="0"/>
          <w:color w:val="1C1D1E"/>
          <w:sz w:val="22"/>
          <w:szCs w:val="22"/>
        </w:rPr>
        <w:t xml:space="preserve">Researching Internet‐Based Populations: Advantages and Disadvantages of Online Survey Research, Online Questionnaire Authoring Software Packages, and Web Survey Services.” </w:t>
      </w:r>
      <w:r w:rsidRPr="00621B1E">
        <w:rPr>
          <w:rFonts w:asciiTheme="majorHAnsi" w:hAnsiTheme="majorHAnsi" w:cstheme="majorHAnsi"/>
          <w:b w:val="0"/>
          <w:i/>
          <w:color w:val="1C1D1E"/>
          <w:sz w:val="22"/>
          <w:szCs w:val="22"/>
        </w:rPr>
        <w:t>Journal of Computer-Mediated Communication.</w:t>
      </w:r>
      <w:r w:rsidRPr="00621B1E">
        <w:rPr>
          <w:rFonts w:asciiTheme="majorHAnsi" w:hAnsiTheme="majorHAnsi" w:cstheme="majorHAnsi"/>
          <w:b w:val="0"/>
          <w:color w:val="1C1D1E"/>
          <w:sz w:val="22"/>
          <w:szCs w:val="22"/>
        </w:rPr>
        <w:t xml:space="preserve"> Volume 10(3).</w:t>
      </w:r>
    </w:p>
    <w:p w14:paraId="7B0919E5" w14:textId="77777777" w:rsidR="00C32523" w:rsidRPr="00621B1E" w:rsidRDefault="00C32523" w:rsidP="00C32523">
      <w:pPr>
        <w:spacing w:line="480" w:lineRule="auto"/>
        <w:rPr>
          <w:rFonts w:asciiTheme="majorHAnsi" w:hAnsiTheme="majorHAnsi" w:cstheme="majorHAnsi"/>
          <w:sz w:val="22"/>
          <w:szCs w:val="22"/>
        </w:rPr>
      </w:pPr>
      <w:r w:rsidRPr="00621B1E">
        <w:rPr>
          <w:rFonts w:asciiTheme="majorHAnsi" w:hAnsiTheme="majorHAnsi" w:cstheme="majorHAnsi"/>
          <w:sz w:val="22"/>
          <w:szCs w:val="22"/>
        </w:rPr>
        <w:t xml:space="preserve">Xanthoudaki, M. (1998) “Is It Always Worth the Trip? The contribution of museum and art gallery educational programmes to classroom art education.” </w:t>
      </w:r>
      <w:r w:rsidRPr="00621B1E">
        <w:rPr>
          <w:rFonts w:asciiTheme="majorHAnsi" w:hAnsiTheme="majorHAnsi" w:cstheme="majorHAnsi"/>
          <w:i/>
          <w:sz w:val="22"/>
          <w:szCs w:val="22"/>
        </w:rPr>
        <w:t>Cambridge Journal of Education</w:t>
      </w:r>
      <w:r w:rsidRPr="00621B1E">
        <w:rPr>
          <w:rFonts w:asciiTheme="majorHAnsi" w:hAnsiTheme="majorHAnsi" w:cstheme="majorHAnsi"/>
          <w:sz w:val="22"/>
          <w:szCs w:val="22"/>
        </w:rPr>
        <w:t>. Volume 28(2). P181-195.</w:t>
      </w:r>
    </w:p>
    <w:p w14:paraId="2733607A" w14:textId="77777777" w:rsidR="00C32523" w:rsidRPr="00621B1E" w:rsidRDefault="00C32523" w:rsidP="00C32523">
      <w:pPr>
        <w:pStyle w:val="Heading1"/>
        <w:shd w:val="clear" w:color="auto" w:fill="FFFFFF"/>
        <w:spacing w:line="360" w:lineRule="atLeast"/>
        <w:jc w:val="left"/>
        <w:rPr>
          <w:rFonts w:asciiTheme="majorHAnsi" w:hAnsiTheme="majorHAnsi" w:cstheme="majorHAnsi"/>
          <w:b w:val="0"/>
          <w:color w:val="555555"/>
          <w:sz w:val="22"/>
          <w:szCs w:val="22"/>
        </w:rPr>
      </w:pPr>
      <w:r w:rsidRPr="00621B1E">
        <w:rPr>
          <w:rFonts w:asciiTheme="majorHAnsi" w:hAnsiTheme="majorHAnsi" w:cstheme="majorHAnsi"/>
          <w:b w:val="0"/>
          <w:sz w:val="22"/>
          <w:szCs w:val="22"/>
        </w:rPr>
        <w:t xml:space="preserve">Young, M., </w:t>
      </w:r>
      <w:proofErr w:type="spellStart"/>
      <w:r w:rsidRPr="00621B1E">
        <w:rPr>
          <w:rFonts w:asciiTheme="majorHAnsi" w:hAnsiTheme="majorHAnsi" w:cstheme="majorHAnsi"/>
          <w:b w:val="0"/>
          <w:sz w:val="22"/>
          <w:szCs w:val="22"/>
        </w:rPr>
        <w:t>Klemz</w:t>
      </w:r>
      <w:proofErr w:type="spellEnd"/>
      <w:r w:rsidRPr="00621B1E">
        <w:rPr>
          <w:rFonts w:asciiTheme="majorHAnsi" w:hAnsiTheme="majorHAnsi" w:cstheme="majorHAnsi"/>
          <w:b w:val="0"/>
          <w:sz w:val="22"/>
          <w:szCs w:val="22"/>
        </w:rPr>
        <w:t>, B. and Murphy, J. (2003) “</w:t>
      </w:r>
      <w:r w:rsidRPr="00621B1E">
        <w:rPr>
          <w:rFonts w:asciiTheme="majorHAnsi" w:hAnsiTheme="majorHAnsi" w:cstheme="majorHAnsi"/>
          <w:b w:val="0"/>
          <w:color w:val="555555"/>
          <w:sz w:val="22"/>
          <w:szCs w:val="22"/>
        </w:rPr>
        <w:t xml:space="preserve">Enhancing Learning Outcomes: The Effects of Instructional Technology, Learning Styles, Instructional Methods, and Student </w:t>
      </w:r>
      <w:proofErr w:type="spellStart"/>
      <w:r w:rsidRPr="00621B1E">
        <w:rPr>
          <w:rFonts w:asciiTheme="majorHAnsi" w:hAnsiTheme="majorHAnsi" w:cstheme="majorHAnsi"/>
          <w:b w:val="0"/>
          <w:color w:val="555555"/>
          <w:sz w:val="22"/>
          <w:szCs w:val="22"/>
        </w:rPr>
        <w:t>Behavior</w:t>
      </w:r>
      <w:proofErr w:type="spellEnd"/>
      <w:r w:rsidRPr="00621B1E">
        <w:rPr>
          <w:rFonts w:asciiTheme="majorHAnsi" w:hAnsiTheme="majorHAnsi" w:cstheme="majorHAnsi"/>
          <w:b w:val="0"/>
          <w:color w:val="555555"/>
          <w:sz w:val="22"/>
          <w:szCs w:val="22"/>
        </w:rPr>
        <w:t xml:space="preserve">” </w:t>
      </w:r>
      <w:r w:rsidRPr="00621B1E">
        <w:rPr>
          <w:rFonts w:asciiTheme="majorHAnsi" w:hAnsiTheme="majorHAnsi" w:cstheme="majorHAnsi"/>
          <w:b w:val="0"/>
          <w:i/>
          <w:color w:val="555555"/>
          <w:sz w:val="22"/>
          <w:szCs w:val="22"/>
        </w:rPr>
        <w:t>Journal of Marketing Education.</w:t>
      </w:r>
      <w:r w:rsidRPr="00621B1E">
        <w:rPr>
          <w:rFonts w:asciiTheme="majorHAnsi" w:hAnsiTheme="majorHAnsi" w:cstheme="majorHAnsi"/>
          <w:b w:val="0"/>
          <w:color w:val="555555"/>
          <w:sz w:val="22"/>
          <w:szCs w:val="22"/>
        </w:rPr>
        <w:t xml:space="preserve"> Volume 25(2). P130-142.</w:t>
      </w:r>
    </w:p>
    <w:p w14:paraId="787581DC" w14:textId="77777777" w:rsidR="00E553A9" w:rsidRDefault="00E553A9" w:rsidP="00D6190E">
      <w:pPr>
        <w:spacing w:line="480" w:lineRule="auto"/>
        <w:jc w:val="both"/>
        <w:rPr>
          <w:rFonts w:asciiTheme="majorHAnsi" w:hAnsiTheme="majorHAnsi" w:cstheme="majorHAnsi"/>
          <w:noProof/>
          <w:sz w:val="22"/>
          <w:szCs w:val="22"/>
        </w:rPr>
      </w:pPr>
    </w:p>
    <w:p w14:paraId="189323B1" w14:textId="77777777" w:rsidR="00692092" w:rsidRPr="00692092" w:rsidRDefault="00692092" w:rsidP="00D6190E">
      <w:pPr>
        <w:spacing w:line="480" w:lineRule="auto"/>
        <w:jc w:val="both"/>
        <w:rPr>
          <w:rFonts w:asciiTheme="majorHAnsi" w:hAnsiTheme="majorHAnsi" w:cstheme="majorHAnsi"/>
          <w:b/>
          <w:sz w:val="22"/>
          <w:szCs w:val="22"/>
        </w:rPr>
      </w:pPr>
    </w:p>
    <w:p w14:paraId="5FCCEEE7" w14:textId="77777777" w:rsidR="00692092" w:rsidRPr="00692092" w:rsidRDefault="00692092" w:rsidP="00D6190E">
      <w:pPr>
        <w:spacing w:line="480" w:lineRule="auto"/>
        <w:jc w:val="both"/>
        <w:rPr>
          <w:rFonts w:asciiTheme="majorHAnsi" w:hAnsiTheme="majorHAnsi" w:cstheme="majorHAnsi"/>
          <w:b/>
          <w:sz w:val="22"/>
          <w:szCs w:val="22"/>
        </w:rPr>
      </w:pPr>
    </w:p>
    <w:p w14:paraId="53F5F732" w14:textId="3C8BF972" w:rsidR="00692092" w:rsidRPr="00692092" w:rsidRDefault="00692092" w:rsidP="00D6190E">
      <w:pPr>
        <w:spacing w:line="480" w:lineRule="auto"/>
        <w:rPr>
          <w:rFonts w:asciiTheme="majorHAnsi" w:hAnsiTheme="majorHAnsi" w:cstheme="majorHAnsi"/>
          <w:b/>
          <w:sz w:val="22"/>
          <w:szCs w:val="22"/>
        </w:rPr>
      </w:pPr>
    </w:p>
    <w:p w14:paraId="7C006634" w14:textId="77777777" w:rsidR="005F2D16" w:rsidRDefault="005F2D16" w:rsidP="00D6190E">
      <w:pPr>
        <w:spacing w:line="480" w:lineRule="auto"/>
        <w:rPr>
          <w:rFonts w:asciiTheme="majorHAnsi" w:hAnsiTheme="majorHAnsi" w:cstheme="majorHAnsi"/>
          <w:b/>
          <w:sz w:val="22"/>
          <w:szCs w:val="22"/>
        </w:rPr>
      </w:pPr>
      <w:r>
        <w:rPr>
          <w:rFonts w:asciiTheme="majorHAnsi" w:hAnsiTheme="majorHAnsi" w:cstheme="majorHAnsi"/>
          <w:b/>
          <w:sz w:val="22"/>
          <w:szCs w:val="22"/>
        </w:rPr>
        <w:br w:type="page"/>
      </w:r>
    </w:p>
    <w:p w14:paraId="1E192CDB" w14:textId="0EB62043" w:rsidR="00692092" w:rsidRPr="00692092" w:rsidRDefault="00692092" w:rsidP="00692092">
      <w:pPr>
        <w:spacing w:line="480" w:lineRule="auto"/>
        <w:jc w:val="both"/>
        <w:rPr>
          <w:rFonts w:asciiTheme="majorHAnsi" w:hAnsiTheme="majorHAnsi" w:cstheme="majorHAnsi"/>
          <w:b/>
          <w:sz w:val="22"/>
          <w:szCs w:val="22"/>
          <w:u w:val="single"/>
        </w:rPr>
      </w:pPr>
      <w:r w:rsidRPr="00692092">
        <w:rPr>
          <w:rFonts w:asciiTheme="majorHAnsi" w:hAnsiTheme="majorHAnsi" w:cstheme="majorHAnsi"/>
          <w:b/>
          <w:sz w:val="22"/>
          <w:szCs w:val="22"/>
        </w:rPr>
        <w:lastRenderedPageBreak/>
        <w:tab/>
      </w:r>
      <w:r w:rsidRPr="00692092">
        <w:rPr>
          <w:rFonts w:asciiTheme="majorHAnsi" w:hAnsiTheme="majorHAnsi" w:cstheme="majorHAnsi"/>
          <w:b/>
          <w:sz w:val="22"/>
          <w:szCs w:val="22"/>
          <w:u w:val="single"/>
        </w:rPr>
        <w:t>Appendices</w:t>
      </w:r>
    </w:p>
    <w:p w14:paraId="46DA926B" w14:textId="55E18786" w:rsidR="00692092" w:rsidRDefault="00692092" w:rsidP="00692092">
      <w:pPr>
        <w:spacing w:line="480" w:lineRule="auto"/>
        <w:jc w:val="both"/>
        <w:rPr>
          <w:rFonts w:asciiTheme="majorHAnsi" w:hAnsiTheme="majorHAnsi" w:cstheme="majorHAnsi"/>
          <w:b/>
          <w:sz w:val="22"/>
          <w:szCs w:val="22"/>
        </w:rPr>
      </w:pPr>
      <w:r w:rsidRPr="00692092">
        <w:rPr>
          <w:rFonts w:asciiTheme="majorHAnsi" w:hAnsiTheme="majorHAnsi" w:cstheme="majorHAnsi"/>
          <w:b/>
          <w:sz w:val="22"/>
          <w:szCs w:val="22"/>
        </w:rPr>
        <w:t>Appendix A</w:t>
      </w:r>
    </w:p>
    <w:p w14:paraId="48190EA6" w14:textId="3102A1C9" w:rsidR="005F2D16" w:rsidRPr="00692092" w:rsidRDefault="005F2D16" w:rsidP="00692092">
      <w:pPr>
        <w:spacing w:line="480" w:lineRule="auto"/>
        <w:jc w:val="both"/>
        <w:rPr>
          <w:rFonts w:asciiTheme="majorHAnsi" w:hAnsiTheme="majorHAnsi" w:cstheme="majorHAnsi"/>
          <w:b/>
          <w:sz w:val="22"/>
          <w:szCs w:val="22"/>
        </w:rPr>
      </w:pPr>
    </w:p>
    <w:p w14:paraId="33D71D11" w14:textId="1C262F23" w:rsidR="00692092" w:rsidRPr="005F2D16" w:rsidRDefault="005F2D16" w:rsidP="00DB116D">
      <w:pPr>
        <w:rPr>
          <w:rFonts w:asciiTheme="majorHAnsi" w:hAnsiTheme="majorHAnsi" w:cstheme="majorHAnsi"/>
          <w:b/>
          <w:bCs/>
          <w:sz w:val="22"/>
          <w:szCs w:val="22"/>
        </w:rPr>
      </w:pPr>
      <w:r w:rsidRPr="00692092">
        <w:rPr>
          <w:rFonts w:asciiTheme="majorHAnsi" w:hAnsiTheme="majorHAnsi" w:cstheme="majorHAnsi"/>
          <w:noProof/>
          <w:color w:val="9999FF"/>
          <w:sz w:val="22"/>
          <w:szCs w:val="22"/>
        </w:rPr>
        <w:drawing>
          <wp:anchor distT="0" distB="0" distL="114300" distR="114300" simplePos="0" relativeHeight="251659776" behindDoc="0" locked="0" layoutInCell="1" allowOverlap="1" wp14:anchorId="28464A6F" wp14:editId="02FA8C4C">
            <wp:simplePos x="0" y="0"/>
            <wp:positionH relativeFrom="column">
              <wp:posOffset>-2300500</wp:posOffset>
            </wp:positionH>
            <wp:positionV relativeFrom="paragraph">
              <wp:posOffset>1529763</wp:posOffset>
            </wp:positionV>
            <wp:extent cx="9582674" cy="5581222"/>
            <wp:effectExtent l="317" t="0" r="318" b="317"/>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lan 15-18.png"/>
                    <pic:cNvPicPr/>
                  </pic:nvPicPr>
                  <pic:blipFill>
                    <a:blip r:embed="rId16">
                      <a:extLst>
                        <a:ext uri="{28A0092B-C50C-407E-A947-70E740481C1C}">
                          <a14:useLocalDpi xmlns:a14="http://schemas.microsoft.com/office/drawing/2010/main" val="0"/>
                        </a:ext>
                      </a:extLst>
                    </a:blip>
                    <a:stretch>
                      <a:fillRect/>
                    </a:stretch>
                  </pic:blipFill>
                  <pic:spPr>
                    <a:xfrm rot="16200000">
                      <a:off x="0" y="0"/>
                      <a:ext cx="9597510" cy="5589863"/>
                    </a:xfrm>
                    <a:prstGeom prst="rect">
                      <a:avLst/>
                    </a:prstGeom>
                  </pic:spPr>
                </pic:pic>
              </a:graphicData>
            </a:graphic>
            <wp14:sizeRelH relativeFrom="margin">
              <wp14:pctWidth>0</wp14:pctWidth>
            </wp14:sizeRelH>
            <wp14:sizeRelV relativeFrom="margin">
              <wp14:pctHeight>0</wp14:pctHeight>
            </wp14:sizeRelV>
          </wp:anchor>
        </w:drawing>
      </w:r>
    </w:p>
    <w:sectPr w:rsidR="00692092" w:rsidRPr="005F2D16" w:rsidSect="002E346F">
      <w:footerReference w:type="first" r:id="rId17"/>
      <w:pgSz w:w="11894" w:h="16834"/>
      <w:pgMar w:top="720" w:right="720" w:bottom="720" w:left="720" w:header="706" w:footer="454" w:gutter="0"/>
      <w:paperSrc w:first="1" w:other="1"/>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94B98B" w14:textId="77777777" w:rsidR="00AA7040" w:rsidRDefault="00AA7040">
      <w:r>
        <w:separator/>
      </w:r>
    </w:p>
  </w:endnote>
  <w:endnote w:type="continuationSeparator" w:id="0">
    <w:p w14:paraId="031A7EBF" w14:textId="77777777" w:rsidR="00AA7040" w:rsidRDefault="00AA70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50229434"/>
      <w:docPartObj>
        <w:docPartGallery w:val="Page Numbers (Bottom of Page)"/>
        <w:docPartUnique/>
      </w:docPartObj>
    </w:sdtPr>
    <w:sdtEndPr>
      <w:rPr>
        <w:noProof/>
      </w:rPr>
    </w:sdtEndPr>
    <w:sdtContent>
      <w:p w14:paraId="0B9880DF" w14:textId="66EB8526" w:rsidR="00AA7040" w:rsidRDefault="00AA7040">
        <w:pPr>
          <w:pStyle w:val="Footer"/>
          <w:jc w:val="center"/>
        </w:pPr>
        <w:r>
          <w:fldChar w:fldCharType="begin"/>
        </w:r>
        <w:r>
          <w:instrText xml:space="preserve"> PAGE   \* MERGEFORMAT </w:instrText>
        </w:r>
        <w:r>
          <w:fldChar w:fldCharType="separate"/>
        </w:r>
        <w:r w:rsidR="00EF0AD6">
          <w:rPr>
            <w:noProof/>
          </w:rPr>
          <w:t>1</w:t>
        </w:r>
        <w:r>
          <w:rPr>
            <w:noProof/>
          </w:rPr>
          <w:fldChar w:fldCharType="end"/>
        </w:r>
      </w:p>
    </w:sdtContent>
  </w:sdt>
  <w:p w14:paraId="2AA86DDF" w14:textId="77777777" w:rsidR="00AA7040" w:rsidRDefault="00AA70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F583C6" w14:textId="77777777" w:rsidR="00AA7040" w:rsidRDefault="00AA7040">
      <w:r>
        <w:separator/>
      </w:r>
    </w:p>
  </w:footnote>
  <w:footnote w:type="continuationSeparator" w:id="0">
    <w:p w14:paraId="20D33CE7" w14:textId="77777777" w:rsidR="00AA7040" w:rsidRDefault="00AA70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C31FD1"/>
    <w:multiLevelType w:val="hybridMultilevel"/>
    <w:tmpl w:val="1F02F8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F474DC"/>
    <w:multiLevelType w:val="hybridMultilevel"/>
    <w:tmpl w:val="E580E51A"/>
    <w:lvl w:ilvl="0" w:tplc="707CBEF6">
      <w:start w:val="1"/>
      <w:numFmt w:val="decimal"/>
      <w:lvlText w:val="%1."/>
      <w:lvlJc w:val="left"/>
      <w:pPr>
        <w:ind w:left="765" w:hanging="40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C545DC"/>
    <w:multiLevelType w:val="hybridMultilevel"/>
    <w:tmpl w:val="9B68739C"/>
    <w:lvl w:ilvl="0" w:tplc="707CBEF6">
      <w:start w:val="1"/>
      <w:numFmt w:val="decimal"/>
      <w:lvlText w:val="%1."/>
      <w:lvlJc w:val="left"/>
      <w:pPr>
        <w:ind w:left="765" w:hanging="40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D136DB0"/>
    <w:multiLevelType w:val="hybridMultilevel"/>
    <w:tmpl w:val="98BE3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EE2B78"/>
    <w:multiLevelType w:val="hybridMultilevel"/>
    <w:tmpl w:val="9AFC3802"/>
    <w:lvl w:ilvl="0" w:tplc="C834F166">
      <w:start w:val="1"/>
      <w:numFmt w:val="decimal"/>
      <w:lvlText w:val="%1."/>
      <w:lvlJc w:val="left"/>
      <w:pPr>
        <w:ind w:left="1080" w:hanging="360"/>
      </w:pPr>
      <w:rPr>
        <w:i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3D3F513B"/>
    <w:multiLevelType w:val="hybridMultilevel"/>
    <w:tmpl w:val="483ED56E"/>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0B64344"/>
    <w:multiLevelType w:val="hybridMultilevel"/>
    <w:tmpl w:val="5DD64F06"/>
    <w:lvl w:ilvl="0" w:tplc="707CBEF6">
      <w:start w:val="1"/>
      <w:numFmt w:val="decimal"/>
      <w:lvlText w:val="%1."/>
      <w:lvlJc w:val="left"/>
      <w:pPr>
        <w:ind w:left="765" w:hanging="40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B4A5414"/>
    <w:multiLevelType w:val="hybridMultilevel"/>
    <w:tmpl w:val="9C0C27EA"/>
    <w:lvl w:ilvl="0" w:tplc="707CBEF6">
      <w:start w:val="1"/>
      <w:numFmt w:val="decimal"/>
      <w:lvlText w:val="%1."/>
      <w:lvlJc w:val="left"/>
      <w:pPr>
        <w:ind w:left="765" w:hanging="40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E990A48"/>
    <w:multiLevelType w:val="hybridMultilevel"/>
    <w:tmpl w:val="383CA6AE"/>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num w:numId="1">
    <w:abstractNumId w:val="3"/>
  </w:num>
  <w:num w:numId="2">
    <w:abstractNumId w:val="14"/>
  </w:num>
  <w:num w:numId="3">
    <w:abstractNumId w:val="23"/>
  </w:num>
  <w:num w:numId="4">
    <w:abstractNumId w:val="18"/>
  </w:num>
  <w:num w:numId="5">
    <w:abstractNumId w:val="12"/>
  </w:num>
  <w:num w:numId="6">
    <w:abstractNumId w:val="22"/>
  </w:num>
  <w:num w:numId="7">
    <w:abstractNumId w:val="4"/>
  </w:num>
  <w:num w:numId="8">
    <w:abstractNumId w:val="20"/>
  </w:num>
  <w:num w:numId="9">
    <w:abstractNumId w:val="15"/>
  </w:num>
  <w:num w:numId="10">
    <w:abstractNumId w:val="6"/>
  </w:num>
  <w:num w:numId="11">
    <w:abstractNumId w:val="7"/>
  </w:num>
  <w:num w:numId="12">
    <w:abstractNumId w:val="13"/>
  </w:num>
  <w:num w:numId="13">
    <w:abstractNumId w:val="19"/>
  </w:num>
  <w:num w:numId="14">
    <w:abstractNumId w:val="5"/>
  </w:num>
  <w:num w:numId="15">
    <w:abstractNumId w:val="0"/>
  </w:num>
  <w:num w:numId="16">
    <w:abstractNumId w:val="9"/>
  </w:num>
  <w:num w:numId="17">
    <w:abstractNumId w:val="16"/>
  </w:num>
  <w:num w:numId="18">
    <w:abstractNumId w:val="17"/>
  </w:num>
  <w:num w:numId="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num>
  <w:num w:numId="21">
    <w:abstractNumId w:val="24"/>
  </w:num>
  <w:num w:numId="22">
    <w:abstractNumId w:val="8"/>
  </w:num>
  <w:num w:numId="23">
    <w:abstractNumId w:val="2"/>
  </w:num>
  <w:num w:numId="24">
    <w:abstractNumId w:val="21"/>
  </w:num>
  <w:num w:numId="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activeWritingStyle w:appName="MSWord" w:lang="en-GB" w:vendorID="64" w:dllVersion="6" w:nlCheck="1" w:checkStyle="0"/>
  <w:activeWritingStyle w:appName="MSWord" w:lang="en-GB" w:vendorID="64" w:dllVersion="0"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LcwMjAyMjW0NDU3MzNU0lEKTi0uzszPAykwqgUATn91HywAAAA="/>
  </w:docVars>
  <w:rsids>
    <w:rsidRoot w:val="00FB4521"/>
    <w:rsid w:val="00011666"/>
    <w:rsid w:val="000138ED"/>
    <w:rsid w:val="00015246"/>
    <w:rsid w:val="00026B02"/>
    <w:rsid w:val="000524EA"/>
    <w:rsid w:val="000822E5"/>
    <w:rsid w:val="00083B11"/>
    <w:rsid w:val="000971FC"/>
    <w:rsid w:val="000A2A3A"/>
    <w:rsid w:val="000A492A"/>
    <w:rsid w:val="000B6352"/>
    <w:rsid w:val="000C5EE7"/>
    <w:rsid w:val="000C7E58"/>
    <w:rsid w:val="000D2F80"/>
    <w:rsid w:val="000E413A"/>
    <w:rsid w:val="000E7E07"/>
    <w:rsid w:val="000F5AA3"/>
    <w:rsid w:val="000F7B35"/>
    <w:rsid w:val="00100396"/>
    <w:rsid w:val="00100B5C"/>
    <w:rsid w:val="00105A08"/>
    <w:rsid w:val="001106E9"/>
    <w:rsid w:val="00124CA5"/>
    <w:rsid w:val="00134F77"/>
    <w:rsid w:val="00152E9D"/>
    <w:rsid w:val="00154487"/>
    <w:rsid w:val="0017512A"/>
    <w:rsid w:val="00196958"/>
    <w:rsid w:val="001A1E39"/>
    <w:rsid w:val="001A24F3"/>
    <w:rsid w:val="001B405C"/>
    <w:rsid w:val="001B5F45"/>
    <w:rsid w:val="001D5A48"/>
    <w:rsid w:val="001E1050"/>
    <w:rsid w:val="001E1E1F"/>
    <w:rsid w:val="001E2007"/>
    <w:rsid w:val="001E57C1"/>
    <w:rsid w:val="001F07EF"/>
    <w:rsid w:val="001F50B6"/>
    <w:rsid w:val="001F6D7A"/>
    <w:rsid w:val="0022746E"/>
    <w:rsid w:val="00235F71"/>
    <w:rsid w:val="00241294"/>
    <w:rsid w:val="002444CA"/>
    <w:rsid w:val="00260DE6"/>
    <w:rsid w:val="00273FEE"/>
    <w:rsid w:val="0028204E"/>
    <w:rsid w:val="0028591B"/>
    <w:rsid w:val="00291841"/>
    <w:rsid w:val="002C449B"/>
    <w:rsid w:val="002C6040"/>
    <w:rsid w:val="002D5B3F"/>
    <w:rsid w:val="002E272E"/>
    <w:rsid w:val="002E346F"/>
    <w:rsid w:val="002F5778"/>
    <w:rsid w:val="003223E0"/>
    <w:rsid w:val="00341165"/>
    <w:rsid w:val="00352C4A"/>
    <w:rsid w:val="00362560"/>
    <w:rsid w:val="003732FD"/>
    <w:rsid w:val="003753B2"/>
    <w:rsid w:val="00376559"/>
    <w:rsid w:val="00382BAA"/>
    <w:rsid w:val="00384D73"/>
    <w:rsid w:val="00393EB6"/>
    <w:rsid w:val="003A3CE5"/>
    <w:rsid w:val="003B366F"/>
    <w:rsid w:val="003B3F9D"/>
    <w:rsid w:val="003B6C95"/>
    <w:rsid w:val="003E2FFE"/>
    <w:rsid w:val="003E5751"/>
    <w:rsid w:val="004046A9"/>
    <w:rsid w:val="00404C50"/>
    <w:rsid w:val="0041631F"/>
    <w:rsid w:val="00423934"/>
    <w:rsid w:val="004250A7"/>
    <w:rsid w:val="00426244"/>
    <w:rsid w:val="00432D59"/>
    <w:rsid w:val="00433466"/>
    <w:rsid w:val="00470A38"/>
    <w:rsid w:val="004874DE"/>
    <w:rsid w:val="00490171"/>
    <w:rsid w:val="004A0D35"/>
    <w:rsid w:val="004A7979"/>
    <w:rsid w:val="004B5334"/>
    <w:rsid w:val="004B5C19"/>
    <w:rsid w:val="004B6C14"/>
    <w:rsid w:val="004D63D9"/>
    <w:rsid w:val="0050249F"/>
    <w:rsid w:val="00524566"/>
    <w:rsid w:val="00530BEF"/>
    <w:rsid w:val="005617CF"/>
    <w:rsid w:val="00561F00"/>
    <w:rsid w:val="00562C4E"/>
    <w:rsid w:val="00562DEC"/>
    <w:rsid w:val="0056499A"/>
    <w:rsid w:val="00575322"/>
    <w:rsid w:val="00576AB4"/>
    <w:rsid w:val="00577917"/>
    <w:rsid w:val="00590667"/>
    <w:rsid w:val="00595CB1"/>
    <w:rsid w:val="005969E2"/>
    <w:rsid w:val="00597102"/>
    <w:rsid w:val="005A1689"/>
    <w:rsid w:val="005B61CD"/>
    <w:rsid w:val="005C1D75"/>
    <w:rsid w:val="005C7F72"/>
    <w:rsid w:val="005D1D58"/>
    <w:rsid w:val="005D29F9"/>
    <w:rsid w:val="005D4193"/>
    <w:rsid w:val="005D432C"/>
    <w:rsid w:val="005E20B2"/>
    <w:rsid w:val="005E285E"/>
    <w:rsid w:val="005E72F8"/>
    <w:rsid w:val="005F0579"/>
    <w:rsid w:val="005F2D16"/>
    <w:rsid w:val="005F6180"/>
    <w:rsid w:val="006009DF"/>
    <w:rsid w:val="006062A3"/>
    <w:rsid w:val="00610E08"/>
    <w:rsid w:val="006140BF"/>
    <w:rsid w:val="006161BE"/>
    <w:rsid w:val="00620787"/>
    <w:rsid w:val="00632434"/>
    <w:rsid w:val="0063478F"/>
    <w:rsid w:val="006363E0"/>
    <w:rsid w:val="0063677F"/>
    <w:rsid w:val="00641090"/>
    <w:rsid w:val="00644256"/>
    <w:rsid w:val="006524F7"/>
    <w:rsid w:val="00661D6F"/>
    <w:rsid w:val="006628E9"/>
    <w:rsid w:val="00664DC2"/>
    <w:rsid w:val="0066725E"/>
    <w:rsid w:val="006716C7"/>
    <w:rsid w:val="00681208"/>
    <w:rsid w:val="00681FA9"/>
    <w:rsid w:val="00690198"/>
    <w:rsid w:val="00691EA9"/>
    <w:rsid w:val="00692092"/>
    <w:rsid w:val="006934D4"/>
    <w:rsid w:val="006A6DC3"/>
    <w:rsid w:val="006B14F7"/>
    <w:rsid w:val="006D49ED"/>
    <w:rsid w:val="006D55CE"/>
    <w:rsid w:val="006D637A"/>
    <w:rsid w:val="006E65FF"/>
    <w:rsid w:val="006F45BF"/>
    <w:rsid w:val="006F4F4E"/>
    <w:rsid w:val="006F5DC6"/>
    <w:rsid w:val="006F60E0"/>
    <w:rsid w:val="00702F71"/>
    <w:rsid w:val="007119D9"/>
    <w:rsid w:val="00725C18"/>
    <w:rsid w:val="007366DF"/>
    <w:rsid w:val="0074160F"/>
    <w:rsid w:val="007423C5"/>
    <w:rsid w:val="0074557F"/>
    <w:rsid w:val="00757839"/>
    <w:rsid w:val="00770C81"/>
    <w:rsid w:val="007866E5"/>
    <w:rsid w:val="00791024"/>
    <w:rsid w:val="00793F0A"/>
    <w:rsid w:val="007A2657"/>
    <w:rsid w:val="007C2438"/>
    <w:rsid w:val="007C682C"/>
    <w:rsid w:val="007D2385"/>
    <w:rsid w:val="007D3EB7"/>
    <w:rsid w:val="007F214F"/>
    <w:rsid w:val="00800069"/>
    <w:rsid w:val="00804766"/>
    <w:rsid w:val="008052B4"/>
    <w:rsid w:val="008310A0"/>
    <w:rsid w:val="00835D29"/>
    <w:rsid w:val="00842E7F"/>
    <w:rsid w:val="008447FD"/>
    <w:rsid w:val="00850DA9"/>
    <w:rsid w:val="00852933"/>
    <w:rsid w:val="008566E5"/>
    <w:rsid w:val="008566FE"/>
    <w:rsid w:val="00865B46"/>
    <w:rsid w:val="00871D74"/>
    <w:rsid w:val="0088296F"/>
    <w:rsid w:val="00896134"/>
    <w:rsid w:val="008A2003"/>
    <w:rsid w:val="008A62BC"/>
    <w:rsid w:val="008A7D8C"/>
    <w:rsid w:val="008B43E7"/>
    <w:rsid w:val="008C1855"/>
    <w:rsid w:val="008D41CE"/>
    <w:rsid w:val="008D6BE7"/>
    <w:rsid w:val="008D763F"/>
    <w:rsid w:val="008F036F"/>
    <w:rsid w:val="008F78C2"/>
    <w:rsid w:val="00904568"/>
    <w:rsid w:val="00911394"/>
    <w:rsid w:val="009170BB"/>
    <w:rsid w:val="00923EF2"/>
    <w:rsid w:val="00926D25"/>
    <w:rsid w:val="00926E9D"/>
    <w:rsid w:val="00932C6E"/>
    <w:rsid w:val="00933F10"/>
    <w:rsid w:val="009433C5"/>
    <w:rsid w:val="00951E2B"/>
    <w:rsid w:val="00965881"/>
    <w:rsid w:val="00970371"/>
    <w:rsid w:val="00973B78"/>
    <w:rsid w:val="009871FF"/>
    <w:rsid w:val="00990799"/>
    <w:rsid w:val="009A0631"/>
    <w:rsid w:val="009A44D4"/>
    <w:rsid w:val="009B0260"/>
    <w:rsid w:val="009B2982"/>
    <w:rsid w:val="009B694D"/>
    <w:rsid w:val="009D3EA4"/>
    <w:rsid w:val="009D649C"/>
    <w:rsid w:val="009E4BC1"/>
    <w:rsid w:val="009F5CB2"/>
    <w:rsid w:val="00A03BB8"/>
    <w:rsid w:val="00A07508"/>
    <w:rsid w:val="00A16174"/>
    <w:rsid w:val="00A20AA0"/>
    <w:rsid w:val="00A24C60"/>
    <w:rsid w:val="00A3505D"/>
    <w:rsid w:val="00A4036F"/>
    <w:rsid w:val="00A4641C"/>
    <w:rsid w:val="00A51BF4"/>
    <w:rsid w:val="00A52FDE"/>
    <w:rsid w:val="00A55876"/>
    <w:rsid w:val="00A62BD8"/>
    <w:rsid w:val="00A67FB1"/>
    <w:rsid w:val="00A97F24"/>
    <w:rsid w:val="00AA7040"/>
    <w:rsid w:val="00AB6FE7"/>
    <w:rsid w:val="00AB7AD7"/>
    <w:rsid w:val="00AC5019"/>
    <w:rsid w:val="00AD2430"/>
    <w:rsid w:val="00AE41A6"/>
    <w:rsid w:val="00AF0E34"/>
    <w:rsid w:val="00AF271D"/>
    <w:rsid w:val="00AF56C2"/>
    <w:rsid w:val="00B004E6"/>
    <w:rsid w:val="00B01A8F"/>
    <w:rsid w:val="00B0744D"/>
    <w:rsid w:val="00B35AB9"/>
    <w:rsid w:val="00B36132"/>
    <w:rsid w:val="00B3629B"/>
    <w:rsid w:val="00B53B62"/>
    <w:rsid w:val="00B57C51"/>
    <w:rsid w:val="00B64082"/>
    <w:rsid w:val="00B72325"/>
    <w:rsid w:val="00B81AD3"/>
    <w:rsid w:val="00B829D8"/>
    <w:rsid w:val="00B84B5B"/>
    <w:rsid w:val="00B84D07"/>
    <w:rsid w:val="00B86446"/>
    <w:rsid w:val="00B952FE"/>
    <w:rsid w:val="00B95626"/>
    <w:rsid w:val="00BA1176"/>
    <w:rsid w:val="00BA6B2C"/>
    <w:rsid w:val="00BC0EEA"/>
    <w:rsid w:val="00BE0B01"/>
    <w:rsid w:val="00BE34DB"/>
    <w:rsid w:val="00BE79C7"/>
    <w:rsid w:val="00BF09BB"/>
    <w:rsid w:val="00BF3CB5"/>
    <w:rsid w:val="00BF4918"/>
    <w:rsid w:val="00C1285B"/>
    <w:rsid w:val="00C1361B"/>
    <w:rsid w:val="00C14E1F"/>
    <w:rsid w:val="00C315AF"/>
    <w:rsid w:val="00C32523"/>
    <w:rsid w:val="00C36D9A"/>
    <w:rsid w:val="00C44A72"/>
    <w:rsid w:val="00C61FC2"/>
    <w:rsid w:val="00C67159"/>
    <w:rsid w:val="00C705F9"/>
    <w:rsid w:val="00C80F0F"/>
    <w:rsid w:val="00C8667A"/>
    <w:rsid w:val="00C93BCB"/>
    <w:rsid w:val="00CC20D8"/>
    <w:rsid w:val="00CC241A"/>
    <w:rsid w:val="00CD414C"/>
    <w:rsid w:val="00CE4035"/>
    <w:rsid w:val="00CE65AB"/>
    <w:rsid w:val="00CF4266"/>
    <w:rsid w:val="00D007C2"/>
    <w:rsid w:val="00D22D9C"/>
    <w:rsid w:val="00D241F1"/>
    <w:rsid w:val="00D275CB"/>
    <w:rsid w:val="00D30DFA"/>
    <w:rsid w:val="00D463A5"/>
    <w:rsid w:val="00D4710D"/>
    <w:rsid w:val="00D47D25"/>
    <w:rsid w:val="00D563ED"/>
    <w:rsid w:val="00D6190E"/>
    <w:rsid w:val="00D62ACD"/>
    <w:rsid w:val="00D971AE"/>
    <w:rsid w:val="00DA36EE"/>
    <w:rsid w:val="00DB116D"/>
    <w:rsid w:val="00DD17CC"/>
    <w:rsid w:val="00DD5EC5"/>
    <w:rsid w:val="00DD6D91"/>
    <w:rsid w:val="00DE217A"/>
    <w:rsid w:val="00DF321B"/>
    <w:rsid w:val="00E03615"/>
    <w:rsid w:val="00E057BB"/>
    <w:rsid w:val="00E1223D"/>
    <w:rsid w:val="00E230E0"/>
    <w:rsid w:val="00E23FF6"/>
    <w:rsid w:val="00E3293C"/>
    <w:rsid w:val="00E51AAC"/>
    <w:rsid w:val="00E553A9"/>
    <w:rsid w:val="00E575B6"/>
    <w:rsid w:val="00E66CC0"/>
    <w:rsid w:val="00E728A9"/>
    <w:rsid w:val="00E807D9"/>
    <w:rsid w:val="00E83C2A"/>
    <w:rsid w:val="00EA0F4E"/>
    <w:rsid w:val="00EA295B"/>
    <w:rsid w:val="00EA6801"/>
    <w:rsid w:val="00EB2594"/>
    <w:rsid w:val="00EB4F96"/>
    <w:rsid w:val="00ED7072"/>
    <w:rsid w:val="00EE3132"/>
    <w:rsid w:val="00EE3D9D"/>
    <w:rsid w:val="00EE6F25"/>
    <w:rsid w:val="00EF0AD6"/>
    <w:rsid w:val="00EF0E2D"/>
    <w:rsid w:val="00EF62B0"/>
    <w:rsid w:val="00F02126"/>
    <w:rsid w:val="00F03D85"/>
    <w:rsid w:val="00F07C8C"/>
    <w:rsid w:val="00F239EF"/>
    <w:rsid w:val="00F249F1"/>
    <w:rsid w:val="00F25B9D"/>
    <w:rsid w:val="00F2664E"/>
    <w:rsid w:val="00F31163"/>
    <w:rsid w:val="00F31C04"/>
    <w:rsid w:val="00F442A7"/>
    <w:rsid w:val="00F51197"/>
    <w:rsid w:val="00F57A89"/>
    <w:rsid w:val="00F60012"/>
    <w:rsid w:val="00F61A20"/>
    <w:rsid w:val="00F63DD9"/>
    <w:rsid w:val="00F67644"/>
    <w:rsid w:val="00F8381F"/>
    <w:rsid w:val="00F87E6D"/>
    <w:rsid w:val="00FA04CD"/>
    <w:rsid w:val="00FA25F5"/>
    <w:rsid w:val="00FA2810"/>
    <w:rsid w:val="00FA68F8"/>
    <w:rsid w:val="00FB03EE"/>
    <w:rsid w:val="00FB1DC0"/>
    <w:rsid w:val="00FB3B4E"/>
    <w:rsid w:val="00FB3C03"/>
    <w:rsid w:val="00FB4521"/>
    <w:rsid w:val="00FB4F84"/>
    <w:rsid w:val="00FB5412"/>
    <w:rsid w:val="00FB5CF8"/>
    <w:rsid w:val="00FF09FE"/>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14:docId w14:val="6C52293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D971AE"/>
    <w:rPr>
      <w:sz w:val="16"/>
      <w:szCs w:val="16"/>
    </w:rPr>
  </w:style>
  <w:style w:type="paragraph" w:styleId="CommentText">
    <w:name w:val="annotation text"/>
    <w:basedOn w:val="Normal"/>
    <w:link w:val="CommentTextChar"/>
    <w:semiHidden/>
    <w:unhideWhenUsed/>
    <w:rsid w:val="00D971AE"/>
  </w:style>
  <w:style w:type="character" w:customStyle="1" w:styleId="CommentTextChar">
    <w:name w:val="Comment Text Char"/>
    <w:basedOn w:val="DefaultParagraphFont"/>
    <w:link w:val="CommentText"/>
    <w:semiHidden/>
    <w:rsid w:val="00D971AE"/>
    <w:rPr>
      <w:lang w:eastAsia="en-GB"/>
    </w:rPr>
  </w:style>
  <w:style w:type="paragraph" w:styleId="CommentSubject">
    <w:name w:val="annotation subject"/>
    <w:basedOn w:val="CommentText"/>
    <w:next w:val="CommentText"/>
    <w:link w:val="CommentSubjectChar"/>
    <w:semiHidden/>
    <w:unhideWhenUsed/>
    <w:rsid w:val="00D971AE"/>
    <w:rPr>
      <w:b/>
      <w:bCs/>
    </w:rPr>
  </w:style>
  <w:style w:type="character" w:customStyle="1" w:styleId="CommentSubjectChar">
    <w:name w:val="Comment Subject Char"/>
    <w:basedOn w:val="CommentTextChar"/>
    <w:link w:val="CommentSubject"/>
    <w:semiHidden/>
    <w:rsid w:val="00D971AE"/>
    <w:rPr>
      <w:b/>
      <w:bCs/>
      <w:lang w:eastAsia="en-GB"/>
    </w:rPr>
  </w:style>
  <w:style w:type="paragraph" w:customStyle="1" w:styleId="Default">
    <w:name w:val="Default"/>
    <w:rsid w:val="00B01A8F"/>
    <w:pPr>
      <w:autoSpaceDE w:val="0"/>
      <w:autoSpaceDN w:val="0"/>
      <w:adjustRightInd w:val="0"/>
    </w:pPr>
    <w:rPr>
      <w:rFonts w:ascii="Arial" w:eastAsia="Calibri" w:hAnsi="Arial" w:cs="Arial"/>
      <w:color w:val="000000"/>
      <w:sz w:val="24"/>
      <w:szCs w:val="24"/>
    </w:rPr>
  </w:style>
  <w:style w:type="character" w:styleId="UnresolvedMention">
    <w:name w:val="Unresolved Mention"/>
    <w:basedOn w:val="DefaultParagraphFont"/>
    <w:uiPriority w:val="99"/>
    <w:semiHidden/>
    <w:unhideWhenUsed/>
    <w:rsid w:val="008052B4"/>
    <w:rPr>
      <w:color w:val="808080"/>
      <w:shd w:val="clear" w:color="auto" w:fill="E6E6E6"/>
    </w:rPr>
  </w:style>
  <w:style w:type="character" w:customStyle="1" w:styleId="nlmarticle-title">
    <w:name w:val="nlm_article-title"/>
    <w:basedOn w:val="DefaultParagraphFont"/>
    <w:rsid w:val="00C32523"/>
  </w:style>
  <w:style w:type="character" w:customStyle="1" w:styleId="personname">
    <w:name w:val="person_name"/>
    <w:basedOn w:val="DefaultParagraphFont"/>
    <w:rsid w:val="00C32523"/>
  </w:style>
  <w:style w:type="character" w:customStyle="1" w:styleId="date">
    <w:name w:val="date"/>
    <w:basedOn w:val="DefaultParagraphFont"/>
    <w:rsid w:val="00C32523"/>
  </w:style>
  <w:style w:type="character" w:customStyle="1" w:styleId="place">
    <w:name w:val="place"/>
    <w:basedOn w:val="DefaultParagraphFont"/>
    <w:rsid w:val="00C32523"/>
  </w:style>
  <w:style w:type="character" w:customStyle="1" w:styleId="publisher">
    <w:name w:val="publisher"/>
    <w:basedOn w:val="DefaultParagraphFont"/>
    <w:rsid w:val="00C32523"/>
  </w:style>
  <w:style w:type="character" w:styleId="Strong">
    <w:name w:val="Strong"/>
    <w:basedOn w:val="DefaultParagraphFont"/>
    <w:uiPriority w:val="22"/>
    <w:qFormat/>
    <w:rsid w:val="00C3252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8229199">
      <w:bodyDiv w:val="1"/>
      <w:marLeft w:val="0"/>
      <w:marRight w:val="0"/>
      <w:marTop w:val="0"/>
      <w:marBottom w:val="0"/>
      <w:divBdr>
        <w:top w:val="none" w:sz="0" w:space="0" w:color="auto"/>
        <w:left w:val="none" w:sz="0" w:space="0" w:color="auto"/>
        <w:bottom w:val="none" w:sz="0" w:space="0" w:color="auto"/>
        <w:right w:val="none" w:sz="0" w:space="0" w:color="auto"/>
      </w:divBdr>
    </w:div>
    <w:div w:id="536044001">
      <w:bodyDiv w:val="1"/>
      <w:marLeft w:val="0"/>
      <w:marRight w:val="0"/>
      <w:marTop w:val="0"/>
      <w:marBottom w:val="0"/>
      <w:divBdr>
        <w:top w:val="none" w:sz="0" w:space="0" w:color="auto"/>
        <w:left w:val="none" w:sz="0" w:space="0" w:color="auto"/>
        <w:bottom w:val="none" w:sz="0" w:space="0" w:color="auto"/>
        <w:right w:val="none" w:sz="0" w:space="0" w:color="auto"/>
      </w:divBdr>
    </w:div>
    <w:div w:id="732965687">
      <w:bodyDiv w:val="1"/>
      <w:marLeft w:val="0"/>
      <w:marRight w:val="0"/>
      <w:marTop w:val="0"/>
      <w:marBottom w:val="0"/>
      <w:divBdr>
        <w:top w:val="none" w:sz="0" w:space="0" w:color="auto"/>
        <w:left w:val="none" w:sz="0" w:space="0" w:color="auto"/>
        <w:bottom w:val="none" w:sz="0" w:space="0" w:color="auto"/>
        <w:right w:val="none" w:sz="0" w:space="0" w:color="auto"/>
      </w:divBdr>
    </w:div>
    <w:div w:id="803163156">
      <w:bodyDiv w:val="1"/>
      <w:marLeft w:val="0"/>
      <w:marRight w:val="0"/>
      <w:marTop w:val="0"/>
      <w:marBottom w:val="0"/>
      <w:divBdr>
        <w:top w:val="none" w:sz="0" w:space="0" w:color="auto"/>
        <w:left w:val="none" w:sz="0" w:space="0" w:color="auto"/>
        <w:bottom w:val="none" w:sz="0" w:space="0" w:color="auto"/>
        <w:right w:val="none" w:sz="0" w:space="0" w:color="auto"/>
      </w:divBdr>
    </w:div>
    <w:div w:id="871647909">
      <w:bodyDiv w:val="1"/>
      <w:marLeft w:val="0"/>
      <w:marRight w:val="0"/>
      <w:marTop w:val="0"/>
      <w:marBottom w:val="0"/>
      <w:divBdr>
        <w:top w:val="none" w:sz="0" w:space="0" w:color="auto"/>
        <w:left w:val="none" w:sz="0" w:space="0" w:color="auto"/>
        <w:bottom w:val="none" w:sz="0" w:space="0" w:color="auto"/>
        <w:right w:val="none" w:sz="0" w:space="0" w:color="auto"/>
      </w:divBdr>
    </w:div>
    <w:div w:id="1108240419">
      <w:bodyDiv w:val="1"/>
      <w:marLeft w:val="0"/>
      <w:marRight w:val="0"/>
      <w:marTop w:val="0"/>
      <w:marBottom w:val="0"/>
      <w:divBdr>
        <w:top w:val="none" w:sz="0" w:space="0" w:color="auto"/>
        <w:left w:val="none" w:sz="0" w:space="0" w:color="auto"/>
        <w:bottom w:val="none" w:sz="0" w:space="0" w:color="auto"/>
        <w:right w:val="none" w:sz="0" w:space="0" w:color="auto"/>
      </w:divBdr>
    </w:div>
    <w:div w:id="131919232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9301876">
      <w:bodyDiv w:val="1"/>
      <w:marLeft w:val="0"/>
      <w:marRight w:val="0"/>
      <w:marTop w:val="0"/>
      <w:marBottom w:val="0"/>
      <w:divBdr>
        <w:top w:val="none" w:sz="0" w:space="0" w:color="auto"/>
        <w:left w:val="none" w:sz="0" w:space="0" w:color="auto"/>
        <w:bottom w:val="none" w:sz="0" w:space="0" w:color="auto"/>
        <w:right w:val="none" w:sz="0" w:space="0" w:color="auto"/>
      </w:divBdr>
    </w:div>
    <w:div w:id="21370948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www.bera.ac.uk/researchers-resources/publications/ethical-guidelines-for-educational-research-2011"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inkedin.com/pulse/20141112182019-118796435-online-vs-brick-and-mortar-school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www.simplypsychology.org/cognitive.html" TargetMode="External"/><Relationship Id="rId10" Type="http://schemas.openxmlformats.org/officeDocument/2006/relationships/image" Target="cid:image001.png@01D0EA4A.2BD679A0"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eduscapes.com/tap/topic35.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B871D9-1B3B-4A20-A485-B0116B51B6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1032</TotalTime>
  <Pages>26</Pages>
  <Words>8874</Words>
  <Characters>49081</Characters>
  <Application>Microsoft Office Word</Application>
  <DocSecurity>0</DocSecurity>
  <Lines>409</Lines>
  <Paragraphs>115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57840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ol-profile</dc:creator>
  <cp:lastModifiedBy>Nikita Forbes</cp:lastModifiedBy>
  <cp:revision>19</cp:revision>
  <cp:lastPrinted>2014-10-10T07:42:00Z</cp:lastPrinted>
  <dcterms:created xsi:type="dcterms:W3CDTF">2018-05-05T16:12:00Z</dcterms:created>
  <dcterms:modified xsi:type="dcterms:W3CDTF">2018-05-14T15:49:00Z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