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05D4E" w:rsidRDefault="00E05D4E" w:rsidP="001042B8">
      <w:pPr>
        <w:spacing w:line="480" w:lineRule="auto"/>
        <w:jc w:val="center"/>
        <w:rPr>
          <w:rFonts w:eastAsia="Times New Roman"/>
          <w:b/>
        </w:rPr>
      </w:pPr>
    </w:p>
    <w:p w:rsidR="00E05D4E" w:rsidRDefault="00E05D4E" w:rsidP="00215194">
      <w:pPr>
        <w:spacing w:line="480" w:lineRule="auto"/>
        <w:rPr>
          <w:rFonts w:eastAsia="Times New Roman"/>
          <w:b/>
        </w:rPr>
      </w:pPr>
    </w:p>
    <w:p w:rsidR="00215194" w:rsidRDefault="00215194" w:rsidP="00215194">
      <w:pPr>
        <w:spacing w:line="480" w:lineRule="auto"/>
        <w:rPr>
          <w:rFonts w:eastAsia="Times New Roman"/>
          <w:b/>
        </w:rPr>
      </w:pPr>
    </w:p>
    <w:p w:rsidR="00E05D4E" w:rsidRDefault="00BC1034" w:rsidP="001042B8">
      <w:pPr>
        <w:spacing w:line="480" w:lineRule="auto"/>
        <w:jc w:val="center"/>
        <w:rPr>
          <w:rFonts w:eastAsia="Times New Roman"/>
          <w:b/>
        </w:rPr>
      </w:pPr>
      <w:r w:rsidRPr="00467D62">
        <w:rPr>
          <w:noProof/>
          <w:lang w:val="en-US" w:eastAsia="en-US"/>
        </w:rPr>
        <w:drawing>
          <wp:inline distT="0" distB="0" distL="0" distR="0" wp14:anchorId="56C8696C" wp14:editId="618140CE">
            <wp:extent cx="2157211" cy="863432"/>
            <wp:effectExtent l="0" t="0" r="0" b="0"/>
            <wp:docPr id="14" name="Picture 14" descr="A close up of a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UWTSD-Logo-fi.jpg"/>
                    <pic:cNvPicPr/>
                  </pic:nvPicPr>
                  <pic:blipFill>
                    <a:blip r:embed="rId9" cstate="print">
                      <a:extLst>
                        <a:ext uri="{28A0092B-C50C-407E-A947-70E740481C1C}">
                          <a14:useLocalDpi xmlns:a14="http://schemas.microsoft.com/office/drawing/2010/main" val="0"/>
                        </a:ext>
                      </a:extLst>
                    </a:blip>
                    <a:stretch>
                      <a:fillRect/>
                    </a:stretch>
                  </pic:blipFill>
                  <pic:spPr>
                    <a:xfrm>
                      <a:off x="0" y="0"/>
                      <a:ext cx="2176392" cy="871109"/>
                    </a:xfrm>
                    <a:prstGeom prst="rect">
                      <a:avLst/>
                    </a:prstGeom>
                  </pic:spPr>
                </pic:pic>
              </a:graphicData>
            </a:graphic>
          </wp:inline>
        </w:drawing>
      </w:r>
    </w:p>
    <w:p w:rsidR="00E05D4E" w:rsidRDefault="00E05D4E" w:rsidP="001042B8">
      <w:pPr>
        <w:spacing w:line="480" w:lineRule="auto"/>
        <w:jc w:val="center"/>
        <w:rPr>
          <w:rFonts w:eastAsia="Times New Roman"/>
          <w:b/>
        </w:rPr>
      </w:pPr>
    </w:p>
    <w:p w:rsidR="00BC1034" w:rsidRDefault="00BC1034" w:rsidP="00BC1034">
      <w:pPr>
        <w:spacing w:line="480" w:lineRule="auto"/>
        <w:jc w:val="center"/>
        <w:rPr>
          <w:rFonts w:eastAsia="Times New Roman"/>
          <w:b/>
        </w:rPr>
      </w:pPr>
      <w:r>
        <w:rPr>
          <w:rFonts w:eastAsia="Times New Roman"/>
          <w:b/>
        </w:rPr>
        <w:t>MODULE NAME- INTERNATIONAL BUSINESS</w:t>
      </w:r>
    </w:p>
    <w:p w:rsidR="00E05D4E" w:rsidRDefault="002D4108" w:rsidP="00BC1034">
      <w:pPr>
        <w:spacing w:line="480" w:lineRule="auto"/>
        <w:jc w:val="center"/>
        <w:rPr>
          <w:rFonts w:eastAsia="Times New Roman"/>
          <w:b/>
        </w:rPr>
      </w:pPr>
      <w:r>
        <w:rPr>
          <w:rFonts w:eastAsia="Times New Roman"/>
          <w:b/>
        </w:rPr>
        <w:t>MODULE NUMBER- LCMB7014</w:t>
      </w:r>
    </w:p>
    <w:p w:rsidR="0068267A" w:rsidRPr="0068267A" w:rsidRDefault="0068267A" w:rsidP="0068267A">
      <w:pPr>
        <w:jc w:val="center"/>
        <w:rPr>
          <w:rFonts w:cs="Times New Roman"/>
          <w:b/>
        </w:rPr>
      </w:pPr>
      <w:r w:rsidRPr="0068267A">
        <w:rPr>
          <w:rFonts w:cs="Times New Roman"/>
          <w:b/>
        </w:rPr>
        <w:t>LECTURER: Dr Hossein Shokri</w:t>
      </w:r>
    </w:p>
    <w:p w:rsidR="0068267A" w:rsidRDefault="0068267A" w:rsidP="0068267A">
      <w:pPr>
        <w:rPr>
          <w:rFonts w:eastAsia="Times New Roman"/>
          <w:b/>
        </w:rPr>
      </w:pPr>
    </w:p>
    <w:p w:rsidR="00741758" w:rsidRDefault="002D4108" w:rsidP="0068267A">
      <w:pPr>
        <w:jc w:val="center"/>
        <w:rPr>
          <w:sz w:val="40"/>
          <w:szCs w:val="40"/>
        </w:rPr>
      </w:pPr>
      <w:r>
        <w:rPr>
          <w:rFonts w:eastAsia="Times New Roman"/>
          <w:b/>
        </w:rPr>
        <w:t xml:space="preserve">TITLE OF THE ASSIGNMENT- </w:t>
      </w:r>
      <w:r w:rsidR="007F3052">
        <w:rPr>
          <w:rFonts w:eastAsia="Times New Roman"/>
          <w:b/>
        </w:rPr>
        <w:t>TED BAKER IN TURKEY</w:t>
      </w:r>
    </w:p>
    <w:p w:rsidR="00BC1034" w:rsidRPr="00BC1034" w:rsidRDefault="00BC1034" w:rsidP="00BC1034">
      <w:pPr>
        <w:jc w:val="center"/>
        <w:rPr>
          <w:sz w:val="40"/>
          <w:szCs w:val="40"/>
        </w:rPr>
      </w:pPr>
      <w:r w:rsidRPr="00BC1034">
        <w:rPr>
          <w:sz w:val="40"/>
          <w:szCs w:val="40"/>
        </w:rPr>
        <w:t xml:space="preserve"> </w:t>
      </w:r>
    </w:p>
    <w:p w:rsidR="00E05D4E" w:rsidRDefault="00741758" w:rsidP="001042B8">
      <w:pPr>
        <w:spacing w:line="480" w:lineRule="auto"/>
        <w:jc w:val="center"/>
        <w:rPr>
          <w:rFonts w:eastAsia="Times New Roman"/>
          <w:b/>
        </w:rPr>
      </w:pPr>
      <w:r>
        <w:rPr>
          <w:noProof/>
          <w:lang w:val="en-US" w:eastAsia="en-US"/>
        </w:rPr>
        <w:drawing>
          <wp:inline distT="0" distB="0" distL="0" distR="0" wp14:anchorId="2127FC7A" wp14:editId="160DA552">
            <wp:extent cx="4171950" cy="1164872"/>
            <wp:effectExtent l="76200" t="76200" r="133350" b="13081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16"/>
                    <pic:cNvPicPr>
                      <a:picLocks noChangeAspect="1"/>
                    </pic:cNvPicPr>
                  </pic:nvPicPr>
                  <pic:blipFill>
                    <a:blip r:embed="rId10"/>
                    <a:stretch>
                      <a:fillRect/>
                    </a:stretch>
                  </pic:blipFill>
                  <pic:spPr>
                    <a:xfrm>
                      <a:off x="0" y="0"/>
                      <a:ext cx="4238807" cy="1183540"/>
                    </a:xfrm>
                    <a:prstGeom prst="rect">
                      <a:avLst/>
                    </a:prstGeom>
                    <a:ln w="38100" cap="sq">
                      <a:solidFill>
                        <a:srgbClr val="000000"/>
                      </a:solidFill>
                      <a:prstDash val="solid"/>
                      <a:miter lim="800000"/>
                      <a:headEnd/>
                      <a:tailEnd/>
                    </a:ln>
                    <a:effectLst>
                      <a:outerShdw blurRad="50800" dist="38100" dir="2700000" algn="tl" rotWithShape="0">
                        <a:srgbClr val="000000">
                          <a:alpha val="43000"/>
                        </a:srgbClr>
                      </a:outerShdw>
                    </a:effectLst>
                  </pic:spPr>
                </pic:pic>
              </a:graphicData>
            </a:graphic>
          </wp:inline>
        </w:drawing>
      </w:r>
    </w:p>
    <w:p w:rsidR="00741758" w:rsidRPr="006F50D1" w:rsidRDefault="006F50D1" w:rsidP="001042B8">
      <w:pPr>
        <w:spacing w:line="480" w:lineRule="auto"/>
        <w:jc w:val="center"/>
        <w:rPr>
          <w:rFonts w:eastAsia="Times New Roman"/>
          <w:b/>
        </w:rPr>
      </w:pPr>
      <w:r w:rsidRPr="006F50D1">
        <w:rPr>
          <w:rFonts w:eastAsia="Times New Roman"/>
          <w:b/>
        </w:rPr>
        <w:t>NAME</w:t>
      </w:r>
      <w:r w:rsidR="00741758" w:rsidRPr="006F50D1">
        <w:rPr>
          <w:rFonts w:eastAsia="Times New Roman"/>
          <w:b/>
        </w:rPr>
        <w:t xml:space="preserve"> </w:t>
      </w:r>
      <w:r w:rsidRPr="006F50D1">
        <w:rPr>
          <w:rFonts w:eastAsia="Times New Roman"/>
          <w:b/>
        </w:rPr>
        <w:t>–</w:t>
      </w:r>
      <w:r w:rsidR="00741758" w:rsidRPr="006F50D1">
        <w:rPr>
          <w:rFonts w:eastAsia="Times New Roman"/>
          <w:b/>
        </w:rPr>
        <w:t xml:space="preserve"> </w:t>
      </w:r>
      <w:r w:rsidRPr="006F50D1">
        <w:rPr>
          <w:b/>
          <w:bCs/>
          <w:color w:val="222222"/>
          <w:shd w:val="clear" w:color="auto" w:fill="FFFFFF"/>
          <w:lang w:bidi="hi-IN"/>
        </w:rPr>
        <w:t>PATEL KOMALBEN BABUBHAI</w:t>
      </w:r>
    </w:p>
    <w:p w:rsidR="00E05D4E" w:rsidRPr="00741758" w:rsidRDefault="00741758" w:rsidP="001042B8">
      <w:pPr>
        <w:spacing w:line="480" w:lineRule="auto"/>
        <w:jc w:val="center"/>
        <w:rPr>
          <w:rFonts w:eastAsia="Times New Roman"/>
          <w:sz w:val="28"/>
          <w:szCs w:val="28"/>
        </w:rPr>
      </w:pPr>
      <w:r w:rsidRPr="006F50D1">
        <w:rPr>
          <w:rFonts w:eastAsia="Times New Roman"/>
          <w:b/>
        </w:rPr>
        <w:t>S</w:t>
      </w:r>
      <w:r w:rsidR="006F50D1" w:rsidRPr="006F50D1">
        <w:rPr>
          <w:rFonts w:eastAsia="Times New Roman"/>
          <w:b/>
        </w:rPr>
        <w:t>TUDENT NUMBER</w:t>
      </w:r>
      <w:r w:rsidRPr="006F50D1">
        <w:rPr>
          <w:rFonts w:eastAsia="Times New Roman"/>
          <w:b/>
        </w:rPr>
        <w:t xml:space="preserve"> - 2211067</w:t>
      </w:r>
    </w:p>
    <w:p w:rsidR="00E05D4E" w:rsidRDefault="002D4108" w:rsidP="001042B8">
      <w:pPr>
        <w:spacing w:line="480" w:lineRule="auto"/>
        <w:jc w:val="center"/>
        <w:rPr>
          <w:rFonts w:eastAsia="Times New Roman"/>
          <w:b/>
        </w:rPr>
      </w:pPr>
      <w:r>
        <w:rPr>
          <w:rFonts w:eastAsia="Times New Roman"/>
          <w:b/>
        </w:rPr>
        <w:t>SUBMISSION DATE</w:t>
      </w:r>
      <w:r w:rsidR="006444A9">
        <w:rPr>
          <w:rFonts w:eastAsia="Times New Roman"/>
          <w:b/>
        </w:rPr>
        <w:t xml:space="preserve"> – 03</w:t>
      </w:r>
      <w:r w:rsidR="00BC1034">
        <w:rPr>
          <w:rFonts w:eastAsia="Times New Roman"/>
          <w:b/>
        </w:rPr>
        <w:t>.05.2023</w:t>
      </w:r>
    </w:p>
    <w:p w:rsidR="00E05D4E" w:rsidRDefault="00E05D4E" w:rsidP="001042B8">
      <w:pPr>
        <w:spacing w:line="480" w:lineRule="auto"/>
        <w:jc w:val="center"/>
        <w:rPr>
          <w:rFonts w:eastAsia="Times New Roman"/>
          <w:b/>
        </w:rPr>
      </w:pPr>
    </w:p>
    <w:p w:rsidR="00E05D4E" w:rsidRDefault="00E05D4E" w:rsidP="001042B8">
      <w:pPr>
        <w:spacing w:line="480" w:lineRule="auto"/>
        <w:jc w:val="center"/>
        <w:rPr>
          <w:rFonts w:eastAsia="Times New Roman"/>
          <w:b/>
        </w:rPr>
      </w:pPr>
    </w:p>
    <w:p w:rsidR="00E05D4E" w:rsidRDefault="00E05D4E" w:rsidP="001042B8">
      <w:pPr>
        <w:spacing w:line="480" w:lineRule="auto"/>
        <w:jc w:val="center"/>
        <w:rPr>
          <w:rFonts w:eastAsia="Times New Roman"/>
          <w:b/>
        </w:rPr>
      </w:pPr>
    </w:p>
    <w:p w:rsidR="00E05D4E" w:rsidRDefault="002D4108" w:rsidP="001042B8">
      <w:pPr>
        <w:spacing w:line="480" w:lineRule="auto"/>
        <w:jc w:val="center"/>
        <w:rPr>
          <w:rFonts w:eastAsia="Times New Roman"/>
          <w:b/>
        </w:rPr>
      </w:pPr>
      <w:r>
        <w:rPr>
          <w:rFonts w:eastAsia="Times New Roman"/>
          <w:b/>
        </w:rPr>
        <w:t xml:space="preserve"> </w:t>
      </w:r>
    </w:p>
    <w:p w:rsidR="00E05D4E" w:rsidRDefault="002D4108" w:rsidP="001042B8">
      <w:pPr>
        <w:spacing w:line="480" w:lineRule="auto"/>
        <w:rPr>
          <w:rFonts w:eastAsia="Times New Roman"/>
          <w:b/>
        </w:rPr>
      </w:pPr>
      <w:r>
        <w:rPr>
          <w:rFonts w:eastAsia="Times New Roman"/>
          <w:b/>
        </w:rPr>
        <w:br w:type="page"/>
      </w:r>
    </w:p>
    <w:sdt>
      <w:sdtPr>
        <w:rPr>
          <w:rFonts w:ascii="Arial" w:eastAsia="Arial" w:hAnsi="Arial" w:cs="Arial"/>
          <w:color w:val="auto"/>
          <w:sz w:val="22"/>
          <w:szCs w:val="22"/>
          <w:lang w:val="en-IN" w:eastAsia="en-IN"/>
        </w:rPr>
        <w:id w:val="-470596906"/>
        <w:docPartObj>
          <w:docPartGallery w:val="Table of Contents"/>
          <w:docPartUnique/>
        </w:docPartObj>
      </w:sdtPr>
      <w:sdtEndPr>
        <w:rPr>
          <w:b/>
          <w:bCs/>
        </w:rPr>
      </w:sdtEndPr>
      <w:sdtContent>
        <w:p w:rsidR="00E05D4E" w:rsidRDefault="002D4108" w:rsidP="001042B8">
          <w:pPr>
            <w:pStyle w:val="TOCHeading1"/>
            <w:spacing w:line="480" w:lineRule="auto"/>
            <w:jc w:val="center"/>
            <w:rPr>
              <w:rFonts w:ascii="Arial" w:hAnsi="Arial" w:cs="Arial"/>
              <w:b/>
              <w:color w:val="auto"/>
              <w:sz w:val="22"/>
              <w:szCs w:val="22"/>
            </w:rPr>
          </w:pPr>
          <w:r>
            <w:rPr>
              <w:rFonts w:ascii="Arial" w:hAnsi="Arial" w:cs="Arial"/>
              <w:b/>
              <w:color w:val="auto"/>
              <w:sz w:val="22"/>
              <w:szCs w:val="22"/>
            </w:rPr>
            <w:t>Table of Contents</w:t>
          </w:r>
        </w:p>
        <w:p w:rsidR="00791F84" w:rsidRDefault="002D4108">
          <w:pPr>
            <w:pStyle w:val="TOC1"/>
            <w:tabs>
              <w:tab w:val="right" w:leader="dot" w:pos="8299"/>
            </w:tabs>
            <w:rPr>
              <w:rFonts w:asciiTheme="minorHAnsi" w:eastAsiaTheme="minorEastAsia" w:hAnsiTheme="minorHAnsi" w:cstheme="minorBidi"/>
              <w:noProof/>
              <w:lang w:val="en-US" w:eastAsia="en-US"/>
            </w:rPr>
          </w:pPr>
          <w:r>
            <w:fldChar w:fldCharType="begin"/>
          </w:r>
          <w:r>
            <w:instrText xml:space="preserve"> TOC \o "1-3" \h \z \u </w:instrText>
          </w:r>
          <w:r>
            <w:fldChar w:fldCharType="separate"/>
          </w:r>
          <w:hyperlink w:anchor="_Toc133940661" w:history="1">
            <w:r w:rsidR="00791F84" w:rsidRPr="00234772">
              <w:rPr>
                <w:rStyle w:val="Hyperlink"/>
                <w:noProof/>
              </w:rPr>
              <w:t>Introduction</w:t>
            </w:r>
            <w:r w:rsidR="00791F84">
              <w:rPr>
                <w:noProof/>
                <w:webHidden/>
              </w:rPr>
              <w:tab/>
            </w:r>
            <w:r w:rsidR="00791F84">
              <w:rPr>
                <w:noProof/>
                <w:webHidden/>
              </w:rPr>
              <w:fldChar w:fldCharType="begin"/>
            </w:r>
            <w:r w:rsidR="00791F84">
              <w:rPr>
                <w:noProof/>
                <w:webHidden/>
              </w:rPr>
              <w:instrText xml:space="preserve"> PAGEREF _Toc133940661 \h </w:instrText>
            </w:r>
            <w:r w:rsidR="00791F84">
              <w:rPr>
                <w:noProof/>
                <w:webHidden/>
              </w:rPr>
            </w:r>
            <w:r w:rsidR="00791F84">
              <w:rPr>
                <w:noProof/>
                <w:webHidden/>
              </w:rPr>
              <w:fldChar w:fldCharType="separate"/>
            </w:r>
            <w:r w:rsidR="00CA0E2C">
              <w:rPr>
                <w:noProof/>
                <w:webHidden/>
              </w:rPr>
              <w:t>3</w:t>
            </w:r>
            <w:r w:rsidR="00791F84">
              <w:rPr>
                <w:noProof/>
                <w:webHidden/>
              </w:rPr>
              <w:fldChar w:fldCharType="end"/>
            </w:r>
          </w:hyperlink>
        </w:p>
        <w:p w:rsidR="00791F84" w:rsidRDefault="00412AC5">
          <w:pPr>
            <w:pStyle w:val="TOC1"/>
            <w:tabs>
              <w:tab w:val="right" w:leader="dot" w:pos="8299"/>
            </w:tabs>
            <w:rPr>
              <w:rFonts w:asciiTheme="minorHAnsi" w:eastAsiaTheme="minorEastAsia" w:hAnsiTheme="minorHAnsi" w:cstheme="minorBidi"/>
              <w:noProof/>
              <w:lang w:val="en-US" w:eastAsia="en-US"/>
            </w:rPr>
          </w:pPr>
          <w:hyperlink w:anchor="_Toc133940662" w:history="1">
            <w:r w:rsidR="00791F84" w:rsidRPr="00234772">
              <w:rPr>
                <w:rStyle w:val="Hyperlink"/>
                <w:noProof/>
              </w:rPr>
              <w:t>Company’s background</w:t>
            </w:r>
            <w:r w:rsidR="00791F84">
              <w:rPr>
                <w:noProof/>
                <w:webHidden/>
              </w:rPr>
              <w:tab/>
            </w:r>
            <w:r w:rsidR="00791F84">
              <w:rPr>
                <w:noProof/>
                <w:webHidden/>
              </w:rPr>
              <w:fldChar w:fldCharType="begin"/>
            </w:r>
            <w:r w:rsidR="00791F84">
              <w:rPr>
                <w:noProof/>
                <w:webHidden/>
              </w:rPr>
              <w:instrText xml:space="preserve"> PAGEREF _Toc133940662 \h </w:instrText>
            </w:r>
            <w:r w:rsidR="00791F84">
              <w:rPr>
                <w:noProof/>
                <w:webHidden/>
              </w:rPr>
            </w:r>
            <w:r w:rsidR="00791F84">
              <w:rPr>
                <w:noProof/>
                <w:webHidden/>
              </w:rPr>
              <w:fldChar w:fldCharType="separate"/>
            </w:r>
            <w:r w:rsidR="00CA0E2C">
              <w:rPr>
                <w:noProof/>
                <w:webHidden/>
              </w:rPr>
              <w:t>3</w:t>
            </w:r>
            <w:r w:rsidR="00791F84">
              <w:rPr>
                <w:noProof/>
                <w:webHidden/>
              </w:rPr>
              <w:fldChar w:fldCharType="end"/>
            </w:r>
          </w:hyperlink>
        </w:p>
        <w:p w:rsidR="00791F84" w:rsidRDefault="00412AC5">
          <w:pPr>
            <w:pStyle w:val="TOC1"/>
            <w:tabs>
              <w:tab w:val="right" w:leader="dot" w:pos="8299"/>
            </w:tabs>
            <w:rPr>
              <w:rFonts w:asciiTheme="minorHAnsi" w:eastAsiaTheme="minorEastAsia" w:hAnsiTheme="minorHAnsi" w:cstheme="minorBidi"/>
              <w:noProof/>
              <w:lang w:val="en-US" w:eastAsia="en-US"/>
            </w:rPr>
          </w:pPr>
          <w:hyperlink w:anchor="_Toc133940663" w:history="1">
            <w:r w:rsidR="00791F84" w:rsidRPr="00234772">
              <w:rPr>
                <w:rStyle w:val="Hyperlink"/>
                <w:noProof/>
              </w:rPr>
              <w:t>Company’s objective</w:t>
            </w:r>
            <w:r w:rsidR="00791F84">
              <w:rPr>
                <w:noProof/>
                <w:webHidden/>
              </w:rPr>
              <w:tab/>
            </w:r>
            <w:r w:rsidR="00791F84">
              <w:rPr>
                <w:noProof/>
                <w:webHidden/>
              </w:rPr>
              <w:fldChar w:fldCharType="begin"/>
            </w:r>
            <w:r w:rsidR="00791F84">
              <w:rPr>
                <w:noProof/>
                <w:webHidden/>
              </w:rPr>
              <w:instrText xml:space="preserve"> PAGEREF _Toc133940663 \h </w:instrText>
            </w:r>
            <w:r w:rsidR="00791F84">
              <w:rPr>
                <w:noProof/>
                <w:webHidden/>
              </w:rPr>
            </w:r>
            <w:r w:rsidR="00791F84">
              <w:rPr>
                <w:noProof/>
                <w:webHidden/>
              </w:rPr>
              <w:fldChar w:fldCharType="separate"/>
            </w:r>
            <w:r w:rsidR="00CA0E2C">
              <w:rPr>
                <w:noProof/>
                <w:webHidden/>
              </w:rPr>
              <w:t>5</w:t>
            </w:r>
            <w:r w:rsidR="00791F84">
              <w:rPr>
                <w:noProof/>
                <w:webHidden/>
              </w:rPr>
              <w:fldChar w:fldCharType="end"/>
            </w:r>
          </w:hyperlink>
        </w:p>
        <w:p w:rsidR="00791F84" w:rsidRDefault="00412AC5">
          <w:pPr>
            <w:pStyle w:val="TOC1"/>
            <w:tabs>
              <w:tab w:val="right" w:leader="dot" w:pos="8299"/>
            </w:tabs>
            <w:rPr>
              <w:rFonts w:asciiTheme="minorHAnsi" w:eastAsiaTheme="minorEastAsia" w:hAnsiTheme="minorHAnsi" w:cstheme="minorBidi"/>
              <w:noProof/>
              <w:lang w:val="en-US" w:eastAsia="en-US"/>
            </w:rPr>
          </w:pPr>
          <w:hyperlink w:anchor="_Toc133940664" w:history="1">
            <w:r w:rsidR="00791F84" w:rsidRPr="00234772">
              <w:rPr>
                <w:rStyle w:val="Hyperlink"/>
                <w:noProof/>
              </w:rPr>
              <w:t>Company's specifications</w:t>
            </w:r>
            <w:r w:rsidR="00791F84">
              <w:rPr>
                <w:noProof/>
                <w:webHidden/>
              </w:rPr>
              <w:tab/>
            </w:r>
            <w:r w:rsidR="00791F84">
              <w:rPr>
                <w:noProof/>
                <w:webHidden/>
              </w:rPr>
              <w:fldChar w:fldCharType="begin"/>
            </w:r>
            <w:r w:rsidR="00791F84">
              <w:rPr>
                <w:noProof/>
                <w:webHidden/>
              </w:rPr>
              <w:instrText xml:space="preserve"> PAGEREF _Toc133940664 \h </w:instrText>
            </w:r>
            <w:r w:rsidR="00791F84">
              <w:rPr>
                <w:noProof/>
                <w:webHidden/>
              </w:rPr>
            </w:r>
            <w:r w:rsidR="00791F84">
              <w:rPr>
                <w:noProof/>
                <w:webHidden/>
              </w:rPr>
              <w:fldChar w:fldCharType="separate"/>
            </w:r>
            <w:r w:rsidR="00CA0E2C">
              <w:rPr>
                <w:noProof/>
                <w:webHidden/>
              </w:rPr>
              <w:t>5</w:t>
            </w:r>
            <w:r w:rsidR="00791F84">
              <w:rPr>
                <w:noProof/>
                <w:webHidden/>
              </w:rPr>
              <w:fldChar w:fldCharType="end"/>
            </w:r>
          </w:hyperlink>
        </w:p>
        <w:p w:rsidR="00791F84" w:rsidRDefault="00412AC5">
          <w:pPr>
            <w:pStyle w:val="TOC2"/>
            <w:tabs>
              <w:tab w:val="right" w:leader="dot" w:pos="8299"/>
            </w:tabs>
            <w:rPr>
              <w:rFonts w:asciiTheme="minorHAnsi" w:eastAsiaTheme="minorEastAsia" w:hAnsiTheme="minorHAnsi" w:cstheme="minorBidi"/>
              <w:noProof/>
              <w:lang w:val="en-US" w:eastAsia="en-US"/>
            </w:rPr>
          </w:pPr>
          <w:hyperlink w:anchor="_Toc133940665" w:history="1">
            <w:r w:rsidR="00791F84" w:rsidRPr="00234772">
              <w:rPr>
                <w:rStyle w:val="Hyperlink"/>
                <w:noProof/>
              </w:rPr>
              <w:t>Home and host country of Ted Baker</w:t>
            </w:r>
            <w:r w:rsidR="00791F84">
              <w:rPr>
                <w:noProof/>
                <w:webHidden/>
              </w:rPr>
              <w:tab/>
            </w:r>
            <w:r w:rsidR="00791F84">
              <w:rPr>
                <w:noProof/>
                <w:webHidden/>
              </w:rPr>
              <w:fldChar w:fldCharType="begin"/>
            </w:r>
            <w:r w:rsidR="00791F84">
              <w:rPr>
                <w:noProof/>
                <w:webHidden/>
              </w:rPr>
              <w:instrText xml:space="preserve"> PAGEREF _Toc133940665 \h </w:instrText>
            </w:r>
            <w:r w:rsidR="00791F84">
              <w:rPr>
                <w:noProof/>
                <w:webHidden/>
              </w:rPr>
            </w:r>
            <w:r w:rsidR="00791F84">
              <w:rPr>
                <w:noProof/>
                <w:webHidden/>
              </w:rPr>
              <w:fldChar w:fldCharType="separate"/>
            </w:r>
            <w:r w:rsidR="00CA0E2C">
              <w:rPr>
                <w:noProof/>
                <w:webHidden/>
              </w:rPr>
              <w:t>5</w:t>
            </w:r>
            <w:r w:rsidR="00791F84">
              <w:rPr>
                <w:noProof/>
                <w:webHidden/>
              </w:rPr>
              <w:fldChar w:fldCharType="end"/>
            </w:r>
          </w:hyperlink>
        </w:p>
        <w:p w:rsidR="00791F84" w:rsidRDefault="00412AC5">
          <w:pPr>
            <w:pStyle w:val="TOC2"/>
            <w:tabs>
              <w:tab w:val="right" w:leader="dot" w:pos="8299"/>
            </w:tabs>
            <w:rPr>
              <w:rFonts w:asciiTheme="minorHAnsi" w:eastAsiaTheme="minorEastAsia" w:hAnsiTheme="minorHAnsi" w:cstheme="minorBidi"/>
              <w:noProof/>
              <w:lang w:val="en-US" w:eastAsia="en-US"/>
            </w:rPr>
          </w:pPr>
          <w:hyperlink w:anchor="_Toc133940666" w:history="1">
            <w:r w:rsidR="00791F84" w:rsidRPr="00234772">
              <w:rPr>
                <w:rStyle w:val="Hyperlink"/>
                <w:noProof/>
              </w:rPr>
              <w:t>Risks analysis</w:t>
            </w:r>
            <w:r w:rsidR="00791F84">
              <w:rPr>
                <w:noProof/>
                <w:webHidden/>
              </w:rPr>
              <w:tab/>
            </w:r>
            <w:r w:rsidR="00791F84">
              <w:rPr>
                <w:noProof/>
                <w:webHidden/>
              </w:rPr>
              <w:fldChar w:fldCharType="begin"/>
            </w:r>
            <w:r w:rsidR="00791F84">
              <w:rPr>
                <w:noProof/>
                <w:webHidden/>
              </w:rPr>
              <w:instrText xml:space="preserve"> PAGEREF _Toc133940666 \h </w:instrText>
            </w:r>
            <w:r w:rsidR="00791F84">
              <w:rPr>
                <w:noProof/>
                <w:webHidden/>
              </w:rPr>
            </w:r>
            <w:r w:rsidR="00791F84">
              <w:rPr>
                <w:noProof/>
                <w:webHidden/>
              </w:rPr>
              <w:fldChar w:fldCharType="separate"/>
            </w:r>
            <w:r w:rsidR="00CA0E2C">
              <w:rPr>
                <w:noProof/>
                <w:webHidden/>
              </w:rPr>
              <w:t>6</w:t>
            </w:r>
            <w:r w:rsidR="00791F84">
              <w:rPr>
                <w:noProof/>
                <w:webHidden/>
              </w:rPr>
              <w:fldChar w:fldCharType="end"/>
            </w:r>
          </w:hyperlink>
        </w:p>
        <w:p w:rsidR="00791F84" w:rsidRDefault="00412AC5">
          <w:pPr>
            <w:pStyle w:val="TOC2"/>
            <w:tabs>
              <w:tab w:val="right" w:leader="dot" w:pos="8299"/>
            </w:tabs>
            <w:rPr>
              <w:rFonts w:asciiTheme="minorHAnsi" w:eastAsiaTheme="minorEastAsia" w:hAnsiTheme="minorHAnsi" w:cstheme="minorBidi"/>
              <w:noProof/>
              <w:lang w:val="en-US" w:eastAsia="en-US"/>
            </w:rPr>
          </w:pPr>
          <w:hyperlink w:anchor="_Toc133940667" w:history="1">
            <w:r w:rsidR="00791F84" w:rsidRPr="00234772">
              <w:rPr>
                <w:rStyle w:val="Hyperlink"/>
                <w:noProof/>
              </w:rPr>
              <w:t>Marketing approaches by the firm</w:t>
            </w:r>
            <w:r w:rsidR="00791F84">
              <w:rPr>
                <w:noProof/>
                <w:webHidden/>
              </w:rPr>
              <w:tab/>
            </w:r>
            <w:r w:rsidR="00791F84">
              <w:rPr>
                <w:noProof/>
                <w:webHidden/>
              </w:rPr>
              <w:fldChar w:fldCharType="begin"/>
            </w:r>
            <w:r w:rsidR="00791F84">
              <w:rPr>
                <w:noProof/>
                <w:webHidden/>
              </w:rPr>
              <w:instrText xml:space="preserve"> PAGEREF _Toc133940667 \h </w:instrText>
            </w:r>
            <w:r w:rsidR="00791F84">
              <w:rPr>
                <w:noProof/>
                <w:webHidden/>
              </w:rPr>
            </w:r>
            <w:r w:rsidR="00791F84">
              <w:rPr>
                <w:noProof/>
                <w:webHidden/>
              </w:rPr>
              <w:fldChar w:fldCharType="separate"/>
            </w:r>
            <w:r w:rsidR="00CA0E2C">
              <w:rPr>
                <w:noProof/>
                <w:webHidden/>
              </w:rPr>
              <w:t>7</w:t>
            </w:r>
            <w:r w:rsidR="00791F84">
              <w:rPr>
                <w:noProof/>
                <w:webHidden/>
              </w:rPr>
              <w:fldChar w:fldCharType="end"/>
            </w:r>
          </w:hyperlink>
        </w:p>
        <w:p w:rsidR="00791F84" w:rsidRDefault="00412AC5">
          <w:pPr>
            <w:pStyle w:val="TOC2"/>
            <w:tabs>
              <w:tab w:val="right" w:leader="dot" w:pos="8299"/>
            </w:tabs>
            <w:rPr>
              <w:rFonts w:asciiTheme="minorHAnsi" w:eastAsiaTheme="minorEastAsia" w:hAnsiTheme="minorHAnsi" w:cstheme="minorBidi"/>
              <w:noProof/>
              <w:lang w:val="en-US" w:eastAsia="en-US"/>
            </w:rPr>
          </w:pPr>
          <w:hyperlink w:anchor="_Toc133940668" w:history="1">
            <w:r w:rsidR="00791F84" w:rsidRPr="00234772">
              <w:rPr>
                <w:rStyle w:val="Hyperlink"/>
                <w:noProof/>
              </w:rPr>
              <w:t>Operations</w:t>
            </w:r>
            <w:r w:rsidR="00791F84">
              <w:rPr>
                <w:noProof/>
                <w:webHidden/>
              </w:rPr>
              <w:tab/>
            </w:r>
            <w:r w:rsidR="00791F84">
              <w:rPr>
                <w:noProof/>
                <w:webHidden/>
              </w:rPr>
              <w:fldChar w:fldCharType="begin"/>
            </w:r>
            <w:r w:rsidR="00791F84">
              <w:rPr>
                <w:noProof/>
                <w:webHidden/>
              </w:rPr>
              <w:instrText xml:space="preserve"> PAGEREF _Toc133940668 \h </w:instrText>
            </w:r>
            <w:r w:rsidR="00791F84">
              <w:rPr>
                <w:noProof/>
                <w:webHidden/>
              </w:rPr>
            </w:r>
            <w:r w:rsidR="00791F84">
              <w:rPr>
                <w:noProof/>
                <w:webHidden/>
              </w:rPr>
              <w:fldChar w:fldCharType="separate"/>
            </w:r>
            <w:r w:rsidR="00CA0E2C">
              <w:rPr>
                <w:noProof/>
                <w:webHidden/>
              </w:rPr>
              <w:t>7</w:t>
            </w:r>
            <w:r w:rsidR="00791F84">
              <w:rPr>
                <w:noProof/>
                <w:webHidden/>
              </w:rPr>
              <w:fldChar w:fldCharType="end"/>
            </w:r>
          </w:hyperlink>
        </w:p>
        <w:p w:rsidR="00791F84" w:rsidRDefault="00412AC5">
          <w:pPr>
            <w:pStyle w:val="TOC2"/>
            <w:tabs>
              <w:tab w:val="right" w:leader="dot" w:pos="8299"/>
            </w:tabs>
            <w:rPr>
              <w:rFonts w:asciiTheme="minorHAnsi" w:eastAsiaTheme="minorEastAsia" w:hAnsiTheme="minorHAnsi" w:cstheme="minorBidi"/>
              <w:noProof/>
              <w:lang w:val="en-US" w:eastAsia="en-US"/>
            </w:rPr>
          </w:pPr>
          <w:hyperlink w:anchor="_Toc133940669" w:history="1">
            <w:r w:rsidR="00791F84" w:rsidRPr="00234772">
              <w:rPr>
                <w:rStyle w:val="Hyperlink"/>
                <w:noProof/>
              </w:rPr>
              <w:t>Human resources</w:t>
            </w:r>
            <w:r w:rsidR="00791F84">
              <w:rPr>
                <w:noProof/>
                <w:webHidden/>
              </w:rPr>
              <w:tab/>
            </w:r>
            <w:r w:rsidR="00791F84">
              <w:rPr>
                <w:noProof/>
                <w:webHidden/>
              </w:rPr>
              <w:fldChar w:fldCharType="begin"/>
            </w:r>
            <w:r w:rsidR="00791F84">
              <w:rPr>
                <w:noProof/>
                <w:webHidden/>
              </w:rPr>
              <w:instrText xml:space="preserve"> PAGEREF _Toc133940669 \h </w:instrText>
            </w:r>
            <w:r w:rsidR="00791F84">
              <w:rPr>
                <w:noProof/>
                <w:webHidden/>
              </w:rPr>
            </w:r>
            <w:r w:rsidR="00791F84">
              <w:rPr>
                <w:noProof/>
                <w:webHidden/>
              </w:rPr>
              <w:fldChar w:fldCharType="separate"/>
            </w:r>
            <w:r w:rsidR="00CA0E2C">
              <w:rPr>
                <w:noProof/>
                <w:webHidden/>
              </w:rPr>
              <w:t>7</w:t>
            </w:r>
            <w:r w:rsidR="00791F84">
              <w:rPr>
                <w:noProof/>
                <w:webHidden/>
              </w:rPr>
              <w:fldChar w:fldCharType="end"/>
            </w:r>
          </w:hyperlink>
        </w:p>
        <w:p w:rsidR="00791F84" w:rsidRDefault="00412AC5">
          <w:pPr>
            <w:pStyle w:val="TOC1"/>
            <w:tabs>
              <w:tab w:val="right" w:leader="dot" w:pos="8299"/>
            </w:tabs>
            <w:rPr>
              <w:rFonts w:asciiTheme="minorHAnsi" w:eastAsiaTheme="minorEastAsia" w:hAnsiTheme="minorHAnsi" w:cstheme="minorBidi"/>
              <w:noProof/>
              <w:lang w:val="en-US" w:eastAsia="en-US"/>
            </w:rPr>
          </w:pPr>
          <w:hyperlink w:anchor="_Toc133940670" w:history="1">
            <w:r w:rsidR="00791F84" w:rsidRPr="00234772">
              <w:rPr>
                <w:rStyle w:val="Hyperlink"/>
                <w:noProof/>
              </w:rPr>
              <w:t>External analysis of Ted Baker</w:t>
            </w:r>
            <w:r w:rsidR="00791F84">
              <w:rPr>
                <w:noProof/>
                <w:webHidden/>
              </w:rPr>
              <w:tab/>
            </w:r>
            <w:r w:rsidR="00791F84">
              <w:rPr>
                <w:noProof/>
                <w:webHidden/>
              </w:rPr>
              <w:fldChar w:fldCharType="begin"/>
            </w:r>
            <w:r w:rsidR="00791F84">
              <w:rPr>
                <w:noProof/>
                <w:webHidden/>
              </w:rPr>
              <w:instrText xml:space="preserve"> PAGEREF _Toc133940670 \h </w:instrText>
            </w:r>
            <w:r w:rsidR="00791F84">
              <w:rPr>
                <w:noProof/>
                <w:webHidden/>
              </w:rPr>
            </w:r>
            <w:r w:rsidR="00791F84">
              <w:rPr>
                <w:noProof/>
                <w:webHidden/>
              </w:rPr>
              <w:fldChar w:fldCharType="separate"/>
            </w:r>
            <w:r w:rsidR="00CA0E2C">
              <w:rPr>
                <w:noProof/>
                <w:webHidden/>
              </w:rPr>
              <w:t>8</w:t>
            </w:r>
            <w:r w:rsidR="00791F84">
              <w:rPr>
                <w:noProof/>
                <w:webHidden/>
              </w:rPr>
              <w:fldChar w:fldCharType="end"/>
            </w:r>
          </w:hyperlink>
        </w:p>
        <w:p w:rsidR="00791F84" w:rsidRDefault="00412AC5">
          <w:pPr>
            <w:pStyle w:val="TOC2"/>
            <w:tabs>
              <w:tab w:val="right" w:leader="dot" w:pos="8299"/>
            </w:tabs>
            <w:rPr>
              <w:rFonts w:asciiTheme="minorHAnsi" w:eastAsiaTheme="minorEastAsia" w:hAnsiTheme="minorHAnsi" w:cstheme="minorBidi"/>
              <w:noProof/>
              <w:lang w:val="en-US" w:eastAsia="en-US"/>
            </w:rPr>
          </w:pPr>
          <w:hyperlink w:anchor="_Toc133940671" w:history="1">
            <w:r w:rsidR="00791F84" w:rsidRPr="00234772">
              <w:rPr>
                <w:rStyle w:val="Hyperlink"/>
                <w:noProof/>
              </w:rPr>
              <w:t>Comparative PESTLE of UK vs Turkey</w:t>
            </w:r>
            <w:r w:rsidR="00791F84">
              <w:rPr>
                <w:noProof/>
                <w:webHidden/>
              </w:rPr>
              <w:tab/>
            </w:r>
            <w:r w:rsidR="00791F84">
              <w:rPr>
                <w:noProof/>
                <w:webHidden/>
              </w:rPr>
              <w:fldChar w:fldCharType="begin"/>
            </w:r>
            <w:r w:rsidR="00791F84">
              <w:rPr>
                <w:noProof/>
                <w:webHidden/>
              </w:rPr>
              <w:instrText xml:space="preserve"> PAGEREF _Toc133940671 \h </w:instrText>
            </w:r>
            <w:r w:rsidR="00791F84">
              <w:rPr>
                <w:noProof/>
                <w:webHidden/>
              </w:rPr>
            </w:r>
            <w:r w:rsidR="00791F84">
              <w:rPr>
                <w:noProof/>
                <w:webHidden/>
              </w:rPr>
              <w:fldChar w:fldCharType="separate"/>
            </w:r>
            <w:r w:rsidR="00CA0E2C">
              <w:rPr>
                <w:noProof/>
                <w:webHidden/>
              </w:rPr>
              <w:t>8</w:t>
            </w:r>
            <w:r w:rsidR="00791F84">
              <w:rPr>
                <w:noProof/>
                <w:webHidden/>
              </w:rPr>
              <w:fldChar w:fldCharType="end"/>
            </w:r>
          </w:hyperlink>
        </w:p>
        <w:p w:rsidR="00791F84" w:rsidRDefault="00412AC5">
          <w:pPr>
            <w:pStyle w:val="TOC2"/>
            <w:tabs>
              <w:tab w:val="right" w:leader="dot" w:pos="8299"/>
            </w:tabs>
            <w:rPr>
              <w:rFonts w:asciiTheme="minorHAnsi" w:eastAsiaTheme="minorEastAsia" w:hAnsiTheme="minorHAnsi" w:cstheme="minorBidi"/>
              <w:noProof/>
              <w:lang w:val="en-US" w:eastAsia="en-US"/>
            </w:rPr>
          </w:pPr>
          <w:hyperlink w:anchor="_Toc133940672" w:history="1">
            <w:r w:rsidR="00791F84" w:rsidRPr="00234772">
              <w:rPr>
                <w:rStyle w:val="Hyperlink"/>
                <w:noProof/>
                <w:lang w:val="en-GB"/>
              </w:rPr>
              <w:t>Industry Five Forces (Porter’s)</w:t>
            </w:r>
            <w:r w:rsidR="00791F84">
              <w:rPr>
                <w:noProof/>
                <w:webHidden/>
              </w:rPr>
              <w:tab/>
            </w:r>
            <w:r w:rsidR="00791F84">
              <w:rPr>
                <w:noProof/>
                <w:webHidden/>
              </w:rPr>
              <w:fldChar w:fldCharType="begin"/>
            </w:r>
            <w:r w:rsidR="00791F84">
              <w:rPr>
                <w:noProof/>
                <w:webHidden/>
              </w:rPr>
              <w:instrText xml:space="preserve"> PAGEREF _Toc133940672 \h </w:instrText>
            </w:r>
            <w:r w:rsidR="00791F84">
              <w:rPr>
                <w:noProof/>
                <w:webHidden/>
              </w:rPr>
            </w:r>
            <w:r w:rsidR="00791F84">
              <w:rPr>
                <w:noProof/>
                <w:webHidden/>
              </w:rPr>
              <w:fldChar w:fldCharType="separate"/>
            </w:r>
            <w:r w:rsidR="00CA0E2C">
              <w:rPr>
                <w:noProof/>
                <w:webHidden/>
              </w:rPr>
              <w:t>9</w:t>
            </w:r>
            <w:r w:rsidR="00791F84">
              <w:rPr>
                <w:noProof/>
                <w:webHidden/>
              </w:rPr>
              <w:fldChar w:fldCharType="end"/>
            </w:r>
          </w:hyperlink>
        </w:p>
        <w:p w:rsidR="00791F84" w:rsidRDefault="00412AC5">
          <w:pPr>
            <w:pStyle w:val="TOC2"/>
            <w:tabs>
              <w:tab w:val="right" w:leader="dot" w:pos="8299"/>
            </w:tabs>
            <w:rPr>
              <w:rFonts w:asciiTheme="minorHAnsi" w:eastAsiaTheme="minorEastAsia" w:hAnsiTheme="minorHAnsi" w:cstheme="minorBidi"/>
              <w:noProof/>
              <w:lang w:val="en-US" w:eastAsia="en-US"/>
            </w:rPr>
          </w:pPr>
          <w:hyperlink w:anchor="_Toc133940673" w:history="1">
            <w:r w:rsidR="00791F84" w:rsidRPr="00234772">
              <w:rPr>
                <w:rStyle w:val="Hyperlink"/>
                <w:noProof/>
                <w:lang w:val="en-GB"/>
              </w:rPr>
              <w:t>Market Analysis</w:t>
            </w:r>
            <w:r w:rsidR="00791F84">
              <w:rPr>
                <w:noProof/>
                <w:webHidden/>
              </w:rPr>
              <w:tab/>
            </w:r>
            <w:r w:rsidR="00791F84">
              <w:rPr>
                <w:noProof/>
                <w:webHidden/>
              </w:rPr>
              <w:fldChar w:fldCharType="begin"/>
            </w:r>
            <w:r w:rsidR="00791F84">
              <w:rPr>
                <w:noProof/>
                <w:webHidden/>
              </w:rPr>
              <w:instrText xml:space="preserve"> PAGEREF _Toc133940673 \h </w:instrText>
            </w:r>
            <w:r w:rsidR="00791F84">
              <w:rPr>
                <w:noProof/>
                <w:webHidden/>
              </w:rPr>
            </w:r>
            <w:r w:rsidR="00791F84">
              <w:rPr>
                <w:noProof/>
                <w:webHidden/>
              </w:rPr>
              <w:fldChar w:fldCharType="separate"/>
            </w:r>
            <w:r w:rsidR="00CA0E2C">
              <w:rPr>
                <w:noProof/>
                <w:webHidden/>
              </w:rPr>
              <w:t>11</w:t>
            </w:r>
            <w:r w:rsidR="00791F84">
              <w:rPr>
                <w:noProof/>
                <w:webHidden/>
              </w:rPr>
              <w:fldChar w:fldCharType="end"/>
            </w:r>
          </w:hyperlink>
        </w:p>
        <w:p w:rsidR="00791F84" w:rsidRPr="003D6200" w:rsidRDefault="00412AC5">
          <w:pPr>
            <w:pStyle w:val="TOC3"/>
            <w:tabs>
              <w:tab w:val="right" w:leader="dot" w:pos="8299"/>
            </w:tabs>
            <w:rPr>
              <w:rFonts w:asciiTheme="minorHAnsi" w:eastAsiaTheme="minorEastAsia" w:hAnsiTheme="minorHAnsi" w:cstheme="minorBidi"/>
              <w:noProof/>
              <w:lang w:val="en-US" w:eastAsia="en-US"/>
            </w:rPr>
          </w:pPr>
          <w:hyperlink w:anchor="_Toc133940674" w:history="1">
            <w:r w:rsidR="00791F84" w:rsidRPr="003D6200">
              <w:rPr>
                <w:rStyle w:val="Hyperlink"/>
                <w:noProof/>
                <w:lang w:val="en-GB"/>
              </w:rPr>
              <w:t>Competitors present in the market</w:t>
            </w:r>
            <w:r w:rsidR="00791F84" w:rsidRPr="003D6200">
              <w:rPr>
                <w:noProof/>
                <w:webHidden/>
              </w:rPr>
              <w:tab/>
            </w:r>
            <w:r w:rsidR="00791F84" w:rsidRPr="003D6200">
              <w:rPr>
                <w:noProof/>
                <w:webHidden/>
              </w:rPr>
              <w:fldChar w:fldCharType="begin"/>
            </w:r>
            <w:r w:rsidR="00791F84" w:rsidRPr="003D6200">
              <w:rPr>
                <w:noProof/>
                <w:webHidden/>
              </w:rPr>
              <w:instrText xml:space="preserve"> PAGEREF _Toc133940674 \h </w:instrText>
            </w:r>
            <w:r w:rsidR="00791F84" w:rsidRPr="003D6200">
              <w:rPr>
                <w:noProof/>
                <w:webHidden/>
              </w:rPr>
            </w:r>
            <w:r w:rsidR="00791F84" w:rsidRPr="003D6200">
              <w:rPr>
                <w:noProof/>
                <w:webHidden/>
              </w:rPr>
              <w:fldChar w:fldCharType="separate"/>
            </w:r>
            <w:r w:rsidR="00CA0E2C">
              <w:rPr>
                <w:noProof/>
                <w:webHidden/>
              </w:rPr>
              <w:t>12</w:t>
            </w:r>
            <w:r w:rsidR="00791F84" w:rsidRPr="003D6200">
              <w:rPr>
                <w:noProof/>
                <w:webHidden/>
              </w:rPr>
              <w:fldChar w:fldCharType="end"/>
            </w:r>
          </w:hyperlink>
        </w:p>
        <w:p w:rsidR="00791F84" w:rsidRDefault="00412AC5">
          <w:pPr>
            <w:pStyle w:val="TOC3"/>
            <w:tabs>
              <w:tab w:val="right" w:leader="dot" w:pos="8299"/>
            </w:tabs>
            <w:rPr>
              <w:rFonts w:asciiTheme="minorHAnsi" w:eastAsiaTheme="minorEastAsia" w:hAnsiTheme="minorHAnsi" w:cstheme="minorBidi"/>
              <w:noProof/>
              <w:lang w:val="en-US" w:eastAsia="en-US"/>
            </w:rPr>
          </w:pPr>
          <w:hyperlink w:anchor="_Toc133940675" w:history="1">
            <w:r w:rsidR="00791F84" w:rsidRPr="003D6200">
              <w:rPr>
                <w:rStyle w:val="Hyperlink"/>
                <w:bCs/>
                <w:noProof/>
                <w:lang w:val="en-GB"/>
              </w:rPr>
              <w:t>Market size</w:t>
            </w:r>
            <w:r w:rsidR="00791F84">
              <w:rPr>
                <w:noProof/>
                <w:webHidden/>
              </w:rPr>
              <w:tab/>
            </w:r>
            <w:r w:rsidR="00791F84">
              <w:rPr>
                <w:noProof/>
                <w:webHidden/>
              </w:rPr>
              <w:fldChar w:fldCharType="begin"/>
            </w:r>
            <w:r w:rsidR="00791F84">
              <w:rPr>
                <w:noProof/>
                <w:webHidden/>
              </w:rPr>
              <w:instrText xml:space="preserve"> PAGEREF _Toc133940675 \h </w:instrText>
            </w:r>
            <w:r w:rsidR="00791F84">
              <w:rPr>
                <w:noProof/>
                <w:webHidden/>
              </w:rPr>
            </w:r>
            <w:r w:rsidR="00791F84">
              <w:rPr>
                <w:noProof/>
                <w:webHidden/>
              </w:rPr>
              <w:fldChar w:fldCharType="separate"/>
            </w:r>
            <w:r w:rsidR="00CA0E2C">
              <w:rPr>
                <w:noProof/>
                <w:webHidden/>
              </w:rPr>
              <w:t>13</w:t>
            </w:r>
            <w:r w:rsidR="00791F84">
              <w:rPr>
                <w:noProof/>
                <w:webHidden/>
              </w:rPr>
              <w:fldChar w:fldCharType="end"/>
            </w:r>
          </w:hyperlink>
        </w:p>
        <w:p w:rsidR="00791F84" w:rsidRDefault="00412AC5">
          <w:pPr>
            <w:pStyle w:val="TOC3"/>
            <w:tabs>
              <w:tab w:val="right" w:leader="dot" w:pos="8299"/>
            </w:tabs>
            <w:rPr>
              <w:rFonts w:asciiTheme="minorHAnsi" w:eastAsiaTheme="minorEastAsia" w:hAnsiTheme="minorHAnsi" w:cstheme="minorBidi"/>
              <w:noProof/>
              <w:lang w:val="en-US" w:eastAsia="en-US"/>
            </w:rPr>
          </w:pPr>
          <w:hyperlink w:anchor="_Toc133940676" w:history="1">
            <w:r w:rsidR="00791F84" w:rsidRPr="003D6200">
              <w:rPr>
                <w:rStyle w:val="Hyperlink"/>
                <w:bCs/>
                <w:noProof/>
                <w:lang w:val="en-GB"/>
              </w:rPr>
              <w:t>Key success factors</w:t>
            </w:r>
            <w:r w:rsidR="00791F84">
              <w:rPr>
                <w:noProof/>
                <w:webHidden/>
              </w:rPr>
              <w:tab/>
            </w:r>
            <w:r w:rsidR="00791F84">
              <w:rPr>
                <w:noProof/>
                <w:webHidden/>
              </w:rPr>
              <w:fldChar w:fldCharType="begin"/>
            </w:r>
            <w:r w:rsidR="00791F84">
              <w:rPr>
                <w:noProof/>
                <w:webHidden/>
              </w:rPr>
              <w:instrText xml:space="preserve"> PAGEREF _Toc133940676 \h </w:instrText>
            </w:r>
            <w:r w:rsidR="00791F84">
              <w:rPr>
                <w:noProof/>
                <w:webHidden/>
              </w:rPr>
            </w:r>
            <w:r w:rsidR="00791F84">
              <w:rPr>
                <w:noProof/>
                <w:webHidden/>
              </w:rPr>
              <w:fldChar w:fldCharType="separate"/>
            </w:r>
            <w:r w:rsidR="00CA0E2C">
              <w:rPr>
                <w:noProof/>
                <w:webHidden/>
              </w:rPr>
              <w:t>14</w:t>
            </w:r>
            <w:r w:rsidR="00791F84">
              <w:rPr>
                <w:noProof/>
                <w:webHidden/>
              </w:rPr>
              <w:fldChar w:fldCharType="end"/>
            </w:r>
          </w:hyperlink>
        </w:p>
        <w:p w:rsidR="00791F84" w:rsidRDefault="00412AC5">
          <w:pPr>
            <w:pStyle w:val="TOC2"/>
            <w:tabs>
              <w:tab w:val="right" w:leader="dot" w:pos="8299"/>
            </w:tabs>
            <w:rPr>
              <w:rFonts w:asciiTheme="minorHAnsi" w:eastAsiaTheme="minorEastAsia" w:hAnsiTheme="minorHAnsi" w:cstheme="minorBidi"/>
              <w:noProof/>
              <w:lang w:val="en-US" w:eastAsia="en-US"/>
            </w:rPr>
          </w:pPr>
          <w:hyperlink w:anchor="_Toc133940677" w:history="1">
            <w:r w:rsidR="00791F84" w:rsidRPr="00234772">
              <w:rPr>
                <w:rStyle w:val="Hyperlink"/>
                <w:noProof/>
                <w:lang w:val="en-GB"/>
              </w:rPr>
              <w:t>Host country analysis</w:t>
            </w:r>
            <w:r w:rsidR="00791F84">
              <w:rPr>
                <w:noProof/>
                <w:webHidden/>
              </w:rPr>
              <w:tab/>
            </w:r>
            <w:r w:rsidR="00791F84">
              <w:rPr>
                <w:noProof/>
                <w:webHidden/>
              </w:rPr>
              <w:fldChar w:fldCharType="begin"/>
            </w:r>
            <w:r w:rsidR="00791F84">
              <w:rPr>
                <w:noProof/>
                <w:webHidden/>
              </w:rPr>
              <w:instrText xml:space="preserve"> PAGEREF _Toc133940677 \h </w:instrText>
            </w:r>
            <w:r w:rsidR="00791F84">
              <w:rPr>
                <w:noProof/>
                <w:webHidden/>
              </w:rPr>
            </w:r>
            <w:r w:rsidR="00791F84">
              <w:rPr>
                <w:noProof/>
                <w:webHidden/>
              </w:rPr>
              <w:fldChar w:fldCharType="separate"/>
            </w:r>
            <w:r w:rsidR="00CA0E2C">
              <w:rPr>
                <w:noProof/>
                <w:webHidden/>
              </w:rPr>
              <w:t>14</w:t>
            </w:r>
            <w:r w:rsidR="00791F84">
              <w:rPr>
                <w:noProof/>
                <w:webHidden/>
              </w:rPr>
              <w:fldChar w:fldCharType="end"/>
            </w:r>
          </w:hyperlink>
        </w:p>
        <w:p w:rsidR="00791F84" w:rsidRDefault="00412AC5">
          <w:pPr>
            <w:pStyle w:val="TOC3"/>
            <w:tabs>
              <w:tab w:val="right" w:leader="dot" w:pos="8299"/>
            </w:tabs>
            <w:rPr>
              <w:rFonts w:asciiTheme="minorHAnsi" w:eastAsiaTheme="minorEastAsia" w:hAnsiTheme="minorHAnsi" w:cstheme="minorBidi"/>
              <w:noProof/>
              <w:lang w:val="en-US" w:eastAsia="en-US"/>
            </w:rPr>
          </w:pPr>
          <w:hyperlink w:anchor="_Toc133940678" w:history="1">
            <w:r w:rsidR="00791F84" w:rsidRPr="003D6200">
              <w:rPr>
                <w:rStyle w:val="Hyperlink"/>
                <w:bCs/>
                <w:noProof/>
                <w:lang w:val="en-GB"/>
              </w:rPr>
              <w:t>Turkey’s national diamond</w:t>
            </w:r>
            <w:r w:rsidR="00791F84">
              <w:rPr>
                <w:noProof/>
                <w:webHidden/>
              </w:rPr>
              <w:tab/>
            </w:r>
            <w:r w:rsidR="00791F84">
              <w:rPr>
                <w:noProof/>
                <w:webHidden/>
              </w:rPr>
              <w:fldChar w:fldCharType="begin"/>
            </w:r>
            <w:r w:rsidR="00791F84">
              <w:rPr>
                <w:noProof/>
                <w:webHidden/>
              </w:rPr>
              <w:instrText xml:space="preserve"> PAGEREF _Toc133940678 \h </w:instrText>
            </w:r>
            <w:r w:rsidR="00791F84">
              <w:rPr>
                <w:noProof/>
                <w:webHidden/>
              </w:rPr>
            </w:r>
            <w:r w:rsidR="00791F84">
              <w:rPr>
                <w:noProof/>
                <w:webHidden/>
              </w:rPr>
              <w:fldChar w:fldCharType="separate"/>
            </w:r>
            <w:r w:rsidR="00CA0E2C">
              <w:rPr>
                <w:noProof/>
                <w:webHidden/>
              </w:rPr>
              <w:t>14</w:t>
            </w:r>
            <w:r w:rsidR="00791F84">
              <w:rPr>
                <w:noProof/>
                <w:webHidden/>
              </w:rPr>
              <w:fldChar w:fldCharType="end"/>
            </w:r>
          </w:hyperlink>
        </w:p>
        <w:p w:rsidR="00791F84" w:rsidRDefault="00412AC5">
          <w:pPr>
            <w:pStyle w:val="TOC2"/>
            <w:tabs>
              <w:tab w:val="right" w:leader="dot" w:pos="8299"/>
            </w:tabs>
            <w:rPr>
              <w:rFonts w:asciiTheme="minorHAnsi" w:eastAsiaTheme="minorEastAsia" w:hAnsiTheme="minorHAnsi" w:cstheme="minorBidi"/>
              <w:noProof/>
              <w:lang w:val="en-US" w:eastAsia="en-US"/>
            </w:rPr>
          </w:pPr>
          <w:hyperlink w:anchor="_Toc133940679" w:history="1">
            <w:r w:rsidR="00791F84" w:rsidRPr="00234772">
              <w:rPr>
                <w:rStyle w:val="Hyperlink"/>
                <w:noProof/>
              </w:rPr>
              <w:t>Turkey’s business risks</w:t>
            </w:r>
            <w:r w:rsidR="00791F84">
              <w:rPr>
                <w:noProof/>
                <w:webHidden/>
              </w:rPr>
              <w:tab/>
            </w:r>
            <w:r w:rsidR="00791F84">
              <w:rPr>
                <w:noProof/>
                <w:webHidden/>
              </w:rPr>
              <w:fldChar w:fldCharType="begin"/>
            </w:r>
            <w:r w:rsidR="00791F84">
              <w:rPr>
                <w:noProof/>
                <w:webHidden/>
              </w:rPr>
              <w:instrText xml:space="preserve"> PAGEREF _Toc133940679 \h </w:instrText>
            </w:r>
            <w:r w:rsidR="00791F84">
              <w:rPr>
                <w:noProof/>
                <w:webHidden/>
              </w:rPr>
            </w:r>
            <w:r w:rsidR="00791F84">
              <w:rPr>
                <w:noProof/>
                <w:webHidden/>
              </w:rPr>
              <w:fldChar w:fldCharType="separate"/>
            </w:r>
            <w:r w:rsidR="00CA0E2C">
              <w:rPr>
                <w:noProof/>
                <w:webHidden/>
              </w:rPr>
              <w:t>15</w:t>
            </w:r>
            <w:r w:rsidR="00791F84">
              <w:rPr>
                <w:noProof/>
                <w:webHidden/>
              </w:rPr>
              <w:fldChar w:fldCharType="end"/>
            </w:r>
          </w:hyperlink>
        </w:p>
        <w:p w:rsidR="00791F84" w:rsidRDefault="00412AC5">
          <w:pPr>
            <w:pStyle w:val="TOC1"/>
            <w:tabs>
              <w:tab w:val="right" w:leader="dot" w:pos="8299"/>
            </w:tabs>
            <w:rPr>
              <w:rFonts w:asciiTheme="minorHAnsi" w:eastAsiaTheme="minorEastAsia" w:hAnsiTheme="minorHAnsi" w:cstheme="minorBidi"/>
              <w:noProof/>
              <w:lang w:val="en-US" w:eastAsia="en-US"/>
            </w:rPr>
          </w:pPr>
          <w:hyperlink w:anchor="_Toc133940680" w:history="1">
            <w:r w:rsidR="00791F84" w:rsidRPr="00234772">
              <w:rPr>
                <w:rStyle w:val="Hyperlink"/>
                <w:noProof/>
              </w:rPr>
              <w:t>Internal Analysis</w:t>
            </w:r>
            <w:r w:rsidR="00791F84">
              <w:rPr>
                <w:noProof/>
                <w:webHidden/>
              </w:rPr>
              <w:tab/>
            </w:r>
            <w:r w:rsidR="00791F84">
              <w:rPr>
                <w:noProof/>
                <w:webHidden/>
              </w:rPr>
              <w:fldChar w:fldCharType="begin"/>
            </w:r>
            <w:r w:rsidR="00791F84">
              <w:rPr>
                <w:noProof/>
                <w:webHidden/>
              </w:rPr>
              <w:instrText xml:space="preserve"> PAGEREF _Toc133940680 \h </w:instrText>
            </w:r>
            <w:r w:rsidR="00791F84">
              <w:rPr>
                <w:noProof/>
                <w:webHidden/>
              </w:rPr>
            </w:r>
            <w:r w:rsidR="00791F84">
              <w:rPr>
                <w:noProof/>
                <w:webHidden/>
              </w:rPr>
              <w:fldChar w:fldCharType="separate"/>
            </w:r>
            <w:r w:rsidR="00CA0E2C">
              <w:rPr>
                <w:noProof/>
                <w:webHidden/>
              </w:rPr>
              <w:t>16</w:t>
            </w:r>
            <w:r w:rsidR="00791F84">
              <w:rPr>
                <w:noProof/>
                <w:webHidden/>
              </w:rPr>
              <w:fldChar w:fldCharType="end"/>
            </w:r>
          </w:hyperlink>
        </w:p>
        <w:p w:rsidR="00791F84" w:rsidRDefault="00412AC5">
          <w:pPr>
            <w:pStyle w:val="TOC2"/>
            <w:tabs>
              <w:tab w:val="right" w:leader="dot" w:pos="8299"/>
            </w:tabs>
            <w:rPr>
              <w:rFonts w:asciiTheme="minorHAnsi" w:eastAsiaTheme="minorEastAsia" w:hAnsiTheme="minorHAnsi" w:cstheme="minorBidi"/>
              <w:noProof/>
              <w:lang w:val="en-US" w:eastAsia="en-US"/>
            </w:rPr>
          </w:pPr>
          <w:hyperlink w:anchor="_Toc133940681" w:history="1">
            <w:r w:rsidR="00791F84" w:rsidRPr="00234772">
              <w:rPr>
                <w:rStyle w:val="Hyperlink"/>
                <w:noProof/>
              </w:rPr>
              <w:t>Value chain analysis</w:t>
            </w:r>
            <w:r w:rsidR="00791F84">
              <w:rPr>
                <w:noProof/>
                <w:webHidden/>
              </w:rPr>
              <w:tab/>
            </w:r>
            <w:r w:rsidR="00791F84">
              <w:rPr>
                <w:noProof/>
                <w:webHidden/>
              </w:rPr>
              <w:fldChar w:fldCharType="begin"/>
            </w:r>
            <w:r w:rsidR="00791F84">
              <w:rPr>
                <w:noProof/>
                <w:webHidden/>
              </w:rPr>
              <w:instrText xml:space="preserve"> PAGEREF _Toc133940681 \h </w:instrText>
            </w:r>
            <w:r w:rsidR="00791F84">
              <w:rPr>
                <w:noProof/>
                <w:webHidden/>
              </w:rPr>
            </w:r>
            <w:r w:rsidR="00791F84">
              <w:rPr>
                <w:noProof/>
                <w:webHidden/>
              </w:rPr>
              <w:fldChar w:fldCharType="separate"/>
            </w:r>
            <w:r w:rsidR="00CA0E2C">
              <w:rPr>
                <w:noProof/>
                <w:webHidden/>
              </w:rPr>
              <w:t>16</w:t>
            </w:r>
            <w:r w:rsidR="00791F84">
              <w:rPr>
                <w:noProof/>
                <w:webHidden/>
              </w:rPr>
              <w:fldChar w:fldCharType="end"/>
            </w:r>
          </w:hyperlink>
        </w:p>
        <w:p w:rsidR="00791F84" w:rsidRDefault="00412AC5">
          <w:pPr>
            <w:pStyle w:val="TOC2"/>
            <w:tabs>
              <w:tab w:val="right" w:leader="dot" w:pos="8299"/>
            </w:tabs>
            <w:rPr>
              <w:rFonts w:asciiTheme="minorHAnsi" w:eastAsiaTheme="minorEastAsia" w:hAnsiTheme="minorHAnsi" w:cstheme="minorBidi"/>
              <w:noProof/>
              <w:lang w:val="en-US" w:eastAsia="en-US"/>
            </w:rPr>
          </w:pPr>
          <w:hyperlink w:anchor="_Toc133940682" w:history="1">
            <w:r w:rsidR="00791F84" w:rsidRPr="00234772">
              <w:rPr>
                <w:rStyle w:val="Hyperlink"/>
                <w:noProof/>
              </w:rPr>
              <w:t>Marketing strategies</w:t>
            </w:r>
            <w:r w:rsidR="00791F84">
              <w:rPr>
                <w:noProof/>
                <w:webHidden/>
              </w:rPr>
              <w:tab/>
            </w:r>
            <w:r w:rsidR="00791F84">
              <w:rPr>
                <w:noProof/>
                <w:webHidden/>
              </w:rPr>
              <w:fldChar w:fldCharType="begin"/>
            </w:r>
            <w:r w:rsidR="00791F84">
              <w:rPr>
                <w:noProof/>
                <w:webHidden/>
              </w:rPr>
              <w:instrText xml:space="preserve"> PAGEREF _Toc133940682 \h </w:instrText>
            </w:r>
            <w:r w:rsidR="00791F84">
              <w:rPr>
                <w:noProof/>
                <w:webHidden/>
              </w:rPr>
            </w:r>
            <w:r w:rsidR="00791F84">
              <w:rPr>
                <w:noProof/>
                <w:webHidden/>
              </w:rPr>
              <w:fldChar w:fldCharType="separate"/>
            </w:r>
            <w:r w:rsidR="00CA0E2C">
              <w:rPr>
                <w:noProof/>
                <w:webHidden/>
              </w:rPr>
              <w:t>19</w:t>
            </w:r>
            <w:r w:rsidR="00791F84">
              <w:rPr>
                <w:noProof/>
                <w:webHidden/>
              </w:rPr>
              <w:fldChar w:fldCharType="end"/>
            </w:r>
          </w:hyperlink>
        </w:p>
        <w:p w:rsidR="00791F84" w:rsidRDefault="00412AC5">
          <w:pPr>
            <w:pStyle w:val="TOC2"/>
            <w:tabs>
              <w:tab w:val="right" w:leader="dot" w:pos="8299"/>
            </w:tabs>
            <w:rPr>
              <w:rFonts w:asciiTheme="minorHAnsi" w:eastAsiaTheme="minorEastAsia" w:hAnsiTheme="minorHAnsi" w:cstheme="minorBidi"/>
              <w:noProof/>
              <w:lang w:val="en-US" w:eastAsia="en-US"/>
            </w:rPr>
          </w:pPr>
          <w:hyperlink w:anchor="_Toc133940683" w:history="1">
            <w:r w:rsidR="00791F84" w:rsidRPr="00234772">
              <w:rPr>
                <w:rStyle w:val="Hyperlink"/>
                <w:noProof/>
              </w:rPr>
              <w:t>HRM policies</w:t>
            </w:r>
            <w:r w:rsidR="00791F84">
              <w:rPr>
                <w:noProof/>
                <w:webHidden/>
              </w:rPr>
              <w:tab/>
            </w:r>
            <w:r w:rsidR="00791F84">
              <w:rPr>
                <w:noProof/>
                <w:webHidden/>
              </w:rPr>
              <w:fldChar w:fldCharType="begin"/>
            </w:r>
            <w:r w:rsidR="00791F84">
              <w:rPr>
                <w:noProof/>
                <w:webHidden/>
              </w:rPr>
              <w:instrText xml:space="preserve"> PAGEREF _Toc133940683 \h </w:instrText>
            </w:r>
            <w:r w:rsidR="00791F84">
              <w:rPr>
                <w:noProof/>
                <w:webHidden/>
              </w:rPr>
            </w:r>
            <w:r w:rsidR="00791F84">
              <w:rPr>
                <w:noProof/>
                <w:webHidden/>
              </w:rPr>
              <w:fldChar w:fldCharType="separate"/>
            </w:r>
            <w:r w:rsidR="00CA0E2C">
              <w:rPr>
                <w:noProof/>
                <w:webHidden/>
              </w:rPr>
              <w:t>20</w:t>
            </w:r>
            <w:r w:rsidR="00791F84">
              <w:rPr>
                <w:noProof/>
                <w:webHidden/>
              </w:rPr>
              <w:fldChar w:fldCharType="end"/>
            </w:r>
          </w:hyperlink>
        </w:p>
        <w:p w:rsidR="00791F84" w:rsidRDefault="00412AC5">
          <w:pPr>
            <w:pStyle w:val="TOC2"/>
            <w:tabs>
              <w:tab w:val="right" w:leader="dot" w:pos="8299"/>
            </w:tabs>
            <w:rPr>
              <w:rFonts w:asciiTheme="minorHAnsi" w:eastAsiaTheme="minorEastAsia" w:hAnsiTheme="minorHAnsi" w:cstheme="minorBidi"/>
              <w:noProof/>
              <w:lang w:val="en-US" w:eastAsia="en-US"/>
            </w:rPr>
          </w:pPr>
          <w:hyperlink w:anchor="_Toc133940684" w:history="1">
            <w:r w:rsidR="00791F84" w:rsidRPr="00234772">
              <w:rPr>
                <w:rStyle w:val="Hyperlink"/>
                <w:noProof/>
              </w:rPr>
              <w:t>SWOT Analysis</w:t>
            </w:r>
            <w:r w:rsidR="00791F84">
              <w:rPr>
                <w:noProof/>
                <w:webHidden/>
              </w:rPr>
              <w:tab/>
            </w:r>
            <w:r w:rsidR="00791F84">
              <w:rPr>
                <w:noProof/>
                <w:webHidden/>
              </w:rPr>
              <w:fldChar w:fldCharType="begin"/>
            </w:r>
            <w:r w:rsidR="00791F84">
              <w:rPr>
                <w:noProof/>
                <w:webHidden/>
              </w:rPr>
              <w:instrText xml:space="preserve"> PAGEREF _Toc133940684 \h </w:instrText>
            </w:r>
            <w:r w:rsidR="00791F84">
              <w:rPr>
                <w:noProof/>
                <w:webHidden/>
              </w:rPr>
            </w:r>
            <w:r w:rsidR="00791F84">
              <w:rPr>
                <w:noProof/>
                <w:webHidden/>
              </w:rPr>
              <w:fldChar w:fldCharType="separate"/>
            </w:r>
            <w:r w:rsidR="00CA0E2C">
              <w:rPr>
                <w:noProof/>
                <w:webHidden/>
              </w:rPr>
              <w:t>22</w:t>
            </w:r>
            <w:r w:rsidR="00791F84">
              <w:rPr>
                <w:noProof/>
                <w:webHidden/>
              </w:rPr>
              <w:fldChar w:fldCharType="end"/>
            </w:r>
          </w:hyperlink>
        </w:p>
        <w:p w:rsidR="00791F84" w:rsidRDefault="00412AC5">
          <w:pPr>
            <w:pStyle w:val="TOC1"/>
            <w:tabs>
              <w:tab w:val="right" w:leader="dot" w:pos="8299"/>
            </w:tabs>
            <w:rPr>
              <w:rFonts w:asciiTheme="minorHAnsi" w:eastAsiaTheme="minorEastAsia" w:hAnsiTheme="minorHAnsi" w:cstheme="minorBidi"/>
              <w:noProof/>
              <w:lang w:val="en-US" w:eastAsia="en-US"/>
            </w:rPr>
          </w:pPr>
          <w:hyperlink w:anchor="_Toc133940685" w:history="1">
            <w:r w:rsidR="00791F84" w:rsidRPr="00234772">
              <w:rPr>
                <w:rStyle w:val="Hyperlink"/>
                <w:noProof/>
              </w:rPr>
              <w:t>Suggested entry modes to the organisation</w:t>
            </w:r>
            <w:r w:rsidR="00791F84">
              <w:rPr>
                <w:noProof/>
                <w:webHidden/>
              </w:rPr>
              <w:tab/>
            </w:r>
            <w:r w:rsidR="00791F84">
              <w:rPr>
                <w:noProof/>
                <w:webHidden/>
              </w:rPr>
              <w:fldChar w:fldCharType="begin"/>
            </w:r>
            <w:r w:rsidR="00791F84">
              <w:rPr>
                <w:noProof/>
                <w:webHidden/>
              </w:rPr>
              <w:instrText xml:space="preserve"> PAGEREF _Toc133940685 \h </w:instrText>
            </w:r>
            <w:r w:rsidR="00791F84">
              <w:rPr>
                <w:noProof/>
                <w:webHidden/>
              </w:rPr>
            </w:r>
            <w:r w:rsidR="00791F84">
              <w:rPr>
                <w:noProof/>
                <w:webHidden/>
              </w:rPr>
              <w:fldChar w:fldCharType="separate"/>
            </w:r>
            <w:r w:rsidR="00CA0E2C">
              <w:rPr>
                <w:noProof/>
                <w:webHidden/>
              </w:rPr>
              <w:t>24</w:t>
            </w:r>
            <w:r w:rsidR="00791F84">
              <w:rPr>
                <w:noProof/>
                <w:webHidden/>
              </w:rPr>
              <w:fldChar w:fldCharType="end"/>
            </w:r>
          </w:hyperlink>
        </w:p>
        <w:p w:rsidR="00791F84" w:rsidRDefault="00412AC5">
          <w:pPr>
            <w:pStyle w:val="TOC1"/>
            <w:tabs>
              <w:tab w:val="right" w:leader="dot" w:pos="8299"/>
            </w:tabs>
            <w:rPr>
              <w:rFonts w:asciiTheme="minorHAnsi" w:eastAsiaTheme="minorEastAsia" w:hAnsiTheme="minorHAnsi" w:cstheme="minorBidi"/>
              <w:noProof/>
              <w:lang w:val="en-US" w:eastAsia="en-US"/>
            </w:rPr>
          </w:pPr>
          <w:hyperlink w:anchor="_Toc133940686" w:history="1">
            <w:r w:rsidR="00791F84" w:rsidRPr="00234772">
              <w:rPr>
                <w:rStyle w:val="Hyperlink"/>
                <w:noProof/>
              </w:rPr>
              <w:t>Corporate Social Responsibility</w:t>
            </w:r>
            <w:r w:rsidR="00791F84">
              <w:rPr>
                <w:noProof/>
                <w:webHidden/>
              </w:rPr>
              <w:tab/>
            </w:r>
            <w:r w:rsidR="00791F84">
              <w:rPr>
                <w:noProof/>
                <w:webHidden/>
              </w:rPr>
              <w:fldChar w:fldCharType="begin"/>
            </w:r>
            <w:r w:rsidR="00791F84">
              <w:rPr>
                <w:noProof/>
                <w:webHidden/>
              </w:rPr>
              <w:instrText xml:space="preserve"> PAGEREF _Toc133940686 \h </w:instrText>
            </w:r>
            <w:r w:rsidR="00791F84">
              <w:rPr>
                <w:noProof/>
                <w:webHidden/>
              </w:rPr>
            </w:r>
            <w:r w:rsidR="00791F84">
              <w:rPr>
                <w:noProof/>
                <w:webHidden/>
              </w:rPr>
              <w:fldChar w:fldCharType="separate"/>
            </w:r>
            <w:r w:rsidR="00CA0E2C">
              <w:rPr>
                <w:noProof/>
                <w:webHidden/>
              </w:rPr>
              <w:t>26</w:t>
            </w:r>
            <w:r w:rsidR="00791F84">
              <w:rPr>
                <w:noProof/>
                <w:webHidden/>
              </w:rPr>
              <w:fldChar w:fldCharType="end"/>
            </w:r>
          </w:hyperlink>
        </w:p>
        <w:p w:rsidR="00791F84" w:rsidRDefault="00412AC5">
          <w:pPr>
            <w:pStyle w:val="TOC1"/>
            <w:tabs>
              <w:tab w:val="right" w:leader="dot" w:pos="8299"/>
            </w:tabs>
            <w:rPr>
              <w:rFonts w:asciiTheme="minorHAnsi" w:eastAsiaTheme="minorEastAsia" w:hAnsiTheme="minorHAnsi" w:cstheme="minorBidi"/>
              <w:noProof/>
              <w:lang w:val="en-US" w:eastAsia="en-US"/>
            </w:rPr>
          </w:pPr>
          <w:hyperlink w:anchor="_Toc133940687" w:history="1">
            <w:r w:rsidR="00791F84" w:rsidRPr="00234772">
              <w:rPr>
                <w:rStyle w:val="Hyperlink"/>
                <w:noProof/>
              </w:rPr>
              <w:t>Conclusion</w:t>
            </w:r>
            <w:r w:rsidR="00791F84">
              <w:rPr>
                <w:noProof/>
                <w:webHidden/>
              </w:rPr>
              <w:tab/>
            </w:r>
            <w:r w:rsidR="00791F84">
              <w:rPr>
                <w:noProof/>
                <w:webHidden/>
              </w:rPr>
              <w:fldChar w:fldCharType="begin"/>
            </w:r>
            <w:r w:rsidR="00791F84">
              <w:rPr>
                <w:noProof/>
                <w:webHidden/>
              </w:rPr>
              <w:instrText xml:space="preserve"> PAGEREF _Toc133940687 \h </w:instrText>
            </w:r>
            <w:r w:rsidR="00791F84">
              <w:rPr>
                <w:noProof/>
                <w:webHidden/>
              </w:rPr>
            </w:r>
            <w:r w:rsidR="00791F84">
              <w:rPr>
                <w:noProof/>
                <w:webHidden/>
              </w:rPr>
              <w:fldChar w:fldCharType="separate"/>
            </w:r>
            <w:r w:rsidR="00CA0E2C">
              <w:rPr>
                <w:noProof/>
                <w:webHidden/>
              </w:rPr>
              <w:t>26</w:t>
            </w:r>
            <w:r w:rsidR="00791F84">
              <w:rPr>
                <w:noProof/>
                <w:webHidden/>
              </w:rPr>
              <w:fldChar w:fldCharType="end"/>
            </w:r>
          </w:hyperlink>
        </w:p>
        <w:p w:rsidR="00791F84" w:rsidRDefault="00412AC5">
          <w:pPr>
            <w:pStyle w:val="TOC1"/>
            <w:tabs>
              <w:tab w:val="right" w:leader="dot" w:pos="8299"/>
            </w:tabs>
            <w:rPr>
              <w:rFonts w:asciiTheme="minorHAnsi" w:eastAsiaTheme="minorEastAsia" w:hAnsiTheme="minorHAnsi" w:cstheme="minorBidi"/>
              <w:noProof/>
              <w:lang w:val="en-US" w:eastAsia="en-US"/>
            </w:rPr>
          </w:pPr>
          <w:hyperlink w:anchor="_Toc133940688" w:history="1">
            <w:r w:rsidR="00791F84" w:rsidRPr="00234772">
              <w:rPr>
                <w:rStyle w:val="Hyperlink"/>
                <w:noProof/>
              </w:rPr>
              <w:t>References</w:t>
            </w:r>
            <w:r w:rsidR="00791F84">
              <w:rPr>
                <w:noProof/>
                <w:webHidden/>
              </w:rPr>
              <w:tab/>
            </w:r>
            <w:r w:rsidR="00791F84">
              <w:rPr>
                <w:noProof/>
                <w:webHidden/>
              </w:rPr>
              <w:fldChar w:fldCharType="begin"/>
            </w:r>
            <w:r w:rsidR="00791F84">
              <w:rPr>
                <w:noProof/>
                <w:webHidden/>
              </w:rPr>
              <w:instrText xml:space="preserve"> PAGEREF _Toc133940688 \h </w:instrText>
            </w:r>
            <w:r w:rsidR="00791F84">
              <w:rPr>
                <w:noProof/>
                <w:webHidden/>
              </w:rPr>
            </w:r>
            <w:r w:rsidR="00791F84">
              <w:rPr>
                <w:noProof/>
                <w:webHidden/>
              </w:rPr>
              <w:fldChar w:fldCharType="separate"/>
            </w:r>
            <w:r w:rsidR="00CA0E2C">
              <w:rPr>
                <w:noProof/>
                <w:webHidden/>
              </w:rPr>
              <w:t>27</w:t>
            </w:r>
            <w:r w:rsidR="00791F84">
              <w:rPr>
                <w:noProof/>
                <w:webHidden/>
              </w:rPr>
              <w:fldChar w:fldCharType="end"/>
            </w:r>
          </w:hyperlink>
        </w:p>
        <w:p w:rsidR="00791F84" w:rsidRDefault="00412AC5">
          <w:pPr>
            <w:pStyle w:val="TOC1"/>
            <w:tabs>
              <w:tab w:val="right" w:leader="dot" w:pos="8299"/>
            </w:tabs>
            <w:rPr>
              <w:rFonts w:asciiTheme="minorHAnsi" w:eastAsiaTheme="minorEastAsia" w:hAnsiTheme="minorHAnsi" w:cstheme="minorBidi"/>
              <w:noProof/>
              <w:lang w:val="en-US" w:eastAsia="en-US"/>
            </w:rPr>
          </w:pPr>
          <w:hyperlink w:anchor="_Toc133940689" w:history="1">
            <w:r w:rsidR="00791F84" w:rsidRPr="00234772">
              <w:rPr>
                <w:rStyle w:val="Hyperlink"/>
                <w:noProof/>
              </w:rPr>
              <w:t>Appendix 1: Comparative Pestle Analysis</w:t>
            </w:r>
            <w:r w:rsidR="00791F84">
              <w:rPr>
                <w:noProof/>
                <w:webHidden/>
              </w:rPr>
              <w:tab/>
            </w:r>
            <w:r w:rsidR="00791F84">
              <w:rPr>
                <w:noProof/>
                <w:webHidden/>
              </w:rPr>
              <w:fldChar w:fldCharType="begin"/>
            </w:r>
            <w:r w:rsidR="00791F84">
              <w:rPr>
                <w:noProof/>
                <w:webHidden/>
              </w:rPr>
              <w:instrText xml:space="preserve"> PAGEREF _Toc133940689 \h </w:instrText>
            </w:r>
            <w:r w:rsidR="00791F84">
              <w:rPr>
                <w:noProof/>
                <w:webHidden/>
              </w:rPr>
            </w:r>
            <w:r w:rsidR="00791F84">
              <w:rPr>
                <w:noProof/>
                <w:webHidden/>
              </w:rPr>
              <w:fldChar w:fldCharType="separate"/>
            </w:r>
            <w:r w:rsidR="00CA0E2C">
              <w:rPr>
                <w:noProof/>
                <w:webHidden/>
              </w:rPr>
              <w:t>34</w:t>
            </w:r>
            <w:r w:rsidR="00791F84">
              <w:rPr>
                <w:noProof/>
                <w:webHidden/>
              </w:rPr>
              <w:fldChar w:fldCharType="end"/>
            </w:r>
          </w:hyperlink>
        </w:p>
        <w:p w:rsidR="00E05D4E" w:rsidRDefault="002D4108" w:rsidP="001042B8">
          <w:pPr>
            <w:spacing w:line="480" w:lineRule="auto"/>
          </w:pPr>
          <w:r>
            <w:rPr>
              <w:bCs/>
            </w:rPr>
            <w:fldChar w:fldCharType="end"/>
          </w:r>
        </w:p>
      </w:sdtContent>
    </w:sdt>
    <w:p w:rsidR="00E05D4E" w:rsidRDefault="002D4108" w:rsidP="001042B8">
      <w:pPr>
        <w:spacing w:line="480" w:lineRule="auto"/>
        <w:jc w:val="center"/>
        <w:rPr>
          <w:rFonts w:eastAsia="Times New Roman"/>
          <w:b/>
        </w:rPr>
      </w:pPr>
      <w:r>
        <w:br w:type="page"/>
      </w:r>
    </w:p>
    <w:p w:rsidR="00100D95" w:rsidRDefault="00100D95" w:rsidP="001042B8">
      <w:pPr>
        <w:spacing w:line="480" w:lineRule="auto"/>
        <w:rPr>
          <w:rFonts w:eastAsia="Times New Roman"/>
        </w:rPr>
      </w:pPr>
    </w:p>
    <w:p w:rsidR="00E05D4E" w:rsidRDefault="002D4108" w:rsidP="001042B8">
      <w:pPr>
        <w:pStyle w:val="Heading1"/>
        <w:spacing w:line="480" w:lineRule="auto"/>
        <w:rPr>
          <w:b w:val="0"/>
          <w:sz w:val="22"/>
          <w:szCs w:val="22"/>
        </w:rPr>
      </w:pPr>
      <w:bookmarkStart w:id="0" w:name="_Toc133940661"/>
      <w:r>
        <w:rPr>
          <w:sz w:val="22"/>
          <w:szCs w:val="22"/>
        </w:rPr>
        <w:t>Introduction</w:t>
      </w:r>
      <w:bookmarkEnd w:id="0"/>
    </w:p>
    <w:p w:rsidR="00E05D4E" w:rsidRDefault="002D4108" w:rsidP="001042B8">
      <w:pPr>
        <w:spacing w:line="480" w:lineRule="auto"/>
        <w:rPr>
          <w:rFonts w:eastAsia="Times New Roman"/>
          <w:b/>
        </w:rPr>
      </w:pPr>
      <w:r>
        <w:rPr>
          <w:rFonts w:eastAsia="Times New Roman"/>
        </w:rPr>
        <w:t xml:space="preserve">A wide range of tactics and frameworks are needed to be incorporated in an organisation to manage its operation and performance. Through the accurate implementation of its resources, a firm has the ability to improve its working performance and help the human resources to reach their potential ability. Along with such, the examination of both the internal and external environment of the firm is of grave importance to allow the correct inspection of the related variables.  </w:t>
      </w:r>
    </w:p>
    <w:p w:rsidR="00E05D4E" w:rsidRDefault="002D4108" w:rsidP="001042B8">
      <w:pPr>
        <w:spacing w:line="480" w:lineRule="auto"/>
        <w:rPr>
          <w:rFonts w:eastAsia="Times New Roman"/>
        </w:rPr>
      </w:pPr>
      <w:r>
        <w:rPr>
          <w:rFonts w:eastAsia="Times New Roman"/>
        </w:rPr>
        <w:t>The report delves into the background of the company of Ted Baker. The brief history of the firm, along with the objective of the firm will be noted in the study. The various aspects of the organisations such as the operations management, the human resources and similar other divisions will be focused upon. The study would look into the internals and the external environment analysis for the organisation, as it would reflect to have a major impact during its expansion. Through the application of a c</w:t>
      </w:r>
      <w:r w:rsidR="006444A9">
        <w:rPr>
          <w:rFonts w:eastAsia="Times New Roman"/>
        </w:rPr>
        <w:t>omparative PESTLE analysis</w:t>
      </w:r>
      <w:r>
        <w:rPr>
          <w:rFonts w:eastAsia="Times New Roman"/>
        </w:rPr>
        <w:t xml:space="preserve">, Value chain assessment and other frameworks, the performance of Ted Baker would be inspected. Lastly, the method of entry into the foreign market, which would be feasible for the company’s expansion would be noted down in the study. </w:t>
      </w:r>
    </w:p>
    <w:p w:rsidR="00E05D4E" w:rsidRDefault="002D4108" w:rsidP="001042B8">
      <w:pPr>
        <w:pStyle w:val="Heading1"/>
        <w:spacing w:line="480" w:lineRule="auto"/>
        <w:rPr>
          <w:sz w:val="22"/>
          <w:szCs w:val="22"/>
        </w:rPr>
      </w:pPr>
      <w:bookmarkStart w:id="1" w:name="_Toc133940662"/>
      <w:r>
        <w:rPr>
          <w:sz w:val="22"/>
          <w:szCs w:val="22"/>
        </w:rPr>
        <w:t>Company’s background</w:t>
      </w:r>
      <w:bookmarkEnd w:id="1"/>
      <w:r>
        <w:rPr>
          <w:sz w:val="22"/>
          <w:szCs w:val="22"/>
        </w:rPr>
        <w:t xml:space="preserve"> </w:t>
      </w:r>
    </w:p>
    <w:p w:rsidR="00E05D4E" w:rsidRDefault="002D4108" w:rsidP="001042B8">
      <w:pPr>
        <w:spacing w:line="480" w:lineRule="auto"/>
        <w:rPr>
          <w:rFonts w:eastAsia="Times New Roman"/>
          <w:b/>
          <w:i/>
        </w:rPr>
      </w:pPr>
      <w:r>
        <w:rPr>
          <w:rFonts w:eastAsia="Times New Roman"/>
          <w:b/>
          <w:i/>
        </w:rPr>
        <w:t xml:space="preserve">History of the firm </w:t>
      </w:r>
    </w:p>
    <w:p w:rsidR="00E05D4E" w:rsidRDefault="002D4108" w:rsidP="001042B8">
      <w:pPr>
        <w:spacing w:line="480" w:lineRule="auto"/>
        <w:rPr>
          <w:rFonts w:eastAsia="Times New Roman"/>
        </w:rPr>
      </w:pPr>
      <w:r>
        <w:rPr>
          <w:rFonts w:eastAsia="Times New Roman"/>
        </w:rPr>
        <w:t>The organisation of Ted Baker has been regarded as a high-street clothing company established in the soil of the Uni</w:t>
      </w:r>
      <w:r w:rsidR="00C711F1">
        <w:rPr>
          <w:rFonts w:eastAsia="Times New Roman"/>
        </w:rPr>
        <w:t>ted Kingdom</w:t>
      </w:r>
      <w:r>
        <w:rPr>
          <w:rFonts w:eastAsia="Times New Roman"/>
        </w:rPr>
        <w:t>. Established in the year 1987 in Glasgow, Scotland, the company is a private organisation which comes under the fashion industry (Tedbaker</w:t>
      </w:r>
      <w:r w:rsidR="00C711F1">
        <w:rPr>
          <w:rFonts w:eastAsia="Times New Roman"/>
        </w:rPr>
        <w:t>plc,</w:t>
      </w:r>
      <w:r>
        <w:rPr>
          <w:rFonts w:eastAsia="Times New Roman"/>
        </w:rPr>
        <w:t xml:space="preserve"> 2023). </w:t>
      </w:r>
    </w:p>
    <w:p w:rsidR="00E05D4E" w:rsidRDefault="002D4108" w:rsidP="001042B8">
      <w:pPr>
        <w:spacing w:line="480" w:lineRule="auto"/>
        <w:rPr>
          <w:rFonts w:eastAsia="Times New Roman"/>
        </w:rPr>
      </w:pPr>
      <w:r>
        <w:rPr>
          <w:rFonts w:eastAsia="Times New Roman"/>
        </w:rPr>
        <w:lastRenderedPageBreak/>
        <w:t>The headquarters for the form is established in London, England and the founder has been recorded to be Ray Kelvin. At present, the CEO of Ted Baker is Rachel Osborne, and at the Interim chair, Hel</w:t>
      </w:r>
      <w:r w:rsidR="00C711F1">
        <w:rPr>
          <w:rFonts w:eastAsia="Times New Roman"/>
        </w:rPr>
        <w:t>ena Feltham governs (Tedbakerplc</w:t>
      </w:r>
      <w:r>
        <w:rPr>
          <w:rFonts w:eastAsia="Times New Roman"/>
        </w:rPr>
        <w:t xml:space="preserve">, 2023). </w:t>
      </w:r>
    </w:p>
    <w:p w:rsidR="00E05D4E" w:rsidRDefault="002D4108" w:rsidP="001042B8">
      <w:pPr>
        <w:spacing w:line="480" w:lineRule="auto"/>
        <w:rPr>
          <w:rFonts w:eastAsia="Times New Roman"/>
          <w:b/>
          <w:i/>
        </w:rPr>
      </w:pPr>
      <w:r>
        <w:rPr>
          <w:rFonts w:eastAsia="Times New Roman"/>
          <w:b/>
          <w:i/>
        </w:rPr>
        <w:t xml:space="preserve">Financial aspects of the company </w:t>
      </w:r>
    </w:p>
    <w:p w:rsidR="00E05D4E" w:rsidRPr="00DD73A9" w:rsidRDefault="002D4108" w:rsidP="001042B8">
      <w:pPr>
        <w:spacing w:line="480" w:lineRule="auto"/>
        <w:rPr>
          <w:rFonts w:eastAsia="Times New Roman"/>
        </w:rPr>
      </w:pPr>
      <w:r w:rsidRPr="00DD73A9">
        <w:rPr>
          <w:rFonts w:eastAsia="Times New Roman"/>
        </w:rPr>
        <w:t>The underlying gross margin of the firm has been seen to be 55.2% in the financial year of 2022, which had been about 54.1% in 2021 (</w:t>
      </w:r>
      <w:r w:rsidRPr="00DD73A9">
        <w:rPr>
          <w:lang w:val="en-GB"/>
        </w:rPr>
        <w:t>Annualreports, 2022</w:t>
      </w:r>
      <w:r w:rsidRPr="00DD73A9">
        <w:rPr>
          <w:rFonts w:eastAsia="Times New Roman"/>
        </w:rPr>
        <w:t>). The brand sales had been about 918 million GBP in the financial year of 2022 (</w:t>
      </w:r>
      <w:r w:rsidRPr="00DD73A9">
        <w:rPr>
          <w:lang w:val="en-GB"/>
        </w:rPr>
        <w:t>Annualreports, 2022</w:t>
      </w:r>
      <w:r w:rsidRPr="00DD73A9">
        <w:rPr>
          <w:rFonts w:eastAsia="Times New Roman"/>
        </w:rPr>
        <w:t>).</w:t>
      </w:r>
    </w:p>
    <w:p w:rsidR="00E05D4E" w:rsidRDefault="002D4108" w:rsidP="001042B8">
      <w:pPr>
        <w:spacing w:line="480" w:lineRule="auto"/>
        <w:jc w:val="center"/>
        <w:rPr>
          <w:rFonts w:eastAsia="Times New Roman"/>
        </w:rPr>
      </w:pPr>
      <w:r>
        <w:rPr>
          <w:noProof/>
          <w:lang w:val="en-US" w:eastAsia="en-US"/>
        </w:rPr>
        <w:drawing>
          <wp:inline distT="0" distB="0" distL="0" distR="0" wp14:anchorId="79E8C4D5" wp14:editId="71D40DBF">
            <wp:extent cx="2676525" cy="5029200"/>
            <wp:effectExtent l="76200" t="76200" r="142875" b="13335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a:picLocks noChangeAspect="1"/>
                    </pic:cNvPicPr>
                  </pic:nvPicPr>
                  <pic:blipFill>
                    <a:blip r:embed="rId11"/>
                    <a:stretch>
                      <a:fillRect/>
                    </a:stretch>
                  </pic:blipFill>
                  <pic:spPr>
                    <a:xfrm>
                      <a:off x="0" y="0"/>
                      <a:ext cx="2676525" cy="5029200"/>
                    </a:xfrm>
                    <a:prstGeom prst="rect">
                      <a:avLst/>
                    </a:prstGeom>
                    <a:ln w="38100" cap="sq">
                      <a:solidFill>
                        <a:srgbClr val="000000"/>
                      </a:solidFill>
                      <a:prstDash val="solid"/>
                      <a:miter lim="800000"/>
                      <a:headEnd/>
                      <a:tailEnd/>
                    </a:ln>
                    <a:effectLst>
                      <a:outerShdw blurRad="50800" dist="38100" dir="2700000" algn="tl" rotWithShape="0">
                        <a:srgbClr val="000000">
                          <a:alpha val="43000"/>
                        </a:srgbClr>
                      </a:outerShdw>
                    </a:effectLst>
                  </pic:spPr>
                </pic:pic>
              </a:graphicData>
            </a:graphic>
          </wp:inline>
        </w:drawing>
      </w:r>
    </w:p>
    <w:p w:rsidR="00E05D4E" w:rsidRPr="00DD73A9" w:rsidRDefault="002D4108" w:rsidP="001042B8">
      <w:pPr>
        <w:spacing w:line="480" w:lineRule="auto"/>
        <w:jc w:val="center"/>
        <w:rPr>
          <w:rFonts w:eastAsia="Times New Roman"/>
          <w:b/>
        </w:rPr>
      </w:pPr>
      <w:r w:rsidRPr="00DD73A9">
        <w:rPr>
          <w:rFonts w:eastAsia="Times New Roman"/>
          <w:b/>
        </w:rPr>
        <w:t>Figure 2: Financial aspects of Ted Baker</w:t>
      </w:r>
    </w:p>
    <w:p w:rsidR="00E05D4E" w:rsidRPr="00DD73A9" w:rsidRDefault="002D4108" w:rsidP="001042B8">
      <w:pPr>
        <w:spacing w:line="480" w:lineRule="auto"/>
        <w:jc w:val="center"/>
        <w:rPr>
          <w:rFonts w:eastAsia="Times New Roman"/>
        </w:rPr>
      </w:pPr>
      <w:r w:rsidRPr="00DD73A9">
        <w:rPr>
          <w:rFonts w:eastAsia="Times New Roman"/>
        </w:rPr>
        <w:t xml:space="preserve">(Source: </w:t>
      </w:r>
      <w:r w:rsidRPr="00DD73A9">
        <w:rPr>
          <w:lang w:val="en-GB"/>
        </w:rPr>
        <w:t>Annualreports, 2022</w:t>
      </w:r>
      <w:r w:rsidRPr="00DD73A9">
        <w:rPr>
          <w:rFonts w:eastAsia="Times New Roman"/>
        </w:rPr>
        <w:t>)</w:t>
      </w:r>
    </w:p>
    <w:p w:rsidR="00E05D4E" w:rsidRPr="00DD73A9" w:rsidRDefault="002D4108" w:rsidP="001042B8">
      <w:pPr>
        <w:spacing w:line="480" w:lineRule="auto"/>
        <w:rPr>
          <w:rFonts w:eastAsia="Times New Roman"/>
        </w:rPr>
      </w:pPr>
      <w:r w:rsidRPr="00DD73A9">
        <w:rPr>
          <w:rFonts w:eastAsia="Times New Roman"/>
        </w:rPr>
        <w:lastRenderedPageBreak/>
        <w:t xml:space="preserve">From figure 2, it can be noted that a rise had occurred once again in its revenue, where the company had attained about 428.2 million GBP. </w:t>
      </w:r>
    </w:p>
    <w:p w:rsidR="00E05D4E" w:rsidRDefault="002D4108" w:rsidP="001042B8">
      <w:pPr>
        <w:pStyle w:val="Heading1"/>
        <w:spacing w:line="480" w:lineRule="auto"/>
        <w:rPr>
          <w:sz w:val="22"/>
          <w:szCs w:val="22"/>
        </w:rPr>
      </w:pPr>
      <w:bookmarkStart w:id="2" w:name="_Toc133940663"/>
      <w:r>
        <w:rPr>
          <w:sz w:val="22"/>
          <w:szCs w:val="22"/>
        </w:rPr>
        <w:t>Company’s objective</w:t>
      </w:r>
      <w:bookmarkEnd w:id="2"/>
    </w:p>
    <w:p w:rsidR="00E05D4E" w:rsidRDefault="002D4108" w:rsidP="001042B8">
      <w:pPr>
        <w:spacing w:line="480" w:lineRule="auto"/>
        <w:rPr>
          <w:rFonts w:eastAsia="Times New Roman"/>
        </w:rPr>
      </w:pPr>
      <w:r>
        <w:rPr>
          <w:rFonts w:eastAsia="Times New Roman"/>
        </w:rPr>
        <w:t>The major objective scene for the organisation of Ted Baker is the presence of a fair walking ground and the inclusion of sustainability into its company culture. Ethical treatment of the employees along with protection of the planet by the utilisation of green resources has been deemed important for the o</w:t>
      </w:r>
      <w:r w:rsidR="00001FF9">
        <w:rPr>
          <w:rFonts w:eastAsia="Times New Roman"/>
        </w:rPr>
        <w:t>rganisation</w:t>
      </w:r>
      <w:r>
        <w:rPr>
          <w:rFonts w:eastAsia="Times New Roman"/>
        </w:rPr>
        <w:t>. The company's transparency allows the build-up of a trusted culture and is aimed to reduce its carbon footprint upon the Earth</w:t>
      </w:r>
      <w:r w:rsidR="00001FF9">
        <w:rPr>
          <w:rFonts w:eastAsia="Times New Roman"/>
        </w:rPr>
        <w:t xml:space="preserve"> (Tedbakerplc, 2023)</w:t>
      </w:r>
      <w:r>
        <w:rPr>
          <w:rFonts w:eastAsia="Times New Roman"/>
        </w:rPr>
        <w:t xml:space="preserve">. </w:t>
      </w:r>
    </w:p>
    <w:p w:rsidR="00E05D4E" w:rsidRDefault="002D4108" w:rsidP="001042B8">
      <w:pPr>
        <w:spacing w:line="480" w:lineRule="auto"/>
        <w:rPr>
          <w:rFonts w:eastAsia="Times New Roman"/>
        </w:rPr>
      </w:pPr>
      <w:r>
        <w:rPr>
          <w:rFonts w:eastAsia="Times New Roman"/>
        </w:rPr>
        <w:t>The company has the target to reach 100% net zero emissions within 2030, and turn its packaging into a cent percent reusable and recyclable o</w:t>
      </w:r>
      <w:r w:rsidR="00D30156">
        <w:rPr>
          <w:rFonts w:eastAsia="Times New Roman"/>
        </w:rPr>
        <w:t>ne, by 2025</w:t>
      </w:r>
      <w:r>
        <w:rPr>
          <w:rFonts w:eastAsia="Times New Roman"/>
        </w:rPr>
        <w:t>.The reduction in the volume of carbon emission throughout their operational management is to be reduced dramatically by the management of the supply chain. The company has been seen to invest in a non-profit organisation named as Carbon Disclosure Project</w:t>
      </w:r>
      <w:r w:rsidR="00CA0E2C">
        <w:rPr>
          <w:rFonts w:eastAsia="Times New Roman"/>
        </w:rPr>
        <w:t xml:space="preserve"> or the CDP</w:t>
      </w:r>
      <w:bookmarkStart w:id="3" w:name="_GoBack"/>
      <w:bookmarkEnd w:id="3"/>
      <w:r>
        <w:rPr>
          <w:rFonts w:eastAsia="Times New Roman"/>
        </w:rPr>
        <w:t xml:space="preserve">. With the help of such a project the organisation focus is upon the different areas which produce the maximum amount of carbon and reduce the same over there period of target. The company has also been in association with the British Retail Consortium (BRC) Climate Action Roadmap, which allows the firm to keep a track of the implemented strategies for reducing their carbon footprint </w:t>
      </w:r>
      <w:r w:rsidR="00001FF9">
        <w:rPr>
          <w:rFonts w:eastAsia="Times New Roman"/>
        </w:rPr>
        <w:t>(Tedbakerplc, 2023)</w:t>
      </w:r>
    </w:p>
    <w:p w:rsidR="00E05D4E" w:rsidRDefault="002D4108" w:rsidP="001042B8">
      <w:pPr>
        <w:pStyle w:val="Heading1"/>
        <w:spacing w:line="480" w:lineRule="auto"/>
        <w:rPr>
          <w:sz w:val="22"/>
          <w:szCs w:val="22"/>
        </w:rPr>
      </w:pPr>
      <w:bookmarkStart w:id="4" w:name="_Toc133940664"/>
      <w:r>
        <w:rPr>
          <w:sz w:val="22"/>
          <w:szCs w:val="22"/>
        </w:rPr>
        <w:t>Company's specifications</w:t>
      </w:r>
      <w:bookmarkEnd w:id="4"/>
      <w:r>
        <w:rPr>
          <w:sz w:val="22"/>
          <w:szCs w:val="22"/>
        </w:rPr>
        <w:t xml:space="preserve"> </w:t>
      </w:r>
    </w:p>
    <w:p w:rsidR="00E05D4E" w:rsidRDefault="002D4108" w:rsidP="001042B8">
      <w:pPr>
        <w:pStyle w:val="Heading2"/>
        <w:spacing w:line="480" w:lineRule="auto"/>
        <w:rPr>
          <w:b w:val="0"/>
          <w:sz w:val="22"/>
          <w:szCs w:val="22"/>
        </w:rPr>
      </w:pPr>
      <w:bookmarkStart w:id="5" w:name="_Toc133940665"/>
      <w:r>
        <w:rPr>
          <w:sz w:val="22"/>
          <w:szCs w:val="22"/>
        </w:rPr>
        <w:t>Home and host country of Ted Baker</w:t>
      </w:r>
      <w:bookmarkEnd w:id="5"/>
    </w:p>
    <w:p w:rsidR="006C6EF8" w:rsidRDefault="006C6EF8" w:rsidP="006C6EF8">
      <w:pPr>
        <w:spacing w:line="480" w:lineRule="auto"/>
        <w:rPr>
          <w:rFonts w:eastAsia="Times New Roman"/>
          <w:b/>
          <w:i/>
          <w:color w:val="1F497D" w:themeColor="text2"/>
        </w:rPr>
      </w:pPr>
      <w:r w:rsidRPr="001042B8">
        <w:rPr>
          <w:rFonts w:eastAsia="Times New Roman"/>
          <w:b/>
          <w:i/>
          <w:color w:val="1F497D" w:themeColor="text2"/>
        </w:rPr>
        <w:t>Home country</w:t>
      </w:r>
    </w:p>
    <w:p w:rsidR="006C6EF8" w:rsidRDefault="002D4108" w:rsidP="001042B8">
      <w:pPr>
        <w:spacing w:line="480" w:lineRule="auto"/>
        <w:rPr>
          <w:rFonts w:eastAsia="Times New Roman"/>
          <w:color w:val="1F497D" w:themeColor="text2"/>
        </w:rPr>
      </w:pPr>
      <w:r>
        <w:rPr>
          <w:rFonts w:eastAsia="Times New Roman"/>
        </w:rPr>
        <w:t xml:space="preserve">The home country of the organisation has been noted to be </w:t>
      </w:r>
      <w:r w:rsidR="001042B8" w:rsidRPr="006444A9">
        <w:rPr>
          <w:rFonts w:eastAsia="Times New Roman"/>
          <w:color w:val="000000" w:themeColor="text1"/>
        </w:rPr>
        <w:t>United Kingdom</w:t>
      </w:r>
      <w:r>
        <w:rPr>
          <w:rFonts w:eastAsia="Times New Roman"/>
        </w:rPr>
        <w:t xml:space="preserve">. However, the main operational area and headquarter of Ted Baker, is located in </w:t>
      </w:r>
      <w:r w:rsidR="00D30156">
        <w:rPr>
          <w:rFonts w:eastAsia="Times New Roman"/>
        </w:rPr>
        <w:lastRenderedPageBreak/>
        <w:t>London</w:t>
      </w:r>
      <w:r>
        <w:rPr>
          <w:rFonts w:eastAsia="Times New Roman"/>
        </w:rPr>
        <w:t>.</w:t>
      </w:r>
      <w:r w:rsidR="006C6EF8">
        <w:rPr>
          <w:rFonts w:eastAsia="Times New Roman"/>
        </w:rPr>
        <w:t xml:space="preserve"> </w:t>
      </w:r>
      <w:r w:rsidR="006C6EF8" w:rsidRPr="006444A9">
        <w:rPr>
          <w:rFonts w:eastAsia="Times New Roman"/>
          <w:color w:val="000000" w:themeColor="text1"/>
        </w:rPr>
        <w:t>In the home country of the UK, the organisation has been the fastest growing lifestyle brands in the UK, which had been established in Glas</w:t>
      </w:r>
      <w:r w:rsidR="00D30156">
        <w:rPr>
          <w:rFonts w:eastAsia="Times New Roman"/>
          <w:color w:val="000000" w:themeColor="text1"/>
        </w:rPr>
        <w:t>gow in 1987</w:t>
      </w:r>
      <w:r w:rsidR="006C6EF8" w:rsidRPr="006444A9">
        <w:rPr>
          <w:rFonts w:eastAsia="Times New Roman"/>
          <w:color w:val="000000" w:themeColor="text1"/>
        </w:rPr>
        <w:t xml:space="preserve">. Three new territorial license agreements had been signed by the organisation in 2006, and had expanded to the regions of Hong Kong, Singapore and Dubai. After 2007, the organisation has also spread into Taiwan and Bangkok, due to the extensive profit margin observed in the UK bases. There </w:t>
      </w:r>
      <w:r w:rsidR="00D30156" w:rsidRPr="006444A9">
        <w:rPr>
          <w:rFonts w:eastAsia="Times New Roman"/>
          <w:color w:val="000000" w:themeColor="text1"/>
        </w:rPr>
        <w:t>are</w:t>
      </w:r>
      <w:r w:rsidR="006C6EF8" w:rsidRPr="006444A9">
        <w:rPr>
          <w:rFonts w:eastAsia="Times New Roman"/>
          <w:color w:val="000000" w:themeColor="text1"/>
        </w:rPr>
        <w:t xml:space="preserve"> about 192 stores in the UK, and 98 in the whole of Europe</w:t>
      </w:r>
      <w:r w:rsidR="00D30156">
        <w:rPr>
          <w:rFonts w:eastAsia="Times New Roman"/>
          <w:color w:val="000000" w:themeColor="text1"/>
        </w:rPr>
        <w:t xml:space="preserve"> (Tedbakerplc</w:t>
      </w:r>
      <w:r w:rsidR="00AE3371" w:rsidRPr="006444A9">
        <w:rPr>
          <w:rFonts w:eastAsia="Times New Roman"/>
          <w:color w:val="000000" w:themeColor="text1"/>
        </w:rPr>
        <w:t>, 2023)</w:t>
      </w:r>
      <w:r w:rsidR="006C6EF8" w:rsidRPr="006444A9">
        <w:rPr>
          <w:rFonts w:eastAsia="Times New Roman"/>
          <w:color w:val="000000" w:themeColor="text1"/>
        </w:rPr>
        <w:t>.</w:t>
      </w:r>
      <w:r w:rsidR="006C6EF8" w:rsidRPr="00AE3371">
        <w:rPr>
          <w:rFonts w:eastAsia="Times New Roman"/>
          <w:color w:val="1F497D" w:themeColor="text2"/>
        </w:rPr>
        <w:t xml:space="preserve"> </w:t>
      </w:r>
    </w:p>
    <w:p w:rsidR="001042B8" w:rsidRDefault="001042B8" w:rsidP="001042B8">
      <w:pPr>
        <w:spacing w:line="480" w:lineRule="auto"/>
        <w:rPr>
          <w:rFonts w:eastAsia="Times New Roman"/>
          <w:b/>
          <w:i/>
          <w:color w:val="1F497D" w:themeColor="text2"/>
        </w:rPr>
      </w:pPr>
      <w:r>
        <w:rPr>
          <w:rFonts w:eastAsia="Times New Roman"/>
          <w:b/>
          <w:i/>
          <w:color w:val="1F497D" w:themeColor="text2"/>
        </w:rPr>
        <w:t>Host country</w:t>
      </w:r>
    </w:p>
    <w:p w:rsidR="00AE3371" w:rsidRPr="006444A9" w:rsidRDefault="00AE3371" w:rsidP="001042B8">
      <w:pPr>
        <w:spacing w:line="480" w:lineRule="auto"/>
        <w:rPr>
          <w:rFonts w:eastAsia="Times New Roman"/>
          <w:b/>
          <w:i/>
          <w:color w:val="000000" w:themeColor="text1"/>
        </w:rPr>
      </w:pPr>
      <w:r w:rsidRPr="006444A9">
        <w:rPr>
          <w:rFonts w:eastAsia="Times New Roman"/>
          <w:color w:val="000000" w:themeColor="text1"/>
        </w:rPr>
        <w:t xml:space="preserve">The host country of Turkey consists of an extensive target audience for Ted Baker where the fashion firms in the country provides the options for in-store shopping and deliveries. Understanding the political and the economic scenario would be of grave importance for Ted Baker to enter into the nation. Not only would it be useful for reaching out to the social strata, but also build a loyalty from the ends of the citizen. A rise in the GDP of Turkey to 58% </w:t>
      </w:r>
      <w:r w:rsidR="00E539B9" w:rsidRPr="006444A9">
        <w:rPr>
          <w:rFonts w:eastAsia="Times New Roman"/>
          <w:color w:val="000000" w:themeColor="text1"/>
        </w:rPr>
        <w:t>i</w:t>
      </w:r>
      <w:r w:rsidRPr="006444A9">
        <w:rPr>
          <w:rFonts w:eastAsia="Times New Roman"/>
          <w:color w:val="000000" w:themeColor="text1"/>
        </w:rPr>
        <w:t>n 2022, which was about 57.5% in 2021 shows the growing economy of the country</w:t>
      </w:r>
      <w:r w:rsidR="004875A3" w:rsidRPr="006444A9">
        <w:rPr>
          <w:rFonts w:eastAsia="Times New Roman"/>
          <w:color w:val="000000" w:themeColor="text1"/>
        </w:rPr>
        <w:t xml:space="preserve"> (</w:t>
      </w:r>
      <w:r w:rsidR="00332D99" w:rsidRPr="006444A9">
        <w:rPr>
          <w:rFonts w:eastAsia="Times New Roman"/>
          <w:bCs/>
          <w:color w:val="000000" w:themeColor="text1"/>
        </w:rPr>
        <w:t>Ceicdata, 2023</w:t>
      </w:r>
      <w:r w:rsidR="004875A3" w:rsidRPr="006444A9">
        <w:rPr>
          <w:rFonts w:eastAsia="Times New Roman"/>
          <w:color w:val="000000" w:themeColor="text1"/>
        </w:rPr>
        <w:t>)</w:t>
      </w:r>
      <w:r w:rsidRPr="006444A9">
        <w:rPr>
          <w:rFonts w:eastAsia="Times New Roman"/>
          <w:color w:val="000000" w:themeColor="text1"/>
        </w:rPr>
        <w:t>.</w:t>
      </w:r>
      <w:r w:rsidR="004875A3" w:rsidRPr="006444A9">
        <w:rPr>
          <w:rFonts w:eastAsia="Times New Roman"/>
          <w:color w:val="000000" w:themeColor="text1"/>
        </w:rPr>
        <w:t xml:space="preserve"> Such an aspect would be of importance for Ted Baker to enter into the country. </w:t>
      </w:r>
    </w:p>
    <w:p w:rsidR="00E05D4E" w:rsidRDefault="002D4108" w:rsidP="001042B8">
      <w:pPr>
        <w:pStyle w:val="Heading2"/>
        <w:spacing w:line="480" w:lineRule="auto"/>
        <w:rPr>
          <w:sz w:val="22"/>
          <w:szCs w:val="22"/>
        </w:rPr>
      </w:pPr>
      <w:bookmarkStart w:id="6" w:name="_Toc133940666"/>
      <w:r>
        <w:rPr>
          <w:sz w:val="22"/>
          <w:szCs w:val="22"/>
        </w:rPr>
        <w:t>Risks analysis</w:t>
      </w:r>
      <w:bookmarkEnd w:id="6"/>
      <w:r>
        <w:rPr>
          <w:sz w:val="22"/>
          <w:szCs w:val="22"/>
        </w:rPr>
        <w:t xml:space="preserve"> </w:t>
      </w:r>
    </w:p>
    <w:p w:rsidR="00E05D4E" w:rsidRDefault="002D4108" w:rsidP="001042B8">
      <w:pPr>
        <w:spacing w:line="480" w:lineRule="auto"/>
        <w:rPr>
          <w:rFonts w:eastAsia="Times New Roman"/>
        </w:rPr>
      </w:pPr>
      <w:r>
        <w:rPr>
          <w:rFonts w:eastAsia="Times New Roman"/>
        </w:rPr>
        <w:t>As per the point of view of Manhart, Summers and Blackhurst (2020), risk management is necessary to be maintained by the firms to improve their performance. The measurement of the risks and the hazards prove to heighten the organisational approach, and take into consideration the benefits obtained (</w:t>
      </w:r>
      <w:r w:rsidRPr="00DD73A9">
        <w:t>Hubbard, 2020</w:t>
      </w:r>
      <w:r w:rsidRPr="00DD73A9">
        <w:rPr>
          <w:rFonts w:eastAsia="Times New Roman"/>
        </w:rPr>
        <w:t>). For Ted Baker, the risk assessment is done through the implementatio</w:t>
      </w:r>
      <w:r>
        <w:rPr>
          <w:rFonts w:eastAsia="Times New Roman"/>
        </w:rPr>
        <w:t>n of the root cause analysis, which allows the examination of the variables causing the issue. As commented by Butt (2021), in such a method, the process of elimination is integrated for identifying the reducing risks significantly.</w:t>
      </w:r>
    </w:p>
    <w:p w:rsidR="00E05D4E" w:rsidRDefault="002D4108" w:rsidP="001042B8">
      <w:pPr>
        <w:pStyle w:val="Heading2"/>
        <w:spacing w:line="480" w:lineRule="auto"/>
        <w:rPr>
          <w:sz w:val="22"/>
          <w:szCs w:val="22"/>
        </w:rPr>
      </w:pPr>
      <w:bookmarkStart w:id="7" w:name="_Toc133940667"/>
      <w:r>
        <w:rPr>
          <w:sz w:val="22"/>
          <w:szCs w:val="22"/>
        </w:rPr>
        <w:lastRenderedPageBreak/>
        <w:t>Marketing approaches by the firm</w:t>
      </w:r>
      <w:bookmarkEnd w:id="7"/>
    </w:p>
    <w:p w:rsidR="00E05D4E" w:rsidRDefault="002D4108" w:rsidP="001042B8">
      <w:pPr>
        <w:spacing w:line="480" w:lineRule="auto"/>
        <w:rPr>
          <w:rFonts w:eastAsia="Times New Roman"/>
        </w:rPr>
      </w:pPr>
      <w:r>
        <w:rPr>
          <w:rFonts w:eastAsia="Times New Roman"/>
        </w:rPr>
        <w:t>The firm has seen to invest largely in online marketing platforms, such as their social media and web content. Hiring of social media influencers have allowed the organisation to obtain a large consumer base, which has caused the heightening of their net revenue (Rli.uk, 2023). The company has partnered with Authentic Brands Group to gain better momentum in case of expansion, for the organisation in future times (Rli.uk, 2023).</w:t>
      </w:r>
    </w:p>
    <w:p w:rsidR="00E05D4E" w:rsidRDefault="002D4108" w:rsidP="001042B8">
      <w:pPr>
        <w:pStyle w:val="Heading2"/>
        <w:spacing w:line="480" w:lineRule="auto"/>
        <w:rPr>
          <w:sz w:val="22"/>
          <w:szCs w:val="22"/>
        </w:rPr>
      </w:pPr>
      <w:bookmarkStart w:id="8" w:name="_Toc133940668"/>
      <w:r>
        <w:rPr>
          <w:sz w:val="22"/>
          <w:szCs w:val="22"/>
        </w:rPr>
        <w:t>Operations</w:t>
      </w:r>
      <w:bookmarkEnd w:id="8"/>
      <w:r>
        <w:rPr>
          <w:sz w:val="22"/>
          <w:szCs w:val="22"/>
        </w:rPr>
        <w:t xml:space="preserve"> </w:t>
      </w:r>
    </w:p>
    <w:p w:rsidR="00E05D4E" w:rsidRDefault="002D4108" w:rsidP="001042B8">
      <w:pPr>
        <w:spacing w:line="480" w:lineRule="auto"/>
        <w:rPr>
          <w:rFonts w:eastAsia="Times New Roman"/>
          <w:b/>
        </w:rPr>
      </w:pPr>
      <w:r>
        <w:rPr>
          <w:rFonts w:eastAsia="Times New Roman"/>
        </w:rPr>
        <w:t>During its establishment the organisation focused upon the contemporary shirts for men and the high quality of clothing allowed it to expand within the consumer base. The number of employees for the organisation in 2020 was noted to be about 3600 (Tedbaker.com, 2023). It has been noted that the organisation serves to be one of the fastest growing clothing brands in the UK and has been seen to offer a wide array of products (Tedbaker.com, 2023). At present, the company is focusing on menswear, women's wear, accessories, fragrances and superior quality watches.</w:t>
      </w:r>
    </w:p>
    <w:p w:rsidR="00E05D4E" w:rsidRDefault="002D4108" w:rsidP="001042B8">
      <w:pPr>
        <w:pStyle w:val="Heading2"/>
        <w:spacing w:line="480" w:lineRule="auto"/>
        <w:rPr>
          <w:sz w:val="22"/>
          <w:szCs w:val="22"/>
        </w:rPr>
      </w:pPr>
      <w:bookmarkStart w:id="9" w:name="_Toc133940669"/>
      <w:r>
        <w:rPr>
          <w:sz w:val="22"/>
          <w:szCs w:val="22"/>
        </w:rPr>
        <w:t>Human resources</w:t>
      </w:r>
      <w:bookmarkEnd w:id="9"/>
      <w:r>
        <w:rPr>
          <w:sz w:val="22"/>
          <w:szCs w:val="22"/>
        </w:rPr>
        <w:t xml:space="preserve"> </w:t>
      </w:r>
    </w:p>
    <w:p w:rsidR="00E05D4E" w:rsidRDefault="002D4108" w:rsidP="001042B8">
      <w:pPr>
        <w:spacing w:line="480" w:lineRule="auto"/>
        <w:rPr>
          <w:rFonts w:eastAsia="Times New Roman"/>
        </w:rPr>
      </w:pPr>
      <w:r>
        <w:rPr>
          <w:rFonts w:eastAsia="Times New Roman"/>
        </w:rPr>
        <w:t xml:space="preserve">The organisation is seen to have a positive working culture, which helps the employees to have a smooth communication with the management. Such an aspect proves to be important for handling the deadlines, and completing quality tasks within such time limits. Adhering to the ethical Code of Conduct allows the firm to decrease any occurrences of bullying and harassment, and helps in the provision of an unbiased working ground (Tedbaker.com, 2023). The Open Apparel Registry allows the heightening of the transparency of the human resources, which helps in keeping a track of the subcontracting units (Tedbaker.com, 2023). </w:t>
      </w:r>
    </w:p>
    <w:p w:rsidR="00E05D4E" w:rsidRDefault="002D4108" w:rsidP="001042B8">
      <w:pPr>
        <w:pStyle w:val="Heading1"/>
        <w:spacing w:line="480" w:lineRule="auto"/>
        <w:rPr>
          <w:sz w:val="22"/>
          <w:szCs w:val="22"/>
        </w:rPr>
      </w:pPr>
      <w:bookmarkStart w:id="10" w:name="_Toc133940670"/>
      <w:r>
        <w:rPr>
          <w:sz w:val="22"/>
          <w:szCs w:val="22"/>
        </w:rPr>
        <w:lastRenderedPageBreak/>
        <w:t>External analysis of Ted Baker</w:t>
      </w:r>
      <w:bookmarkEnd w:id="10"/>
    </w:p>
    <w:p w:rsidR="00E05D4E" w:rsidRDefault="002D4108" w:rsidP="001042B8">
      <w:pPr>
        <w:pStyle w:val="Heading2"/>
        <w:spacing w:line="480" w:lineRule="auto"/>
        <w:rPr>
          <w:sz w:val="22"/>
          <w:szCs w:val="22"/>
        </w:rPr>
      </w:pPr>
      <w:bookmarkStart w:id="11" w:name="_Toc133940671"/>
      <w:r>
        <w:rPr>
          <w:sz w:val="22"/>
          <w:szCs w:val="22"/>
        </w:rPr>
        <w:t>Comparative PESTLE of UK vs Turkey</w:t>
      </w:r>
      <w:bookmarkEnd w:id="11"/>
      <w:r>
        <w:rPr>
          <w:sz w:val="22"/>
          <w:szCs w:val="22"/>
        </w:rPr>
        <w:t xml:space="preserve"> </w:t>
      </w:r>
    </w:p>
    <w:p w:rsidR="00E05D4E" w:rsidRPr="00001FF9" w:rsidRDefault="001042B8" w:rsidP="001042B8">
      <w:pPr>
        <w:spacing w:line="480" w:lineRule="auto"/>
        <w:rPr>
          <w:rFonts w:eastAsia="Times New Roman"/>
          <w:b/>
          <w:i/>
          <w:color w:val="000000" w:themeColor="text1"/>
        </w:rPr>
      </w:pPr>
      <w:r w:rsidRPr="00001FF9">
        <w:rPr>
          <w:color w:val="000000" w:themeColor="text1"/>
        </w:rPr>
        <w:t>PESTLE is defined to be a tool for the examination of the external environment of a firm, which takes into consideration the Political, Economic, Social, Technological, Legal and Environmental factors</w:t>
      </w:r>
      <w:r w:rsidR="007E46C4" w:rsidRPr="00001FF9">
        <w:rPr>
          <w:color w:val="000000" w:themeColor="text1"/>
        </w:rPr>
        <w:t xml:space="preserve"> (AKMAN, 2020)</w:t>
      </w:r>
      <w:r w:rsidRPr="00001FF9">
        <w:rPr>
          <w:color w:val="000000" w:themeColor="text1"/>
        </w:rPr>
        <w:t xml:space="preserve">. </w:t>
      </w:r>
      <w:r w:rsidR="002D4108" w:rsidRPr="00001FF9">
        <w:rPr>
          <w:rFonts w:eastAsia="Times New Roman"/>
          <w:color w:val="000000" w:themeColor="text1"/>
        </w:rPr>
        <w:t>According to the opinions of Christodoulou and Cullinane (2019), the conduction of a comparative PESTLE analysis aids a firm to reflect upon the various differences which are found between two specific countries. In the case of Ted Baker, as seen in table 1, the comparative PESTLE analysis has been noted down for UK and Turkey, as the firm is to expand into the latter nation.</w:t>
      </w:r>
    </w:p>
    <w:p w:rsidR="00E05D4E" w:rsidRDefault="002D4108" w:rsidP="001042B8">
      <w:pPr>
        <w:widowControl w:val="0"/>
        <w:spacing w:line="480" w:lineRule="auto"/>
        <w:rPr>
          <w:rFonts w:eastAsia="Times New Roman"/>
          <w:b/>
          <w:i/>
        </w:rPr>
      </w:pPr>
      <w:r>
        <w:rPr>
          <w:rFonts w:eastAsia="Times New Roman"/>
          <w:b/>
          <w:i/>
        </w:rPr>
        <w:t>Political</w:t>
      </w:r>
    </w:p>
    <w:p w:rsidR="00E05D4E" w:rsidRDefault="002D4108" w:rsidP="001042B8">
      <w:pPr>
        <w:widowControl w:val="0"/>
        <w:spacing w:line="480" w:lineRule="auto"/>
        <w:rPr>
          <w:rFonts w:eastAsia="Times New Roman"/>
        </w:rPr>
      </w:pPr>
      <w:r>
        <w:rPr>
          <w:rFonts w:eastAsia="Times New Roman"/>
        </w:rPr>
        <w:t xml:space="preserve">As per the statements by Vallati and Grassi (2019), the political instability of the United Kingdom due to the occurrence of Brexit has caused a rise in poverty and unemployment within the population. On the other hand, according to the suggestions of AKMAN (2020), the political instability due to terrorist attacks in the Turkish region has been a major cause for the decline of employment for the workers. Therefore, the strategies taken by Ted Baker to enhance its operational grounds in the United Kingdom would be applicable upon the Turkish grounds. </w:t>
      </w:r>
    </w:p>
    <w:p w:rsidR="00E05D4E" w:rsidRDefault="002D4108" w:rsidP="001042B8">
      <w:pPr>
        <w:widowControl w:val="0"/>
        <w:spacing w:line="480" w:lineRule="auto"/>
        <w:rPr>
          <w:rFonts w:eastAsia="Times New Roman"/>
          <w:b/>
          <w:i/>
        </w:rPr>
      </w:pPr>
      <w:r>
        <w:rPr>
          <w:rFonts w:eastAsia="Times New Roman"/>
          <w:b/>
          <w:i/>
        </w:rPr>
        <w:t>Economic</w:t>
      </w:r>
    </w:p>
    <w:p w:rsidR="00E05D4E" w:rsidRDefault="002D4108" w:rsidP="001042B8">
      <w:pPr>
        <w:widowControl w:val="0"/>
        <w:spacing w:line="480" w:lineRule="auto"/>
        <w:rPr>
          <w:rFonts w:eastAsia="Times New Roman"/>
          <w:b/>
          <w:i/>
        </w:rPr>
      </w:pPr>
      <w:r>
        <w:rPr>
          <w:rFonts w:eastAsia="Times New Roman"/>
        </w:rPr>
        <w:t>The economic position of the United Kingdom compared to that of Turkey is significantly high and provides a larger opportunity for companies to grow. As viewed by YÖNTEN BALABAN and AKMAN (2020), improvement of strategies to adapt with the fluctuating economy is important for an organisation while its expansion. Hence, for Ted Baker, the economic position of Turkey would have a negative impact upon its proliferation, which with strategic dealings, can be recovered from.</w:t>
      </w:r>
    </w:p>
    <w:p w:rsidR="00E05D4E" w:rsidRDefault="002D4108" w:rsidP="001042B8">
      <w:pPr>
        <w:widowControl w:val="0"/>
        <w:spacing w:line="480" w:lineRule="auto"/>
        <w:rPr>
          <w:rFonts w:eastAsia="Times New Roman"/>
          <w:b/>
          <w:i/>
        </w:rPr>
      </w:pPr>
      <w:r>
        <w:rPr>
          <w:rFonts w:eastAsia="Times New Roman"/>
          <w:b/>
          <w:i/>
        </w:rPr>
        <w:t>Social</w:t>
      </w:r>
    </w:p>
    <w:p w:rsidR="00E05D4E" w:rsidRDefault="002D4108" w:rsidP="001042B8">
      <w:pPr>
        <w:widowControl w:val="0"/>
        <w:spacing w:line="480" w:lineRule="auto"/>
        <w:rPr>
          <w:rFonts w:eastAsia="Times New Roman"/>
        </w:rPr>
      </w:pPr>
      <w:r>
        <w:rPr>
          <w:rFonts w:eastAsia="Times New Roman"/>
        </w:rPr>
        <w:t xml:space="preserve">Both the United Kingdom and Turkey have a variety of cultural backgrounds which </w:t>
      </w:r>
      <w:r>
        <w:rPr>
          <w:rFonts w:eastAsia="Times New Roman"/>
        </w:rPr>
        <w:lastRenderedPageBreak/>
        <w:t>enables the companies to have a wide target audience. As thought by BALABAN and AKMAN (2019), companies have the ability to divert into different market mein sections which allows the input of revenue from different sectors. Therefore in the case of Ted Baker the company would not have to strategically explore different tactics to gain a larg</w:t>
      </w:r>
      <w:r w:rsidR="001042B8">
        <w:rPr>
          <w:rFonts w:eastAsia="Times New Roman"/>
        </w:rPr>
        <w:t>e target market as both the home</w:t>
      </w:r>
      <w:r>
        <w:rPr>
          <w:rFonts w:eastAsia="Times New Roman"/>
        </w:rPr>
        <w:t xml:space="preserve"> and the host country have similar social backgrounds</w:t>
      </w:r>
    </w:p>
    <w:p w:rsidR="00E05D4E" w:rsidRDefault="002D4108" w:rsidP="001042B8">
      <w:pPr>
        <w:widowControl w:val="0"/>
        <w:spacing w:line="480" w:lineRule="auto"/>
        <w:rPr>
          <w:rFonts w:eastAsia="Times New Roman"/>
          <w:b/>
          <w:i/>
        </w:rPr>
      </w:pPr>
      <w:r>
        <w:rPr>
          <w:rFonts w:eastAsia="Times New Roman"/>
          <w:b/>
          <w:i/>
        </w:rPr>
        <w:t xml:space="preserve">Technological </w:t>
      </w:r>
    </w:p>
    <w:p w:rsidR="00E05D4E" w:rsidRDefault="002D4108" w:rsidP="001042B8">
      <w:pPr>
        <w:widowControl w:val="0"/>
        <w:spacing w:line="480" w:lineRule="auto"/>
        <w:rPr>
          <w:rFonts w:eastAsia="Times New Roman"/>
          <w:b/>
          <w:i/>
        </w:rPr>
      </w:pPr>
      <w:r>
        <w:rPr>
          <w:rFonts w:eastAsia="Times New Roman"/>
        </w:rPr>
        <w:t>Due to the growing technology background in both the nations, Ted Baker does not have to apply strict strategies while proliferating into Turkey. Such a factor has been seen to have a positive impact upon the proliferation of the firm.</w:t>
      </w:r>
    </w:p>
    <w:p w:rsidR="00E05D4E" w:rsidRDefault="002D4108" w:rsidP="001042B8">
      <w:pPr>
        <w:widowControl w:val="0"/>
        <w:spacing w:line="480" w:lineRule="auto"/>
        <w:rPr>
          <w:rFonts w:eastAsia="Times New Roman"/>
          <w:b/>
          <w:i/>
        </w:rPr>
      </w:pPr>
      <w:r>
        <w:rPr>
          <w:rFonts w:eastAsia="Times New Roman"/>
          <w:b/>
          <w:i/>
        </w:rPr>
        <w:t>Legal</w:t>
      </w:r>
    </w:p>
    <w:p w:rsidR="00E05D4E" w:rsidRDefault="002D4108" w:rsidP="001042B8">
      <w:pPr>
        <w:widowControl w:val="0"/>
        <w:spacing w:line="480" w:lineRule="auto"/>
        <w:rPr>
          <w:rFonts w:eastAsia="Times New Roman"/>
        </w:rPr>
      </w:pPr>
      <w:r>
        <w:rPr>
          <w:rFonts w:eastAsia="Times New Roman"/>
        </w:rPr>
        <w:t>Legal notions in both the countries are similar in nature, as both the countries prohibit the discrimination of the workers. Hence, during proliferation, Ted Baker does not have to strictly alter their policies of employment.</w:t>
      </w:r>
    </w:p>
    <w:p w:rsidR="00E05D4E" w:rsidRDefault="002D4108" w:rsidP="001042B8">
      <w:pPr>
        <w:widowControl w:val="0"/>
        <w:spacing w:line="480" w:lineRule="auto"/>
        <w:rPr>
          <w:rFonts w:eastAsia="Times New Roman"/>
          <w:b/>
          <w:i/>
        </w:rPr>
      </w:pPr>
      <w:r>
        <w:rPr>
          <w:rFonts w:eastAsia="Times New Roman"/>
          <w:b/>
          <w:i/>
        </w:rPr>
        <w:t>Environmental</w:t>
      </w:r>
    </w:p>
    <w:p w:rsidR="00E05D4E" w:rsidRPr="00526B7E" w:rsidRDefault="002D4108" w:rsidP="001042B8">
      <w:pPr>
        <w:widowControl w:val="0"/>
        <w:spacing w:line="480" w:lineRule="auto"/>
        <w:rPr>
          <w:rFonts w:eastAsia="Times New Roman"/>
        </w:rPr>
      </w:pPr>
      <w:r w:rsidRPr="00526B7E">
        <w:rPr>
          <w:rFonts w:eastAsia="Times New Roman"/>
        </w:rPr>
        <w:t xml:space="preserve">There needs to be the inclusion of stringent rules in Ted Baker while traversing into Turkey for decreasing its carbon liberation. However, in UK, as the regulations are strict enough, and not in the foreign country, the company needs to strategically develop themselves through their CSR policies. </w:t>
      </w:r>
      <w:r w:rsidRPr="00526B7E">
        <w:rPr>
          <w:rFonts w:eastAsia="Times New Roman"/>
          <w:bCs/>
          <w:i/>
          <w:iCs/>
        </w:rPr>
        <w:t>[Referred to Appendix 1]</w:t>
      </w:r>
    </w:p>
    <w:p w:rsidR="00E05D4E" w:rsidRDefault="002D4108" w:rsidP="001042B8">
      <w:pPr>
        <w:pStyle w:val="Heading2"/>
        <w:spacing w:line="480" w:lineRule="auto"/>
        <w:rPr>
          <w:sz w:val="22"/>
          <w:szCs w:val="22"/>
          <w:lang w:val="en-GB"/>
        </w:rPr>
      </w:pPr>
      <w:bookmarkStart w:id="12" w:name="_Toc129520553"/>
      <w:bookmarkStart w:id="13" w:name="_Toc133940672"/>
      <w:r>
        <w:rPr>
          <w:sz w:val="22"/>
          <w:szCs w:val="22"/>
          <w:lang w:val="en-GB"/>
        </w:rPr>
        <w:t>Industry Five Forces (Porter’s)</w:t>
      </w:r>
      <w:bookmarkEnd w:id="12"/>
      <w:bookmarkEnd w:id="13"/>
    </w:p>
    <w:p w:rsidR="00E05D4E" w:rsidRPr="008D17EF" w:rsidRDefault="001042B8" w:rsidP="001042B8">
      <w:pPr>
        <w:spacing w:line="480" w:lineRule="auto"/>
        <w:rPr>
          <w:color w:val="000000" w:themeColor="text1"/>
          <w:lang w:val="en-GB"/>
        </w:rPr>
      </w:pPr>
      <w:r w:rsidRPr="008D17EF">
        <w:rPr>
          <w:color w:val="000000" w:themeColor="text1"/>
          <w:lang w:val="en-GB"/>
        </w:rPr>
        <w:t>Porter’s five force analysis is a tool and a model designed to analyse the five major competitive forces which impacts and brings a structure to an industry</w:t>
      </w:r>
      <w:r w:rsidR="007E46C4" w:rsidRPr="008D17EF">
        <w:rPr>
          <w:color w:val="000000" w:themeColor="text1"/>
          <w:lang w:val="en-GB"/>
        </w:rPr>
        <w:t xml:space="preserve"> (</w:t>
      </w:r>
      <w:r w:rsidR="007E46C4" w:rsidRPr="008D17EF">
        <w:rPr>
          <w:color w:val="000000" w:themeColor="text1"/>
        </w:rPr>
        <w:t xml:space="preserve">Isabelle </w:t>
      </w:r>
      <w:r w:rsidR="007E46C4" w:rsidRPr="008D17EF">
        <w:rPr>
          <w:i/>
          <w:color w:val="000000" w:themeColor="text1"/>
        </w:rPr>
        <w:t xml:space="preserve">et al. </w:t>
      </w:r>
      <w:r w:rsidR="007E46C4" w:rsidRPr="008D17EF">
        <w:rPr>
          <w:color w:val="000000" w:themeColor="text1"/>
        </w:rPr>
        <w:t>2020</w:t>
      </w:r>
      <w:r w:rsidR="007E46C4" w:rsidRPr="008D17EF">
        <w:rPr>
          <w:color w:val="000000" w:themeColor="text1"/>
          <w:lang w:val="en-GB"/>
        </w:rPr>
        <w:t>)</w:t>
      </w:r>
      <w:r w:rsidRPr="008D17EF">
        <w:rPr>
          <w:color w:val="000000" w:themeColor="text1"/>
          <w:lang w:val="en-GB"/>
        </w:rPr>
        <w:t>. By the interpretation of the pros and the cons of the firm with the aid of such a model, the alterations of its architecture can be performed by the management to strengthen itself.</w:t>
      </w:r>
      <w:r w:rsidR="0048535C" w:rsidRPr="008D17EF">
        <w:rPr>
          <w:color w:val="000000" w:themeColor="text1"/>
          <w:lang w:val="en-GB"/>
        </w:rPr>
        <w:t xml:space="preserve"> Hence, f</w:t>
      </w:r>
      <w:r w:rsidR="002D4108" w:rsidRPr="008D17EF">
        <w:rPr>
          <w:color w:val="000000" w:themeColor="text1"/>
          <w:lang w:val="en-GB"/>
        </w:rPr>
        <w:t xml:space="preserve">or investigating the external environment of a business, analysis of porter’s five forces plays a critical role. As per the statement of Anastasiu </w:t>
      </w:r>
      <w:r w:rsidR="002D4108" w:rsidRPr="008D17EF">
        <w:rPr>
          <w:i/>
          <w:color w:val="000000" w:themeColor="text1"/>
          <w:lang w:val="en-GB"/>
        </w:rPr>
        <w:t>et al.</w:t>
      </w:r>
      <w:r w:rsidR="002D4108" w:rsidRPr="008D17EF">
        <w:rPr>
          <w:color w:val="000000" w:themeColor="text1"/>
          <w:lang w:val="en-GB"/>
        </w:rPr>
        <w:t xml:space="preserve"> (2020), porter’s five forces allow one to identify five factors associated with </w:t>
      </w:r>
      <w:r w:rsidR="002D4108" w:rsidRPr="008D17EF">
        <w:rPr>
          <w:color w:val="000000" w:themeColor="text1"/>
          <w:lang w:val="en-GB"/>
        </w:rPr>
        <w:lastRenderedPageBreak/>
        <w:t xml:space="preserve">market risks. Customers, suppliers, substitute products, competitors, and new entrants are five key components whose impacts are needed to be determined to analyse the market risks. As per the comment of Baxter (2019), porter’s five forces model helps a business to understand the current competitive position by identifying the competitive advantages. Hence, it can be stated that to determine the area where the power lies within a business, the analysis of the five forces is significant. </w:t>
      </w:r>
    </w:p>
    <w:tbl>
      <w:tblPr>
        <w:tblW w:w="9000"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4A0" w:firstRow="1" w:lastRow="0" w:firstColumn="1" w:lastColumn="0" w:noHBand="0" w:noVBand="1"/>
      </w:tblPr>
      <w:tblGrid>
        <w:gridCol w:w="2965"/>
        <w:gridCol w:w="6035"/>
      </w:tblGrid>
      <w:tr w:rsidR="00E05D4E">
        <w:trPr>
          <w:jc w:val="center"/>
        </w:trPr>
        <w:tc>
          <w:tcPr>
            <w:tcW w:w="2965" w:type="dxa"/>
            <w:shd w:val="clear" w:color="auto" w:fill="auto"/>
            <w:tcMar>
              <w:top w:w="100" w:type="dxa"/>
              <w:left w:w="100" w:type="dxa"/>
              <w:bottom w:w="100" w:type="dxa"/>
              <w:right w:w="100" w:type="dxa"/>
            </w:tcMar>
          </w:tcPr>
          <w:p w:rsidR="00E05D4E" w:rsidRDefault="002D4108" w:rsidP="001042B8">
            <w:pPr>
              <w:widowControl w:val="0"/>
              <w:spacing w:line="480" w:lineRule="auto"/>
              <w:jc w:val="center"/>
              <w:rPr>
                <w:b/>
                <w:highlight w:val="white"/>
                <w:lang w:val="en-GB"/>
              </w:rPr>
            </w:pPr>
            <w:r>
              <w:rPr>
                <w:b/>
                <w:highlight w:val="white"/>
                <w:lang w:val="en-GB"/>
              </w:rPr>
              <w:t>Description of forces</w:t>
            </w:r>
          </w:p>
        </w:tc>
        <w:tc>
          <w:tcPr>
            <w:tcW w:w="6035" w:type="dxa"/>
            <w:shd w:val="clear" w:color="auto" w:fill="auto"/>
            <w:tcMar>
              <w:top w:w="100" w:type="dxa"/>
              <w:left w:w="100" w:type="dxa"/>
              <w:bottom w:w="100" w:type="dxa"/>
              <w:right w:w="100" w:type="dxa"/>
            </w:tcMar>
          </w:tcPr>
          <w:p w:rsidR="00E05D4E" w:rsidRDefault="002D4108" w:rsidP="001042B8">
            <w:pPr>
              <w:widowControl w:val="0"/>
              <w:spacing w:line="480" w:lineRule="auto"/>
              <w:jc w:val="center"/>
              <w:rPr>
                <w:b/>
                <w:highlight w:val="white"/>
                <w:lang w:val="en-GB"/>
              </w:rPr>
            </w:pPr>
            <w:r>
              <w:rPr>
                <w:b/>
                <w:highlight w:val="white"/>
                <w:lang w:val="en-GB"/>
              </w:rPr>
              <w:t>Impact</w:t>
            </w:r>
          </w:p>
        </w:tc>
      </w:tr>
      <w:tr w:rsidR="00E05D4E">
        <w:trPr>
          <w:jc w:val="center"/>
        </w:trPr>
        <w:tc>
          <w:tcPr>
            <w:tcW w:w="2965" w:type="dxa"/>
            <w:shd w:val="clear" w:color="auto" w:fill="auto"/>
            <w:tcMar>
              <w:top w:w="100" w:type="dxa"/>
              <w:left w:w="100" w:type="dxa"/>
              <w:bottom w:w="100" w:type="dxa"/>
              <w:right w:w="100" w:type="dxa"/>
            </w:tcMar>
          </w:tcPr>
          <w:p w:rsidR="00E05D4E" w:rsidRDefault="002D4108" w:rsidP="001042B8">
            <w:pPr>
              <w:widowControl w:val="0"/>
              <w:spacing w:line="480" w:lineRule="auto"/>
              <w:rPr>
                <w:b/>
                <w:i/>
                <w:highlight w:val="white"/>
                <w:lang w:val="en-GB"/>
              </w:rPr>
            </w:pPr>
            <w:r>
              <w:rPr>
                <w:b/>
                <w:i/>
                <w:highlight w:val="white"/>
                <w:lang w:val="en-GB"/>
              </w:rPr>
              <w:t>Consumers’ power</w:t>
            </w:r>
          </w:p>
        </w:tc>
        <w:tc>
          <w:tcPr>
            <w:tcW w:w="6035" w:type="dxa"/>
            <w:shd w:val="clear" w:color="auto" w:fill="auto"/>
            <w:tcMar>
              <w:top w:w="100" w:type="dxa"/>
              <w:left w:w="100" w:type="dxa"/>
              <w:bottom w:w="100" w:type="dxa"/>
              <w:right w:w="100" w:type="dxa"/>
            </w:tcMar>
          </w:tcPr>
          <w:p w:rsidR="00E05D4E" w:rsidRPr="00526B7E" w:rsidRDefault="002D4108" w:rsidP="001042B8">
            <w:pPr>
              <w:widowControl w:val="0"/>
              <w:spacing w:line="480" w:lineRule="auto"/>
              <w:rPr>
                <w:highlight w:val="white"/>
                <w:lang w:val="en-GB"/>
              </w:rPr>
            </w:pPr>
            <w:r w:rsidRPr="00526B7E">
              <w:rPr>
                <w:highlight w:val="white"/>
                <w:lang w:val="en-GB"/>
              </w:rPr>
              <w:t xml:space="preserve">The bargaining power of customers is identified as </w:t>
            </w:r>
            <w:r w:rsidRPr="000F5B54">
              <w:rPr>
                <w:highlight w:val="white"/>
                <w:lang w:val="en-GB"/>
              </w:rPr>
              <w:t xml:space="preserve">the high-risk factor </w:t>
            </w:r>
            <w:r w:rsidRPr="00526B7E">
              <w:rPr>
                <w:highlight w:val="white"/>
                <w:lang w:val="en-GB"/>
              </w:rPr>
              <w:t xml:space="preserve">since consumers can have alternative options from other companies and shift their interest level to other companies which drops the customers' engagement level as well as the sales. </w:t>
            </w:r>
          </w:p>
        </w:tc>
      </w:tr>
      <w:tr w:rsidR="00E05D4E">
        <w:trPr>
          <w:jc w:val="center"/>
        </w:trPr>
        <w:tc>
          <w:tcPr>
            <w:tcW w:w="2965" w:type="dxa"/>
            <w:shd w:val="clear" w:color="auto" w:fill="auto"/>
            <w:tcMar>
              <w:top w:w="100" w:type="dxa"/>
              <w:left w:w="100" w:type="dxa"/>
              <w:bottom w:w="100" w:type="dxa"/>
              <w:right w:w="100" w:type="dxa"/>
            </w:tcMar>
          </w:tcPr>
          <w:p w:rsidR="00E05D4E" w:rsidRDefault="002D4108" w:rsidP="001042B8">
            <w:pPr>
              <w:widowControl w:val="0"/>
              <w:spacing w:line="480" w:lineRule="auto"/>
              <w:rPr>
                <w:b/>
                <w:i/>
                <w:highlight w:val="white"/>
                <w:lang w:val="en-GB"/>
              </w:rPr>
            </w:pPr>
            <w:r>
              <w:rPr>
                <w:b/>
                <w:i/>
                <w:highlight w:val="white"/>
                <w:lang w:val="en-GB"/>
              </w:rPr>
              <w:t>Suppliers’ power</w:t>
            </w:r>
          </w:p>
        </w:tc>
        <w:tc>
          <w:tcPr>
            <w:tcW w:w="6035" w:type="dxa"/>
            <w:shd w:val="clear" w:color="auto" w:fill="auto"/>
            <w:tcMar>
              <w:top w:w="100" w:type="dxa"/>
              <w:left w:w="100" w:type="dxa"/>
              <w:bottom w:w="100" w:type="dxa"/>
              <w:right w:w="100" w:type="dxa"/>
            </w:tcMar>
          </w:tcPr>
          <w:p w:rsidR="00E05D4E" w:rsidRPr="00526B7E" w:rsidRDefault="002D4108" w:rsidP="001042B8">
            <w:pPr>
              <w:widowControl w:val="0"/>
              <w:spacing w:line="480" w:lineRule="auto"/>
              <w:rPr>
                <w:highlight w:val="white"/>
                <w:lang w:val="en-GB"/>
              </w:rPr>
            </w:pPr>
            <w:r w:rsidRPr="00526B7E">
              <w:rPr>
                <w:highlight w:val="white"/>
                <w:lang w:val="en-GB"/>
              </w:rPr>
              <w:t xml:space="preserve">The bargaining power of suppliers has the </w:t>
            </w:r>
            <w:r w:rsidRPr="000F5B54">
              <w:rPr>
                <w:highlight w:val="white"/>
                <w:lang w:val="en-GB"/>
              </w:rPr>
              <w:t>moderate power</w:t>
            </w:r>
            <w:r w:rsidRPr="00526B7E">
              <w:rPr>
                <w:highlight w:val="white"/>
                <w:lang w:val="en-GB"/>
              </w:rPr>
              <w:t xml:space="preserve"> to control the business operations because vendors are essential to maintain the supply of raw materials and the production level. </w:t>
            </w:r>
          </w:p>
        </w:tc>
      </w:tr>
      <w:tr w:rsidR="00E05D4E">
        <w:trPr>
          <w:jc w:val="center"/>
        </w:trPr>
        <w:tc>
          <w:tcPr>
            <w:tcW w:w="2965" w:type="dxa"/>
            <w:shd w:val="clear" w:color="auto" w:fill="auto"/>
            <w:tcMar>
              <w:top w:w="100" w:type="dxa"/>
              <w:left w:w="100" w:type="dxa"/>
              <w:bottom w:w="100" w:type="dxa"/>
              <w:right w:w="100" w:type="dxa"/>
            </w:tcMar>
          </w:tcPr>
          <w:p w:rsidR="00E05D4E" w:rsidRDefault="002D4108" w:rsidP="001042B8">
            <w:pPr>
              <w:widowControl w:val="0"/>
              <w:spacing w:line="480" w:lineRule="auto"/>
              <w:rPr>
                <w:b/>
                <w:i/>
                <w:highlight w:val="white"/>
                <w:lang w:val="en-GB"/>
              </w:rPr>
            </w:pPr>
            <w:r>
              <w:rPr>
                <w:b/>
                <w:i/>
                <w:highlight w:val="white"/>
                <w:lang w:val="en-GB"/>
              </w:rPr>
              <w:t>Substitute products’ threat</w:t>
            </w:r>
          </w:p>
        </w:tc>
        <w:tc>
          <w:tcPr>
            <w:tcW w:w="6035" w:type="dxa"/>
            <w:shd w:val="clear" w:color="auto" w:fill="auto"/>
            <w:tcMar>
              <w:top w:w="100" w:type="dxa"/>
              <w:left w:w="100" w:type="dxa"/>
              <w:bottom w:w="100" w:type="dxa"/>
              <w:right w:w="100" w:type="dxa"/>
            </w:tcMar>
          </w:tcPr>
          <w:p w:rsidR="00E05D4E" w:rsidRPr="00526B7E" w:rsidRDefault="002D4108" w:rsidP="001042B8">
            <w:pPr>
              <w:widowControl w:val="0"/>
              <w:spacing w:line="480" w:lineRule="auto"/>
              <w:rPr>
                <w:highlight w:val="white"/>
                <w:lang w:val="en-GB"/>
              </w:rPr>
            </w:pPr>
            <w:r w:rsidRPr="00526B7E">
              <w:rPr>
                <w:highlight w:val="white"/>
                <w:lang w:val="en-GB"/>
              </w:rPr>
              <w:t xml:space="preserve">The threats of substitute products are associated with a </w:t>
            </w:r>
            <w:r w:rsidRPr="000F5B54">
              <w:rPr>
                <w:highlight w:val="white"/>
                <w:lang w:val="en-GB"/>
              </w:rPr>
              <w:t>moderate level</w:t>
            </w:r>
            <w:r w:rsidRPr="00526B7E">
              <w:rPr>
                <w:highlight w:val="white"/>
                <w:lang w:val="en-GB"/>
              </w:rPr>
              <w:t xml:space="preserve"> of risks since the company can overcome the threat by modifying the existing products. </w:t>
            </w:r>
          </w:p>
        </w:tc>
      </w:tr>
      <w:tr w:rsidR="00E05D4E">
        <w:trPr>
          <w:jc w:val="center"/>
        </w:trPr>
        <w:tc>
          <w:tcPr>
            <w:tcW w:w="2965" w:type="dxa"/>
            <w:shd w:val="clear" w:color="auto" w:fill="auto"/>
            <w:tcMar>
              <w:top w:w="100" w:type="dxa"/>
              <w:left w:w="100" w:type="dxa"/>
              <w:bottom w:w="100" w:type="dxa"/>
              <w:right w:w="100" w:type="dxa"/>
            </w:tcMar>
          </w:tcPr>
          <w:p w:rsidR="00E05D4E" w:rsidRDefault="002D4108" w:rsidP="001042B8">
            <w:pPr>
              <w:widowControl w:val="0"/>
              <w:spacing w:line="480" w:lineRule="auto"/>
              <w:rPr>
                <w:b/>
                <w:i/>
                <w:highlight w:val="white"/>
                <w:lang w:val="en-GB"/>
              </w:rPr>
            </w:pPr>
            <w:r>
              <w:rPr>
                <w:b/>
                <w:i/>
                <w:highlight w:val="white"/>
                <w:lang w:val="en-GB"/>
              </w:rPr>
              <w:t>Competitors’ threat</w:t>
            </w:r>
          </w:p>
        </w:tc>
        <w:tc>
          <w:tcPr>
            <w:tcW w:w="6035" w:type="dxa"/>
            <w:shd w:val="clear" w:color="auto" w:fill="auto"/>
            <w:tcMar>
              <w:top w:w="100" w:type="dxa"/>
              <w:left w:w="100" w:type="dxa"/>
              <w:bottom w:w="100" w:type="dxa"/>
              <w:right w:w="100" w:type="dxa"/>
            </w:tcMar>
          </w:tcPr>
          <w:p w:rsidR="00E05D4E" w:rsidRPr="00526B7E" w:rsidRDefault="002D4108" w:rsidP="001042B8">
            <w:pPr>
              <w:widowControl w:val="0"/>
              <w:spacing w:line="480" w:lineRule="auto"/>
              <w:rPr>
                <w:highlight w:val="white"/>
                <w:lang w:val="en-GB"/>
              </w:rPr>
            </w:pPr>
            <w:r w:rsidRPr="00526B7E">
              <w:rPr>
                <w:highlight w:val="white"/>
                <w:lang w:val="en-GB"/>
              </w:rPr>
              <w:t>Threats from competitors are associated with</w:t>
            </w:r>
            <w:r w:rsidRPr="00526B7E">
              <w:rPr>
                <w:i/>
                <w:highlight w:val="white"/>
                <w:lang w:val="en-GB"/>
              </w:rPr>
              <w:t xml:space="preserve"> </w:t>
            </w:r>
            <w:r w:rsidRPr="000F5B54">
              <w:rPr>
                <w:highlight w:val="white"/>
                <w:lang w:val="en-GB"/>
              </w:rPr>
              <w:t>high market risks</w:t>
            </w:r>
            <w:r w:rsidRPr="00526B7E">
              <w:rPr>
                <w:highlight w:val="white"/>
                <w:lang w:val="en-GB"/>
              </w:rPr>
              <w:t xml:space="preserve"> since competitors are one of the major deciding factors of price and product availability. Further, competitors create barriers to generating revenue and increasing customer engagement levels. </w:t>
            </w:r>
          </w:p>
        </w:tc>
      </w:tr>
      <w:tr w:rsidR="00E05D4E">
        <w:trPr>
          <w:jc w:val="center"/>
        </w:trPr>
        <w:tc>
          <w:tcPr>
            <w:tcW w:w="2965" w:type="dxa"/>
            <w:shd w:val="clear" w:color="auto" w:fill="auto"/>
            <w:tcMar>
              <w:top w:w="100" w:type="dxa"/>
              <w:left w:w="100" w:type="dxa"/>
              <w:bottom w:w="100" w:type="dxa"/>
              <w:right w:w="100" w:type="dxa"/>
            </w:tcMar>
          </w:tcPr>
          <w:p w:rsidR="00E05D4E" w:rsidRDefault="002D4108" w:rsidP="001042B8">
            <w:pPr>
              <w:widowControl w:val="0"/>
              <w:spacing w:line="480" w:lineRule="auto"/>
              <w:rPr>
                <w:b/>
                <w:i/>
                <w:highlight w:val="white"/>
                <w:lang w:val="en-GB"/>
              </w:rPr>
            </w:pPr>
            <w:r>
              <w:rPr>
                <w:b/>
                <w:i/>
                <w:highlight w:val="white"/>
                <w:lang w:val="en-GB"/>
              </w:rPr>
              <w:lastRenderedPageBreak/>
              <w:t>New entrants’ threat</w:t>
            </w:r>
          </w:p>
        </w:tc>
        <w:tc>
          <w:tcPr>
            <w:tcW w:w="6035" w:type="dxa"/>
            <w:shd w:val="clear" w:color="auto" w:fill="auto"/>
            <w:tcMar>
              <w:top w:w="100" w:type="dxa"/>
              <w:left w:w="100" w:type="dxa"/>
              <w:bottom w:w="100" w:type="dxa"/>
              <w:right w:w="100" w:type="dxa"/>
            </w:tcMar>
          </w:tcPr>
          <w:p w:rsidR="00E05D4E" w:rsidRPr="000F5B54" w:rsidRDefault="002D4108" w:rsidP="001042B8">
            <w:pPr>
              <w:widowControl w:val="0"/>
              <w:spacing w:line="480" w:lineRule="auto"/>
              <w:rPr>
                <w:highlight w:val="white"/>
                <w:lang w:val="en-GB"/>
              </w:rPr>
            </w:pPr>
            <w:r w:rsidRPr="000F5B54">
              <w:rPr>
                <w:highlight w:val="white"/>
                <w:lang w:val="en-GB"/>
              </w:rPr>
              <w:t>The threat of new entry is low</w:t>
            </w:r>
            <w:r w:rsidRPr="000F5B54">
              <w:rPr>
                <w:i/>
                <w:highlight w:val="white"/>
                <w:lang w:val="en-GB"/>
              </w:rPr>
              <w:t xml:space="preserve"> </w:t>
            </w:r>
            <w:r w:rsidRPr="000F5B54">
              <w:rPr>
                <w:highlight w:val="white"/>
                <w:lang w:val="en-GB"/>
              </w:rPr>
              <w:t xml:space="preserve">as compared to other forces since new products offer customers to have an alternative option. </w:t>
            </w:r>
          </w:p>
        </w:tc>
      </w:tr>
    </w:tbl>
    <w:p w:rsidR="00E05D4E" w:rsidRDefault="002D4108" w:rsidP="001042B8">
      <w:pPr>
        <w:spacing w:line="480" w:lineRule="auto"/>
        <w:jc w:val="center"/>
        <w:rPr>
          <w:b/>
          <w:lang w:val="en-GB"/>
        </w:rPr>
      </w:pPr>
      <w:r>
        <w:rPr>
          <w:b/>
          <w:lang w:val="en-GB"/>
        </w:rPr>
        <w:t xml:space="preserve">Table </w:t>
      </w:r>
      <w:r>
        <w:rPr>
          <w:b/>
        </w:rPr>
        <w:t>1</w:t>
      </w:r>
      <w:r>
        <w:rPr>
          <w:b/>
          <w:lang w:val="en-GB"/>
        </w:rPr>
        <w:t>: Porter’s five forces</w:t>
      </w:r>
    </w:p>
    <w:p w:rsidR="00E05D4E" w:rsidRDefault="002D4108" w:rsidP="001042B8">
      <w:pPr>
        <w:spacing w:line="480" w:lineRule="auto"/>
        <w:jc w:val="center"/>
        <w:rPr>
          <w:b/>
          <w:lang w:val="en-GB"/>
        </w:rPr>
      </w:pPr>
      <w:r>
        <w:rPr>
          <w:lang w:val="en-GB"/>
        </w:rPr>
        <w:t xml:space="preserve">(Source: Influenced by Isabelle </w:t>
      </w:r>
      <w:r>
        <w:rPr>
          <w:i/>
          <w:lang w:val="en-GB"/>
        </w:rPr>
        <w:t>et al.</w:t>
      </w:r>
      <w:r>
        <w:rPr>
          <w:lang w:val="en-GB"/>
        </w:rPr>
        <w:t xml:space="preserve"> 2020)</w:t>
      </w:r>
    </w:p>
    <w:p w:rsidR="00E05D4E" w:rsidRDefault="002D4108" w:rsidP="001042B8">
      <w:pPr>
        <w:spacing w:line="480" w:lineRule="auto"/>
        <w:rPr>
          <w:lang w:val="en-GB"/>
        </w:rPr>
      </w:pPr>
      <w:r>
        <w:rPr>
          <w:lang w:val="en-GB"/>
        </w:rPr>
        <w:t xml:space="preserve">The above table indicates five forces that help Ted Baker to find a competitive position in the market. As per the comment of </w:t>
      </w:r>
      <w:r>
        <w:rPr>
          <w:color w:val="222222"/>
          <w:highlight w:val="white"/>
          <w:lang w:val="en-GB"/>
        </w:rPr>
        <w:t xml:space="preserve">Irfan </w:t>
      </w:r>
      <w:r>
        <w:rPr>
          <w:i/>
          <w:color w:val="222222"/>
          <w:highlight w:val="white"/>
          <w:lang w:val="en-GB"/>
        </w:rPr>
        <w:t>et al.</w:t>
      </w:r>
      <w:r>
        <w:rPr>
          <w:color w:val="222222"/>
          <w:highlight w:val="white"/>
          <w:lang w:val="en-GB"/>
        </w:rPr>
        <w:t xml:space="preserve"> </w:t>
      </w:r>
      <w:r>
        <w:rPr>
          <w:lang w:val="en-GB"/>
        </w:rPr>
        <w:t xml:space="preserve">(2019), customers and competitors have high power in controlling sales and profits. Ted Beaker offers women’s wear, men’s wear, and children clothing at affordable prices by considering the recent market trends which help to deal with these two forces effectively. On the other hand, according to </w:t>
      </w:r>
      <w:r>
        <w:rPr>
          <w:color w:val="222222"/>
          <w:highlight w:val="white"/>
          <w:lang w:val="en-GB"/>
        </w:rPr>
        <w:t xml:space="preserve">Kieltyka </w:t>
      </w:r>
      <w:r>
        <w:rPr>
          <w:i/>
          <w:color w:val="222222"/>
          <w:highlight w:val="white"/>
          <w:lang w:val="en-GB"/>
        </w:rPr>
        <w:t>et al.</w:t>
      </w:r>
      <w:r>
        <w:rPr>
          <w:color w:val="222222"/>
          <w:highlight w:val="white"/>
          <w:lang w:val="en-GB"/>
        </w:rPr>
        <w:t xml:space="preserve"> </w:t>
      </w:r>
      <w:r>
        <w:rPr>
          <w:lang w:val="en-GB"/>
        </w:rPr>
        <w:t xml:space="preserve">(2022), the suppliers and threats from substitute products are associated with a moderate level of power. Maintaining a positive relationship with vendors who are responsible for supplying clothing materials and updating the fashion in response to changing markets helps Ted Baker to get an adequate level of competitive advantage. The new entrants bring an alternative option with an affordable price range to customers which impacts consumers' interest level and thus, it is associated with a low level of risk factors according to Ted Baker. </w:t>
      </w:r>
    </w:p>
    <w:p w:rsidR="00E05D4E" w:rsidRDefault="002D4108" w:rsidP="001042B8">
      <w:pPr>
        <w:pStyle w:val="Heading2"/>
        <w:spacing w:line="480" w:lineRule="auto"/>
        <w:rPr>
          <w:sz w:val="22"/>
          <w:szCs w:val="22"/>
          <w:lang w:val="en-GB"/>
        </w:rPr>
      </w:pPr>
      <w:bookmarkStart w:id="14" w:name="_Toc129520554"/>
      <w:bookmarkStart w:id="15" w:name="_Toc133940673"/>
      <w:r>
        <w:rPr>
          <w:sz w:val="22"/>
          <w:szCs w:val="22"/>
          <w:lang w:val="en-GB"/>
        </w:rPr>
        <w:t>Market Analysis</w:t>
      </w:r>
      <w:bookmarkEnd w:id="14"/>
      <w:bookmarkEnd w:id="15"/>
    </w:p>
    <w:p w:rsidR="00E05D4E" w:rsidRPr="00DB43DA" w:rsidRDefault="0048535C" w:rsidP="001042B8">
      <w:pPr>
        <w:spacing w:line="480" w:lineRule="auto"/>
        <w:rPr>
          <w:color w:val="000000" w:themeColor="text1"/>
          <w:lang w:val="en-GB"/>
        </w:rPr>
      </w:pPr>
      <w:r w:rsidRPr="00DB43DA">
        <w:rPr>
          <w:color w:val="000000" w:themeColor="text1"/>
          <w:lang w:val="en-GB"/>
        </w:rPr>
        <w:t>The examination of the business structure and the market scenario for any firm is of acute importance as it enables the management to alter its mechanisms as per the needs and the wants of the consumers. Market analysis is defined as the detailed examination of the target market, and the scope of the business to meet the competitive advantages</w:t>
      </w:r>
      <w:r w:rsidR="007E46C4" w:rsidRPr="00DB43DA">
        <w:rPr>
          <w:color w:val="000000" w:themeColor="text1"/>
          <w:lang w:val="en-GB"/>
        </w:rPr>
        <w:t xml:space="preserve"> </w:t>
      </w:r>
      <w:r w:rsidR="007E46C4" w:rsidRPr="00DB43DA">
        <w:rPr>
          <w:color w:val="000000" w:themeColor="text1"/>
        </w:rPr>
        <w:t xml:space="preserve">(Li </w:t>
      </w:r>
      <w:r w:rsidR="007E46C4" w:rsidRPr="00DB43DA">
        <w:rPr>
          <w:i/>
          <w:color w:val="000000" w:themeColor="text1"/>
        </w:rPr>
        <w:t>et al.</w:t>
      </w:r>
      <w:r w:rsidR="007E46C4" w:rsidRPr="00DB43DA">
        <w:rPr>
          <w:color w:val="000000" w:themeColor="text1"/>
        </w:rPr>
        <w:t xml:space="preserve"> 2019</w:t>
      </w:r>
      <w:r w:rsidR="007E46C4" w:rsidRPr="00DB43DA">
        <w:rPr>
          <w:color w:val="000000" w:themeColor="text1"/>
          <w:lang w:val="en-GB"/>
        </w:rPr>
        <w:t>)</w:t>
      </w:r>
      <w:r w:rsidRPr="00DB43DA">
        <w:rPr>
          <w:color w:val="000000" w:themeColor="text1"/>
          <w:lang w:val="en-GB"/>
        </w:rPr>
        <w:t xml:space="preserve">. </w:t>
      </w:r>
      <w:r w:rsidR="002D4108" w:rsidRPr="00DB43DA">
        <w:rPr>
          <w:color w:val="000000" w:themeColor="text1"/>
          <w:lang w:val="en-GB"/>
        </w:rPr>
        <w:t>The market analysis suggests a vivid assessment of the investigation of businesses’ target audiences and markets (</w:t>
      </w:r>
      <w:r w:rsidR="002D4108" w:rsidRPr="00DB43DA">
        <w:rPr>
          <w:color w:val="000000" w:themeColor="text1"/>
        </w:rPr>
        <w:t>Park, 2020</w:t>
      </w:r>
      <w:r w:rsidR="002D4108" w:rsidRPr="00DB43DA">
        <w:rPr>
          <w:color w:val="000000" w:themeColor="text1"/>
          <w:lang w:val="en-GB"/>
        </w:rPr>
        <w:t xml:space="preserve">). As per the words of Schlund </w:t>
      </w:r>
      <w:r w:rsidR="002D4108" w:rsidRPr="00DB43DA">
        <w:rPr>
          <w:i/>
          <w:color w:val="000000" w:themeColor="text1"/>
          <w:lang w:val="en-GB"/>
        </w:rPr>
        <w:t xml:space="preserve">et al. </w:t>
      </w:r>
      <w:r w:rsidR="002D4108" w:rsidRPr="00DB43DA">
        <w:rPr>
          <w:color w:val="000000" w:themeColor="text1"/>
          <w:lang w:val="en-GB"/>
        </w:rPr>
        <w:t xml:space="preserve">(2022), market analysis allows an </w:t>
      </w:r>
      <w:r w:rsidR="002D4108" w:rsidRPr="00DB43DA">
        <w:rPr>
          <w:color w:val="000000" w:themeColor="text1"/>
          <w:lang w:val="en-GB"/>
        </w:rPr>
        <w:lastRenderedPageBreak/>
        <w:t xml:space="preserve">organisation to identify its competitive position within a particular industry. Market analysis helps a company to ensure success rates in the competitive marketplace. This analysis involves the study such as the investigation of the value and volume of the market, segmentation of audiences to identify potential customers, buying patterns of consumers, competition in the market, and other significant elements (Shah </w:t>
      </w:r>
      <w:r w:rsidR="002D4108" w:rsidRPr="00DB43DA">
        <w:rPr>
          <w:i/>
          <w:color w:val="000000" w:themeColor="text1"/>
          <w:lang w:val="en-GB"/>
        </w:rPr>
        <w:t xml:space="preserve">et al. </w:t>
      </w:r>
      <w:r w:rsidR="002D4108" w:rsidRPr="00DB43DA">
        <w:rPr>
          <w:color w:val="000000" w:themeColor="text1"/>
          <w:lang w:val="en-GB"/>
        </w:rPr>
        <w:t xml:space="preserve">2019). The analysis is conducted with the help of government data, trade-associated information, financial data, and customer surveys on market. Ted Baker conducts the market analysis by investigating the </w:t>
      </w:r>
      <w:r w:rsidR="002D4108" w:rsidRPr="00DB43DA">
        <w:rPr>
          <w:i/>
          <w:color w:val="000000" w:themeColor="text1"/>
          <w:lang w:val="en-GB"/>
        </w:rPr>
        <w:t>present competitors</w:t>
      </w:r>
      <w:r w:rsidR="002D4108" w:rsidRPr="00DB43DA">
        <w:rPr>
          <w:color w:val="000000" w:themeColor="text1"/>
          <w:lang w:val="en-GB"/>
        </w:rPr>
        <w:t xml:space="preserve">, </w:t>
      </w:r>
      <w:r w:rsidR="002D4108" w:rsidRPr="00DB43DA">
        <w:rPr>
          <w:i/>
          <w:color w:val="000000" w:themeColor="text1"/>
          <w:lang w:val="en-GB"/>
        </w:rPr>
        <w:t>market size</w:t>
      </w:r>
      <w:r w:rsidR="002D4108" w:rsidRPr="00DB43DA">
        <w:rPr>
          <w:color w:val="000000" w:themeColor="text1"/>
          <w:lang w:val="en-GB"/>
        </w:rPr>
        <w:t xml:space="preserve">, and </w:t>
      </w:r>
      <w:r w:rsidR="002D4108" w:rsidRPr="00DB43DA">
        <w:rPr>
          <w:i/>
          <w:color w:val="000000" w:themeColor="text1"/>
          <w:lang w:val="en-GB"/>
        </w:rPr>
        <w:t>key success factors</w:t>
      </w:r>
      <w:r w:rsidR="002D4108" w:rsidRPr="00DB43DA">
        <w:rPr>
          <w:color w:val="000000" w:themeColor="text1"/>
          <w:lang w:val="en-GB"/>
        </w:rPr>
        <w:t xml:space="preserve">. </w:t>
      </w:r>
    </w:p>
    <w:p w:rsidR="00E05D4E" w:rsidRPr="000F5B54" w:rsidRDefault="002D4108" w:rsidP="001042B8">
      <w:pPr>
        <w:pStyle w:val="Heading3"/>
        <w:spacing w:line="480" w:lineRule="auto"/>
        <w:rPr>
          <w:b/>
          <w:sz w:val="22"/>
          <w:szCs w:val="22"/>
          <w:lang w:val="en-GB"/>
        </w:rPr>
      </w:pPr>
      <w:bookmarkStart w:id="16" w:name="_Toc129520555"/>
      <w:bookmarkStart w:id="17" w:name="_Toc133940674"/>
      <w:r w:rsidRPr="000F5B54">
        <w:rPr>
          <w:b/>
          <w:sz w:val="22"/>
          <w:szCs w:val="22"/>
          <w:lang w:val="en-GB"/>
        </w:rPr>
        <w:t>Competitors present in the market</w:t>
      </w:r>
      <w:bookmarkEnd w:id="16"/>
      <w:bookmarkEnd w:id="17"/>
      <w:r w:rsidRPr="000F5B54">
        <w:rPr>
          <w:b/>
          <w:sz w:val="22"/>
          <w:szCs w:val="22"/>
          <w:lang w:val="en-GB"/>
        </w:rPr>
        <w:t xml:space="preserve"> </w:t>
      </w:r>
    </w:p>
    <w:p w:rsidR="007A6143" w:rsidRPr="008D17EF" w:rsidRDefault="008466FC" w:rsidP="001042B8">
      <w:pPr>
        <w:spacing w:line="480" w:lineRule="auto"/>
        <w:rPr>
          <w:color w:val="000000" w:themeColor="text1"/>
          <w:lang w:val="en-GB"/>
        </w:rPr>
      </w:pPr>
      <w:r w:rsidRPr="008D17EF">
        <w:rPr>
          <w:color w:val="000000" w:themeColor="text1"/>
          <w:lang w:val="en-GB"/>
        </w:rPr>
        <w:t>Competitor analysis is a process with which an organisation has the potential to identify the rivals of itself, and highlight upon the different marketing strategies utilised to meet the demands of the target audience</w:t>
      </w:r>
      <w:r w:rsidR="007E46C4" w:rsidRPr="008D17EF">
        <w:rPr>
          <w:color w:val="000000" w:themeColor="text1"/>
          <w:lang w:val="en-GB"/>
        </w:rPr>
        <w:t xml:space="preserve"> (Shah </w:t>
      </w:r>
      <w:r w:rsidR="007E46C4" w:rsidRPr="008D17EF">
        <w:rPr>
          <w:i/>
          <w:color w:val="000000" w:themeColor="text1"/>
          <w:lang w:val="en-GB"/>
        </w:rPr>
        <w:t xml:space="preserve">et al. </w:t>
      </w:r>
      <w:r w:rsidR="007E46C4" w:rsidRPr="008D17EF">
        <w:rPr>
          <w:color w:val="000000" w:themeColor="text1"/>
          <w:lang w:val="en-GB"/>
        </w:rPr>
        <w:t>2019)</w:t>
      </w:r>
      <w:r w:rsidRPr="008D17EF">
        <w:rPr>
          <w:color w:val="000000" w:themeColor="text1"/>
          <w:lang w:val="en-GB"/>
        </w:rPr>
        <w:t xml:space="preserve">. </w:t>
      </w:r>
      <w:r w:rsidR="002D4108" w:rsidRPr="008D17EF">
        <w:rPr>
          <w:color w:val="000000" w:themeColor="text1"/>
          <w:lang w:val="en-GB"/>
        </w:rPr>
        <w:t xml:space="preserve">Competitors in the market are identified as businesses that provide similar products and services to consumers. As per the comment of Gómez </w:t>
      </w:r>
      <w:r w:rsidR="002D4108" w:rsidRPr="008D17EF">
        <w:rPr>
          <w:i/>
          <w:color w:val="000000" w:themeColor="text1"/>
          <w:lang w:val="en-GB"/>
        </w:rPr>
        <w:t xml:space="preserve">et al. </w:t>
      </w:r>
      <w:r w:rsidR="002D4108" w:rsidRPr="008D17EF">
        <w:rPr>
          <w:color w:val="000000" w:themeColor="text1"/>
          <w:lang w:val="en-GB"/>
        </w:rPr>
        <w:t xml:space="preserve">(2022), competitors can be divided into direct and indirect competitors. </w:t>
      </w:r>
      <w:r w:rsidRPr="008D17EF">
        <w:rPr>
          <w:color w:val="000000" w:themeColor="text1"/>
          <w:lang w:val="en-GB"/>
        </w:rPr>
        <w:t xml:space="preserve">Through the performance of the competitor analysis, the exact competitors can be chalked out on a four quadrant graphical representation. </w:t>
      </w:r>
      <w:r w:rsidR="002D4108" w:rsidRPr="008D17EF">
        <w:rPr>
          <w:color w:val="000000" w:themeColor="text1"/>
          <w:lang w:val="en-GB"/>
        </w:rPr>
        <w:t xml:space="preserve">Direct competitors offer the same services and products to consumers with the same goals whereas indirect competitors’ same products and services with different goals. </w:t>
      </w:r>
    </w:p>
    <w:p w:rsidR="007A6143" w:rsidRDefault="007A6143">
      <w:pPr>
        <w:jc w:val="left"/>
        <w:rPr>
          <w:lang w:val="en-GB"/>
        </w:rPr>
      </w:pPr>
      <w:r>
        <w:rPr>
          <w:lang w:val="en-GB"/>
        </w:rPr>
        <w:br w:type="page"/>
      </w:r>
    </w:p>
    <w:p w:rsidR="00E05D4E" w:rsidRDefault="00E05D4E" w:rsidP="001042B8">
      <w:pPr>
        <w:spacing w:line="480" w:lineRule="auto"/>
        <w:rPr>
          <w:lang w:val="en-GB"/>
        </w:rPr>
      </w:pPr>
    </w:p>
    <w:p w:rsidR="00E05D4E" w:rsidRDefault="002D4108" w:rsidP="001042B8">
      <w:pPr>
        <w:spacing w:line="480" w:lineRule="auto"/>
      </w:pPr>
      <w:r>
        <w:rPr>
          <w:noProof/>
          <w:lang w:val="en-US" w:eastAsia="en-US"/>
        </w:rPr>
        <mc:AlternateContent>
          <mc:Choice Requires="wpg">
            <w:drawing>
              <wp:anchor distT="0" distB="0" distL="114300" distR="114300" simplePos="0" relativeHeight="251659264" behindDoc="0" locked="0" layoutInCell="1" allowOverlap="1" wp14:anchorId="6F2047A7" wp14:editId="4469C7D4">
                <wp:simplePos x="0" y="0"/>
                <wp:positionH relativeFrom="column">
                  <wp:posOffset>-196215</wp:posOffset>
                </wp:positionH>
                <wp:positionV relativeFrom="paragraph">
                  <wp:posOffset>111760</wp:posOffset>
                </wp:positionV>
                <wp:extent cx="6016625" cy="3522345"/>
                <wp:effectExtent l="12700" t="12700" r="20955" b="31115"/>
                <wp:wrapNone/>
                <wp:docPr id="17" name="Group 17"/>
                <wp:cNvGraphicFramePr/>
                <a:graphic xmlns:a="http://schemas.openxmlformats.org/drawingml/2006/main">
                  <a:graphicData uri="http://schemas.microsoft.com/office/word/2010/wordprocessingGroup">
                    <wpg:wgp>
                      <wpg:cNvGrpSpPr/>
                      <wpg:grpSpPr>
                        <a:xfrm>
                          <a:off x="0" y="0"/>
                          <a:ext cx="6016625" cy="3522345"/>
                          <a:chOff x="0" y="0"/>
                          <a:chExt cx="6016696" cy="3522134"/>
                        </a:xfrm>
                      </wpg:grpSpPr>
                      <wps:wsp>
                        <wps:cNvPr id="3" name="Straight Arrow Connector 3"/>
                        <wps:cNvCnPr/>
                        <wps:spPr>
                          <a:xfrm>
                            <a:off x="226483" y="1825978"/>
                            <a:ext cx="5712178" cy="0"/>
                          </a:xfrm>
                          <a:prstGeom prst="straightConnector1">
                            <a:avLst/>
                          </a:prstGeom>
                          <a:ln>
                            <a:headEnd type="triangle"/>
                            <a:tailEnd type="triangle"/>
                          </a:ln>
                        </wps:spPr>
                        <wps:style>
                          <a:lnRef idx="2">
                            <a:schemeClr val="dk1"/>
                          </a:lnRef>
                          <a:fillRef idx="0">
                            <a:schemeClr val="dk1"/>
                          </a:fillRef>
                          <a:effectRef idx="1">
                            <a:schemeClr val="dk1"/>
                          </a:effectRef>
                          <a:fontRef idx="minor">
                            <a:schemeClr val="tx1"/>
                          </a:fontRef>
                        </wps:style>
                        <wps:bodyPr/>
                      </wps:wsp>
                      <wps:wsp>
                        <wps:cNvPr id="5" name="Straight Arrow Connector 5"/>
                        <wps:cNvCnPr/>
                        <wps:spPr>
                          <a:xfrm>
                            <a:off x="2928761" y="184856"/>
                            <a:ext cx="0" cy="3307645"/>
                          </a:xfrm>
                          <a:prstGeom prst="straightConnector1">
                            <a:avLst/>
                          </a:prstGeom>
                          <a:ln>
                            <a:headEnd type="triangle"/>
                            <a:tailEnd type="triangle"/>
                          </a:ln>
                        </wps:spPr>
                        <wps:style>
                          <a:lnRef idx="2">
                            <a:schemeClr val="dk1"/>
                          </a:lnRef>
                          <a:fillRef idx="0">
                            <a:schemeClr val="dk1"/>
                          </a:fillRef>
                          <a:effectRef idx="1">
                            <a:schemeClr val="dk1"/>
                          </a:effectRef>
                          <a:fontRef idx="minor">
                            <a:schemeClr val="tx1"/>
                          </a:fontRef>
                        </wps:style>
                        <wps:bodyPr/>
                      </wps:wsp>
                      <wps:wsp>
                        <wps:cNvPr id="6" name="Rectangle 6"/>
                        <wps:cNvSpPr/>
                        <wps:spPr>
                          <a:xfrm>
                            <a:off x="3149600" y="0"/>
                            <a:ext cx="1128889" cy="361245"/>
                          </a:xfrm>
                          <a:prstGeom prst="rect">
                            <a:avLst/>
                          </a:prstGeom>
                        </wps:spPr>
                        <wps:style>
                          <a:lnRef idx="2">
                            <a:schemeClr val="dk1"/>
                          </a:lnRef>
                          <a:fillRef idx="1">
                            <a:schemeClr val="lt1"/>
                          </a:fillRef>
                          <a:effectRef idx="0">
                            <a:schemeClr val="dk1"/>
                          </a:effectRef>
                          <a:fontRef idx="minor">
                            <a:schemeClr val="dk1"/>
                          </a:fontRef>
                        </wps:style>
                        <wps:txbx>
                          <w:txbxContent>
                            <w:p w:rsidR="00001FF9" w:rsidRDefault="00001FF9">
                              <w:pPr>
                                <w:jc w:val="center"/>
                                <w:rPr>
                                  <w:b/>
                                  <w:bCs/>
                                </w:rPr>
                              </w:pPr>
                              <w:r>
                                <w:rPr>
                                  <w:b/>
                                  <w:bCs/>
                                </w:rPr>
                                <w:t>High Quality</w:t>
                              </w:r>
                            </w:p>
                          </w:txbxContent>
                        </wps:txbx>
                        <wps:bodyPr rot="0" spcFirstLastPara="0" vertOverflow="overflow" horzOverflow="overflow" vert="horz" wrap="square" lIns="91440" tIns="45720" rIns="91440" bIns="45720" numCol="1" spcCol="0" rtlCol="0" fromWordArt="0" anchor="ctr" anchorCtr="0" forceAA="0" compatLnSpc="1">
                          <a:noAutofit/>
                        </wps:bodyPr>
                      </wps:wsp>
                      <wps:wsp>
                        <wps:cNvPr id="7" name="Rectangle 7"/>
                        <wps:cNvSpPr/>
                        <wps:spPr>
                          <a:xfrm>
                            <a:off x="0" y="1332089"/>
                            <a:ext cx="1038578" cy="361245"/>
                          </a:xfrm>
                          <a:prstGeom prst="rect">
                            <a:avLst/>
                          </a:prstGeom>
                        </wps:spPr>
                        <wps:style>
                          <a:lnRef idx="2">
                            <a:schemeClr val="dk1"/>
                          </a:lnRef>
                          <a:fillRef idx="1">
                            <a:schemeClr val="lt1"/>
                          </a:fillRef>
                          <a:effectRef idx="0">
                            <a:schemeClr val="dk1"/>
                          </a:effectRef>
                          <a:fontRef idx="minor">
                            <a:schemeClr val="dk1"/>
                          </a:fontRef>
                        </wps:style>
                        <wps:txbx>
                          <w:txbxContent>
                            <w:p w:rsidR="00001FF9" w:rsidRDefault="00001FF9">
                              <w:pPr>
                                <w:jc w:val="center"/>
                                <w:rPr>
                                  <w:b/>
                                  <w:bCs/>
                                </w:rPr>
                              </w:pPr>
                              <w:r>
                                <w:rPr>
                                  <w:b/>
                                  <w:bCs/>
                                </w:rPr>
                                <w:t>Low Price</w:t>
                              </w:r>
                            </w:p>
                          </w:txbxContent>
                        </wps:txbx>
                        <wps:bodyPr rot="0" spcFirstLastPara="0" vertOverflow="overflow" horzOverflow="overflow" vert="horz" wrap="square" lIns="91440" tIns="45720" rIns="91440" bIns="45720" numCol="1" spcCol="0" rtlCol="0" fromWordArt="0" anchor="ctr" anchorCtr="0" forceAA="0" compatLnSpc="1">
                          <a:noAutofit/>
                        </wps:bodyPr>
                      </wps:wsp>
                      <wps:wsp>
                        <wps:cNvPr id="8" name="Rectangle 8"/>
                        <wps:cNvSpPr/>
                        <wps:spPr>
                          <a:xfrm>
                            <a:off x="4955822" y="1964267"/>
                            <a:ext cx="1060874" cy="361245"/>
                          </a:xfrm>
                          <a:prstGeom prst="rect">
                            <a:avLst/>
                          </a:prstGeom>
                        </wps:spPr>
                        <wps:style>
                          <a:lnRef idx="2">
                            <a:schemeClr val="dk1"/>
                          </a:lnRef>
                          <a:fillRef idx="1">
                            <a:schemeClr val="lt1"/>
                          </a:fillRef>
                          <a:effectRef idx="0">
                            <a:schemeClr val="dk1"/>
                          </a:effectRef>
                          <a:fontRef idx="minor">
                            <a:schemeClr val="dk1"/>
                          </a:fontRef>
                        </wps:style>
                        <wps:txbx>
                          <w:txbxContent>
                            <w:p w:rsidR="00001FF9" w:rsidRDefault="00001FF9">
                              <w:pPr>
                                <w:jc w:val="center"/>
                                <w:rPr>
                                  <w:b/>
                                  <w:bCs/>
                                </w:rPr>
                              </w:pPr>
                              <w:r>
                                <w:rPr>
                                  <w:b/>
                                  <w:bCs/>
                                </w:rPr>
                                <w:t>High Price</w:t>
                              </w:r>
                            </w:p>
                          </w:txbxContent>
                        </wps:txbx>
                        <wps:bodyPr rot="0" spcFirstLastPara="0" vertOverflow="overflow" horzOverflow="overflow" vert="horz" wrap="square" lIns="91440" tIns="45720" rIns="91440" bIns="45720" numCol="1" spcCol="0" rtlCol="0" fromWordArt="0" anchor="ctr" anchorCtr="0" forceAA="0" compatLnSpc="1">
                          <a:noAutofit/>
                        </wps:bodyPr>
                      </wps:wsp>
                      <wps:wsp>
                        <wps:cNvPr id="9" name="Rectangle 9"/>
                        <wps:cNvSpPr/>
                        <wps:spPr>
                          <a:xfrm>
                            <a:off x="1648178" y="3160889"/>
                            <a:ext cx="1072162" cy="361245"/>
                          </a:xfrm>
                          <a:prstGeom prst="rect">
                            <a:avLst/>
                          </a:prstGeom>
                        </wps:spPr>
                        <wps:style>
                          <a:lnRef idx="2">
                            <a:schemeClr val="dk1"/>
                          </a:lnRef>
                          <a:fillRef idx="1">
                            <a:schemeClr val="lt1"/>
                          </a:fillRef>
                          <a:effectRef idx="0">
                            <a:schemeClr val="dk1"/>
                          </a:effectRef>
                          <a:fontRef idx="minor">
                            <a:schemeClr val="dk1"/>
                          </a:fontRef>
                        </wps:style>
                        <wps:txbx>
                          <w:txbxContent>
                            <w:p w:rsidR="00001FF9" w:rsidRDefault="00001FF9">
                              <w:pPr>
                                <w:jc w:val="center"/>
                                <w:rPr>
                                  <w:b/>
                                  <w:bCs/>
                                </w:rPr>
                              </w:pPr>
                              <w:r>
                                <w:rPr>
                                  <w:b/>
                                  <w:bCs/>
                                </w:rPr>
                                <w:t>Low Quality</w:t>
                              </w:r>
                            </w:p>
                          </w:txbxContent>
                        </wps:txbx>
                        <wps:bodyPr rot="0" spcFirstLastPara="0" vertOverflow="overflow" horzOverflow="overflow" vert="horz" wrap="square" lIns="91440" tIns="45720" rIns="91440" bIns="45720" numCol="1" spcCol="0" rtlCol="0" fromWordArt="0" anchor="ctr" anchorCtr="0" forceAA="0" compatLnSpc="1">
                          <a:noAutofit/>
                        </wps:bodyPr>
                      </wps:wsp>
                      <wps:wsp>
                        <wps:cNvPr id="10" name="Rectangle 10"/>
                        <wps:cNvSpPr/>
                        <wps:spPr>
                          <a:xfrm>
                            <a:off x="1535289" y="756356"/>
                            <a:ext cx="925689" cy="496570"/>
                          </a:xfrm>
                          <a:prstGeom prst="rect">
                            <a:avLst/>
                          </a:prstGeom>
                        </wps:spPr>
                        <wps:style>
                          <a:lnRef idx="2">
                            <a:schemeClr val="dk1"/>
                          </a:lnRef>
                          <a:fillRef idx="1">
                            <a:schemeClr val="lt1"/>
                          </a:fillRef>
                          <a:effectRef idx="0">
                            <a:schemeClr val="dk1"/>
                          </a:effectRef>
                          <a:fontRef idx="minor">
                            <a:schemeClr val="dk1"/>
                          </a:fontRef>
                        </wps:style>
                        <wps:txbx>
                          <w:txbxContent>
                            <w:p w:rsidR="00001FF9" w:rsidRDefault="00001FF9">
                              <w:r>
                                <w:t>Ted Baker</w:t>
                              </w:r>
                            </w:p>
                          </w:txbxContent>
                        </wps:txbx>
                        <wps:bodyPr rot="0" spcFirstLastPara="0" vertOverflow="overflow" horzOverflow="overflow" vert="horz" wrap="square" lIns="91440" tIns="45720" rIns="91440" bIns="45720" numCol="1" spcCol="0" rtlCol="0" fromWordArt="0" anchor="ctr" anchorCtr="0" forceAA="0" compatLnSpc="1">
                          <a:noAutofit/>
                        </wps:bodyPr>
                      </wps:wsp>
                      <wps:wsp>
                        <wps:cNvPr id="11" name="Rectangle 11"/>
                        <wps:cNvSpPr/>
                        <wps:spPr>
                          <a:xfrm>
                            <a:off x="3364089" y="2472267"/>
                            <a:ext cx="801511" cy="496711"/>
                          </a:xfrm>
                          <a:prstGeom prst="rect">
                            <a:avLst/>
                          </a:prstGeom>
                        </wps:spPr>
                        <wps:style>
                          <a:lnRef idx="2">
                            <a:schemeClr val="dk1"/>
                          </a:lnRef>
                          <a:fillRef idx="1">
                            <a:schemeClr val="lt1"/>
                          </a:fillRef>
                          <a:effectRef idx="0">
                            <a:schemeClr val="dk1"/>
                          </a:effectRef>
                          <a:fontRef idx="minor">
                            <a:schemeClr val="dk1"/>
                          </a:fontRef>
                        </wps:style>
                        <wps:txbx>
                          <w:txbxContent>
                            <w:p w:rsidR="00001FF9" w:rsidRDefault="00001FF9">
                              <w:pPr>
                                <w:jc w:val="center"/>
                              </w:pPr>
                              <w:r>
                                <w:t>Jack Wills</w:t>
                              </w:r>
                            </w:p>
                          </w:txbxContent>
                        </wps:txbx>
                        <wps:bodyPr rot="0" spcFirstLastPara="0" vertOverflow="overflow" horzOverflow="overflow" vert="horz" wrap="square" lIns="91440" tIns="45720" rIns="91440" bIns="45720" numCol="1" spcCol="0" rtlCol="0" fromWordArt="0" anchor="ctr" anchorCtr="0" forceAA="0" compatLnSpc="1">
                          <a:noAutofit/>
                        </wps:bodyPr>
                      </wps:wsp>
                      <wps:wsp>
                        <wps:cNvPr id="12" name="Rectangle 12"/>
                        <wps:cNvSpPr/>
                        <wps:spPr>
                          <a:xfrm>
                            <a:off x="3251200" y="936978"/>
                            <a:ext cx="1061155" cy="496711"/>
                          </a:xfrm>
                          <a:prstGeom prst="rect">
                            <a:avLst/>
                          </a:prstGeom>
                        </wps:spPr>
                        <wps:style>
                          <a:lnRef idx="2">
                            <a:schemeClr val="dk1"/>
                          </a:lnRef>
                          <a:fillRef idx="1">
                            <a:schemeClr val="lt1"/>
                          </a:fillRef>
                          <a:effectRef idx="0">
                            <a:schemeClr val="dk1"/>
                          </a:effectRef>
                          <a:fontRef idx="minor">
                            <a:schemeClr val="dk1"/>
                          </a:fontRef>
                        </wps:style>
                        <wps:txbx>
                          <w:txbxContent>
                            <w:p w:rsidR="00001FF9" w:rsidRDefault="00001FF9">
                              <w:pPr>
                                <w:jc w:val="center"/>
                              </w:pPr>
                              <w:r>
                                <w:t>AllSaints</w:t>
                              </w:r>
                            </w:p>
                          </w:txbxContent>
                        </wps:txbx>
                        <wps:bodyPr rot="0" spcFirstLastPara="0" vertOverflow="overflow" horzOverflow="overflow" vert="horz" wrap="square" lIns="91440" tIns="45720" rIns="91440" bIns="45720" numCol="1" spcCol="0" rtlCol="0" fromWordArt="0" anchor="ctr" anchorCtr="0" forceAA="0" compatLnSpc="1">
                          <a:noAutofit/>
                        </wps:bodyPr>
                      </wps:wsp>
                      <wps:wsp>
                        <wps:cNvPr id="13" name="Rectangle 13"/>
                        <wps:cNvSpPr/>
                        <wps:spPr>
                          <a:xfrm>
                            <a:off x="1501422" y="2144889"/>
                            <a:ext cx="677334" cy="372533"/>
                          </a:xfrm>
                          <a:prstGeom prst="rect">
                            <a:avLst/>
                          </a:prstGeom>
                        </wps:spPr>
                        <wps:style>
                          <a:lnRef idx="2">
                            <a:schemeClr val="dk1"/>
                          </a:lnRef>
                          <a:fillRef idx="1">
                            <a:schemeClr val="lt1"/>
                          </a:fillRef>
                          <a:effectRef idx="0">
                            <a:schemeClr val="dk1"/>
                          </a:effectRef>
                          <a:fontRef idx="minor">
                            <a:schemeClr val="dk1"/>
                          </a:fontRef>
                        </wps:style>
                        <wps:txbx>
                          <w:txbxContent>
                            <w:p w:rsidR="00001FF9" w:rsidRDefault="00001FF9">
                              <w:r>
                                <w:t>Reiss</w:t>
                              </w:r>
                            </w:p>
                          </w:txbxContent>
                        </wps:txbx>
                        <wps:bodyPr rot="0" spcFirstLastPara="0" vertOverflow="overflow" horzOverflow="overflow" vert="horz" wrap="square" lIns="91440" tIns="45720" rIns="91440" bIns="45720" numCol="1" spcCol="0" rtlCol="0" fromWordArt="0" anchor="ctr" anchorCtr="0" forceAA="0" compatLnSpc="1">
                          <a:noAutofit/>
                        </wps:bodyPr>
                      </wps:wsp>
                    </wpg:wgp>
                  </a:graphicData>
                </a:graphic>
              </wp:anchor>
            </w:drawing>
          </mc:Choice>
          <mc:Fallback>
            <w:pict>
              <v:group w14:anchorId="6F2047A7" id="Group 17" o:spid="_x0000_s1026" style="position:absolute;left:0;text-align:left;margin-left:-15.45pt;margin-top:8.8pt;width:473.75pt;height:277.35pt;z-index:251659264" coordsize="60166,3522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">
                <v:shapetype id="_x0000_t32" coordsize="21600,21600" o:spt="32" o:oned="t" path="m,l21600,21600e" filled="f">
                  <v:path arrowok="t" fillok="f" o:connecttype="none"/>
                  <o:lock v:ext="edit" shapetype="t"/>
                </v:shapetype>
                <v:shape id="Straight Arrow Connector 3" o:spid="_x0000_s1027" type="#_x0000_t32" style="position:absolute;left:2264;top:18259;width:57122;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Irz9sMAAADaAAAADwAAAGRycy9kb3ducmV2LnhtbESPwWrDMBBE74X8g9hCLqWRG9NSHMsh&#10;DSTkYmjtfMBibWxTa2UkJXb+vioUehxm5g2Tb2cziBs531tW8LJKQBA3VvfcKjjXh+d3ED4gaxws&#10;k4I7edgWi4ccM20n/qJbFVoRIewzVNCFMGZS+qYjg35lR+LoXawzGKJ0rdQOpwg3g1wnyZs02HNc&#10;6HCkfUfNd3U1Cj7Kcjo/Je5z/RpOaX3snZ/QKbV8nHcbEIHm8B/+a5+0ghR+r8QbIIsf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LSK8/bDAAAA2gAAAA8AAAAAAAAAAAAA&#10;AAAAoQIAAGRycy9kb3ducmV2LnhtbFBLBQYAAAAABAAEAPkAAACRAwAAAAA=&#10;" strokecolor="black [3200]" strokeweight="2pt">
                  <v:stroke startarrow="block" endarrow="block"/>
                  <v:shadow on="t" color="black" opacity="24903f" origin=",.5" offset="0,.55556mm"/>
                </v:shape>
                <v:shape id="Straight Arrow Connector 5" o:spid="_x0000_s1028" type="#_x0000_t32" style="position:absolute;left:29287;top:1848;width:0;height:33077;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C/OGcAAAADaAAAADwAAAGRycy9kb3ducmV2LnhtbESP0YrCMBRE3wX/IVzBF9FUFxepRlFB&#10;8UVw1Q+4NNe22NyUJNr69xtB8HGYmTPMYtWaSjzJ+dKygvEoAUGcWV1yruB62Q1nIHxA1lhZJgUv&#10;8rBadjsLTLVt+I+e55CLCGGfooIihDqV0mcFGfQjWxNH72adwRCly6V22ES4qeQkSX6lwZLjQoE1&#10;bQvK7ueHUbA5HpvrIHGnyTQcfi770vkGnVL9XruegwjUhm/40z5oBVN4X4k3QC7/AQ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FQvzhnAAAAA2gAAAA8AAAAAAAAAAAAAAAAA&#10;oQIAAGRycy9kb3ducmV2LnhtbFBLBQYAAAAABAAEAPkAAACOAwAAAAA=&#10;" strokecolor="black [3200]" strokeweight="2pt">
                  <v:stroke startarrow="block" endarrow="block"/>
                  <v:shadow on="t" color="black" opacity="24903f" origin=",.5" offset="0,.55556mm"/>
                </v:shape>
                <v:rect id="Rectangle 6" o:spid="_x0000_s1029" style="position:absolute;left:31496;width:11288;height:3612;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aLoE8IA&#10;AADaAAAADwAAAGRycy9kb3ducmV2LnhtbESPQYvCMBSE74L/ITzBm6buoWjXKEtBVtyTVQ/eHs3b&#10;tmzzUppY2/31RhA8DjPzDbPe9qYWHbWusqxgMY9AEOdWV1woOJ92syUI55E11pZJwUAOtpvxaI2J&#10;tnc+Upf5QgQIuwQVlN43iZQuL8mgm9uGOHi/tjXog2wLqVu8B7ip5UcUxdJgxWGhxIbSkvK/7GYU&#10;/AzSd+dLvPrv0mrQ2TX9PlCq1HTSf32C8NT7d/jV3msFMTyvhBsgNw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VougTwgAAANoAAAAPAAAAAAAAAAAAAAAAAJgCAABkcnMvZG93&#10;bnJldi54bWxQSwUGAAAAAAQABAD1AAAAhwMAAAAA&#10;" fillcolor="white [3201]" strokecolor="black [3200]" strokeweight="2pt">
                  <v:textbox>
                    <w:txbxContent>
                      <w:p w:rsidR="00001FF9" w:rsidRDefault="00001FF9">
                        <w:pPr>
                          <w:jc w:val="center"/>
                          <w:rPr>
                            <w:b/>
                            <w:bCs/>
                          </w:rPr>
                        </w:pPr>
                        <w:r>
                          <w:rPr>
                            <w:b/>
                            <w:bCs/>
                          </w:rPr>
                          <w:t>High Quality</w:t>
                        </w:r>
                      </w:p>
                    </w:txbxContent>
                  </v:textbox>
                </v:rect>
                <v:rect id="Rectangle 7" o:spid="_x0000_s1030" style="position:absolute;top:13320;width:10385;height:3613;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5NiMIA&#10;AADaAAAADwAAAGRycy9kb3ducmV2LnhtbESPT4vCMBTE74LfITxhb5ruHvxTjbIUFpf1ZNWDt0fz&#10;bIvNS2libffTG0HwOMzMb5jVpjOVaKlxpWUFn5MIBHFmdcm5guPhZzwH4TyyxsoyKejJwWY9HKww&#10;1vbOe2pTn4sAYRejgsL7OpbSZQUZdBNbEwfvYhuDPsgml7rBe4CbSn5F0VQaLDksFFhTUlB2TW9G&#10;wa6Xvj2epov/Nil7nZ6T7R8lSn2Muu8lCE+df4df7V+tYAbPK+EGyPU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67k2IwgAAANoAAAAPAAAAAAAAAAAAAAAAAJgCAABkcnMvZG93&#10;bnJldi54bWxQSwUGAAAAAAQABAD1AAAAhwMAAAAA&#10;" fillcolor="white [3201]" strokecolor="black [3200]" strokeweight="2pt">
                  <v:textbox>
                    <w:txbxContent>
                      <w:p w:rsidR="00001FF9" w:rsidRDefault="00001FF9">
                        <w:pPr>
                          <w:jc w:val="center"/>
                          <w:rPr>
                            <w:b/>
                            <w:bCs/>
                          </w:rPr>
                        </w:pPr>
                        <w:r>
                          <w:rPr>
                            <w:b/>
                            <w:bCs/>
                          </w:rPr>
                          <w:t>Low Price</w:t>
                        </w:r>
                      </w:p>
                    </w:txbxContent>
                  </v:textbox>
                </v:rect>
                <v:rect id="Rectangle 8" o:spid="_x0000_s1031" style="position:absolute;left:49558;top:19642;width:10608;height:3613;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3HZ+r8A&#10;AADaAAAADwAAAGRycy9kb3ducmV2LnhtbERPy4rCMBTdC/5DuII7TZ2FaMdYpDCMOCurLmZ3aa5t&#10;sbkpTaYPv36yEFweznuXDKYWHbWusqxgtYxAEOdWV1wouF6+FhsQziNrrC2TgpEcJPvpZIextj2f&#10;qct8IUIIuxgVlN43sZQuL8mgW9qGOHB32xr0AbaF1C32IdzU8iOK1tJgxaGhxIbSkvJH9mcU/IzS&#10;d9fbevvs0mrU2W/6faJUqflsOHyC8DT4t/jlPmoFYWu4Em6A3P8D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CLcdn6vwAAANoAAAAPAAAAAAAAAAAAAAAAAJgCAABkcnMvZG93bnJl&#10;di54bWxQSwUGAAAAAAQABAD1AAAAhAMAAAAA&#10;" fillcolor="white [3201]" strokecolor="black [3200]" strokeweight="2pt">
                  <v:textbox>
                    <w:txbxContent>
                      <w:p w:rsidR="00001FF9" w:rsidRDefault="00001FF9">
                        <w:pPr>
                          <w:jc w:val="center"/>
                          <w:rPr>
                            <w:b/>
                            <w:bCs/>
                          </w:rPr>
                        </w:pPr>
                        <w:r>
                          <w:rPr>
                            <w:b/>
                            <w:bCs/>
                          </w:rPr>
                          <w:t>High Price</w:t>
                        </w:r>
                      </w:p>
                    </w:txbxContent>
                  </v:textbox>
                </v:rect>
                <v:rect id="Rectangle 9" o:spid="_x0000_s1032" style="position:absolute;left:16481;top:31608;width:10722;height:3613;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D18YcIA&#10;AADaAAAADwAAAGRycy9kb3ducmV2LnhtbESPQYvCMBSE7wv+h/AEb2vqHmStRpGCKO5paz14ezTP&#10;tti8lCZbW3/9RhA8DjPzDbPa9KYWHbWusqxgNo1AEOdWV1woyE67z28QziNrrC2TgoEcbNajjxXG&#10;2t75l7rUFyJA2MWooPS+iaV0eUkG3dQ2xMG72tagD7ItpG7xHuCmll9RNJcGKw4LJTaUlJTf0j+j&#10;4GeQvsvO88WjS6pBp5dkf6REqcm43y5BeOr9O/xqH7SCBTyvhBsg1/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kPXxhwgAAANoAAAAPAAAAAAAAAAAAAAAAAJgCAABkcnMvZG93&#10;bnJldi54bWxQSwUGAAAAAAQABAD1AAAAhwMAAAAA&#10;" fillcolor="white [3201]" strokecolor="black [3200]" strokeweight="2pt">
                  <v:textbox>
                    <w:txbxContent>
                      <w:p w:rsidR="00001FF9" w:rsidRDefault="00001FF9">
                        <w:pPr>
                          <w:jc w:val="center"/>
                          <w:rPr>
                            <w:b/>
                            <w:bCs/>
                          </w:rPr>
                        </w:pPr>
                        <w:r>
                          <w:rPr>
                            <w:b/>
                            <w:bCs/>
                          </w:rPr>
                          <w:t>Low Quality</w:t>
                        </w:r>
                      </w:p>
                    </w:txbxContent>
                  </v:textbox>
                </v:rect>
                <v:rect id="Rectangle 10" o:spid="_x0000_s1033" style="position:absolute;left:15352;top:7563;width:9257;height:4966;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hE+f8QA&#10;AADbAAAADwAAAGRycy9kb3ducmV2LnhtbESPQWvCQBCF7wX/wzKCt7qxB6mpq0igVOypUQ+9Ddkx&#10;CWZnQ3YbE3995yB4m+G9ee+b9XZwjeqpC7VnA4t5Aoq48Lbm0sDp+Pn6DipEZIuNZzIwUoDtZvKy&#10;xtT6G/9Qn8dSSQiHFA1UMbap1qGoyGGY+5ZYtIvvHEZZu1LbDm8S7hr9liRL7bBmaaiwpayi4pr/&#10;OQPfo4796bxc3fusHm3+m30dKDNmNh12H6AiDfFpflzvreALvfwiA+jNP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IIRPn/EAAAA2wAAAA8AAAAAAAAAAAAAAAAAmAIAAGRycy9k&#10;b3ducmV2LnhtbFBLBQYAAAAABAAEAPUAAACJAwAAAAA=&#10;" fillcolor="white [3201]" strokecolor="black [3200]" strokeweight="2pt">
                  <v:textbox>
                    <w:txbxContent>
                      <w:p w:rsidR="00001FF9" w:rsidRDefault="00001FF9">
                        <w:r>
                          <w:t>Ted Baker</w:t>
                        </w:r>
                      </w:p>
                    </w:txbxContent>
                  </v:textbox>
                </v:rect>
                <v:rect id="Rectangle 11" o:spid="_x0000_s1034" style="position:absolute;left:33640;top:24722;width:8016;height:4967;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V2b5MIA&#10;AADbAAAADwAAAGRycy9kb3ducmV2LnhtbERPTWvCQBC9F/wPyxR6azZ6EBuzSgmIpZ6a6sHbkJ0m&#10;odnZkN2uib++Kwje5vE+J9+OphOBBtdaVjBPUhDEldUt1wqO37vXFQjnkTV2lknBRA62m9lTjpm2&#10;F/6iUPpaxBB2GSpovO8zKV3VkEGX2J44cj92MOgjHGqpB7zEcNPJRZoupcGWY0ODPRUNVb/ln1Fw&#10;mKQPx9Py7RqKdtLludh/UqHUy/P4vgbhafQP8d39oeP8Odx+iQfIzT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tXZvkwgAAANsAAAAPAAAAAAAAAAAAAAAAAJgCAABkcnMvZG93&#10;bnJldi54bWxQSwUGAAAAAAQABAD1AAAAhwMAAAAA&#10;" fillcolor="white [3201]" strokecolor="black [3200]" strokeweight="2pt">
                  <v:textbox>
                    <w:txbxContent>
                      <w:p w:rsidR="00001FF9" w:rsidRDefault="00001FF9">
                        <w:pPr>
                          <w:jc w:val="center"/>
                        </w:pPr>
                        <w:r>
                          <w:t>Jack Wills</w:t>
                        </w:r>
                      </w:p>
                    </w:txbxContent>
                  </v:textbox>
                </v:rect>
                <v:rect id="Rectangle 12" o:spid="_x0000_s1035" style="position:absolute;left:32512;top:9369;width:10611;height:4967;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Y8Fk8AA&#10;AADbAAAADwAAAGRycy9kb3ducmV2LnhtbERPTYvCMBC9C/6HMII3TfUgazWKFETR01Y9eBuasS02&#10;k9LE2vrrNwsLe5vH+5z1tjOVaKlxpWUFs2kEgjizuuRcwfWyn3yBcB5ZY2WZFPTkYLsZDtYYa/vm&#10;b2pTn4sQwi5GBYX3dSylywoy6Ka2Jg7cwzYGfYBNLnWD7xBuKjmPooU0WHJoKLCmpKDsmb6MgnMv&#10;fXu9LZafNil7nd6Tw4kSpcajbrcC4anz/+I/91GH+XP4/SUcIDc/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HY8Fk8AAAADbAAAADwAAAAAAAAAAAAAAAACYAgAAZHJzL2Rvd25y&#10;ZXYueG1sUEsFBgAAAAAEAAQA9QAAAIUDAAAAAA==&#10;" fillcolor="white [3201]" strokecolor="black [3200]" strokeweight="2pt">
                  <v:textbox>
                    <w:txbxContent>
                      <w:p w:rsidR="00001FF9" w:rsidRDefault="00001FF9">
                        <w:pPr>
                          <w:jc w:val="center"/>
                        </w:pPr>
                        <w:r>
                          <w:t>AllSaints</w:t>
                        </w:r>
                      </w:p>
                    </w:txbxContent>
                  </v:textbox>
                </v:rect>
                <v:rect id="Rectangle 13" o:spid="_x0000_s1036" style="position:absolute;left:15014;top:21448;width:6773;height:3726;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sOgCMAA&#10;AADbAAAADwAAAGRycy9kb3ducmV2LnhtbERPTYvCMBC9L/gfwgje1lQFWbtGkYIoerLqYW9DM9uW&#10;bSalibX11xtB2Ns83ucs152pREuNKy0rmIwjEMSZ1SXnCi7n7ecXCOeRNVaWSUFPDtarwccSY23v&#10;fKI29bkIIexiVFB4X8dSuqwgg25sa+LA/drGoA+wyaVu8B7CTSWnUTSXBksODQXWlBSU/aU3o+DY&#10;S99ervPFo03KXqc/ye5AiVKjYbf5BuGp8//it3uvw/wZvH4JB8jVE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csOgCMAAAADbAAAADwAAAAAAAAAAAAAAAACYAgAAZHJzL2Rvd25y&#10;ZXYueG1sUEsFBgAAAAAEAAQA9QAAAIUDAAAAAA==&#10;" fillcolor="white [3201]" strokecolor="black [3200]" strokeweight="2pt">
                  <v:textbox>
                    <w:txbxContent>
                      <w:p w:rsidR="00001FF9" w:rsidRDefault="00001FF9">
                        <w:r>
                          <w:t>Reiss</w:t>
                        </w:r>
                      </w:p>
                    </w:txbxContent>
                  </v:textbox>
                </v:rect>
              </v:group>
            </w:pict>
          </mc:Fallback>
        </mc:AlternateContent>
      </w:r>
    </w:p>
    <w:p w:rsidR="00E05D4E" w:rsidRDefault="00E05D4E" w:rsidP="001042B8">
      <w:pPr>
        <w:spacing w:line="480" w:lineRule="auto"/>
      </w:pPr>
    </w:p>
    <w:p w:rsidR="00E05D4E" w:rsidRDefault="00E05D4E" w:rsidP="001042B8">
      <w:pPr>
        <w:spacing w:line="480" w:lineRule="auto"/>
      </w:pPr>
    </w:p>
    <w:p w:rsidR="00E05D4E" w:rsidRDefault="00E05D4E" w:rsidP="001042B8">
      <w:pPr>
        <w:spacing w:line="480" w:lineRule="auto"/>
      </w:pPr>
    </w:p>
    <w:p w:rsidR="00E05D4E" w:rsidRDefault="00E05D4E" w:rsidP="001042B8">
      <w:pPr>
        <w:spacing w:line="480" w:lineRule="auto"/>
      </w:pPr>
    </w:p>
    <w:p w:rsidR="00E05D4E" w:rsidRDefault="00E05D4E" w:rsidP="001042B8">
      <w:pPr>
        <w:spacing w:line="480" w:lineRule="auto"/>
      </w:pPr>
    </w:p>
    <w:p w:rsidR="00E05D4E" w:rsidRDefault="00E05D4E" w:rsidP="001042B8">
      <w:pPr>
        <w:spacing w:line="480" w:lineRule="auto"/>
      </w:pPr>
    </w:p>
    <w:p w:rsidR="00E05D4E" w:rsidRDefault="00E05D4E" w:rsidP="001042B8">
      <w:pPr>
        <w:spacing w:line="480" w:lineRule="auto"/>
      </w:pPr>
    </w:p>
    <w:p w:rsidR="00E05D4E" w:rsidRDefault="00E05D4E" w:rsidP="001042B8">
      <w:pPr>
        <w:spacing w:line="480" w:lineRule="auto"/>
      </w:pPr>
    </w:p>
    <w:p w:rsidR="00E05D4E" w:rsidRDefault="00E05D4E" w:rsidP="001042B8">
      <w:pPr>
        <w:spacing w:line="480" w:lineRule="auto"/>
      </w:pPr>
    </w:p>
    <w:p w:rsidR="00E05D4E" w:rsidRDefault="00E05D4E" w:rsidP="001042B8">
      <w:pPr>
        <w:spacing w:line="480" w:lineRule="auto"/>
      </w:pPr>
    </w:p>
    <w:p w:rsidR="00E05D4E" w:rsidRDefault="00E05D4E" w:rsidP="001042B8">
      <w:pPr>
        <w:spacing w:line="480" w:lineRule="auto"/>
      </w:pPr>
    </w:p>
    <w:p w:rsidR="00E05D4E" w:rsidRDefault="00E05D4E" w:rsidP="001042B8">
      <w:pPr>
        <w:spacing w:line="480" w:lineRule="auto"/>
      </w:pPr>
    </w:p>
    <w:p w:rsidR="00E05D4E" w:rsidRDefault="002D4108" w:rsidP="001042B8">
      <w:pPr>
        <w:spacing w:line="480" w:lineRule="auto"/>
        <w:jc w:val="center"/>
        <w:rPr>
          <w:b/>
          <w:lang w:val="en-GB"/>
        </w:rPr>
      </w:pPr>
      <w:r>
        <w:rPr>
          <w:b/>
          <w:lang w:val="en-GB"/>
        </w:rPr>
        <w:t xml:space="preserve">Figure </w:t>
      </w:r>
      <w:r w:rsidRPr="00B2697F">
        <w:rPr>
          <w:b/>
        </w:rPr>
        <w:t>3</w:t>
      </w:r>
      <w:r>
        <w:rPr>
          <w:b/>
          <w:lang w:val="en-GB"/>
        </w:rPr>
        <w:t>: Competitor Analysis</w:t>
      </w:r>
    </w:p>
    <w:p w:rsidR="00E05D4E" w:rsidRDefault="002D4108" w:rsidP="001042B8">
      <w:pPr>
        <w:spacing w:line="480" w:lineRule="auto"/>
        <w:jc w:val="center"/>
        <w:rPr>
          <w:lang w:val="en-GB"/>
        </w:rPr>
      </w:pPr>
      <w:r>
        <w:rPr>
          <w:lang w:val="en-GB"/>
        </w:rPr>
        <w:t xml:space="preserve">(Source: Influenced by Shah </w:t>
      </w:r>
      <w:r>
        <w:rPr>
          <w:i/>
          <w:lang w:val="en-GB"/>
        </w:rPr>
        <w:t xml:space="preserve">et al. </w:t>
      </w:r>
      <w:r>
        <w:rPr>
          <w:lang w:val="en-GB"/>
        </w:rPr>
        <w:t>2019)</w:t>
      </w:r>
    </w:p>
    <w:p w:rsidR="00E05D4E" w:rsidRPr="008D17EF" w:rsidRDefault="002D4108" w:rsidP="001042B8">
      <w:pPr>
        <w:spacing w:line="480" w:lineRule="auto"/>
        <w:rPr>
          <w:lang w:val="en-GB"/>
        </w:rPr>
      </w:pPr>
      <w:r w:rsidRPr="008D17EF">
        <w:rPr>
          <w:lang w:val="en-GB"/>
        </w:rPr>
        <w:t>The presence of competitors forces companies to lower prices and improve the quality of products and services (</w:t>
      </w:r>
      <w:r w:rsidRPr="008D17EF">
        <w:t>Helmold and Samara, 2019</w:t>
      </w:r>
      <w:r w:rsidRPr="008D17EF">
        <w:rPr>
          <w:lang w:val="en-GB"/>
        </w:rPr>
        <w:t xml:space="preserve">). As per the opinion of Falahat </w:t>
      </w:r>
      <w:r w:rsidRPr="008D17EF">
        <w:rPr>
          <w:i/>
          <w:lang w:val="en-GB"/>
        </w:rPr>
        <w:t xml:space="preserve">et al. </w:t>
      </w:r>
      <w:r w:rsidRPr="008D17EF">
        <w:rPr>
          <w:lang w:val="en-GB"/>
        </w:rPr>
        <w:t xml:space="preserve">(2020), competitors drive innovation and diversity in products. Not only product market needs to have competition but also labor markets need to have competition for increased productivity and profits. </w:t>
      </w:r>
      <w:r w:rsidRPr="008D17EF">
        <w:rPr>
          <w:i/>
          <w:lang w:val="en-GB"/>
        </w:rPr>
        <w:t xml:space="preserve">AllSaints, Dorothy Perkins, Reiss, </w:t>
      </w:r>
      <w:r w:rsidRPr="008D17EF">
        <w:rPr>
          <w:lang w:val="en-GB"/>
        </w:rPr>
        <w:t xml:space="preserve">and </w:t>
      </w:r>
      <w:r w:rsidRPr="008D17EF">
        <w:rPr>
          <w:i/>
          <w:lang w:val="en-GB"/>
        </w:rPr>
        <w:t xml:space="preserve">Jack Wills </w:t>
      </w:r>
      <w:r w:rsidRPr="008D17EF">
        <w:rPr>
          <w:lang w:val="en-GB"/>
        </w:rPr>
        <w:t xml:space="preserve">are four significant direct competitors identified by Ted Baker. On the other hand, </w:t>
      </w:r>
      <w:r w:rsidRPr="008D17EF">
        <w:rPr>
          <w:i/>
          <w:lang w:val="en-GB"/>
        </w:rPr>
        <w:t xml:space="preserve">Karenmillen, Riverislan, Frenchconnection, </w:t>
      </w:r>
      <w:r w:rsidRPr="008D17EF">
        <w:rPr>
          <w:lang w:val="en-GB"/>
        </w:rPr>
        <w:t xml:space="preserve">and </w:t>
      </w:r>
      <w:r w:rsidRPr="008D17EF">
        <w:rPr>
          <w:i/>
          <w:lang w:val="en-GB"/>
        </w:rPr>
        <w:t>Asos</w:t>
      </w:r>
      <w:r w:rsidRPr="008D17EF">
        <w:rPr>
          <w:lang w:val="en-GB"/>
        </w:rPr>
        <w:t xml:space="preserve"> are four indirect competitors of Ted Baker. </w:t>
      </w:r>
    </w:p>
    <w:p w:rsidR="00E05D4E" w:rsidRDefault="002D4108" w:rsidP="001042B8">
      <w:pPr>
        <w:pStyle w:val="Heading3"/>
        <w:spacing w:line="480" w:lineRule="auto"/>
        <w:rPr>
          <w:b/>
          <w:bCs/>
          <w:sz w:val="22"/>
          <w:szCs w:val="22"/>
          <w:lang w:val="en-GB"/>
        </w:rPr>
      </w:pPr>
      <w:bookmarkStart w:id="18" w:name="_Toc129520556"/>
      <w:bookmarkStart w:id="19" w:name="_Toc133940675"/>
      <w:r>
        <w:rPr>
          <w:b/>
          <w:bCs/>
          <w:sz w:val="22"/>
          <w:szCs w:val="22"/>
          <w:lang w:val="en-GB"/>
        </w:rPr>
        <w:t>Market size</w:t>
      </w:r>
      <w:bookmarkEnd w:id="18"/>
      <w:bookmarkEnd w:id="19"/>
      <w:r>
        <w:rPr>
          <w:b/>
          <w:bCs/>
          <w:sz w:val="22"/>
          <w:szCs w:val="22"/>
          <w:lang w:val="en-GB"/>
        </w:rPr>
        <w:t xml:space="preserve"> </w:t>
      </w:r>
    </w:p>
    <w:p w:rsidR="00E05D4E" w:rsidRDefault="002D4108" w:rsidP="001042B8">
      <w:pPr>
        <w:spacing w:line="480" w:lineRule="auto"/>
        <w:rPr>
          <w:lang w:val="en-GB"/>
        </w:rPr>
      </w:pPr>
      <w:r>
        <w:rPr>
          <w:lang w:val="en-GB"/>
        </w:rPr>
        <w:t xml:space="preserve">For analysing the potential for new products and services, the market size plays the role of an indicator. As per the comment of Farjadian </w:t>
      </w:r>
      <w:r>
        <w:rPr>
          <w:i/>
          <w:lang w:val="en-GB"/>
        </w:rPr>
        <w:t xml:space="preserve">et al. </w:t>
      </w:r>
      <w:r>
        <w:rPr>
          <w:lang w:val="en-GB"/>
        </w:rPr>
        <w:t xml:space="preserve">(2019), the market size </w:t>
      </w:r>
      <w:r>
        <w:rPr>
          <w:lang w:val="en-GB"/>
        </w:rPr>
        <w:lastRenderedPageBreak/>
        <w:t xml:space="preserve">allows the </w:t>
      </w:r>
      <w:r w:rsidR="005C1508">
        <w:rPr>
          <w:lang w:val="en-GB"/>
        </w:rPr>
        <w:t>organisation</w:t>
      </w:r>
      <w:r>
        <w:rPr>
          <w:lang w:val="en-GB"/>
        </w:rPr>
        <w:t xml:space="preserve"> to determine the potential number of profits. Market capitalization is measured by calculating the current stock princess acquired by a company. The market capital obtained by Ted Baker is $0.22 billion at the end of 2022 (Tedbakerplc.com, 2023). </w:t>
      </w:r>
    </w:p>
    <w:p w:rsidR="00E05D4E" w:rsidRDefault="002D4108" w:rsidP="001042B8">
      <w:pPr>
        <w:pStyle w:val="Heading3"/>
        <w:spacing w:line="480" w:lineRule="auto"/>
        <w:rPr>
          <w:b/>
          <w:bCs/>
          <w:sz w:val="22"/>
          <w:szCs w:val="22"/>
          <w:lang w:val="en-GB"/>
        </w:rPr>
      </w:pPr>
      <w:bookmarkStart w:id="20" w:name="_Toc129520557"/>
      <w:bookmarkStart w:id="21" w:name="_Toc133940676"/>
      <w:r>
        <w:rPr>
          <w:b/>
          <w:bCs/>
          <w:sz w:val="22"/>
          <w:szCs w:val="22"/>
          <w:lang w:val="en-GB"/>
        </w:rPr>
        <w:t>Key success factors</w:t>
      </w:r>
      <w:bookmarkEnd w:id="20"/>
      <w:bookmarkEnd w:id="21"/>
      <w:r>
        <w:rPr>
          <w:b/>
          <w:bCs/>
          <w:sz w:val="22"/>
          <w:szCs w:val="22"/>
          <w:lang w:val="en-GB"/>
        </w:rPr>
        <w:t xml:space="preserve"> </w:t>
      </w:r>
    </w:p>
    <w:p w:rsidR="00E05D4E" w:rsidRPr="008D17EF" w:rsidRDefault="002D4108" w:rsidP="001042B8">
      <w:pPr>
        <w:spacing w:line="480" w:lineRule="auto"/>
      </w:pPr>
      <w:r w:rsidRPr="008D17EF">
        <w:rPr>
          <w:lang w:val="en-GB"/>
        </w:rPr>
        <w:t xml:space="preserve">Identifying the key success factors to ensure the increasing rate of market revenue is an essential phase in market analysis. As analysed by Chatibura (2021), having </w:t>
      </w:r>
      <w:r w:rsidRPr="000F5B54">
        <w:rPr>
          <w:lang w:val="en-GB"/>
        </w:rPr>
        <w:t>access to essential unique resources, access to distribution channels, the ability to achieve economies to scale, and technological progress are key success factors.</w:t>
      </w:r>
      <w:r w:rsidRPr="008D17EF">
        <w:rPr>
          <w:lang w:val="en-GB"/>
        </w:rPr>
        <w:t xml:space="preserve"> These success factors are identified by Ted Baker to have a competitive advantage in the target market. </w:t>
      </w:r>
      <w:r w:rsidRPr="008D17EF">
        <w:t xml:space="preserve"> </w:t>
      </w:r>
    </w:p>
    <w:p w:rsidR="00E05D4E" w:rsidRDefault="002D4108" w:rsidP="001042B8">
      <w:pPr>
        <w:pStyle w:val="Heading2"/>
        <w:spacing w:line="480" w:lineRule="auto"/>
        <w:rPr>
          <w:sz w:val="22"/>
          <w:szCs w:val="22"/>
          <w:lang w:val="en-GB"/>
        </w:rPr>
      </w:pPr>
      <w:bookmarkStart w:id="22" w:name="_Toc129520558"/>
      <w:bookmarkStart w:id="23" w:name="_Toc133940677"/>
      <w:r>
        <w:rPr>
          <w:sz w:val="22"/>
          <w:szCs w:val="22"/>
          <w:lang w:val="en-GB"/>
        </w:rPr>
        <w:t>Host country analysis</w:t>
      </w:r>
      <w:bookmarkEnd w:id="22"/>
      <w:bookmarkEnd w:id="23"/>
    </w:p>
    <w:p w:rsidR="00E05D4E" w:rsidRDefault="002D4108" w:rsidP="001042B8">
      <w:pPr>
        <w:pStyle w:val="Heading3"/>
        <w:spacing w:line="480" w:lineRule="auto"/>
        <w:rPr>
          <w:b/>
          <w:bCs/>
          <w:sz w:val="22"/>
          <w:szCs w:val="22"/>
          <w:lang w:val="en-GB"/>
        </w:rPr>
      </w:pPr>
      <w:bookmarkStart w:id="24" w:name="_Toc129520559"/>
      <w:bookmarkStart w:id="25" w:name="_Toc133940678"/>
      <w:r>
        <w:rPr>
          <w:b/>
          <w:bCs/>
          <w:sz w:val="22"/>
          <w:szCs w:val="22"/>
          <w:lang w:val="en-GB"/>
        </w:rPr>
        <w:t>Turkey’s national diamond</w:t>
      </w:r>
      <w:bookmarkEnd w:id="24"/>
      <w:bookmarkEnd w:id="25"/>
    </w:p>
    <w:p w:rsidR="007A6143" w:rsidRPr="007A6143" w:rsidRDefault="007A6143" w:rsidP="007A6143">
      <w:pPr>
        <w:rPr>
          <w:lang w:val="en-GB"/>
        </w:rPr>
      </w:pPr>
    </w:p>
    <w:p w:rsidR="00E05D4E" w:rsidRPr="008D17EF" w:rsidRDefault="007A6143" w:rsidP="001042B8">
      <w:pPr>
        <w:spacing w:line="480" w:lineRule="auto"/>
        <w:rPr>
          <w:color w:val="000000" w:themeColor="text1"/>
          <w:lang w:val="en-GB"/>
        </w:rPr>
      </w:pPr>
      <w:r w:rsidRPr="008D17EF">
        <w:rPr>
          <w:color w:val="000000" w:themeColor="text1"/>
          <w:lang w:val="en-GB"/>
        </w:rPr>
        <w:t>The diamond model, also known as Porter's Diamond or the Porter Diamond Theory of National Advantage, is a model used for the inspection of the competitive advantage of a company as per the pros and the cons of the country</w:t>
      </w:r>
      <w:r w:rsidR="007E46C4" w:rsidRPr="008D17EF">
        <w:rPr>
          <w:color w:val="000000" w:themeColor="text1"/>
          <w:lang w:val="en-GB"/>
        </w:rPr>
        <w:t xml:space="preserve"> (</w:t>
      </w:r>
      <w:r w:rsidR="007E46C4" w:rsidRPr="008D17EF">
        <w:rPr>
          <w:color w:val="000000" w:themeColor="text1"/>
        </w:rPr>
        <w:t>Vlados, 2019</w:t>
      </w:r>
      <w:r w:rsidR="007E46C4" w:rsidRPr="008D17EF">
        <w:rPr>
          <w:color w:val="000000" w:themeColor="text1"/>
          <w:lang w:val="en-GB"/>
        </w:rPr>
        <w:t>)</w:t>
      </w:r>
      <w:r w:rsidRPr="008D17EF">
        <w:rPr>
          <w:color w:val="000000" w:themeColor="text1"/>
          <w:lang w:val="en-GB"/>
        </w:rPr>
        <w:t xml:space="preserve">. As per the comment of Huo </w:t>
      </w:r>
      <w:r w:rsidRPr="008D17EF">
        <w:rPr>
          <w:i/>
          <w:color w:val="000000" w:themeColor="text1"/>
          <w:lang w:val="en-GB"/>
        </w:rPr>
        <w:t>et al.</w:t>
      </w:r>
      <w:r w:rsidRPr="008D17EF">
        <w:rPr>
          <w:color w:val="000000" w:themeColor="text1"/>
          <w:lang w:val="en-GB"/>
        </w:rPr>
        <w:t xml:space="preserve"> (2020), the diamond model highlights the advantages and disadvantages of a country’s market which impacts the growth of the company. Hence, d</w:t>
      </w:r>
      <w:r w:rsidR="002D4108" w:rsidRPr="008D17EF">
        <w:rPr>
          <w:color w:val="000000" w:themeColor="text1"/>
          <w:lang w:val="en-GB"/>
        </w:rPr>
        <w:t xml:space="preserve">iamond model helps a company to analyse the market of a nation to get a competitive advantage. Determining these factors improves the competitive performance level of Ted Baker in Turkey’s marketplace. </w:t>
      </w:r>
    </w:p>
    <w:p w:rsidR="00E05D4E" w:rsidRDefault="002D4108" w:rsidP="001042B8">
      <w:pPr>
        <w:spacing w:line="480" w:lineRule="auto"/>
        <w:jc w:val="center"/>
        <w:rPr>
          <w:lang w:val="en-GB"/>
        </w:rPr>
      </w:pPr>
      <w:r>
        <w:rPr>
          <w:noProof/>
          <w:lang w:val="en-US" w:eastAsia="en-US"/>
        </w:rPr>
        <w:lastRenderedPageBreak/>
        <w:drawing>
          <wp:inline distT="114300" distB="114300" distL="114300" distR="114300" wp14:anchorId="2923FB17" wp14:editId="64646A7C">
            <wp:extent cx="4181475" cy="4162425"/>
            <wp:effectExtent l="76200" t="76200" r="142875" b="142875"/>
            <wp:docPr id="4" name="image1.png"/>
            <wp:cNvGraphicFramePr/>
            <a:graphic xmlns:a="http://schemas.openxmlformats.org/drawingml/2006/main">
              <a:graphicData uri="http://schemas.openxmlformats.org/drawingml/2006/picture">
                <pic:pic xmlns:pic="http://schemas.openxmlformats.org/drawingml/2006/picture">
                  <pic:nvPicPr>
                    <pic:cNvPr id="4" name="image1.png"/>
                    <pic:cNvPicPr preferRelativeResize="0"/>
                  </pic:nvPicPr>
                  <pic:blipFill>
                    <a:blip r:embed="rId12"/>
                    <a:srcRect/>
                    <a:stretch>
                      <a:fillRect/>
                    </a:stretch>
                  </pic:blipFill>
                  <pic:spPr>
                    <a:xfrm>
                      <a:off x="0" y="0"/>
                      <a:ext cx="4181475" cy="4162425"/>
                    </a:xfrm>
                    <a:prstGeom prst="rect">
                      <a:avLst/>
                    </a:prstGeom>
                    <a:ln w="38100" cap="sq">
                      <a:solidFill>
                        <a:srgbClr val="000000"/>
                      </a:solidFill>
                      <a:prstDash val="solid"/>
                      <a:miter lim="800000"/>
                      <a:headEnd/>
                      <a:tailEnd/>
                    </a:ln>
                    <a:effectLst>
                      <a:outerShdw blurRad="50800" dist="38100" dir="2700000" algn="tl" rotWithShape="0">
                        <a:srgbClr val="000000">
                          <a:alpha val="43000"/>
                        </a:srgbClr>
                      </a:outerShdw>
                    </a:effectLst>
                  </pic:spPr>
                </pic:pic>
              </a:graphicData>
            </a:graphic>
          </wp:inline>
        </w:drawing>
      </w:r>
    </w:p>
    <w:p w:rsidR="00E05D4E" w:rsidRDefault="002D4108" w:rsidP="001042B8">
      <w:pPr>
        <w:spacing w:line="480" w:lineRule="auto"/>
        <w:jc w:val="center"/>
        <w:rPr>
          <w:b/>
          <w:lang w:val="en-GB"/>
        </w:rPr>
      </w:pPr>
      <w:r>
        <w:rPr>
          <w:b/>
          <w:lang w:val="en-GB"/>
        </w:rPr>
        <w:t xml:space="preserve">Figure </w:t>
      </w:r>
      <w:r w:rsidRPr="00B2697F">
        <w:rPr>
          <w:b/>
        </w:rPr>
        <w:t>4</w:t>
      </w:r>
      <w:r>
        <w:rPr>
          <w:b/>
          <w:lang w:val="en-GB"/>
        </w:rPr>
        <w:t>: Diamond model</w:t>
      </w:r>
    </w:p>
    <w:p w:rsidR="00E05D4E" w:rsidRDefault="002D4108" w:rsidP="001042B8">
      <w:pPr>
        <w:spacing w:line="480" w:lineRule="auto"/>
        <w:jc w:val="center"/>
        <w:rPr>
          <w:lang w:val="en-GB"/>
        </w:rPr>
      </w:pPr>
      <w:r>
        <w:rPr>
          <w:lang w:val="en-GB"/>
        </w:rPr>
        <w:t xml:space="preserve">(Source: Influenced by Guan </w:t>
      </w:r>
      <w:r>
        <w:rPr>
          <w:i/>
          <w:lang w:val="en-GB"/>
        </w:rPr>
        <w:t>et al.</w:t>
      </w:r>
      <w:r>
        <w:rPr>
          <w:lang w:val="en-GB"/>
        </w:rPr>
        <w:t xml:space="preserve"> 2019)</w:t>
      </w:r>
    </w:p>
    <w:p w:rsidR="00E05D4E" w:rsidRDefault="002D4108" w:rsidP="001042B8">
      <w:pPr>
        <w:spacing w:line="480" w:lineRule="auto"/>
        <w:rPr>
          <w:lang w:val="en-GB"/>
        </w:rPr>
      </w:pPr>
      <w:r>
        <w:rPr>
          <w:lang w:val="en-GB"/>
        </w:rPr>
        <w:t xml:space="preserve">Identification of Ted Baker’s strategy, demand conduction in Turkey’s market, supporting industries, and input conditions are four essential phases to get a competitive advantage in </w:t>
      </w:r>
      <w:r w:rsidR="005C1508">
        <w:rPr>
          <w:lang w:val="en-GB"/>
        </w:rPr>
        <w:t>Turkey’s</w:t>
      </w:r>
      <w:r>
        <w:rPr>
          <w:lang w:val="en-GB"/>
        </w:rPr>
        <w:t xml:space="preserve"> market. According to Guan </w:t>
      </w:r>
      <w:r>
        <w:rPr>
          <w:i/>
          <w:lang w:val="en-GB"/>
        </w:rPr>
        <w:t>et al.</w:t>
      </w:r>
      <w:r>
        <w:rPr>
          <w:lang w:val="en-GB"/>
        </w:rPr>
        <w:t xml:space="preserve"> (2019), the dynamic population of Turkey helps to generate a large consumer base for Ted Baker. Further, citizens' interest in apparel and fashion provides a competitive advantage to Ted Baker. It has been seen that fewer clothing industries in Turkey’s market as compared to other markets provide a scope to grow for Ted Baker. </w:t>
      </w:r>
    </w:p>
    <w:p w:rsidR="00E05D4E" w:rsidRDefault="002D4108" w:rsidP="001042B8">
      <w:pPr>
        <w:pStyle w:val="Heading2"/>
        <w:spacing w:line="480" w:lineRule="auto"/>
        <w:rPr>
          <w:b w:val="0"/>
          <w:sz w:val="22"/>
          <w:szCs w:val="22"/>
        </w:rPr>
      </w:pPr>
      <w:bookmarkStart w:id="26" w:name="_Toc129522655"/>
      <w:bookmarkStart w:id="27" w:name="_Toc133940679"/>
      <w:r>
        <w:rPr>
          <w:sz w:val="22"/>
          <w:szCs w:val="22"/>
        </w:rPr>
        <w:t>Turkey’s business risks</w:t>
      </w:r>
      <w:bookmarkEnd w:id="26"/>
      <w:bookmarkEnd w:id="27"/>
    </w:p>
    <w:p w:rsidR="00E05D4E" w:rsidRDefault="002D4108" w:rsidP="001042B8">
      <w:pPr>
        <w:spacing w:line="480" w:lineRule="auto"/>
        <w:rPr>
          <w:rFonts w:eastAsia="Times New Roman"/>
        </w:rPr>
      </w:pPr>
      <w:r>
        <w:rPr>
          <w:rFonts w:eastAsia="Times New Roman"/>
        </w:rPr>
        <w:t xml:space="preserve">Expanding a business in Turkey has brought up certain challenges for Ted Baker to boat their operational efficiency. Regulations and legislation in Turkey change </w:t>
      </w:r>
      <w:r>
        <w:rPr>
          <w:rFonts w:eastAsia="Times New Roman"/>
        </w:rPr>
        <w:lastRenderedPageBreak/>
        <w:t xml:space="preserve">suddenly which makes it difficult for companies to follow up. As per the opinion of </w:t>
      </w:r>
      <w:r>
        <w:rPr>
          <w:rFonts w:eastAsia="Times New Roman"/>
          <w:color w:val="222222"/>
          <w:highlight w:val="white"/>
        </w:rPr>
        <w:t xml:space="preserve">Asgary </w:t>
      </w:r>
      <w:r>
        <w:rPr>
          <w:rFonts w:eastAsia="Times New Roman"/>
          <w:i/>
          <w:color w:val="222222"/>
          <w:highlight w:val="white"/>
        </w:rPr>
        <w:t>et al.</w:t>
      </w:r>
      <w:r>
        <w:rPr>
          <w:rFonts w:eastAsia="Times New Roman"/>
          <w:color w:val="222222"/>
          <w:highlight w:val="white"/>
        </w:rPr>
        <w:t xml:space="preserve"> </w:t>
      </w:r>
      <w:r>
        <w:rPr>
          <w:rFonts w:eastAsia="Times New Roman"/>
        </w:rPr>
        <w:t xml:space="preserve">(2020), overnight change in regulatory norms disturbs the networking structure of a company, and most firms fail to overcome the obstacles. Another major concern for businesses operating in Turkey is their fluctuating currency rates. This imposes problems for the importing and exporting aspects of businesses. In addition to this, it interrupted the payment terms and conditions, which influences the revenue of the firm. Local competitors have a stronghold in the retail sector, creating additional difficulties for Ted Baker to make a position. Mostly local firms adopt a low-pricing strategy which makes customers select them over international brands. According to the viewpoints of </w:t>
      </w:r>
      <w:r>
        <w:rPr>
          <w:rFonts w:eastAsia="Times New Roman"/>
          <w:color w:val="222222"/>
          <w:highlight w:val="white"/>
        </w:rPr>
        <w:t xml:space="preserve">Kul </w:t>
      </w:r>
      <w:r>
        <w:rPr>
          <w:rFonts w:eastAsia="Times New Roman"/>
          <w:i/>
          <w:color w:val="222222"/>
          <w:highlight w:val="white"/>
        </w:rPr>
        <w:t>et al.</w:t>
      </w:r>
      <w:r>
        <w:rPr>
          <w:rFonts w:eastAsia="Times New Roman"/>
          <w:color w:val="222222"/>
          <w:highlight w:val="white"/>
        </w:rPr>
        <w:t xml:space="preserve"> </w:t>
      </w:r>
      <w:r>
        <w:rPr>
          <w:rFonts w:eastAsia="Times New Roman"/>
        </w:rPr>
        <w:t xml:space="preserve">(2020), interest and tax rates imposed on foreign companies make it challenging to establish in the Turkish market. As a result, foreign brands fail to compete with local companies with respect to the low-price strategy. Therefore, an integration of these strategies makes it a challenge for foreign companies to establish themselves in the Turkish market. </w:t>
      </w:r>
    </w:p>
    <w:p w:rsidR="00E05D4E" w:rsidRDefault="002D4108" w:rsidP="001042B8">
      <w:pPr>
        <w:pStyle w:val="Heading1"/>
        <w:spacing w:line="480" w:lineRule="auto"/>
        <w:rPr>
          <w:b w:val="0"/>
          <w:sz w:val="22"/>
          <w:szCs w:val="22"/>
        </w:rPr>
      </w:pPr>
      <w:bookmarkStart w:id="28" w:name="_Toc129522656"/>
      <w:bookmarkStart w:id="29" w:name="_Toc133940680"/>
      <w:r>
        <w:rPr>
          <w:sz w:val="22"/>
          <w:szCs w:val="22"/>
        </w:rPr>
        <w:t>Internal Analysis</w:t>
      </w:r>
      <w:bookmarkEnd w:id="28"/>
      <w:bookmarkEnd w:id="29"/>
      <w:r>
        <w:rPr>
          <w:sz w:val="22"/>
          <w:szCs w:val="22"/>
        </w:rPr>
        <w:t xml:space="preserve"> </w:t>
      </w:r>
    </w:p>
    <w:p w:rsidR="00E05D4E" w:rsidRDefault="002D4108" w:rsidP="001042B8">
      <w:pPr>
        <w:pStyle w:val="Heading2"/>
        <w:spacing w:line="480" w:lineRule="auto"/>
        <w:rPr>
          <w:sz w:val="22"/>
          <w:szCs w:val="22"/>
        </w:rPr>
      </w:pPr>
      <w:bookmarkStart w:id="30" w:name="_Toc129522657"/>
      <w:bookmarkStart w:id="31" w:name="_Toc133940681"/>
      <w:r>
        <w:rPr>
          <w:sz w:val="22"/>
          <w:szCs w:val="22"/>
        </w:rPr>
        <w:t>Value chain analysis</w:t>
      </w:r>
      <w:bookmarkEnd w:id="30"/>
      <w:bookmarkEnd w:id="31"/>
      <w:r>
        <w:rPr>
          <w:sz w:val="22"/>
          <w:szCs w:val="22"/>
        </w:rPr>
        <w:t xml:space="preserve">  </w:t>
      </w:r>
    </w:p>
    <w:p w:rsidR="00E05D4E" w:rsidRPr="008D17EF" w:rsidRDefault="00A9406D" w:rsidP="001042B8">
      <w:pPr>
        <w:spacing w:line="480" w:lineRule="auto"/>
        <w:rPr>
          <w:rFonts w:eastAsia="Times New Roman"/>
          <w:color w:val="000000" w:themeColor="text1"/>
        </w:rPr>
      </w:pPr>
      <w:r w:rsidRPr="008D17EF">
        <w:rPr>
          <w:rFonts w:eastAsia="Times New Roman"/>
          <w:color w:val="000000" w:themeColor="text1"/>
        </w:rPr>
        <w:t>The value chain examination is defined to be a tool implemented in the performance of a company to measure the activities of the firm, and highlight the issues for improving its organisational output</w:t>
      </w:r>
      <w:r w:rsidR="007E46C4" w:rsidRPr="008D17EF">
        <w:rPr>
          <w:rFonts w:eastAsia="Times New Roman"/>
          <w:color w:val="000000" w:themeColor="text1"/>
        </w:rPr>
        <w:t xml:space="preserve"> (</w:t>
      </w:r>
      <w:r w:rsidR="007E46C4" w:rsidRPr="008D17EF">
        <w:rPr>
          <w:color w:val="000000" w:themeColor="text1"/>
        </w:rPr>
        <w:t xml:space="preserve">Dubey </w:t>
      </w:r>
      <w:r w:rsidR="007E46C4" w:rsidRPr="008D17EF">
        <w:rPr>
          <w:i/>
          <w:color w:val="000000" w:themeColor="text1"/>
        </w:rPr>
        <w:t>et al.</w:t>
      </w:r>
      <w:r w:rsidR="007E46C4" w:rsidRPr="008D17EF">
        <w:rPr>
          <w:color w:val="000000" w:themeColor="text1"/>
        </w:rPr>
        <w:t xml:space="preserve"> 2020</w:t>
      </w:r>
      <w:r w:rsidR="007E46C4" w:rsidRPr="008D17EF">
        <w:rPr>
          <w:rFonts w:eastAsia="Times New Roman"/>
          <w:color w:val="000000" w:themeColor="text1"/>
        </w:rPr>
        <w:t>)</w:t>
      </w:r>
      <w:r w:rsidRPr="008D17EF">
        <w:rPr>
          <w:rFonts w:eastAsia="Times New Roman"/>
          <w:color w:val="000000" w:themeColor="text1"/>
        </w:rPr>
        <w:t xml:space="preserve">. </w:t>
      </w:r>
    </w:p>
    <w:p w:rsidR="00E05D4E" w:rsidRDefault="002D4108" w:rsidP="001042B8">
      <w:pPr>
        <w:spacing w:line="480" w:lineRule="auto"/>
        <w:jc w:val="center"/>
        <w:rPr>
          <w:rFonts w:eastAsia="Times New Roman"/>
          <w:b/>
        </w:rPr>
      </w:pPr>
      <w:r>
        <w:rPr>
          <w:rFonts w:eastAsia="Times New Roman"/>
          <w:b/>
          <w:noProof/>
          <w:lang w:val="en-US" w:eastAsia="en-US"/>
        </w:rPr>
        <w:lastRenderedPageBreak/>
        <w:drawing>
          <wp:inline distT="114300" distB="114300" distL="114300" distR="114300" wp14:anchorId="7B55FBAC" wp14:editId="2CA4F384">
            <wp:extent cx="5490845" cy="2701290"/>
            <wp:effectExtent l="0" t="0" r="0" b="0"/>
            <wp:docPr id="15" name="image1.png"/>
            <wp:cNvGraphicFramePr/>
            <a:graphic xmlns:a="http://schemas.openxmlformats.org/drawingml/2006/main">
              <a:graphicData uri="http://schemas.openxmlformats.org/drawingml/2006/picture">
                <pic:pic xmlns:pic="http://schemas.openxmlformats.org/drawingml/2006/picture">
                  <pic:nvPicPr>
                    <pic:cNvPr id="15" name="image1.png"/>
                    <pic:cNvPicPr preferRelativeResize="0"/>
                  </pic:nvPicPr>
                  <pic:blipFill>
                    <a:blip r:embed="rId13"/>
                    <a:srcRect/>
                    <a:stretch>
                      <a:fillRect/>
                    </a:stretch>
                  </pic:blipFill>
                  <pic:spPr>
                    <a:xfrm>
                      <a:off x="0" y="0"/>
                      <a:ext cx="5491163" cy="2701582"/>
                    </a:xfrm>
                    <a:prstGeom prst="rect">
                      <a:avLst/>
                    </a:prstGeom>
                  </pic:spPr>
                </pic:pic>
              </a:graphicData>
            </a:graphic>
          </wp:inline>
        </w:drawing>
      </w:r>
    </w:p>
    <w:p w:rsidR="00E05D4E" w:rsidRDefault="002D4108" w:rsidP="001042B8">
      <w:pPr>
        <w:spacing w:line="480" w:lineRule="auto"/>
        <w:jc w:val="center"/>
        <w:rPr>
          <w:rFonts w:eastAsia="Times New Roman"/>
          <w:b/>
        </w:rPr>
      </w:pPr>
      <w:r>
        <w:rPr>
          <w:rFonts w:eastAsia="Times New Roman"/>
          <w:b/>
        </w:rPr>
        <w:t xml:space="preserve">Figure </w:t>
      </w:r>
      <w:r w:rsidRPr="00B2697F">
        <w:rPr>
          <w:rFonts w:eastAsia="Times New Roman"/>
          <w:b/>
        </w:rPr>
        <w:t>5</w:t>
      </w:r>
      <w:r>
        <w:rPr>
          <w:rFonts w:eastAsia="Times New Roman"/>
          <w:b/>
        </w:rPr>
        <w:t>: Value chain</w:t>
      </w:r>
    </w:p>
    <w:p w:rsidR="00E05D4E" w:rsidRDefault="002D4108" w:rsidP="001042B8">
      <w:pPr>
        <w:spacing w:line="480" w:lineRule="auto"/>
        <w:jc w:val="center"/>
        <w:rPr>
          <w:rFonts w:eastAsia="Times New Roman"/>
        </w:rPr>
      </w:pPr>
      <w:r>
        <w:rPr>
          <w:rFonts w:eastAsia="Times New Roman"/>
        </w:rPr>
        <w:t>(Source:</w:t>
      </w:r>
      <w:r>
        <w:rPr>
          <w:rFonts w:eastAsia="Times New Roman"/>
          <w:color w:val="222222"/>
          <w:highlight w:val="white"/>
        </w:rPr>
        <w:t xml:space="preserve"> Fernandez-Stark and Gereffi, 2019</w:t>
      </w:r>
      <w:r>
        <w:rPr>
          <w:rFonts w:eastAsia="Times New Roman"/>
        </w:rPr>
        <w:t>)</w:t>
      </w:r>
    </w:p>
    <w:p w:rsidR="00E05D4E" w:rsidRDefault="002D4108" w:rsidP="001042B8">
      <w:pPr>
        <w:spacing w:line="480" w:lineRule="auto"/>
        <w:rPr>
          <w:rFonts w:eastAsia="Times New Roman"/>
          <w:b/>
        </w:rPr>
      </w:pPr>
      <w:r>
        <w:rPr>
          <w:rFonts w:eastAsia="Times New Roman"/>
          <w:b/>
        </w:rPr>
        <w:t>Primary activities</w:t>
      </w:r>
    </w:p>
    <w:tbl>
      <w:tblPr>
        <w:tblW w:w="9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4A0" w:firstRow="1" w:lastRow="0" w:firstColumn="1" w:lastColumn="0" w:noHBand="0" w:noVBand="1"/>
      </w:tblPr>
      <w:tblGrid>
        <w:gridCol w:w="1951"/>
        <w:gridCol w:w="7409"/>
      </w:tblGrid>
      <w:tr w:rsidR="00E05D4E">
        <w:tc>
          <w:tcPr>
            <w:tcW w:w="1951" w:type="dxa"/>
            <w:shd w:val="clear" w:color="auto" w:fill="auto"/>
            <w:tcMar>
              <w:top w:w="100" w:type="dxa"/>
              <w:left w:w="100" w:type="dxa"/>
              <w:bottom w:w="100" w:type="dxa"/>
              <w:right w:w="100" w:type="dxa"/>
            </w:tcMar>
          </w:tcPr>
          <w:p w:rsidR="00E05D4E" w:rsidRDefault="002D4108" w:rsidP="001042B8">
            <w:pPr>
              <w:widowControl w:val="0"/>
              <w:spacing w:line="480" w:lineRule="auto"/>
              <w:rPr>
                <w:rFonts w:eastAsia="Times New Roman"/>
              </w:rPr>
            </w:pPr>
            <w:r>
              <w:rPr>
                <w:rFonts w:eastAsia="Times New Roman"/>
              </w:rPr>
              <w:t>Inbound logistics</w:t>
            </w:r>
          </w:p>
        </w:tc>
        <w:tc>
          <w:tcPr>
            <w:tcW w:w="7409" w:type="dxa"/>
            <w:shd w:val="clear" w:color="auto" w:fill="auto"/>
            <w:tcMar>
              <w:top w:w="100" w:type="dxa"/>
              <w:left w:w="100" w:type="dxa"/>
              <w:bottom w:w="100" w:type="dxa"/>
              <w:right w:w="100" w:type="dxa"/>
            </w:tcMar>
          </w:tcPr>
          <w:p w:rsidR="00E05D4E" w:rsidRDefault="002D4108" w:rsidP="001042B8">
            <w:pPr>
              <w:widowControl w:val="0"/>
              <w:spacing w:line="480" w:lineRule="auto"/>
              <w:rPr>
                <w:rFonts w:eastAsia="Times New Roman"/>
              </w:rPr>
            </w:pPr>
            <w:r>
              <w:rPr>
                <w:rFonts w:eastAsia="Times New Roman"/>
              </w:rPr>
              <w:t xml:space="preserve">Ted Baker has been associating with multiple suppliers and gaining their trust to receive, store, and distribute their products. However, the company faces challenges to transform its raw materials and present an innovative finished good in the market. </w:t>
            </w:r>
          </w:p>
        </w:tc>
      </w:tr>
      <w:tr w:rsidR="00E05D4E">
        <w:tc>
          <w:tcPr>
            <w:tcW w:w="1951" w:type="dxa"/>
            <w:shd w:val="clear" w:color="auto" w:fill="auto"/>
            <w:tcMar>
              <w:top w:w="100" w:type="dxa"/>
              <w:left w:w="100" w:type="dxa"/>
              <w:bottom w:w="100" w:type="dxa"/>
              <w:right w:w="100" w:type="dxa"/>
            </w:tcMar>
          </w:tcPr>
          <w:p w:rsidR="00E05D4E" w:rsidRDefault="002D4108" w:rsidP="001042B8">
            <w:pPr>
              <w:widowControl w:val="0"/>
              <w:spacing w:line="480" w:lineRule="auto"/>
              <w:rPr>
                <w:rFonts w:eastAsia="Times New Roman"/>
              </w:rPr>
            </w:pPr>
            <w:r>
              <w:rPr>
                <w:rFonts w:eastAsia="Times New Roman"/>
              </w:rPr>
              <w:t>Operations</w:t>
            </w:r>
          </w:p>
        </w:tc>
        <w:tc>
          <w:tcPr>
            <w:tcW w:w="7409" w:type="dxa"/>
            <w:shd w:val="clear" w:color="auto" w:fill="auto"/>
            <w:tcMar>
              <w:top w:w="100" w:type="dxa"/>
              <w:left w:w="100" w:type="dxa"/>
              <w:bottom w:w="100" w:type="dxa"/>
              <w:right w:w="100" w:type="dxa"/>
            </w:tcMar>
          </w:tcPr>
          <w:p w:rsidR="00E05D4E" w:rsidRDefault="002D4108" w:rsidP="001042B8">
            <w:pPr>
              <w:widowControl w:val="0"/>
              <w:spacing w:line="480" w:lineRule="auto"/>
              <w:rPr>
                <w:rFonts w:eastAsia="Times New Roman"/>
              </w:rPr>
            </w:pPr>
            <w:r>
              <w:rPr>
                <w:rFonts w:eastAsia="Times New Roman"/>
              </w:rPr>
              <w:t xml:space="preserve">Ted Baker operates in 19 countries by providing high-street fashion choices. Enhancing their operational activities is important to boost their overall revenue and gain a competitive advantage.  </w:t>
            </w:r>
          </w:p>
        </w:tc>
      </w:tr>
      <w:tr w:rsidR="00E05D4E">
        <w:tc>
          <w:tcPr>
            <w:tcW w:w="1951" w:type="dxa"/>
            <w:shd w:val="clear" w:color="auto" w:fill="auto"/>
            <w:tcMar>
              <w:top w:w="100" w:type="dxa"/>
              <w:left w:w="100" w:type="dxa"/>
              <w:bottom w:w="100" w:type="dxa"/>
              <w:right w:w="100" w:type="dxa"/>
            </w:tcMar>
          </w:tcPr>
          <w:p w:rsidR="00E05D4E" w:rsidRDefault="002D4108" w:rsidP="001042B8">
            <w:pPr>
              <w:widowControl w:val="0"/>
              <w:spacing w:line="480" w:lineRule="auto"/>
              <w:rPr>
                <w:rFonts w:eastAsia="Times New Roman"/>
              </w:rPr>
            </w:pPr>
            <w:r>
              <w:rPr>
                <w:rFonts w:eastAsia="Times New Roman"/>
              </w:rPr>
              <w:t>Outbound logistics</w:t>
            </w:r>
          </w:p>
        </w:tc>
        <w:tc>
          <w:tcPr>
            <w:tcW w:w="7409" w:type="dxa"/>
            <w:shd w:val="clear" w:color="auto" w:fill="auto"/>
            <w:tcMar>
              <w:top w:w="100" w:type="dxa"/>
              <w:left w:w="100" w:type="dxa"/>
              <w:bottom w:w="100" w:type="dxa"/>
              <w:right w:w="100" w:type="dxa"/>
            </w:tcMar>
          </w:tcPr>
          <w:p w:rsidR="00E05D4E" w:rsidRDefault="002D4108" w:rsidP="001042B8">
            <w:pPr>
              <w:widowControl w:val="0"/>
              <w:spacing w:line="480" w:lineRule="auto"/>
              <w:rPr>
                <w:rFonts w:eastAsia="Times New Roman"/>
              </w:rPr>
            </w:pPr>
            <w:r>
              <w:rPr>
                <w:rFonts w:eastAsia="Times New Roman"/>
              </w:rPr>
              <w:t>Outbound logistics involves the optimization of activities such as warehousing, order processing, scheduling delivery, transportation and delivery of orders. Ted baker is concentrating on uplifting their quick delivery process to establish customer satisfaction (</w:t>
            </w:r>
            <w:r>
              <w:rPr>
                <w:rFonts w:eastAsia="Times New Roman"/>
                <w:highlight w:val="white"/>
              </w:rPr>
              <w:t>Fernandez-Stark and Gereffi, 2019</w:t>
            </w:r>
            <w:r>
              <w:rPr>
                <w:rFonts w:eastAsia="Times New Roman"/>
              </w:rPr>
              <w:t xml:space="preserve">). </w:t>
            </w:r>
          </w:p>
        </w:tc>
      </w:tr>
      <w:tr w:rsidR="00E05D4E">
        <w:tc>
          <w:tcPr>
            <w:tcW w:w="1951" w:type="dxa"/>
            <w:shd w:val="clear" w:color="auto" w:fill="auto"/>
            <w:tcMar>
              <w:top w:w="100" w:type="dxa"/>
              <w:left w:w="100" w:type="dxa"/>
              <w:bottom w:w="100" w:type="dxa"/>
              <w:right w:w="100" w:type="dxa"/>
            </w:tcMar>
          </w:tcPr>
          <w:p w:rsidR="00E05D4E" w:rsidRDefault="002D4108" w:rsidP="001042B8">
            <w:pPr>
              <w:widowControl w:val="0"/>
              <w:spacing w:line="480" w:lineRule="auto"/>
              <w:rPr>
                <w:rFonts w:eastAsia="Times New Roman"/>
              </w:rPr>
            </w:pPr>
            <w:r>
              <w:rPr>
                <w:rFonts w:eastAsia="Times New Roman"/>
              </w:rPr>
              <w:t xml:space="preserve">Marketing and </w:t>
            </w:r>
            <w:r>
              <w:rPr>
                <w:rFonts w:eastAsia="Times New Roman"/>
              </w:rPr>
              <w:lastRenderedPageBreak/>
              <w:t>sales</w:t>
            </w:r>
          </w:p>
        </w:tc>
        <w:tc>
          <w:tcPr>
            <w:tcW w:w="7409" w:type="dxa"/>
            <w:shd w:val="clear" w:color="auto" w:fill="auto"/>
            <w:tcMar>
              <w:top w:w="100" w:type="dxa"/>
              <w:left w:w="100" w:type="dxa"/>
              <w:bottom w:w="100" w:type="dxa"/>
              <w:right w:w="100" w:type="dxa"/>
            </w:tcMar>
          </w:tcPr>
          <w:p w:rsidR="00E05D4E" w:rsidRDefault="002D4108" w:rsidP="001042B8">
            <w:pPr>
              <w:widowControl w:val="0"/>
              <w:spacing w:line="480" w:lineRule="auto"/>
              <w:rPr>
                <w:highlight w:val="white"/>
              </w:rPr>
            </w:pPr>
            <w:r>
              <w:rPr>
                <w:rFonts w:eastAsia="Times New Roman"/>
              </w:rPr>
              <w:lastRenderedPageBreak/>
              <w:t xml:space="preserve">Ted Baker’s unique marketing campaigns on the social media platform </w:t>
            </w:r>
            <w:r>
              <w:rPr>
                <w:rFonts w:eastAsia="Times New Roman"/>
              </w:rPr>
              <w:lastRenderedPageBreak/>
              <w:t xml:space="preserve">have been a boon for connecting with the audience. Collaborating with different channels enables them to enhance their brand recognition and stand out in the market. They include a marketing funnel to structure their sales and marketing strategies. Ted baker has around 47 stores in the UK and word-of-mouth marketing has helped them gather a better customer engagement rate. Furthermore, the firm recorded a profit of </w:t>
            </w:r>
            <w:r>
              <w:rPr>
                <w:highlight w:val="white"/>
              </w:rPr>
              <w:t xml:space="preserve">204.7 million British pounds in 2022. Apart from the UK, Ted baker has been a prominent member of the retail sector of North America, Vietnam and holds 500 stores across the globe. </w:t>
            </w:r>
          </w:p>
        </w:tc>
      </w:tr>
      <w:tr w:rsidR="00E05D4E">
        <w:tc>
          <w:tcPr>
            <w:tcW w:w="1951" w:type="dxa"/>
            <w:shd w:val="clear" w:color="auto" w:fill="auto"/>
            <w:tcMar>
              <w:top w:w="100" w:type="dxa"/>
              <w:left w:w="100" w:type="dxa"/>
              <w:bottom w:w="100" w:type="dxa"/>
              <w:right w:w="100" w:type="dxa"/>
            </w:tcMar>
          </w:tcPr>
          <w:p w:rsidR="00E05D4E" w:rsidRDefault="002D4108" w:rsidP="001042B8">
            <w:pPr>
              <w:widowControl w:val="0"/>
              <w:spacing w:line="480" w:lineRule="auto"/>
              <w:rPr>
                <w:rFonts w:eastAsia="Times New Roman"/>
              </w:rPr>
            </w:pPr>
            <w:r>
              <w:rPr>
                <w:rFonts w:eastAsia="Times New Roman"/>
              </w:rPr>
              <w:lastRenderedPageBreak/>
              <w:t>Service</w:t>
            </w:r>
          </w:p>
        </w:tc>
        <w:tc>
          <w:tcPr>
            <w:tcW w:w="7409" w:type="dxa"/>
            <w:shd w:val="clear" w:color="auto" w:fill="auto"/>
            <w:tcMar>
              <w:top w:w="100" w:type="dxa"/>
              <w:left w:w="100" w:type="dxa"/>
              <w:bottom w:w="100" w:type="dxa"/>
              <w:right w:w="100" w:type="dxa"/>
            </w:tcMar>
          </w:tcPr>
          <w:p w:rsidR="00E05D4E" w:rsidRDefault="002D4108" w:rsidP="001042B8">
            <w:pPr>
              <w:widowControl w:val="0"/>
              <w:spacing w:line="480" w:lineRule="auto"/>
              <w:rPr>
                <w:rFonts w:eastAsia="Times New Roman"/>
              </w:rPr>
            </w:pPr>
            <w:r>
              <w:rPr>
                <w:rFonts w:eastAsia="Times New Roman"/>
              </w:rPr>
              <w:t xml:space="preserve">Ted Baker provides loyalty programs to its customers and provides fast customer service to their queries. </w:t>
            </w:r>
          </w:p>
        </w:tc>
      </w:tr>
    </w:tbl>
    <w:p w:rsidR="00E05D4E" w:rsidRDefault="002D4108" w:rsidP="001042B8">
      <w:pPr>
        <w:spacing w:line="480" w:lineRule="auto"/>
        <w:jc w:val="center"/>
        <w:rPr>
          <w:rFonts w:eastAsia="Times New Roman"/>
          <w:b/>
        </w:rPr>
      </w:pPr>
      <w:r>
        <w:rPr>
          <w:rFonts w:eastAsia="Times New Roman"/>
          <w:b/>
        </w:rPr>
        <w:t>Table 2: primary activities</w:t>
      </w:r>
    </w:p>
    <w:p w:rsidR="00E05D4E" w:rsidRDefault="002D4108" w:rsidP="001042B8">
      <w:pPr>
        <w:spacing w:line="480" w:lineRule="auto"/>
        <w:jc w:val="center"/>
        <w:rPr>
          <w:rFonts w:eastAsia="Times New Roman"/>
        </w:rPr>
      </w:pPr>
      <w:r>
        <w:rPr>
          <w:rFonts w:eastAsia="Times New Roman"/>
        </w:rPr>
        <w:t xml:space="preserve">(Source: Influenced by </w:t>
      </w:r>
      <w:r>
        <w:rPr>
          <w:rFonts w:eastAsia="Times New Roman"/>
          <w:color w:val="222222"/>
          <w:highlight w:val="white"/>
        </w:rPr>
        <w:t xml:space="preserve">Agrawal </w:t>
      </w:r>
      <w:r>
        <w:rPr>
          <w:rFonts w:eastAsia="Times New Roman"/>
          <w:i/>
          <w:color w:val="222222"/>
          <w:highlight w:val="white"/>
        </w:rPr>
        <w:t>et al.</w:t>
      </w:r>
      <w:r>
        <w:rPr>
          <w:rFonts w:eastAsia="Times New Roman"/>
          <w:color w:val="222222"/>
          <w:highlight w:val="white"/>
        </w:rPr>
        <w:t xml:space="preserve"> 2021</w:t>
      </w:r>
      <w:r>
        <w:rPr>
          <w:rFonts w:eastAsia="Times New Roman"/>
        </w:rPr>
        <w:t>)</w:t>
      </w:r>
    </w:p>
    <w:p w:rsidR="00E05D4E" w:rsidRDefault="002D4108" w:rsidP="001042B8">
      <w:pPr>
        <w:spacing w:line="480" w:lineRule="auto"/>
        <w:rPr>
          <w:rFonts w:eastAsia="Times New Roman"/>
          <w:b/>
        </w:rPr>
      </w:pPr>
      <w:r>
        <w:rPr>
          <w:rFonts w:eastAsia="Times New Roman"/>
          <w:b/>
        </w:rPr>
        <w:t>Secondary activities</w:t>
      </w:r>
    </w:p>
    <w:tbl>
      <w:tblPr>
        <w:tblW w:w="9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4A0" w:firstRow="1" w:lastRow="0" w:firstColumn="1" w:lastColumn="0" w:noHBand="0" w:noVBand="1"/>
      </w:tblPr>
      <w:tblGrid>
        <w:gridCol w:w="2875"/>
        <w:gridCol w:w="6485"/>
      </w:tblGrid>
      <w:tr w:rsidR="00E05D4E">
        <w:tc>
          <w:tcPr>
            <w:tcW w:w="2875" w:type="dxa"/>
            <w:shd w:val="clear" w:color="auto" w:fill="auto"/>
            <w:tcMar>
              <w:top w:w="100" w:type="dxa"/>
              <w:left w:w="100" w:type="dxa"/>
              <w:bottom w:w="100" w:type="dxa"/>
              <w:right w:w="100" w:type="dxa"/>
            </w:tcMar>
          </w:tcPr>
          <w:p w:rsidR="00E05D4E" w:rsidRDefault="002D4108" w:rsidP="001042B8">
            <w:pPr>
              <w:widowControl w:val="0"/>
              <w:spacing w:line="480" w:lineRule="auto"/>
              <w:rPr>
                <w:rFonts w:eastAsia="Times New Roman"/>
                <w:b/>
              </w:rPr>
            </w:pPr>
            <w:r>
              <w:rPr>
                <w:rFonts w:eastAsia="Times New Roman"/>
                <w:b/>
              </w:rPr>
              <w:t>Firm infrastructure</w:t>
            </w:r>
          </w:p>
        </w:tc>
        <w:tc>
          <w:tcPr>
            <w:tcW w:w="6485" w:type="dxa"/>
            <w:shd w:val="clear" w:color="auto" w:fill="auto"/>
            <w:tcMar>
              <w:top w:w="100" w:type="dxa"/>
              <w:left w:w="100" w:type="dxa"/>
              <w:bottom w:w="100" w:type="dxa"/>
              <w:right w:w="100" w:type="dxa"/>
            </w:tcMar>
          </w:tcPr>
          <w:p w:rsidR="00E05D4E" w:rsidRDefault="002D4108" w:rsidP="001042B8">
            <w:pPr>
              <w:widowControl w:val="0"/>
              <w:spacing w:line="480" w:lineRule="auto"/>
              <w:rPr>
                <w:rFonts w:eastAsia="Times New Roman"/>
              </w:rPr>
            </w:pPr>
            <w:r>
              <w:rPr>
                <w:rFonts w:eastAsia="Times New Roman"/>
              </w:rPr>
              <w:t xml:space="preserve">Ted Baker’s effective infrastructure management strengthens its position in the competitive market and optimizes its entire value chain operations.  </w:t>
            </w:r>
          </w:p>
        </w:tc>
      </w:tr>
      <w:tr w:rsidR="00E05D4E">
        <w:tc>
          <w:tcPr>
            <w:tcW w:w="2875" w:type="dxa"/>
            <w:shd w:val="clear" w:color="auto" w:fill="auto"/>
            <w:tcMar>
              <w:top w:w="100" w:type="dxa"/>
              <w:left w:w="100" w:type="dxa"/>
              <w:bottom w:w="100" w:type="dxa"/>
              <w:right w:w="100" w:type="dxa"/>
            </w:tcMar>
          </w:tcPr>
          <w:p w:rsidR="00E05D4E" w:rsidRDefault="002D4108" w:rsidP="001042B8">
            <w:pPr>
              <w:widowControl w:val="0"/>
              <w:spacing w:line="480" w:lineRule="auto"/>
              <w:rPr>
                <w:rFonts w:eastAsia="Times New Roman"/>
                <w:b/>
              </w:rPr>
            </w:pPr>
            <w:r>
              <w:rPr>
                <w:rFonts w:eastAsia="Times New Roman"/>
                <w:b/>
              </w:rPr>
              <w:t>Human resource management</w:t>
            </w:r>
          </w:p>
        </w:tc>
        <w:tc>
          <w:tcPr>
            <w:tcW w:w="6485" w:type="dxa"/>
            <w:shd w:val="clear" w:color="auto" w:fill="auto"/>
            <w:tcMar>
              <w:top w:w="100" w:type="dxa"/>
              <w:left w:w="100" w:type="dxa"/>
              <w:bottom w:w="100" w:type="dxa"/>
              <w:right w:w="100" w:type="dxa"/>
            </w:tcMar>
          </w:tcPr>
          <w:p w:rsidR="00E05D4E" w:rsidRDefault="002D4108" w:rsidP="001042B8">
            <w:pPr>
              <w:widowControl w:val="0"/>
              <w:spacing w:line="480" w:lineRule="auto"/>
              <w:rPr>
                <w:rFonts w:eastAsia="Times New Roman"/>
              </w:rPr>
            </w:pPr>
            <w:r>
              <w:rPr>
                <w:rFonts w:eastAsia="Times New Roman"/>
              </w:rPr>
              <w:t xml:space="preserve">HRM at Ted Baker focuses on incorporating impactful training and development programs to create a diverse and inclusive workforce. Their multistage recruitment process is necessary for its performance. The company relies on its ethical code of conduct policies to establish a safe working ecosystem. </w:t>
            </w:r>
          </w:p>
        </w:tc>
      </w:tr>
      <w:tr w:rsidR="00E05D4E">
        <w:tc>
          <w:tcPr>
            <w:tcW w:w="2875" w:type="dxa"/>
            <w:shd w:val="clear" w:color="auto" w:fill="auto"/>
            <w:tcMar>
              <w:top w:w="100" w:type="dxa"/>
              <w:left w:w="100" w:type="dxa"/>
              <w:bottom w:w="100" w:type="dxa"/>
              <w:right w:w="100" w:type="dxa"/>
            </w:tcMar>
          </w:tcPr>
          <w:p w:rsidR="00E05D4E" w:rsidRDefault="002D4108" w:rsidP="001042B8">
            <w:pPr>
              <w:widowControl w:val="0"/>
              <w:spacing w:line="480" w:lineRule="auto"/>
              <w:rPr>
                <w:rFonts w:eastAsia="Times New Roman"/>
                <w:b/>
              </w:rPr>
            </w:pPr>
            <w:r>
              <w:rPr>
                <w:rFonts w:eastAsia="Times New Roman"/>
                <w:b/>
              </w:rPr>
              <w:t>Technology development</w:t>
            </w:r>
          </w:p>
        </w:tc>
        <w:tc>
          <w:tcPr>
            <w:tcW w:w="6485" w:type="dxa"/>
            <w:shd w:val="clear" w:color="auto" w:fill="auto"/>
            <w:tcMar>
              <w:top w:w="100" w:type="dxa"/>
              <w:left w:w="100" w:type="dxa"/>
              <w:bottom w:w="100" w:type="dxa"/>
              <w:right w:w="100" w:type="dxa"/>
            </w:tcMar>
          </w:tcPr>
          <w:p w:rsidR="00E05D4E" w:rsidRDefault="002D4108" w:rsidP="001042B8">
            <w:pPr>
              <w:widowControl w:val="0"/>
              <w:spacing w:line="480" w:lineRule="auto"/>
              <w:rPr>
                <w:rFonts w:eastAsia="Times New Roman"/>
              </w:rPr>
            </w:pPr>
            <w:r>
              <w:rPr>
                <w:rFonts w:eastAsia="Times New Roman"/>
              </w:rPr>
              <w:t xml:space="preserve">Ted Baker has been emphasizing digitally transforming its activities for creating a platform in the e-commerce sector. Technological advancement has been observed in their </w:t>
            </w:r>
            <w:r>
              <w:rPr>
                <w:rFonts w:eastAsia="Times New Roman"/>
              </w:rPr>
              <w:lastRenderedPageBreak/>
              <w:t xml:space="preserve">customer service and automation of warehouse activities. </w:t>
            </w:r>
          </w:p>
        </w:tc>
      </w:tr>
      <w:tr w:rsidR="00E05D4E">
        <w:tc>
          <w:tcPr>
            <w:tcW w:w="2875" w:type="dxa"/>
            <w:shd w:val="clear" w:color="auto" w:fill="auto"/>
            <w:tcMar>
              <w:top w:w="100" w:type="dxa"/>
              <w:left w:w="100" w:type="dxa"/>
              <w:bottom w:w="100" w:type="dxa"/>
              <w:right w:w="100" w:type="dxa"/>
            </w:tcMar>
          </w:tcPr>
          <w:p w:rsidR="00E05D4E" w:rsidRDefault="002D4108" w:rsidP="001042B8">
            <w:pPr>
              <w:widowControl w:val="0"/>
              <w:spacing w:line="480" w:lineRule="auto"/>
              <w:rPr>
                <w:rFonts w:eastAsia="Times New Roman"/>
                <w:b/>
              </w:rPr>
            </w:pPr>
            <w:r>
              <w:rPr>
                <w:rFonts w:eastAsia="Times New Roman"/>
                <w:b/>
              </w:rPr>
              <w:lastRenderedPageBreak/>
              <w:t>Procurement</w:t>
            </w:r>
          </w:p>
        </w:tc>
        <w:tc>
          <w:tcPr>
            <w:tcW w:w="6485" w:type="dxa"/>
            <w:shd w:val="clear" w:color="auto" w:fill="auto"/>
            <w:tcMar>
              <w:top w:w="100" w:type="dxa"/>
              <w:left w:w="100" w:type="dxa"/>
              <w:bottom w:w="100" w:type="dxa"/>
              <w:right w:w="100" w:type="dxa"/>
            </w:tcMar>
          </w:tcPr>
          <w:p w:rsidR="00E05D4E" w:rsidRDefault="002D4108" w:rsidP="001042B8">
            <w:pPr>
              <w:widowControl w:val="0"/>
              <w:spacing w:line="480" w:lineRule="auto"/>
              <w:rPr>
                <w:rFonts w:eastAsia="Times New Roman"/>
              </w:rPr>
            </w:pPr>
            <w:r>
              <w:rPr>
                <w:rFonts w:eastAsia="Times New Roman"/>
              </w:rPr>
              <w:t xml:space="preserve">The procurement activities of Ted Baker include optimising its differentiation process and value chain outbound. </w:t>
            </w:r>
          </w:p>
        </w:tc>
      </w:tr>
    </w:tbl>
    <w:p w:rsidR="00E05D4E" w:rsidRDefault="002D4108" w:rsidP="001042B8">
      <w:pPr>
        <w:spacing w:line="480" w:lineRule="auto"/>
        <w:jc w:val="center"/>
        <w:rPr>
          <w:rFonts w:eastAsia="Times New Roman"/>
          <w:b/>
        </w:rPr>
      </w:pPr>
      <w:r>
        <w:rPr>
          <w:rFonts w:eastAsia="Times New Roman"/>
          <w:b/>
        </w:rPr>
        <w:t xml:space="preserve">Table 3: Secondary activities </w:t>
      </w:r>
    </w:p>
    <w:p w:rsidR="00E05D4E" w:rsidRDefault="002D4108" w:rsidP="001042B8">
      <w:pPr>
        <w:spacing w:line="480" w:lineRule="auto"/>
        <w:jc w:val="center"/>
        <w:rPr>
          <w:rFonts w:eastAsia="Times New Roman"/>
          <w:b/>
        </w:rPr>
      </w:pPr>
      <w:r>
        <w:rPr>
          <w:rFonts w:eastAsia="Times New Roman"/>
          <w:b/>
        </w:rPr>
        <w:t>(</w:t>
      </w:r>
      <w:r>
        <w:rPr>
          <w:rFonts w:eastAsia="Times New Roman"/>
        </w:rPr>
        <w:t xml:space="preserve">Source: Influenced by </w:t>
      </w:r>
      <w:r>
        <w:rPr>
          <w:rFonts w:eastAsia="Times New Roman"/>
          <w:color w:val="222222"/>
          <w:highlight w:val="white"/>
        </w:rPr>
        <w:t xml:space="preserve">Agrawal </w:t>
      </w:r>
      <w:r>
        <w:rPr>
          <w:rFonts w:eastAsia="Times New Roman"/>
          <w:i/>
          <w:color w:val="222222"/>
          <w:highlight w:val="white"/>
        </w:rPr>
        <w:t>et al.</w:t>
      </w:r>
      <w:r>
        <w:rPr>
          <w:rFonts w:eastAsia="Times New Roman"/>
          <w:color w:val="222222"/>
          <w:highlight w:val="white"/>
        </w:rPr>
        <w:t xml:space="preserve"> 2021</w:t>
      </w:r>
      <w:r>
        <w:rPr>
          <w:rFonts w:eastAsia="Times New Roman"/>
          <w:b/>
        </w:rPr>
        <w:t>)</w:t>
      </w:r>
    </w:p>
    <w:p w:rsidR="00E05D4E" w:rsidRDefault="002D4108" w:rsidP="001042B8">
      <w:pPr>
        <w:spacing w:line="480" w:lineRule="auto"/>
        <w:rPr>
          <w:rFonts w:eastAsia="Times New Roman"/>
        </w:rPr>
      </w:pPr>
      <w:r>
        <w:rPr>
          <w:rFonts w:eastAsia="Times New Roman"/>
        </w:rPr>
        <w:t xml:space="preserve">The above-mentioned table outlines the secondary activities adopted by Ted Baker to facilitate its primary value chain activities. </w:t>
      </w:r>
    </w:p>
    <w:p w:rsidR="00E05D4E" w:rsidRDefault="002D4108" w:rsidP="001042B8">
      <w:pPr>
        <w:pStyle w:val="Heading2"/>
        <w:spacing w:line="480" w:lineRule="auto"/>
        <w:rPr>
          <w:sz w:val="22"/>
          <w:szCs w:val="22"/>
        </w:rPr>
      </w:pPr>
      <w:bookmarkStart w:id="32" w:name="_Toc129522658"/>
      <w:bookmarkStart w:id="33" w:name="_Toc133940682"/>
      <w:r>
        <w:rPr>
          <w:sz w:val="22"/>
          <w:szCs w:val="22"/>
        </w:rPr>
        <w:t>Marketing strategies</w:t>
      </w:r>
      <w:bookmarkEnd w:id="32"/>
      <w:bookmarkEnd w:id="33"/>
      <w:r>
        <w:rPr>
          <w:sz w:val="22"/>
          <w:szCs w:val="22"/>
        </w:rPr>
        <w:t xml:space="preserve"> </w:t>
      </w:r>
    </w:p>
    <w:p w:rsidR="00E05D4E" w:rsidRPr="00DB43DA" w:rsidRDefault="002D4108" w:rsidP="001042B8">
      <w:pPr>
        <w:spacing w:line="480" w:lineRule="auto"/>
        <w:rPr>
          <w:rFonts w:eastAsia="Times New Roman"/>
        </w:rPr>
      </w:pPr>
      <w:r w:rsidRPr="00DB43DA">
        <w:rPr>
          <w:rFonts w:eastAsia="Times New Roman"/>
        </w:rPr>
        <w:t xml:space="preserve">Ted Baker operates in an extremely competitive market, where trends and customer demands keep changing. As per the suggestions of </w:t>
      </w:r>
      <w:r w:rsidRPr="00DB43DA">
        <w:rPr>
          <w:rFonts w:eastAsia="Times New Roman"/>
          <w:color w:val="222222"/>
          <w:highlight w:val="white"/>
        </w:rPr>
        <w:t xml:space="preserve">Todeschini </w:t>
      </w:r>
      <w:r w:rsidRPr="00DB43DA">
        <w:rPr>
          <w:rFonts w:eastAsia="Times New Roman"/>
          <w:i/>
          <w:color w:val="222222"/>
          <w:highlight w:val="white"/>
        </w:rPr>
        <w:t>et al.</w:t>
      </w:r>
      <w:r w:rsidRPr="00DB43DA">
        <w:rPr>
          <w:rFonts w:eastAsia="Times New Roman"/>
          <w:color w:val="222222"/>
          <w:highlight w:val="white"/>
        </w:rPr>
        <w:t xml:space="preserve"> </w:t>
      </w:r>
      <w:r w:rsidRPr="00DB43DA">
        <w:rPr>
          <w:rFonts w:eastAsia="Times New Roman"/>
        </w:rPr>
        <w:t xml:space="preserve">(2020), marketing is a crucial aspect of making customers aware of products or services and affecting their purchase decision. Ted Baker’s traditional marketing approaches have helped them secure a position in the minds of customers and generate greater revenues. Their focus on </w:t>
      </w:r>
      <w:r w:rsidRPr="00DB43DA">
        <w:rPr>
          <w:rFonts w:eastAsia="Times New Roman"/>
          <w:i/>
        </w:rPr>
        <w:t>word-of-mouth marketing</w:t>
      </w:r>
      <w:r w:rsidRPr="00DB43DA">
        <w:rPr>
          <w:rFonts w:eastAsia="Times New Roman"/>
        </w:rPr>
        <w:t xml:space="preserve"> has been a boon for the company in increasing its sales. The quality and quirky style of the products speaks volume about the company across the globe. </w:t>
      </w:r>
    </w:p>
    <w:p w:rsidR="00E05D4E" w:rsidRPr="00DB43DA" w:rsidRDefault="002D4108" w:rsidP="001042B8">
      <w:pPr>
        <w:spacing w:line="480" w:lineRule="auto"/>
        <w:rPr>
          <w:rFonts w:eastAsia="Times New Roman"/>
          <w:color w:val="000000" w:themeColor="text1"/>
        </w:rPr>
      </w:pPr>
      <w:r w:rsidRPr="00DB43DA">
        <w:rPr>
          <w:rFonts w:eastAsia="Times New Roman"/>
          <w:color w:val="000000" w:themeColor="text1"/>
        </w:rPr>
        <w:t xml:space="preserve">They also adhered to </w:t>
      </w:r>
      <w:r w:rsidRPr="00DB43DA">
        <w:rPr>
          <w:rFonts w:eastAsia="Times New Roman"/>
          <w:i/>
          <w:color w:val="000000" w:themeColor="text1"/>
        </w:rPr>
        <w:t>advertisements</w:t>
      </w:r>
      <w:r w:rsidRPr="00DB43DA">
        <w:rPr>
          <w:rFonts w:eastAsia="Times New Roman"/>
          <w:color w:val="000000" w:themeColor="text1"/>
        </w:rPr>
        <w:t xml:space="preserve"> through print media to promote their products. Moreover, they adopt the signature witty and quirky tone to differentiate them from the competitors. With the incorporation of traditional marketing, the firm was able to generate revenue of 461 million pounds in 2019. Their in-store experiences have been major attractions for the customer to connect with the brand. However, according to the findings of </w:t>
      </w:r>
      <w:r w:rsidRPr="00DB43DA">
        <w:rPr>
          <w:rFonts w:eastAsia="Times New Roman"/>
          <w:color w:val="000000" w:themeColor="text1"/>
          <w:highlight w:val="white"/>
        </w:rPr>
        <w:t xml:space="preserve">Katsikeas </w:t>
      </w:r>
      <w:r w:rsidRPr="00DB43DA">
        <w:rPr>
          <w:rFonts w:eastAsia="Times New Roman"/>
          <w:i/>
          <w:color w:val="000000" w:themeColor="text1"/>
          <w:highlight w:val="white"/>
        </w:rPr>
        <w:t>et al.</w:t>
      </w:r>
      <w:r w:rsidRPr="00DB43DA">
        <w:rPr>
          <w:rFonts w:eastAsia="Times New Roman"/>
          <w:color w:val="000000" w:themeColor="text1"/>
          <w:highlight w:val="white"/>
        </w:rPr>
        <w:t xml:space="preserve"> </w:t>
      </w:r>
      <w:r w:rsidRPr="00DB43DA">
        <w:rPr>
          <w:rFonts w:eastAsia="Times New Roman"/>
          <w:color w:val="000000" w:themeColor="text1"/>
        </w:rPr>
        <w:t xml:space="preserve">(2020), digital marketing strategies are gaming more acceptance among customers as theory spend more time surfing the internet. The pandemic has compelled organizations to shift to digitally transform their activities to stay relevant in the market. Ted Baker digitally upgraded its e-commerce platform and introduced a new payment service to deliver value to its </w:t>
      </w:r>
      <w:r w:rsidRPr="00DB43DA">
        <w:rPr>
          <w:rFonts w:eastAsia="Times New Roman"/>
          <w:color w:val="000000" w:themeColor="text1"/>
        </w:rPr>
        <w:lastRenderedPageBreak/>
        <w:t xml:space="preserve">customer base. Staying relevant in the international market requires distinct marketing strategies that connect with the audience. Ted Baker has been associated with different distribution channels to develop a strong association with its customer. </w:t>
      </w:r>
    </w:p>
    <w:p w:rsidR="00E05D4E" w:rsidRPr="008D17EF" w:rsidRDefault="002D4108" w:rsidP="001042B8">
      <w:pPr>
        <w:spacing w:line="480" w:lineRule="auto"/>
        <w:rPr>
          <w:rFonts w:eastAsia="Times New Roman"/>
        </w:rPr>
      </w:pPr>
      <w:r w:rsidRPr="008D17EF">
        <w:rPr>
          <w:rFonts w:eastAsia="Times New Roman"/>
        </w:rPr>
        <w:t xml:space="preserve">Their strong presence on different social media platforms has aided them to perform well in the host county. One of the key marketing strategies considered by Ted Baker is incorporating </w:t>
      </w:r>
      <w:r w:rsidRPr="008D17EF">
        <w:rPr>
          <w:rFonts w:eastAsia="Times New Roman"/>
          <w:i/>
        </w:rPr>
        <w:t>secret messages in social media posts</w:t>
      </w:r>
      <w:r w:rsidRPr="008D17EF">
        <w:rPr>
          <w:rFonts w:eastAsia="Times New Roman"/>
        </w:rPr>
        <w:t xml:space="preserve">. As per the workings of </w:t>
      </w:r>
      <w:r w:rsidRPr="008D17EF">
        <w:rPr>
          <w:rFonts w:eastAsia="Times New Roman"/>
          <w:color w:val="222222"/>
          <w:highlight w:val="white"/>
        </w:rPr>
        <w:t xml:space="preserve">Rutz and Watson </w:t>
      </w:r>
      <w:r w:rsidRPr="008D17EF">
        <w:rPr>
          <w:rFonts w:eastAsia="Times New Roman"/>
        </w:rPr>
        <w:t>(2019), innovative marketing strategies undertaken by companies create interest among customers and compel them to actively take participation. Ted Baker’s third campaign was based on a treasure hunt game which made an instant connection with the audience. In addition to this, the company</w:t>
      </w:r>
      <w:r w:rsidRPr="008D17EF">
        <w:rPr>
          <w:rFonts w:eastAsia="Times New Roman"/>
          <w:i/>
        </w:rPr>
        <w:t xml:space="preserve"> arranges games on their seasonal campaign</w:t>
      </w:r>
      <w:r w:rsidRPr="008D17EF">
        <w:rPr>
          <w:rFonts w:eastAsia="Times New Roman"/>
        </w:rPr>
        <w:t xml:space="preserve"> and enforces high customer engagement. Social media platforms have enabled the company to flourish in different countries and generate greater revenue. In contrast to this, according to the notions of </w:t>
      </w:r>
      <w:r w:rsidRPr="008D17EF">
        <w:rPr>
          <w:rFonts w:eastAsia="Times New Roman"/>
          <w:color w:val="222222"/>
          <w:highlight w:val="white"/>
        </w:rPr>
        <w:t xml:space="preserve">Li </w:t>
      </w:r>
      <w:r w:rsidRPr="008D17EF">
        <w:rPr>
          <w:rFonts w:eastAsia="Times New Roman"/>
          <w:i/>
          <w:color w:val="222222"/>
          <w:highlight w:val="white"/>
        </w:rPr>
        <w:t>et al.</w:t>
      </w:r>
      <w:r w:rsidRPr="008D17EF">
        <w:rPr>
          <w:rFonts w:eastAsia="Times New Roman"/>
          <w:color w:val="222222"/>
          <w:highlight w:val="white"/>
        </w:rPr>
        <w:t xml:space="preserve"> </w:t>
      </w:r>
      <w:r w:rsidRPr="008D17EF">
        <w:rPr>
          <w:rFonts w:eastAsia="Times New Roman"/>
        </w:rPr>
        <w:t xml:space="preserve">(2021), </w:t>
      </w:r>
    </w:p>
    <w:p w:rsidR="00E05D4E" w:rsidRPr="008D17EF" w:rsidRDefault="002D4108" w:rsidP="001042B8">
      <w:pPr>
        <w:spacing w:line="480" w:lineRule="auto"/>
        <w:rPr>
          <w:rFonts w:eastAsia="Times New Roman"/>
        </w:rPr>
      </w:pPr>
      <w:r w:rsidRPr="008D17EF">
        <w:rPr>
          <w:rFonts w:eastAsia="Times New Roman"/>
        </w:rPr>
        <w:t>Ted Baker has been investing in</w:t>
      </w:r>
      <w:r w:rsidRPr="008D17EF">
        <w:rPr>
          <w:rFonts w:eastAsia="Times New Roman"/>
          <w:i/>
        </w:rPr>
        <w:t xml:space="preserve"> influencer marketing</w:t>
      </w:r>
      <w:r w:rsidRPr="008D17EF">
        <w:rPr>
          <w:rFonts w:eastAsia="Times New Roman"/>
        </w:rPr>
        <w:t xml:space="preserve"> to expand their market share. Influencers on different social media channels present their views on the quality and style of the apparel to engage with the customer base. Moreover, the company has brought in customer loyalty programs to develop an association with customers. Hence, Ted Baker is incorporating unique strategies as well as moving on with the latest trends to boost its brand recognition. </w:t>
      </w:r>
    </w:p>
    <w:p w:rsidR="00E05D4E" w:rsidRDefault="002D4108" w:rsidP="001042B8">
      <w:pPr>
        <w:pStyle w:val="Heading2"/>
        <w:spacing w:line="480" w:lineRule="auto"/>
        <w:rPr>
          <w:sz w:val="22"/>
          <w:szCs w:val="22"/>
        </w:rPr>
      </w:pPr>
      <w:bookmarkStart w:id="34" w:name="_Toc129522659"/>
      <w:bookmarkStart w:id="35" w:name="_Toc133940683"/>
      <w:r>
        <w:rPr>
          <w:sz w:val="22"/>
          <w:szCs w:val="22"/>
        </w:rPr>
        <w:t>HRM policies</w:t>
      </w:r>
      <w:bookmarkEnd w:id="34"/>
      <w:bookmarkEnd w:id="35"/>
      <w:r>
        <w:rPr>
          <w:sz w:val="22"/>
          <w:szCs w:val="22"/>
        </w:rPr>
        <w:t xml:space="preserve"> </w:t>
      </w:r>
    </w:p>
    <w:p w:rsidR="00E05D4E" w:rsidRDefault="002D4108" w:rsidP="001042B8">
      <w:pPr>
        <w:spacing w:line="480" w:lineRule="auto"/>
        <w:rPr>
          <w:rFonts w:eastAsia="Times New Roman"/>
        </w:rPr>
      </w:pPr>
      <w:r>
        <w:rPr>
          <w:rFonts w:eastAsia="Times New Roman"/>
        </w:rPr>
        <w:t xml:space="preserve">Human resource management policies are considered the essential framework that ensures smooth functioning. Ted Baker has been incorporating HR policies that boost teamwork and collaboration among different teams. As per the point of view of </w:t>
      </w:r>
      <w:r>
        <w:rPr>
          <w:rFonts w:eastAsia="Times New Roman"/>
          <w:color w:val="222222"/>
          <w:highlight w:val="white"/>
        </w:rPr>
        <w:t xml:space="preserve">Siddiqui </w:t>
      </w:r>
      <w:r>
        <w:rPr>
          <w:rFonts w:eastAsia="Times New Roman"/>
          <w:i/>
          <w:color w:val="222222"/>
          <w:highlight w:val="white"/>
        </w:rPr>
        <w:t>et al.</w:t>
      </w:r>
      <w:r>
        <w:rPr>
          <w:rFonts w:eastAsia="Times New Roman"/>
          <w:color w:val="222222"/>
          <w:highlight w:val="white"/>
        </w:rPr>
        <w:t xml:space="preserve"> </w:t>
      </w:r>
      <w:r>
        <w:rPr>
          <w:rFonts w:eastAsia="Times New Roman"/>
        </w:rPr>
        <w:t xml:space="preserve">(2022), teamwork is highly associated with the performance of the entire firm. Establishing in host countries requires flexible and robust human resource management which is able to meet employee expectations and develop driven work culture. </w:t>
      </w:r>
    </w:p>
    <w:p w:rsidR="00E05D4E" w:rsidRPr="008D17EF" w:rsidRDefault="002D4108" w:rsidP="001042B8">
      <w:pPr>
        <w:spacing w:line="480" w:lineRule="auto"/>
        <w:rPr>
          <w:rFonts w:eastAsia="Times New Roman"/>
        </w:rPr>
      </w:pPr>
      <w:r w:rsidRPr="008D17EF">
        <w:rPr>
          <w:rFonts w:eastAsia="Times New Roman"/>
        </w:rPr>
        <w:lastRenderedPageBreak/>
        <w:t xml:space="preserve">Ted Baker focuses on </w:t>
      </w:r>
      <w:r w:rsidRPr="008D17EF">
        <w:rPr>
          <w:rFonts w:eastAsia="Times New Roman"/>
          <w:i/>
        </w:rPr>
        <w:t>designing effective training and development programs</w:t>
      </w:r>
      <w:r w:rsidRPr="008D17EF">
        <w:rPr>
          <w:rFonts w:eastAsia="Times New Roman"/>
        </w:rPr>
        <w:t xml:space="preserve"> for employees. Their industry-relevant modules have been curated to help employees develop skills that meet the changing expectations of the market (</w:t>
      </w:r>
      <w:r w:rsidRPr="008D17EF">
        <w:rPr>
          <w:rFonts w:eastAsia="Times New Roman"/>
          <w:color w:val="222222"/>
          <w:highlight w:val="white"/>
        </w:rPr>
        <w:t>Lopez-Cabrales and Valle-Cabrera, 2020</w:t>
      </w:r>
      <w:r w:rsidRPr="008D17EF">
        <w:rPr>
          <w:rFonts w:eastAsia="Times New Roman"/>
        </w:rPr>
        <w:t xml:space="preserve">). In addition to this, the HRM at Ted Baker organises a </w:t>
      </w:r>
      <w:r w:rsidRPr="008D17EF">
        <w:rPr>
          <w:rFonts w:eastAsia="Times New Roman"/>
          <w:i/>
        </w:rPr>
        <w:t>multi-stage interview procedure</w:t>
      </w:r>
      <w:r w:rsidRPr="008D17EF">
        <w:rPr>
          <w:rFonts w:eastAsia="Times New Roman"/>
        </w:rPr>
        <w:t xml:space="preserve"> to hire new employees. They intend to include a diverse and inclusive workforce that enables the firm with creativity. </w:t>
      </w:r>
    </w:p>
    <w:p w:rsidR="00E05D4E" w:rsidRPr="008D17EF" w:rsidRDefault="002D4108" w:rsidP="001042B8">
      <w:pPr>
        <w:spacing w:line="480" w:lineRule="auto"/>
        <w:rPr>
          <w:rFonts w:eastAsia="Times New Roman"/>
        </w:rPr>
      </w:pPr>
      <w:r w:rsidRPr="008D17EF">
        <w:rPr>
          <w:rFonts w:eastAsia="Times New Roman"/>
        </w:rPr>
        <w:t>The HR emphasises developing</w:t>
      </w:r>
      <w:r w:rsidRPr="008D17EF">
        <w:rPr>
          <w:rFonts w:eastAsia="Times New Roman"/>
          <w:i/>
        </w:rPr>
        <w:t xml:space="preserve"> code of conduct guidelines</w:t>
      </w:r>
      <w:r w:rsidRPr="008D17EF">
        <w:rPr>
          <w:rFonts w:eastAsia="Times New Roman"/>
        </w:rPr>
        <w:t xml:space="preserve"> that establishes discipline at the workplace. According to the discussions of </w:t>
      </w:r>
      <w:r w:rsidRPr="008D17EF">
        <w:rPr>
          <w:rFonts w:eastAsia="Times New Roman"/>
          <w:color w:val="222222"/>
          <w:highlight w:val="white"/>
        </w:rPr>
        <w:t xml:space="preserve">Azizi </w:t>
      </w:r>
      <w:r w:rsidRPr="008D17EF">
        <w:rPr>
          <w:rFonts w:eastAsia="Times New Roman"/>
          <w:i/>
          <w:color w:val="222222"/>
          <w:highlight w:val="white"/>
        </w:rPr>
        <w:t>et al.</w:t>
      </w:r>
      <w:r w:rsidRPr="008D17EF">
        <w:rPr>
          <w:rFonts w:eastAsia="Times New Roman"/>
          <w:color w:val="222222"/>
          <w:highlight w:val="white"/>
        </w:rPr>
        <w:t xml:space="preserve"> </w:t>
      </w:r>
      <w:r w:rsidRPr="008D17EF">
        <w:rPr>
          <w:rFonts w:eastAsia="Times New Roman"/>
        </w:rPr>
        <w:t xml:space="preserve">(2021), the code of conduct policy outlines rules that employees need to strictly adhere to. The policy includes developing a positive working environment, addressing conflict of interest, dress code and equal rights provided to each employee. In contrast to this, there have been a plethora of complaints from employees regarding inappropriate from senior management. Ted Baker was quick enough to make decisions with respect to reviewing their existing HRM policies. An </w:t>
      </w:r>
      <w:r w:rsidRPr="008D17EF">
        <w:rPr>
          <w:rFonts w:eastAsia="Times New Roman"/>
          <w:i/>
        </w:rPr>
        <w:t xml:space="preserve">impartial investigation of the complaints </w:t>
      </w:r>
      <w:r w:rsidRPr="008D17EF">
        <w:rPr>
          <w:rFonts w:eastAsia="Times New Roman"/>
        </w:rPr>
        <w:t xml:space="preserve">was made by Ted Baker and the policies were revised to direct the firm towards better corporate culture. </w:t>
      </w:r>
    </w:p>
    <w:p w:rsidR="00E05D4E" w:rsidRPr="00DB43DA" w:rsidRDefault="002D4108" w:rsidP="001042B8">
      <w:pPr>
        <w:spacing w:line="480" w:lineRule="auto"/>
        <w:rPr>
          <w:rFonts w:eastAsia="Times New Roman"/>
        </w:rPr>
      </w:pPr>
      <w:r w:rsidRPr="00DB43DA">
        <w:rPr>
          <w:rFonts w:eastAsia="Times New Roman"/>
        </w:rPr>
        <w:t xml:space="preserve">Furthermore, the HRM has introduced a </w:t>
      </w:r>
      <w:r w:rsidRPr="00DB43DA">
        <w:rPr>
          <w:rFonts w:eastAsia="Times New Roman"/>
          <w:i/>
        </w:rPr>
        <w:t>confidential reporting procedure</w:t>
      </w:r>
      <w:r w:rsidRPr="00DB43DA">
        <w:rPr>
          <w:rFonts w:eastAsia="Times New Roman"/>
        </w:rPr>
        <w:t xml:space="preserve"> to encourage reports of bullying, sexual harassment and unacceptable behavior. According to the highlights of </w:t>
      </w:r>
      <w:r w:rsidRPr="00DB43DA">
        <w:rPr>
          <w:rFonts w:eastAsia="Times New Roman"/>
          <w:color w:val="222222"/>
          <w:highlight w:val="white"/>
        </w:rPr>
        <w:t xml:space="preserve">Cooke </w:t>
      </w:r>
      <w:r w:rsidRPr="00DB43DA">
        <w:rPr>
          <w:rFonts w:eastAsia="Times New Roman"/>
          <w:i/>
          <w:color w:val="222222"/>
          <w:highlight w:val="white"/>
        </w:rPr>
        <w:t>et al.</w:t>
      </w:r>
      <w:r w:rsidRPr="00DB43DA">
        <w:rPr>
          <w:rFonts w:eastAsia="Times New Roman"/>
          <w:color w:val="222222"/>
          <w:highlight w:val="white"/>
        </w:rPr>
        <w:t xml:space="preserve"> </w:t>
      </w:r>
      <w:r w:rsidRPr="00DB43DA">
        <w:rPr>
          <w:rFonts w:eastAsia="Times New Roman"/>
        </w:rPr>
        <w:t xml:space="preserve">(2021), implementing decisive rules and regulations is significant to develop a safe working atmosphere for women. It boosts employee morale and Ted Bekar’s ethical code of conduct ensures a safe working environment. Another essential aspect of the HRM is their </w:t>
      </w:r>
      <w:r w:rsidRPr="00DB43DA">
        <w:rPr>
          <w:rFonts w:eastAsia="Times New Roman"/>
          <w:i/>
        </w:rPr>
        <w:t>leave policies and benefits</w:t>
      </w:r>
      <w:r w:rsidRPr="00DB43DA">
        <w:rPr>
          <w:rFonts w:eastAsia="Times New Roman"/>
        </w:rPr>
        <w:t xml:space="preserve"> which enhances their association with employees. Operating on an international front, Ted Baker has incorporated health benefits and a flexible leave policy for the workforce. </w:t>
      </w:r>
    </w:p>
    <w:p w:rsidR="00E05D4E" w:rsidRPr="00DB43DA" w:rsidRDefault="002D4108" w:rsidP="001042B8">
      <w:pPr>
        <w:spacing w:line="480" w:lineRule="auto"/>
        <w:rPr>
          <w:rFonts w:eastAsia="Times New Roman"/>
        </w:rPr>
      </w:pPr>
      <w:r w:rsidRPr="00DB43DA">
        <w:rPr>
          <w:rFonts w:eastAsia="Times New Roman"/>
        </w:rPr>
        <w:t xml:space="preserve">Implementing </w:t>
      </w:r>
      <w:r w:rsidRPr="00DB43DA">
        <w:rPr>
          <w:rFonts w:eastAsia="Times New Roman"/>
          <w:i/>
        </w:rPr>
        <w:t>work-life balance opportunities</w:t>
      </w:r>
      <w:r w:rsidRPr="00DB43DA">
        <w:rPr>
          <w:rFonts w:eastAsia="Times New Roman"/>
        </w:rPr>
        <w:t xml:space="preserve"> has enabled Ted Baker to develop a strong relationship with its employees. Contrarily, as per the critical analysis of </w:t>
      </w:r>
      <w:r w:rsidRPr="00DB43DA">
        <w:rPr>
          <w:rFonts w:eastAsia="Times New Roman"/>
          <w:color w:val="222222"/>
          <w:highlight w:val="white"/>
        </w:rPr>
        <w:t xml:space="preserve">Collings </w:t>
      </w:r>
      <w:r w:rsidRPr="00DB43DA">
        <w:rPr>
          <w:rFonts w:eastAsia="Times New Roman"/>
          <w:i/>
          <w:color w:val="222222"/>
          <w:highlight w:val="white"/>
        </w:rPr>
        <w:t>et al.</w:t>
      </w:r>
      <w:r w:rsidRPr="00DB43DA">
        <w:rPr>
          <w:rFonts w:eastAsia="Times New Roman"/>
          <w:color w:val="222222"/>
          <w:highlight w:val="white"/>
        </w:rPr>
        <w:t xml:space="preserve"> </w:t>
      </w:r>
      <w:r w:rsidRPr="00DB43DA">
        <w:rPr>
          <w:rFonts w:eastAsia="Times New Roman"/>
        </w:rPr>
        <w:t xml:space="preserve">(2021), too many leaves can be a disadvantage for employees as it </w:t>
      </w:r>
      <w:r w:rsidRPr="00DB43DA">
        <w:rPr>
          <w:rFonts w:eastAsia="Times New Roman"/>
        </w:rPr>
        <w:lastRenderedPageBreak/>
        <w:t xml:space="preserve">results in a lack of enthusiasm. The HRM needs to involve motivational strategies to help the employees to adhere to an </w:t>
      </w:r>
      <w:r w:rsidRPr="00DB43DA">
        <w:rPr>
          <w:rFonts w:eastAsia="Times New Roman"/>
          <w:i/>
        </w:rPr>
        <w:t>adaptive work culture as well as provide flexibility to the remote workers</w:t>
      </w:r>
      <w:r w:rsidRPr="00DB43DA">
        <w:rPr>
          <w:rFonts w:eastAsia="Times New Roman"/>
        </w:rPr>
        <w:t xml:space="preserve">. Thus, Ted Baker is ensuring to revise their existing HRM structure and include new ones for the betterment of the firm. </w:t>
      </w:r>
    </w:p>
    <w:p w:rsidR="00E05D4E" w:rsidRDefault="002D4108" w:rsidP="001042B8">
      <w:pPr>
        <w:pStyle w:val="Heading2"/>
        <w:spacing w:line="480" w:lineRule="auto"/>
        <w:rPr>
          <w:sz w:val="22"/>
          <w:szCs w:val="22"/>
        </w:rPr>
      </w:pPr>
      <w:bookmarkStart w:id="36" w:name="_Toc129522660"/>
      <w:bookmarkStart w:id="37" w:name="_Toc133940684"/>
      <w:r>
        <w:rPr>
          <w:sz w:val="22"/>
          <w:szCs w:val="22"/>
        </w:rPr>
        <w:t>SWOT Analysis</w:t>
      </w:r>
      <w:bookmarkEnd w:id="36"/>
      <w:bookmarkEnd w:id="37"/>
      <w:r>
        <w:rPr>
          <w:sz w:val="22"/>
          <w:szCs w:val="22"/>
        </w:rPr>
        <w:t xml:space="preserve"> </w:t>
      </w:r>
    </w:p>
    <w:p w:rsidR="00A9406D" w:rsidRPr="00DB43DA" w:rsidRDefault="00A9406D" w:rsidP="00A9406D">
      <w:pPr>
        <w:spacing w:line="480" w:lineRule="auto"/>
        <w:rPr>
          <w:color w:val="000000" w:themeColor="text1"/>
        </w:rPr>
      </w:pPr>
      <w:r w:rsidRPr="00DB43DA">
        <w:rPr>
          <w:color w:val="000000" w:themeColor="text1"/>
        </w:rPr>
        <w:t>The SWOT analysis is a tool implemented for the examination of the strengths, weakness, opportunities and threats present amidst the working of a company</w:t>
      </w:r>
      <w:r w:rsidR="007E46C4" w:rsidRPr="00DB43DA">
        <w:rPr>
          <w:color w:val="000000" w:themeColor="text1"/>
        </w:rPr>
        <w:t xml:space="preserve"> (Cheng </w:t>
      </w:r>
      <w:r w:rsidR="007E46C4" w:rsidRPr="00DB43DA">
        <w:rPr>
          <w:i/>
          <w:color w:val="000000" w:themeColor="text1"/>
        </w:rPr>
        <w:t>et al</w:t>
      </w:r>
      <w:r w:rsidR="007E46C4" w:rsidRPr="00DB43DA">
        <w:rPr>
          <w:color w:val="000000" w:themeColor="text1"/>
        </w:rPr>
        <w:t>. 2021)</w:t>
      </w:r>
      <w:r w:rsidRPr="00DB43DA">
        <w:rPr>
          <w:color w:val="000000" w:themeColor="text1"/>
        </w:rPr>
        <w:t xml:space="preserve">. </w:t>
      </w:r>
    </w:p>
    <w:tbl>
      <w:tblPr>
        <w:tblW w:w="8865" w:type="dxa"/>
        <w:tblLayout w:type="fixed"/>
        <w:tblLook w:val="04A0" w:firstRow="1" w:lastRow="0" w:firstColumn="1" w:lastColumn="0" w:noHBand="0" w:noVBand="1"/>
      </w:tblPr>
      <w:tblGrid>
        <w:gridCol w:w="4440"/>
        <w:gridCol w:w="4425"/>
      </w:tblGrid>
      <w:tr w:rsidR="00E05D4E">
        <w:trPr>
          <w:trHeight w:val="90"/>
        </w:trPr>
        <w:tc>
          <w:tcPr>
            <w:tcW w:w="4440" w:type="dxa"/>
            <w:tcBorders>
              <w:top w:val="single" w:sz="6" w:space="0" w:color="000000"/>
              <w:left w:val="single" w:sz="6" w:space="0" w:color="000000"/>
              <w:bottom w:val="single" w:sz="6" w:space="0" w:color="000000"/>
              <w:right w:val="single" w:sz="6" w:space="0" w:color="000000"/>
            </w:tcBorders>
            <w:shd w:val="clear" w:color="auto" w:fill="DEEAF6"/>
            <w:tcMar>
              <w:top w:w="100" w:type="dxa"/>
              <w:left w:w="100" w:type="dxa"/>
              <w:bottom w:w="100" w:type="dxa"/>
              <w:right w:w="100" w:type="dxa"/>
            </w:tcMar>
          </w:tcPr>
          <w:p w:rsidR="00E05D4E" w:rsidRDefault="002D4108" w:rsidP="001042B8">
            <w:pPr>
              <w:spacing w:before="240" w:line="480" w:lineRule="auto"/>
              <w:rPr>
                <w:rFonts w:eastAsia="Times New Roman"/>
                <w:b/>
              </w:rPr>
            </w:pPr>
            <w:r>
              <w:rPr>
                <w:rFonts w:eastAsia="Times New Roman"/>
                <w:b/>
              </w:rPr>
              <w:t>Strengths</w:t>
            </w:r>
          </w:p>
        </w:tc>
        <w:tc>
          <w:tcPr>
            <w:tcW w:w="4425" w:type="dxa"/>
            <w:tcBorders>
              <w:top w:val="single" w:sz="6" w:space="0" w:color="000000"/>
              <w:left w:val="nil"/>
              <w:bottom w:val="single" w:sz="6" w:space="0" w:color="000000"/>
              <w:right w:val="single" w:sz="6" w:space="0" w:color="000000"/>
            </w:tcBorders>
            <w:shd w:val="clear" w:color="auto" w:fill="DEEAF6"/>
            <w:tcMar>
              <w:top w:w="100" w:type="dxa"/>
              <w:left w:w="100" w:type="dxa"/>
              <w:bottom w:w="100" w:type="dxa"/>
              <w:right w:w="100" w:type="dxa"/>
            </w:tcMar>
          </w:tcPr>
          <w:p w:rsidR="00E05D4E" w:rsidRDefault="002D4108" w:rsidP="001042B8">
            <w:pPr>
              <w:spacing w:before="240" w:line="480" w:lineRule="auto"/>
              <w:rPr>
                <w:rFonts w:eastAsia="Times New Roman"/>
                <w:b/>
              </w:rPr>
            </w:pPr>
            <w:r>
              <w:rPr>
                <w:rFonts w:eastAsia="Times New Roman"/>
                <w:b/>
              </w:rPr>
              <w:t>Weaknesses</w:t>
            </w:r>
          </w:p>
        </w:tc>
      </w:tr>
      <w:tr w:rsidR="00E05D4E">
        <w:trPr>
          <w:trHeight w:val="2060"/>
        </w:trPr>
        <w:tc>
          <w:tcPr>
            <w:tcW w:w="4440" w:type="dxa"/>
            <w:tcBorders>
              <w:top w:val="nil"/>
              <w:left w:val="single" w:sz="6" w:space="0" w:color="000000"/>
              <w:bottom w:val="single" w:sz="6" w:space="0" w:color="000000"/>
              <w:right w:val="single" w:sz="6" w:space="0" w:color="000000"/>
            </w:tcBorders>
            <w:tcMar>
              <w:top w:w="100" w:type="dxa"/>
              <w:left w:w="100" w:type="dxa"/>
              <w:bottom w:w="100" w:type="dxa"/>
              <w:right w:w="100" w:type="dxa"/>
            </w:tcMar>
          </w:tcPr>
          <w:p w:rsidR="00E05D4E" w:rsidRDefault="002D4108" w:rsidP="001042B8">
            <w:pPr>
              <w:pStyle w:val="ListParagraph"/>
              <w:numPr>
                <w:ilvl w:val="0"/>
                <w:numId w:val="1"/>
              </w:numPr>
              <w:spacing w:before="240"/>
              <w:rPr>
                <w:rFonts w:eastAsia="Times New Roman"/>
              </w:rPr>
            </w:pPr>
            <w:r>
              <w:rPr>
                <w:rFonts w:eastAsia="Times New Roman"/>
              </w:rPr>
              <w:t xml:space="preserve">Automation of activities to scale up warehouse activities </w:t>
            </w:r>
          </w:p>
          <w:p w:rsidR="00E05D4E" w:rsidRDefault="002D4108" w:rsidP="001042B8">
            <w:pPr>
              <w:pStyle w:val="ListParagraph"/>
              <w:numPr>
                <w:ilvl w:val="0"/>
                <w:numId w:val="1"/>
              </w:numPr>
              <w:spacing w:before="240"/>
              <w:rPr>
                <w:rFonts w:eastAsia="Times New Roman"/>
              </w:rPr>
            </w:pPr>
            <w:r>
              <w:rPr>
                <w:rFonts w:eastAsia="Times New Roman"/>
              </w:rPr>
              <w:t xml:space="preserve">Strong and reliable distribution network </w:t>
            </w:r>
          </w:p>
          <w:p w:rsidR="00E05D4E" w:rsidRDefault="002D4108" w:rsidP="001042B8">
            <w:pPr>
              <w:pStyle w:val="ListParagraph"/>
              <w:numPr>
                <w:ilvl w:val="0"/>
                <w:numId w:val="1"/>
              </w:numPr>
              <w:spacing w:before="240"/>
              <w:rPr>
                <w:rFonts w:eastAsia="Times New Roman"/>
              </w:rPr>
            </w:pPr>
            <w:r>
              <w:rPr>
                <w:rFonts w:eastAsia="Times New Roman"/>
              </w:rPr>
              <w:t xml:space="preserve">A highly skilled workforce with industry-relevant skills </w:t>
            </w:r>
          </w:p>
          <w:p w:rsidR="00E05D4E" w:rsidRDefault="002D4108" w:rsidP="001042B8">
            <w:pPr>
              <w:pStyle w:val="ListParagraph"/>
              <w:numPr>
                <w:ilvl w:val="0"/>
                <w:numId w:val="1"/>
              </w:numPr>
              <w:spacing w:before="240"/>
              <w:rPr>
                <w:rFonts w:eastAsia="Times New Roman"/>
              </w:rPr>
            </w:pPr>
            <w:r>
              <w:rPr>
                <w:rFonts w:eastAsia="Times New Roman"/>
              </w:rPr>
              <w:t xml:space="preserve">Merging innovation with the latest products     </w:t>
            </w:r>
          </w:p>
          <w:p w:rsidR="00E05D4E" w:rsidRDefault="002D4108" w:rsidP="001042B8">
            <w:pPr>
              <w:pStyle w:val="ListParagraph"/>
              <w:numPr>
                <w:ilvl w:val="0"/>
                <w:numId w:val="1"/>
              </w:numPr>
              <w:spacing w:before="240"/>
              <w:rPr>
                <w:rFonts w:eastAsia="Times New Roman"/>
              </w:rPr>
            </w:pPr>
            <w:r>
              <w:rPr>
                <w:rFonts w:eastAsia="Times New Roman"/>
              </w:rPr>
              <w:t xml:space="preserve">Fast delivery process leading to customer satisfaction </w:t>
            </w:r>
          </w:p>
          <w:p w:rsidR="00E05D4E" w:rsidRDefault="002D4108" w:rsidP="001042B8">
            <w:pPr>
              <w:pStyle w:val="ListParagraph"/>
              <w:numPr>
                <w:ilvl w:val="0"/>
                <w:numId w:val="1"/>
              </w:numPr>
              <w:spacing w:before="240"/>
              <w:rPr>
                <w:rFonts w:eastAsia="Times New Roman"/>
              </w:rPr>
            </w:pPr>
            <w:r>
              <w:rPr>
                <w:rFonts w:eastAsia="Times New Roman"/>
              </w:rPr>
              <w:t xml:space="preserve">Low cost of products </w:t>
            </w:r>
          </w:p>
        </w:tc>
        <w:tc>
          <w:tcPr>
            <w:tcW w:w="4425" w:type="dxa"/>
            <w:tcBorders>
              <w:top w:val="nil"/>
              <w:left w:val="nil"/>
              <w:bottom w:val="single" w:sz="6" w:space="0" w:color="000000"/>
              <w:right w:val="single" w:sz="6" w:space="0" w:color="000000"/>
            </w:tcBorders>
            <w:tcMar>
              <w:top w:w="100" w:type="dxa"/>
              <w:left w:w="100" w:type="dxa"/>
              <w:bottom w:w="100" w:type="dxa"/>
              <w:right w:w="100" w:type="dxa"/>
            </w:tcMar>
          </w:tcPr>
          <w:p w:rsidR="00E05D4E" w:rsidRDefault="002D4108" w:rsidP="001042B8">
            <w:pPr>
              <w:pStyle w:val="ListParagraph"/>
              <w:numPr>
                <w:ilvl w:val="0"/>
                <w:numId w:val="1"/>
              </w:numPr>
              <w:spacing w:before="240"/>
              <w:rPr>
                <w:rFonts w:eastAsia="Times New Roman"/>
              </w:rPr>
            </w:pPr>
            <w:r>
              <w:rPr>
                <w:rFonts w:eastAsia="Times New Roman"/>
              </w:rPr>
              <w:t xml:space="preserve">Spending too much in training and development programs </w:t>
            </w:r>
          </w:p>
          <w:p w:rsidR="00E05D4E" w:rsidRDefault="002D4108" w:rsidP="001042B8">
            <w:pPr>
              <w:pStyle w:val="ListParagraph"/>
              <w:numPr>
                <w:ilvl w:val="0"/>
                <w:numId w:val="1"/>
              </w:numPr>
              <w:spacing w:before="240"/>
              <w:rPr>
                <w:rFonts w:eastAsia="Times New Roman"/>
              </w:rPr>
            </w:pPr>
            <w:r>
              <w:rPr>
                <w:rFonts w:eastAsia="Times New Roman"/>
              </w:rPr>
              <w:t xml:space="preserve">Expanding in new countries requires investment in the latest technologies </w:t>
            </w:r>
          </w:p>
          <w:p w:rsidR="00E05D4E" w:rsidRDefault="002D4108" w:rsidP="001042B8">
            <w:pPr>
              <w:pStyle w:val="ListParagraph"/>
              <w:numPr>
                <w:ilvl w:val="0"/>
                <w:numId w:val="1"/>
              </w:numPr>
              <w:spacing w:before="240"/>
              <w:rPr>
                <w:rFonts w:eastAsia="Times New Roman"/>
              </w:rPr>
            </w:pPr>
            <w:r>
              <w:rPr>
                <w:rFonts w:eastAsia="Times New Roman"/>
              </w:rPr>
              <w:t xml:space="preserve">Financial planning is not adequately </w:t>
            </w:r>
          </w:p>
          <w:p w:rsidR="00E05D4E" w:rsidRDefault="002D4108" w:rsidP="001042B8">
            <w:pPr>
              <w:pStyle w:val="ListParagraph"/>
              <w:numPr>
                <w:ilvl w:val="0"/>
                <w:numId w:val="1"/>
              </w:numPr>
              <w:spacing w:before="240"/>
              <w:rPr>
                <w:rFonts w:eastAsia="Times New Roman"/>
              </w:rPr>
            </w:pPr>
            <w:r>
              <w:rPr>
                <w:rFonts w:eastAsia="Times New Roman"/>
              </w:rPr>
              <w:t xml:space="preserve">Inability in adopting a flexible working culture </w:t>
            </w:r>
          </w:p>
          <w:p w:rsidR="00E05D4E" w:rsidRDefault="002D4108" w:rsidP="001042B8">
            <w:pPr>
              <w:pStyle w:val="ListParagraph"/>
              <w:numPr>
                <w:ilvl w:val="0"/>
                <w:numId w:val="1"/>
              </w:numPr>
              <w:spacing w:before="240"/>
              <w:rPr>
                <w:rFonts w:eastAsia="Times New Roman"/>
              </w:rPr>
            </w:pPr>
            <w:r>
              <w:rPr>
                <w:rFonts w:eastAsia="Times New Roman"/>
              </w:rPr>
              <w:t xml:space="preserve">No proper investment in research and development </w:t>
            </w:r>
          </w:p>
          <w:p w:rsidR="00E05D4E" w:rsidRDefault="002D4108" w:rsidP="001042B8">
            <w:pPr>
              <w:pStyle w:val="ListParagraph"/>
              <w:numPr>
                <w:ilvl w:val="0"/>
                <w:numId w:val="1"/>
              </w:numPr>
              <w:spacing w:before="240"/>
              <w:rPr>
                <w:rFonts w:eastAsia="Times New Roman"/>
              </w:rPr>
            </w:pPr>
            <w:r>
              <w:rPr>
                <w:rFonts w:eastAsia="Times New Roman"/>
              </w:rPr>
              <w:t xml:space="preserve">High employee turnover rates due to complaint of harassment </w:t>
            </w:r>
          </w:p>
        </w:tc>
      </w:tr>
      <w:tr w:rsidR="00E05D4E">
        <w:trPr>
          <w:trHeight w:val="1057"/>
        </w:trPr>
        <w:tc>
          <w:tcPr>
            <w:tcW w:w="4440" w:type="dxa"/>
            <w:tcBorders>
              <w:top w:val="nil"/>
              <w:left w:val="single" w:sz="6" w:space="0" w:color="000000"/>
              <w:bottom w:val="single" w:sz="6" w:space="0" w:color="000000"/>
              <w:right w:val="single" w:sz="6" w:space="0" w:color="000000"/>
            </w:tcBorders>
            <w:shd w:val="clear" w:color="auto" w:fill="DEEAF6"/>
            <w:tcMar>
              <w:top w:w="100" w:type="dxa"/>
              <w:left w:w="100" w:type="dxa"/>
              <w:bottom w:w="100" w:type="dxa"/>
              <w:right w:w="100" w:type="dxa"/>
            </w:tcMar>
          </w:tcPr>
          <w:p w:rsidR="00E05D4E" w:rsidRDefault="002D4108" w:rsidP="001042B8">
            <w:pPr>
              <w:spacing w:before="240" w:line="480" w:lineRule="auto"/>
              <w:rPr>
                <w:rFonts w:eastAsia="Times New Roman"/>
                <w:b/>
              </w:rPr>
            </w:pPr>
            <w:r>
              <w:rPr>
                <w:rFonts w:eastAsia="Times New Roman"/>
                <w:b/>
              </w:rPr>
              <w:t>Opportunities</w:t>
            </w:r>
          </w:p>
        </w:tc>
        <w:tc>
          <w:tcPr>
            <w:tcW w:w="4425" w:type="dxa"/>
            <w:tcBorders>
              <w:top w:val="nil"/>
              <w:left w:val="nil"/>
              <w:bottom w:val="single" w:sz="6" w:space="0" w:color="000000"/>
              <w:right w:val="single" w:sz="6" w:space="0" w:color="000000"/>
            </w:tcBorders>
            <w:shd w:val="clear" w:color="auto" w:fill="DEEAF6"/>
            <w:tcMar>
              <w:top w:w="100" w:type="dxa"/>
              <w:left w:w="100" w:type="dxa"/>
              <w:bottom w:w="100" w:type="dxa"/>
              <w:right w:w="100" w:type="dxa"/>
            </w:tcMar>
          </w:tcPr>
          <w:p w:rsidR="00E05D4E" w:rsidRDefault="002D4108" w:rsidP="001042B8">
            <w:pPr>
              <w:spacing w:before="240" w:line="480" w:lineRule="auto"/>
              <w:rPr>
                <w:rFonts w:eastAsia="Times New Roman"/>
                <w:b/>
              </w:rPr>
            </w:pPr>
            <w:r>
              <w:rPr>
                <w:rFonts w:eastAsia="Times New Roman"/>
                <w:b/>
              </w:rPr>
              <w:t>Threats</w:t>
            </w:r>
          </w:p>
        </w:tc>
      </w:tr>
      <w:tr w:rsidR="00E05D4E">
        <w:trPr>
          <w:trHeight w:val="2085"/>
        </w:trPr>
        <w:tc>
          <w:tcPr>
            <w:tcW w:w="4440" w:type="dxa"/>
            <w:tcBorders>
              <w:top w:val="nil"/>
              <w:left w:val="single" w:sz="6" w:space="0" w:color="000000"/>
              <w:bottom w:val="single" w:sz="6" w:space="0" w:color="000000"/>
              <w:right w:val="single" w:sz="6" w:space="0" w:color="000000"/>
            </w:tcBorders>
            <w:tcMar>
              <w:top w:w="100" w:type="dxa"/>
              <w:left w:w="100" w:type="dxa"/>
              <w:bottom w:w="100" w:type="dxa"/>
              <w:right w:w="100" w:type="dxa"/>
            </w:tcMar>
          </w:tcPr>
          <w:p w:rsidR="00E05D4E" w:rsidRDefault="002D4108" w:rsidP="001042B8">
            <w:pPr>
              <w:pStyle w:val="ListParagraph"/>
              <w:numPr>
                <w:ilvl w:val="0"/>
                <w:numId w:val="2"/>
              </w:numPr>
              <w:spacing w:before="240"/>
              <w:rPr>
                <w:rFonts w:eastAsia="Times New Roman"/>
              </w:rPr>
            </w:pPr>
            <w:r>
              <w:rPr>
                <w:rFonts w:eastAsia="Times New Roman"/>
              </w:rPr>
              <w:lastRenderedPageBreak/>
              <w:t xml:space="preserve">Scaling up in the e-commerce industry </w:t>
            </w:r>
          </w:p>
          <w:p w:rsidR="00E05D4E" w:rsidRDefault="002D4108" w:rsidP="001042B8">
            <w:pPr>
              <w:pStyle w:val="ListParagraph"/>
              <w:numPr>
                <w:ilvl w:val="0"/>
                <w:numId w:val="2"/>
              </w:numPr>
              <w:spacing w:before="240"/>
              <w:rPr>
                <w:rFonts w:eastAsia="Times New Roman"/>
              </w:rPr>
            </w:pPr>
            <w:r>
              <w:rPr>
                <w:rFonts w:eastAsia="Times New Roman"/>
              </w:rPr>
              <w:t xml:space="preserve">Including green strategies in their business activities </w:t>
            </w:r>
          </w:p>
          <w:p w:rsidR="00E05D4E" w:rsidRDefault="002D4108" w:rsidP="001042B8">
            <w:pPr>
              <w:pStyle w:val="ListParagraph"/>
              <w:numPr>
                <w:ilvl w:val="0"/>
                <w:numId w:val="2"/>
              </w:numPr>
              <w:spacing w:before="240"/>
              <w:rPr>
                <w:rFonts w:eastAsia="Times New Roman"/>
              </w:rPr>
            </w:pPr>
            <w:r>
              <w:rPr>
                <w:rFonts w:eastAsia="Times New Roman"/>
              </w:rPr>
              <w:t xml:space="preserve">Aligning operations with globalization </w:t>
            </w:r>
          </w:p>
          <w:p w:rsidR="00E05D4E" w:rsidRDefault="002D4108" w:rsidP="001042B8">
            <w:pPr>
              <w:pStyle w:val="ListParagraph"/>
              <w:numPr>
                <w:ilvl w:val="0"/>
                <w:numId w:val="2"/>
              </w:numPr>
              <w:spacing w:before="240"/>
              <w:rPr>
                <w:rFonts w:eastAsia="Times New Roman"/>
              </w:rPr>
            </w:pPr>
            <w:r>
              <w:rPr>
                <w:rFonts w:eastAsia="Times New Roman"/>
              </w:rPr>
              <w:t xml:space="preserve">Working on minimizing trade barriers </w:t>
            </w:r>
          </w:p>
        </w:tc>
        <w:tc>
          <w:tcPr>
            <w:tcW w:w="4425" w:type="dxa"/>
            <w:tcBorders>
              <w:top w:val="nil"/>
              <w:left w:val="nil"/>
              <w:bottom w:val="single" w:sz="6" w:space="0" w:color="000000"/>
              <w:right w:val="single" w:sz="6" w:space="0" w:color="000000"/>
            </w:tcBorders>
            <w:tcMar>
              <w:top w:w="100" w:type="dxa"/>
              <w:left w:w="100" w:type="dxa"/>
              <w:bottom w:w="100" w:type="dxa"/>
              <w:right w:w="100" w:type="dxa"/>
            </w:tcMar>
          </w:tcPr>
          <w:p w:rsidR="00E05D4E" w:rsidRDefault="002D4108" w:rsidP="001042B8">
            <w:pPr>
              <w:pStyle w:val="ListParagraph"/>
              <w:numPr>
                <w:ilvl w:val="0"/>
                <w:numId w:val="2"/>
              </w:numPr>
              <w:spacing w:before="240"/>
              <w:rPr>
                <w:rFonts w:eastAsia="Times New Roman"/>
              </w:rPr>
            </w:pPr>
            <w:r>
              <w:rPr>
                <w:rFonts w:eastAsia="Times New Roman"/>
              </w:rPr>
              <w:t xml:space="preserve">Technological developments by other players of the market </w:t>
            </w:r>
          </w:p>
          <w:p w:rsidR="00E05D4E" w:rsidRDefault="002D4108" w:rsidP="001042B8">
            <w:pPr>
              <w:pStyle w:val="ListParagraph"/>
              <w:numPr>
                <w:ilvl w:val="0"/>
                <w:numId w:val="2"/>
              </w:numPr>
              <w:spacing w:before="240"/>
              <w:rPr>
                <w:rFonts w:eastAsia="Times New Roman"/>
              </w:rPr>
            </w:pPr>
            <w:r>
              <w:rPr>
                <w:rFonts w:eastAsia="Times New Roman"/>
              </w:rPr>
              <w:t xml:space="preserve">Political instability </w:t>
            </w:r>
          </w:p>
          <w:p w:rsidR="00E05D4E" w:rsidRDefault="002D4108" w:rsidP="001042B8">
            <w:pPr>
              <w:pStyle w:val="ListParagraph"/>
              <w:numPr>
                <w:ilvl w:val="0"/>
                <w:numId w:val="2"/>
              </w:numPr>
              <w:spacing w:before="240"/>
              <w:rPr>
                <w:rFonts w:eastAsia="Times New Roman"/>
              </w:rPr>
            </w:pPr>
            <w:r>
              <w:rPr>
                <w:rFonts w:eastAsia="Times New Roman"/>
              </w:rPr>
              <w:t xml:space="preserve">Change in customer expectations and demands </w:t>
            </w:r>
          </w:p>
          <w:p w:rsidR="00E05D4E" w:rsidRDefault="002D4108" w:rsidP="001042B8">
            <w:pPr>
              <w:pStyle w:val="ListParagraph"/>
              <w:numPr>
                <w:ilvl w:val="0"/>
                <w:numId w:val="2"/>
              </w:numPr>
              <w:spacing w:before="240"/>
              <w:rPr>
                <w:rFonts w:eastAsia="Times New Roman"/>
              </w:rPr>
            </w:pPr>
            <w:r>
              <w:rPr>
                <w:rFonts w:eastAsia="Times New Roman"/>
              </w:rPr>
              <w:t xml:space="preserve">Frequent changes in exchange, inflation and interest rates </w:t>
            </w:r>
          </w:p>
          <w:p w:rsidR="00E05D4E" w:rsidRDefault="002D4108" w:rsidP="001042B8">
            <w:pPr>
              <w:pStyle w:val="ListParagraph"/>
              <w:numPr>
                <w:ilvl w:val="0"/>
                <w:numId w:val="2"/>
              </w:numPr>
              <w:spacing w:before="240"/>
              <w:rPr>
                <w:rFonts w:eastAsia="Times New Roman"/>
              </w:rPr>
            </w:pPr>
            <w:r>
              <w:rPr>
                <w:rFonts w:eastAsia="Times New Roman"/>
              </w:rPr>
              <w:t xml:space="preserve">New entrants in the market </w:t>
            </w:r>
          </w:p>
        </w:tc>
      </w:tr>
    </w:tbl>
    <w:p w:rsidR="00E05D4E" w:rsidRDefault="002D4108" w:rsidP="001042B8">
      <w:pPr>
        <w:spacing w:line="480" w:lineRule="auto"/>
        <w:jc w:val="center"/>
        <w:rPr>
          <w:rFonts w:eastAsia="Times New Roman"/>
          <w:b/>
        </w:rPr>
      </w:pPr>
      <w:r>
        <w:rPr>
          <w:rFonts w:eastAsia="Times New Roman"/>
          <w:b/>
        </w:rPr>
        <w:t>Table 4: SWOT Analysis of Ted Baker</w:t>
      </w:r>
    </w:p>
    <w:p w:rsidR="00E05D4E" w:rsidRDefault="002D4108" w:rsidP="001042B8">
      <w:pPr>
        <w:spacing w:line="480" w:lineRule="auto"/>
        <w:jc w:val="center"/>
        <w:rPr>
          <w:rFonts w:eastAsia="Times New Roman"/>
        </w:rPr>
      </w:pPr>
      <w:r>
        <w:rPr>
          <w:rFonts w:eastAsia="Times New Roman"/>
        </w:rPr>
        <w:t xml:space="preserve">(Source: Influenced by </w:t>
      </w:r>
      <w:r>
        <w:rPr>
          <w:rFonts w:eastAsia="Times New Roman"/>
          <w:color w:val="222222"/>
          <w:highlight w:val="white"/>
        </w:rPr>
        <w:t xml:space="preserve">Mariappanadar </w:t>
      </w:r>
      <w:r>
        <w:rPr>
          <w:rFonts w:eastAsia="Times New Roman"/>
          <w:i/>
          <w:color w:val="222222"/>
          <w:highlight w:val="white"/>
        </w:rPr>
        <w:t>et al.</w:t>
      </w:r>
      <w:r>
        <w:rPr>
          <w:rFonts w:eastAsia="Times New Roman"/>
          <w:color w:val="222222"/>
          <w:highlight w:val="white"/>
        </w:rPr>
        <w:t xml:space="preserve"> </w:t>
      </w:r>
      <w:r>
        <w:rPr>
          <w:rFonts w:eastAsia="Times New Roman"/>
        </w:rPr>
        <w:t>2019)</w:t>
      </w:r>
    </w:p>
    <w:p w:rsidR="00E05D4E" w:rsidRDefault="002D4108" w:rsidP="001042B8">
      <w:pPr>
        <w:spacing w:line="480" w:lineRule="auto"/>
        <w:rPr>
          <w:rFonts w:eastAsia="Times New Roman"/>
        </w:rPr>
      </w:pPr>
      <w:r>
        <w:rPr>
          <w:rFonts w:eastAsia="Times New Roman"/>
        </w:rPr>
        <w:t xml:space="preserve">Table 5 outlines the strengths of Ted Baker that enabled them to stay relevant in the market. The company has invested in automating operations at the warehouse to regulate better delivery of products. As per the point of view of </w:t>
      </w:r>
      <w:r>
        <w:rPr>
          <w:rFonts w:eastAsia="Times New Roman"/>
          <w:color w:val="222222"/>
          <w:highlight w:val="white"/>
        </w:rPr>
        <w:t xml:space="preserve">Mariappanadar </w:t>
      </w:r>
      <w:r>
        <w:rPr>
          <w:rFonts w:eastAsia="Times New Roman"/>
          <w:i/>
          <w:color w:val="222222"/>
          <w:highlight w:val="white"/>
        </w:rPr>
        <w:t>et al.</w:t>
      </w:r>
      <w:r>
        <w:rPr>
          <w:rFonts w:eastAsia="Times New Roman"/>
          <w:color w:val="222222"/>
          <w:highlight w:val="white"/>
        </w:rPr>
        <w:t xml:space="preserve"> </w:t>
      </w:r>
      <w:r>
        <w:rPr>
          <w:rFonts w:eastAsia="Times New Roman"/>
        </w:rPr>
        <w:t xml:space="preserve">(2019), fast delivery of products promotes greater customer satisfaction rates. Establishing in different host countries requires strategies that set the firm different from its competitors. Ted Baker has been relying on bringing innovation to their products in order to create a new niche in the market. In contrast to this, their poor financial planning has been a major hindrance in the company’s investment process. </w:t>
      </w:r>
    </w:p>
    <w:p w:rsidR="00E05D4E" w:rsidRDefault="002D4108" w:rsidP="001042B8">
      <w:pPr>
        <w:spacing w:line="480" w:lineRule="auto"/>
        <w:rPr>
          <w:rFonts w:eastAsia="Times New Roman"/>
        </w:rPr>
      </w:pPr>
      <w:r>
        <w:rPr>
          <w:rFonts w:eastAsia="Times New Roman"/>
        </w:rPr>
        <w:t xml:space="preserve">Moreover, political aspects and regulatory norms have restricted trading for Ted Baker. As per the opinions of </w:t>
      </w:r>
      <w:r>
        <w:rPr>
          <w:rFonts w:eastAsia="Times New Roman"/>
          <w:color w:val="222222"/>
          <w:highlight w:val="white"/>
        </w:rPr>
        <w:t xml:space="preserve">Hamadamin and Atan </w:t>
      </w:r>
      <w:r>
        <w:rPr>
          <w:rFonts w:eastAsia="Times New Roman"/>
        </w:rPr>
        <w:t xml:space="preserve">(2019), fluctuating trends in interest and exchange rates impact the pricing strategy of a company. New entrants and technological development of existing players in the market have been major threats to the company to prosperity in the retail sector. However, the firm needs to work on its strategies to reduce the consequences of trade barriers. Aligning their activities with regulatory reforms is necessary to hold a strong market share in the host country. In addition to this, the firm needs to expand its sales by scaling up in </w:t>
      </w:r>
      <w:r>
        <w:rPr>
          <w:rFonts w:eastAsia="Times New Roman"/>
        </w:rPr>
        <w:lastRenderedPageBreak/>
        <w:t xml:space="preserve">the e-commerce sector. Integrating digital marketing strategies with quality products can be a boon for the expansion of the company. </w:t>
      </w:r>
    </w:p>
    <w:p w:rsidR="00BE3F0C" w:rsidRDefault="002D4108" w:rsidP="001042B8">
      <w:pPr>
        <w:pStyle w:val="Heading1"/>
        <w:spacing w:line="480" w:lineRule="auto"/>
        <w:rPr>
          <w:sz w:val="22"/>
          <w:szCs w:val="22"/>
        </w:rPr>
      </w:pPr>
      <w:bookmarkStart w:id="38" w:name="_Toc133940685"/>
      <w:r>
        <w:rPr>
          <w:sz w:val="22"/>
          <w:szCs w:val="22"/>
        </w:rPr>
        <w:t>Suggested entry modes to the organisation</w:t>
      </w:r>
      <w:bookmarkEnd w:id="38"/>
    </w:p>
    <w:p w:rsidR="00E05D4E" w:rsidRPr="00DB43DA" w:rsidRDefault="00BE3F0C" w:rsidP="00B03E39">
      <w:pPr>
        <w:spacing w:line="480" w:lineRule="auto"/>
        <w:rPr>
          <w:rFonts w:eastAsia="Times New Roman"/>
          <w:color w:val="000000" w:themeColor="text1"/>
        </w:rPr>
      </w:pPr>
      <w:r w:rsidRPr="00DB43DA">
        <w:rPr>
          <w:color w:val="000000" w:themeColor="text1"/>
        </w:rPr>
        <w:t xml:space="preserve">Entry mode is defined to be </w:t>
      </w:r>
      <w:r w:rsidR="00A05C28" w:rsidRPr="00DB43DA">
        <w:rPr>
          <w:color w:val="000000" w:themeColor="text1"/>
        </w:rPr>
        <w:t>the strategies which are necessary for entering a foreign country, as per the analysis of the external environment of the nation</w:t>
      </w:r>
      <w:r w:rsidR="007E46C4" w:rsidRPr="00DB43DA">
        <w:rPr>
          <w:color w:val="000000" w:themeColor="text1"/>
        </w:rPr>
        <w:t xml:space="preserve"> (Qi </w:t>
      </w:r>
      <w:r w:rsidR="007E46C4" w:rsidRPr="00DB43DA">
        <w:rPr>
          <w:i/>
          <w:color w:val="000000" w:themeColor="text1"/>
        </w:rPr>
        <w:t>et al</w:t>
      </w:r>
      <w:r w:rsidR="007E46C4" w:rsidRPr="00DB43DA">
        <w:rPr>
          <w:color w:val="000000" w:themeColor="text1"/>
        </w:rPr>
        <w:t>. 2020)</w:t>
      </w:r>
      <w:r w:rsidR="00A05C28" w:rsidRPr="00DB43DA">
        <w:rPr>
          <w:color w:val="000000" w:themeColor="text1"/>
        </w:rPr>
        <w:t xml:space="preserve">. Through the assessment of the scenarios, an organisation can modulate the means to enter into the overseas soil, according to its own </w:t>
      </w:r>
      <w:r w:rsidR="00B03E39" w:rsidRPr="00DB43DA">
        <w:rPr>
          <w:color w:val="000000" w:themeColor="text1"/>
        </w:rPr>
        <w:t>advantages</w:t>
      </w:r>
      <w:r w:rsidR="00A05C28" w:rsidRPr="00DB43DA">
        <w:rPr>
          <w:color w:val="000000" w:themeColor="text1"/>
        </w:rPr>
        <w:t>.</w:t>
      </w:r>
      <w:r w:rsidR="00B03E39" w:rsidRPr="00DB43DA">
        <w:rPr>
          <w:color w:val="000000" w:themeColor="text1"/>
        </w:rPr>
        <w:t xml:space="preserve"> </w:t>
      </w:r>
      <w:r w:rsidR="002D4108" w:rsidRPr="00DB43DA">
        <w:rPr>
          <w:rFonts w:eastAsia="Times New Roman"/>
          <w:color w:val="000000" w:themeColor="text1"/>
        </w:rPr>
        <w:t>Understanding the patterns and the various operating posters in accompany is necessary to strategically manage their pathways for reaching the target of an organisation. According to the workings by Menzies, Orr and Paul (2020), entering into the foreign market for any organisation serves to be a feature that needs to be examined properly for decreasing the uncertainty issues. Due to the fact that the political, social, economic and environmental conditions of the foreign country are unknown to the expanding firm, gaining a strict forecast by analysing the related variables is necessary to draw upon the revenue which can be obtained.  Varying kinds of modes of entry can be noted down by an organisation to spread into a foreign country. There are three major subdivisions depending on which an organisation can enter into the new market depending upon the export, their contractual alignment with the local companies, or by investing into the foreign market.</w:t>
      </w:r>
    </w:p>
    <w:p w:rsidR="00E05D4E" w:rsidRDefault="002D4108" w:rsidP="001042B8">
      <w:pPr>
        <w:widowControl w:val="0"/>
        <w:spacing w:line="480" w:lineRule="auto"/>
        <w:jc w:val="center"/>
        <w:rPr>
          <w:rFonts w:eastAsia="Times New Roman"/>
        </w:rPr>
      </w:pPr>
      <w:r>
        <w:rPr>
          <w:rFonts w:eastAsia="Times New Roman"/>
          <w:noProof/>
          <w:lang w:val="en-US" w:eastAsia="en-US"/>
        </w:rPr>
        <w:lastRenderedPageBreak/>
        <w:drawing>
          <wp:inline distT="114300" distB="114300" distL="114300" distR="114300">
            <wp:extent cx="3683000" cy="3823970"/>
            <wp:effectExtent l="25400" t="25400" r="25400" b="36830"/>
            <wp:docPr id="2" name="image1.png"/>
            <wp:cNvGraphicFramePr/>
            <a:graphic xmlns:a="http://schemas.openxmlformats.org/drawingml/2006/main">
              <a:graphicData uri="http://schemas.openxmlformats.org/drawingml/2006/picture">
                <pic:pic xmlns:pic="http://schemas.openxmlformats.org/drawingml/2006/picture">
                  <pic:nvPicPr>
                    <pic:cNvPr id="2" name="image1.png"/>
                    <pic:cNvPicPr preferRelativeResize="0"/>
                  </pic:nvPicPr>
                  <pic:blipFill>
                    <a:blip r:embed="rId14"/>
                    <a:srcRect/>
                    <a:stretch>
                      <a:fillRect/>
                    </a:stretch>
                  </pic:blipFill>
                  <pic:spPr>
                    <a:xfrm>
                      <a:off x="0" y="0"/>
                      <a:ext cx="3683554" cy="3824288"/>
                    </a:xfrm>
                    <a:prstGeom prst="rect">
                      <a:avLst/>
                    </a:prstGeom>
                    <a:ln w="25400">
                      <a:solidFill>
                        <a:srgbClr val="000000"/>
                      </a:solidFill>
                      <a:prstDash val="solid"/>
                    </a:ln>
                  </pic:spPr>
                </pic:pic>
              </a:graphicData>
            </a:graphic>
          </wp:inline>
        </w:drawing>
      </w:r>
    </w:p>
    <w:p w:rsidR="00E05D4E" w:rsidRDefault="002D4108" w:rsidP="001042B8">
      <w:pPr>
        <w:spacing w:line="480" w:lineRule="auto"/>
        <w:jc w:val="center"/>
        <w:rPr>
          <w:rFonts w:eastAsia="Times New Roman"/>
          <w:b/>
        </w:rPr>
      </w:pPr>
      <w:r>
        <w:rPr>
          <w:rFonts w:eastAsia="Times New Roman"/>
          <w:b/>
        </w:rPr>
        <w:t xml:space="preserve">Figure </w:t>
      </w:r>
      <w:r w:rsidRPr="00B2697F">
        <w:rPr>
          <w:rFonts w:eastAsia="Times New Roman"/>
          <w:b/>
        </w:rPr>
        <w:t>6</w:t>
      </w:r>
      <w:r>
        <w:rPr>
          <w:rFonts w:eastAsia="Times New Roman"/>
          <w:b/>
        </w:rPr>
        <w:t>: Different modes of entry for a company in the foreign market</w:t>
      </w:r>
    </w:p>
    <w:p w:rsidR="00E05D4E" w:rsidRDefault="002D4108" w:rsidP="001042B8">
      <w:pPr>
        <w:spacing w:line="480" w:lineRule="auto"/>
        <w:jc w:val="center"/>
        <w:rPr>
          <w:rFonts w:eastAsia="Times New Roman"/>
        </w:rPr>
      </w:pPr>
      <w:r>
        <w:rPr>
          <w:rFonts w:eastAsia="Times New Roman"/>
        </w:rPr>
        <w:t>(Source: Surdu, Mellahi and Glaister, 2019)</w:t>
      </w:r>
    </w:p>
    <w:p w:rsidR="00E05D4E" w:rsidRDefault="002D4108" w:rsidP="001042B8">
      <w:pPr>
        <w:spacing w:line="480" w:lineRule="auto"/>
        <w:rPr>
          <w:rFonts w:eastAsia="Times New Roman"/>
        </w:rPr>
      </w:pPr>
      <w:r>
        <w:rPr>
          <w:rFonts w:eastAsia="Times New Roman"/>
        </w:rPr>
        <w:t xml:space="preserve">According to figure </w:t>
      </w:r>
      <w:r w:rsidRPr="00B2697F">
        <w:rPr>
          <w:rFonts w:eastAsia="Times New Roman"/>
        </w:rPr>
        <w:t>6</w:t>
      </w:r>
      <w:r>
        <w:rPr>
          <w:rFonts w:eastAsia="Times New Roman"/>
        </w:rPr>
        <w:t xml:space="preserve">, it can be noted that an array of mediums such as direct exporting, franchising, licensing, going into a joint venture, or related situations can help a company to get established in the market. </w:t>
      </w:r>
    </w:p>
    <w:p w:rsidR="00E05D4E" w:rsidRDefault="002D4108" w:rsidP="001042B8">
      <w:pPr>
        <w:spacing w:line="480" w:lineRule="auto"/>
        <w:rPr>
          <w:rFonts w:eastAsia="Times New Roman"/>
        </w:rPr>
      </w:pPr>
      <w:r>
        <w:rPr>
          <w:rFonts w:eastAsia="Times New Roman"/>
        </w:rPr>
        <w:t xml:space="preserve">In the case of Ted Baker, to spread in Turkey, the company can obtain the mode of joint venture, as linking up with an established company in the country would allow it to gather its loyal consumers. According to the thoughts by Surdu, Mellahi and Glaister (2019), with the help of joint ventures, an organisation has the capacity to gather sufficient information about the distribution networks and share the risks with the partner firm. In such a manner the company would also be able to decrease the number of competitors such as Herry, Desa, Derimod and others, by associating with them. A decline in the number of competitors for an organisation in the foreign market would serve to be extremely important to reduce upon the bargaining power of the suppliers and that of the consumers. Hence, with the aid of a joint venture with </w:t>
      </w:r>
      <w:r>
        <w:rPr>
          <w:rFonts w:eastAsia="Times New Roman"/>
        </w:rPr>
        <w:lastRenderedPageBreak/>
        <w:t>its competitors in Turkey, Ted Baker can be able to strategically delve into the international fashion market of the exploring country.</w:t>
      </w:r>
    </w:p>
    <w:p w:rsidR="00E05D4E" w:rsidRDefault="002D4108" w:rsidP="001042B8">
      <w:pPr>
        <w:pStyle w:val="Heading1"/>
        <w:spacing w:line="480" w:lineRule="auto"/>
        <w:rPr>
          <w:sz w:val="22"/>
          <w:szCs w:val="32"/>
        </w:rPr>
      </w:pPr>
      <w:bookmarkStart w:id="39" w:name="_Toc26986"/>
      <w:bookmarkStart w:id="40" w:name="_Toc133940686"/>
      <w:r>
        <w:rPr>
          <w:sz w:val="22"/>
          <w:szCs w:val="32"/>
        </w:rPr>
        <w:t>Corporate Social Responsibility</w:t>
      </w:r>
      <w:bookmarkEnd w:id="39"/>
      <w:bookmarkEnd w:id="40"/>
    </w:p>
    <w:p w:rsidR="00E05D4E" w:rsidRDefault="002D4108" w:rsidP="001042B8">
      <w:pPr>
        <w:spacing w:line="480" w:lineRule="auto"/>
      </w:pPr>
      <w:r>
        <w:t xml:space="preserve">For the effective maintenance of Corporate Social Responsibility or CSR, Ted Baker wants to develop and maintain health workplace environment where the employees can work prosperously in a working climate and culture. Thus, for the effective retention of CSR, Ted Baker have prioritised their values. Among these values Ted Baker follows the components that are Authentic, Curious, Courageous, Inclusive and Kind. </w:t>
      </w:r>
    </w:p>
    <w:p w:rsidR="00E05D4E" w:rsidRDefault="002D4108" w:rsidP="001042B8">
      <w:pPr>
        <w:pStyle w:val="Heading1"/>
        <w:spacing w:line="480" w:lineRule="auto"/>
        <w:rPr>
          <w:sz w:val="22"/>
          <w:szCs w:val="22"/>
        </w:rPr>
      </w:pPr>
      <w:bookmarkStart w:id="41" w:name="_Toc12426"/>
      <w:bookmarkStart w:id="42" w:name="_Toc133940687"/>
      <w:r>
        <w:rPr>
          <w:sz w:val="22"/>
          <w:szCs w:val="22"/>
        </w:rPr>
        <w:t>Conclusion</w:t>
      </w:r>
      <w:bookmarkEnd w:id="41"/>
      <w:bookmarkEnd w:id="42"/>
    </w:p>
    <w:p w:rsidR="00E05D4E" w:rsidRDefault="002D4108" w:rsidP="001042B8">
      <w:pPr>
        <w:spacing w:line="480" w:lineRule="auto"/>
        <w:rPr>
          <w:rFonts w:eastAsia="Times New Roman"/>
        </w:rPr>
      </w:pPr>
      <w:r>
        <w:rPr>
          <w:rFonts w:eastAsia="Times New Roman"/>
        </w:rPr>
        <w:t xml:space="preserve">Therefore, from the study it can be noted that with the integration of an expanded examination of the relatable factors in the firm, the organisation can proliferate further and gather a target market in the global perspective. Once the notions of expanding are noted in a firm, gaining an insight into the comparative grounds of PESTLE has enabled it to understand the different mechanisms to be applied. Therefore, it can be concluded that Ted Baker has been a prominent player in the retail sector, which aims to provide quality products. Expanding in the host country has brought up certain issues for the firm that has been presented in the study.  Though the firm is focusing on adopting a flexible work culture, there have been serious complaints against the senior management. Moreover, the study presents an illustration of PESTLE analysis between the host and the home country to identify the challenges and opportunities. A detailed explanation of the internal analysis of Ted Baker has been highlighted in the study which shows the need to develop a better financial planning. </w:t>
      </w:r>
    </w:p>
    <w:p w:rsidR="00E05D4E" w:rsidRDefault="00E05D4E" w:rsidP="001042B8">
      <w:pPr>
        <w:spacing w:line="480" w:lineRule="auto"/>
        <w:rPr>
          <w:rFonts w:eastAsia="Times New Roman"/>
        </w:rPr>
      </w:pPr>
    </w:p>
    <w:p w:rsidR="00E05D4E" w:rsidRDefault="002D4108" w:rsidP="001042B8">
      <w:pPr>
        <w:spacing w:line="480" w:lineRule="auto"/>
        <w:rPr>
          <w:rFonts w:eastAsia="Times New Roman"/>
        </w:rPr>
      </w:pPr>
      <w:r>
        <w:rPr>
          <w:rFonts w:eastAsia="Times New Roman"/>
        </w:rPr>
        <w:br w:type="page"/>
      </w:r>
    </w:p>
    <w:p w:rsidR="00E05D4E" w:rsidRDefault="002D4108" w:rsidP="001042B8">
      <w:pPr>
        <w:pStyle w:val="Heading1"/>
        <w:spacing w:line="480" w:lineRule="auto"/>
        <w:rPr>
          <w:sz w:val="22"/>
          <w:szCs w:val="22"/>
        </w:rPr>
      </w:pPr>
      <w:bookmarkStart w:id="43" w:name="_Toc14243"/>
      <w:bookmarkStart w:id="44" w:name="_Toc133940688"/>
      <w:r>
        <w:rPr>
          <w:sz w:val="22"/>
          <w:szCs w:val="22"/>
        </w:rPr>
        <w:lastRenderedPageBreak/>
        <w:t>References</w:t>
      </w:r>
      <w:bookmarkEnd w:id="43"/>
      <w:bookmarkEnd w:id="44"/>
    </w:p>
    <w:p w:rsidR="00D24AA7" w:rsidRDefault="00D24AA7" w:rsidP="001042B8">
      <w:pPr>
        <w:spacing w:line="480" w:lineRule="auto"/>
        <w:rPr>
          <w:color w:val="222222"/>
          <w:shd w:val="clear" w:color="auto" w:fill="FFFFFF"/>
        </w:rPr>
      </w:pPr>
      <w:r>
        <w:rPr>
          <w:color w:val="222222"/>
          <w:shd w:val="clear" w:color="auto" w:fill="FFFFFF"/>
        </w:rPr>
        <w:t>Agrawal, T.K., Kumar, V., Pal, R., Wang, L. and Chen, Y., 2021. Blockchain-based framework for supply chain traceability: A case example of textile and clothing industry. </w:t>
      </w:r>
      <w:r>
        <w:rPr>
          <w:i/>
          <w:iCs/>
          <w:color w:val="222222"/>
          <w:shd w:val="clear" w:color="auto" w:fill="FFFFFF"/>
        </w:rPr>
        <w:t>Computers &amp; industrial engineering</w:t>
      </w:r>
      <w:r>
        <w:rPr>
          <w:color w:val="222222"/>
          <w:shd w:val="clear" w:color="auto" w:fill="FFFFFF"/>
        </w:rPr>
        <w:t>, </w:t>
      </w:r>
      <w:r>
        <w:rPr>
          <w:i/>
          <w:iCs/>
          <w:color w:val="222222"/>
          <w:shd w:val="clear" w:color="auto" w:fill="FFFFFF"/>
        </w:rPr>
        <w:t>154</w:t>
      </w:r>
      <w:r>
        <w:rPr>
          <w:color w:val="222222"/>
          <w:shd w:val="clear" w:color="auto" w:fill="FFFFFF"/>
        </w:rPr>
        <w:t>, p.107130.</w:t>
      </w:r>
    </w:p>
    <w:p w:rsidR="00D24AA7" w:rsidRDefault="00D24AA7" w:rsidP="001042B8">
      <w:pPr>
        <w:spacing w:line="480" w:lineRule="auto"/>
      </w:pPr>
      <w:r>
        <w:t>AKMAN, M.K., 2020. Defence management and PESTLE analysis. </w:t>
      </w:r>
      <w:r>
        <w:rPr>
          <w:i/>
          <w:iCs/>
        </w:rPr>
        <w:t>Ante Portas–Security Studies</w:t>
      </w:r>
      <w:r>
        <w:t>, </w:t>
      </w:r>
      <w:r>
        <w:rPr>
          <w:i/>
          <w:iCs/>
        </w:rPr>
        <w:t>1</w:t>
      </w:r>
      <w:r>
        <w:t>(14), pp.93-102.</w:t>
      </w:r>
    </w:p>
    <w:p w:rsidR="00D24AA7" w:rsidRPr="00DB43DA" w:rsidRDefault="00D24AA7" w:rsidP="001042B8">
      <w:pPr>
        <w:spacing w:before="240" w:after="240" w:line="480" w:lineRule="auto"/>
        <w:rPr>
          <w:color w:val="000000" w:themeColor="text1"/>
        </w:rPr>
      </w:pPr>
      <w:r w:rsidRPr="00DB43DA">
        <w:rPr>
          <w:color w:val="000000" w:themeColor="text1"/>
        </w:rPr>
        <w:t>AKMAN, M.K., 2020. Defence management and PESTLE analysis. </w:t>
      </w:r>
      <w:r w:rsidRPr="00DB43DA">
        <w:rPr>
          <w:i/>
          <w:iCs/>
          <w:color w:val="000000" w:themeColor="text1"/>
        </w:rPr>
        <w:t>Ante Portas–Security Studies</w:t>
      </w:r>
      <w:r w:rsidRPr="00DB43DA">
        <w:rPr>
          <w:color w:val="000000" w:themeColor="text1"/>
        </w:rPr>
        <w:t>, </w:t>
      </w:r>
      <w:r w:rsidRPr="00DB43DA">
        <w:rPr>
          <w:i/>
          <w:iCs/>
          <w:color w:val="000000" w:themeColor="text1"/>
        </w:rPr>
        <w:t>1</w:t>
      </w:r>
      <w:r w:rsidRPr="00DB43DA">
        <w:rPr>
          <w:color w:val="000000" w:themeColor="text1"/>
        </w:rPr>
        <w:t>(14), pp.93-102.</w:t>
      </w:r>
    </w:p>
    <w:p w:rsidR="00D24AA7" w:rsidRDefault="00D24AA7" w:rsidP="001042B8">
      <w:pPr>
        <w:spacing w:before="240" w:after="240" w:line="480" w:lineRule="auto"/>
        <w:rPr>
          <w:lang w:val="en-GB"/>
        </w:rPr>
      </w:pPr>
      <w:r>
        <w:rPr>
          <w:lang w:val="en-GB"/>
        </w:rPr>
        <w:t>Anastasiu, L., Gavriş, O. and Maier, D., 2020. Is human capital ready for change? A strategic approach adapting Porter’s five forces to human resources. Sustainability, 12(6), p.2300.</w:t>
      </w:r>
    </w:p>
    <w:p w:rsidR="00D24AA7" w:rsidRPr="00DD73A9" w:rsidRDefault="00D24AA7" w:rsidP="001042B8">
      <w:pPr>
        <w:spacing w:before="240" w:after="240" w:line="480" w:lineRule="auto"/>
        <w:rPr>
          <w:lang w:val="en-GB"/>
        </w:rPr>
      </w:pPr>
      <w:r w:rsidRPr="00DD73A9">
        <w:rPr>
          <w:lang w:val="en-GB"/>
        </w:rPr>
        <w:t xml:space="preserve">Annualreports. 2022. </w:t>
      </w:r>
      <w:r w:rsidRPr="00DD73A9">
        <w:rPr>
          <w:i/>
        </w:rPr>
        <w:t>ATTENTION TO DETAIL</w:t>
      </w:r>
      <w:r w:rsidRPr="00DD73A9">
        <w:rPr>
          <w:lang w:val="en-GB"/>
        </w:rPr>
        <w:t xml:space="preserve">. annualreports </w:t>
      </w:r>
      <w:hyperlink r:id="rId15" w:history="1">
        <w:r w:rsidRPr="00DD73A9">
          <w:rPr>
            <w:rStyle w:val="Hyperlink"/>
            <w:color w:val="auto"/>
            <w:lang w:val="en-GB"/>
          </w:rPr>
          <w:t>https://www.annualreports.com/HostedData/AnnualReports/PDF/LSE_TBK_2022.pdf</w:t>
        </w:r>
      </w:hyperlink>
      <w:r w:rsidRPr="00DD73A9">
        <w:rPr>
          <w:lang w:val="en-GB"/>
        </w:rPr>
        <w:t xml:space="preserve"> [Accessed on 20</w:t>
      </w:r>
      <w:r w:rsidRPr="00DD73A9">
        <w:rPr>
          <w:vertAlign w:val="superscript"/>
          <w:lang w:val="en-GB"/>
        </w:rPr>
        <w:t>th</w:t>
      </w:r>
      <w:r w:rsidRPr="00DD73A9">
        <w:rPr>
          <w:lang w:val="en-GB"/>
        </w:rPr>
        <w:t xml:space="preserve"> April 2023]</w:t>
      </w:r>
    </w:p>
    <w:p w:rsidR="00D24AA7" w:rsidRDefault="00D24AA7" w:rsidP="001042B8">
      <w:pPr>
        <w:spacing w:line="480" w:lineRule="auto"/>
        <w:rPr>
          <w:color w:val="222222"/>
          <w:shd w:val="clear" w:color="auto" w:fill="FFFFFF"/>
        </w:rPr>
      </w:pPr>
      <w:r>
        <w:rPr>
          <w:color w:val="222222"/>
          <w:shd w:val="clear" w:color="auto" w:fill="FFFFFF"/>
        </w:rPr>
        <w:t>Asgary, A., Ozdemir, A.I. and Özyürek, H., 2020. Small and medium enterprises and global risks: evidence from manufacturing SMEs in Turkey. </w:t>
      </w:r>
      <w:r>
        <w:rPr>
          <w:i/>
          <w:iCs/>
          <w:color w:val="222222"/>
          <w:shd w:val="clear" w:color="auto" w:fill="FFFFFF"/>
        </w:rPr>
        <w:t>International Journal of Disaster Risk Science</w:t>
      </w:r>
      <w:r>
        <w:rPr>
          <w:color w:val="222222"/>
          <w:shd w:val="clear" w:color="auto" w:fill="FFFFFF"/>
        </w:rPr>
        <w:t>, </w:t>
      </w:r>
      <w:r>
        <w:rPr>
          <w:i/>
          <w:iCs/>
          <w:color w:val="222222"/>
          <w:shd w:val="clear" w:color="auto" w:fill="FFFFFF"/>
        </w:rPr>
        <w:t>11</w:t>
      </w:r>
      <w:r>
        <w:rPr>
          <w:color w:val="222222"/>
          <w:shd w:val="clear" w:color="auto" w:fill="FFFFFF"/>
        </w:rPr>
        <w:t>, pp.59-73.</w:t>
      </w:r>
    </w:p>
    <w:p w:rsidR="00D24AA7" w:rsidRDefault="00D24AA7" w:rsidP="001042B8">
      <w:pPr>
        <w:spacing w:line="480" w:lineRule="auto"/>
        <w:rPr>
          <w:color w:val="222222"/>
          <w:shd w:val="clear" w:color="auto" w:fill="FFFFFF"/>
        </w:rPr>
      </w:pPr>
      <w:r>
        <w:rPr>
          <w:color w:val="222222"/>
          <w:shd w:val="clear" w:color="auto" w:fill="FFFFFF"/>
        </w:rPr>
        <w:t>Azizi, M.R., Atlasi, R., Ziapour, A., Abbas, J. and Naemi, R., 2021. Innovative human resource management strategies during the COVID-19 pandemic: A systematic narrative review approach. </w:t>
      </w:r>
      <w:r>
        <w:rPr>
          <w:i/>
          <w:iCs/>
          <w:color w:val="222222"/>
          <w:shd w:val="clear" w:color="auto" w:fill="FFFFFF"/>
        </w:rPr>
        <w:t>Heliyon</w:t>
      </w:r>
      <w:r>
        <w:rPr>
          <w:color w:val="222222"/>
          <w:shd w:val="clear" w:color="auto" w:fill="FFFFFF"/>
        </w:rPr>
        <w:t>, </w:t>
      </w:r>
      <w:r>
        <w:rPr>
          <w:i/>
          <w:iCs/>
          <w:color w:val="222222"/>
          <w:shd w:val="clear" w:color="auto" w:fill="FFFFFF"/>
        </w:rPr>
        <w:t>7</w:t>
      </w:r>
      <w:r>
        <w:rPr>
          <w:color w:val="222222"/>
          <w:shd w:val="clear" w:color="auto" w:fill="FFFFFF"/>
        </w:rPr>
        <w:t xml:space="preserve">(6), p.e07233. </w:t>
      </w:r>
    </w:p>
    <w:p w:rsidR="00D24AA7" w:rsidRDefault="00D24AA7" w:rsidP="001042B8">
      <w:pPr>
        <w:spacing w:line="480" w:lineRule="auto"/>
      </w:pPr>
      <w:r>
        <w:t>BALABAN, A.Y. and AKMAN, K., 2019. Climate Change Adaptation Policies of Metropolitan Municipalities in Turkey. </w:t>
      </w:r>
      <w:r>
        <w:rPr>
          <w:i/>
          <w:iCs/>
        </w:rPr>
        <w:t>Süleyman Demirel Üniversitesi Vizyoner Dergisi</w:t>
      </w:r>
      <w:r>
        <w:t>, </w:t>
      </w:r>
      <w:r>
        <w:rPr>
          <w:i/>
          <w:iCs/>
        </w:rPr>
        <w:t>13</w:t>
      </w:r>
      <w:r>
        <w:t>(36), pp.1132-1149.</w:t>
      </w:r>
    </w:p>
    <w:p w:rsidR="00D24AA7" w:rsidRDefault="00D24AA7" w:rsidP="001042B8">
      <w:pPr>
        <w:spacing w:line="480" w:lineRule="auto"/>
        <w:rPr>
          <w:lang w:val="en-GB"/>
        </w:rPr>
      </w:pPr>
      <w:r>
        <w:rPr>
          <w:lang w:val="en-GB"/>
        </w:rPr>
        <w:t>Baxter, G., 2019. A strategic analysis of Cargolux Airlines</w:t>
      </w:r>
    </w:p>
    <w:p w:rsidR="00D24AA7" w:rsidRDefault="00D24AA7" w:rsidP="001042B8">
      <w:pPr>
        <w:spacing w:line="480" w:lineRule="auto"/>
      </w:pPr>
      <w:r>
        <w:lastRenderedPageBreak/>
        <w:t>Butt, A.S., 2021. Strategies to mitigate the impact of COVID-19 on supply chain disruptions: a multiple case analysis of buyers and distributors. </w:t>
      </w:r>
      <w:r>
        <w:rPr>
          <w:i/>
          <w:iCs/>
        </w:rPr>
        <w:t>The International Journal of Logistics Management</w:t>
      </w:r>
      <w:r>
        <w:t>.</w:t>
      </w:r>
    </w:p>
    <w:p w:rsidR="00D24AA7" w:rsidRPr="00DB43DA" w:rsidRDefault="00D24AA7" w:rsidP="001042B8">
      <w:pPr>
        <w:spacing w:before="240" w:after="240" w:line="480" w:lineRule="auto"/>
        <w:rPr>
          <w:b/>
          <w:bCs/>
          <w:color w:val="000000" w:themeColor="text1"/>
        </w:rPr>
      </w:pPr>
      <w:r w:rsidRPr="00DB43DA">
        <w:rPr>
          <w:bCs/>
          <w:color w:val="000000" w:themeColor="text1"/>
        </w:rPr>
        <w:t>Ceicdata. 2023.</w:t>
      </w:r>
      <w:r w:rsidRPr="00DB43DA">
        <w:rPr>
          <w:bCs/>
          <w:i/>
          <w:color w:val="000000" w:themeColor="text1"/>
        </w:rPr>
        <w:t xml:space="preserve"> Turkey Private Consumption: % of GDP.</w:t>
      </w:r>
      <w:r w:rsidRPr="00DB43DA">
        <w:rPr>
          <w:b/>
          <w:bCs/>
          <w:color w:val="000000" w:themeColor="text1"/>
        </w:rPr>
        <w:t xml:space="preserve"> </w:t>
      </w:r>
      <w:r w:rsidRPr="00DB43DA">
        <w:rPr>
          <w:bCs/>
          <w:color w:val="000000" w:themeColor="text1"/>
        </w:rPr>
        <w:t xml:space="preserve">Ceicdata. </w:t>
      </w:r>
      <w:r w:rsidRPr="00DB43DA">
        <w:rPr>
          <w:color w:val="000000" w:themeColor="text1"/>
          <w:lang w:val="en-GB"/>
        </w:rPr>
        <w:t>Available at: https://www.ceicdata.com/en/indicator/turkey/private-consumption--of-nominal-gdp [Accessed on 27</w:t>
      </w:r>
      <w:r w:rsidRPr="00DB43DA">
        <w:rPr>
          <w:color w:val="000000" w:themeColor="text1"/>
          <w:vertAlign w:val="superscript"/>
          <w:lang w:val="en-GB"/>
        </w:rPr>
        <w:t>th</w:t>
      </w:r>
      <w:r w:rsidRPr="00DB43DA">
        <w:rPr>
          <w:color w:val="000000" w:themeColor="text1"/>
          <w:lang w:val="en-GB"/>
        </w:rPr>
        <w:t xml:space="preserve"> April 2023]</w:t>
      </w:r>
    </w:p>
    <w:p w:rsidR="00D24AA7" w:rsidRDefault="00D24AA7" w:rsidP="001042B8">
      <w:pPr>
        <w:spacing w:before="240" w:after="240" w:line="480" w:lineRule="auto"/>
        <w:rPr>
          <w:lang w:val="en-GB"/>
        </w:rPr>
      </w:pPr>
      <w:r>
        <w:rPr>
          <w:lang w:val="en-GB"/>
        </w:rPr>
        <w:t>Chatibura, D.M., 2021. Critical success factors of street food destinations: a review of extant literature. International Journal of Tourism Cities, 7(2), pp.410-434.</w:t>
      </w:r>
    </w:p>
    <w:p w:rsidR="00D24AA7" w:rsidRPr="00DB43DA" w:rsidRDefault="00D24AA7" w:rsidP="001042B8">
      <w:pPr>
        <w:spacing w:before="240" w:after="240" w:line="480" w:lineRule="auto"/>
        <w:rPr>
          <w:color w:val="000000" w:themeColor="text1"/>
        </w:rPr>
      </w:pPr>
      <w:r w:rsidRPr="00DB43DA">
        <w:rPr>
          <w:color w:val="000000" w:themeColor="text1"/>
        </w:rPr>
        <w:t>Cheng, L.C., Chen, K., Lee, M.C. and Li, K.M., 2021. User-Defined SWOT analysis–A change mining perspective on user-generated content. </w:t>
      </w:r>
      <w:r w:rsidRPr="00DB43DA">
        <w:rPr>
          <w:i/>
          <w:iCs/>
          <w:color w:val="000000" w:themeColor="text1"/>
        </w:rPr>
        <w:t>Information Processing &amp; Management</w:t>
      </w:r>
      <w:r w:rsidRPr="00DB43DA">
        <w:rPr>
          <w:color w:val="000000" w:themeColor="text1"/>
        </w:rPr>
        <w:t>, </w:t>
      </w:r>
      <w:r w:rsidRPr="00DB43DA">
        <w:rPr>
          <w:i/>
          <w:iCs/>
          <w:color w:val="000000" w:themeColor="text1"/>
        </w:rPr>
        <w:t>58</w:t>
      </w:r>
      <w:r w:rsidRPr="00DB43DA">
        <w:rPr>
          <w:color w:val="000000" w:themeColor="text1"/>
        </w:rPr>
        <w:t>(5), p.102613.</w:t>
      </w:r>
    </w:p>
    <w:p w:rsidR="00D24AA7" w:rsidRDefault="00D24AA7" w:rsidP="001042B8">
      <w:pPr>
        <w:spacing w:line="480" w:lineRule="auto"/>
      </w:pPr>
      <w:r>
        <w:t>Christodoulou, A. and Cullinane, K., 2019. Identifying the main opportunities and challenges from the implementation of a port energy management system: A SWOT/PESTLE analysis. </w:t>
      </w:r>
      <w:r>
        <w:rPr>
          <w:i/>
          <w:iCs/>
        </w:rPr>
        <w:t>Sustainability</w:t>
      </w:r>
      <w:r>
        <w:t>, </w:t>
      </w:r>
      <w:r>
        <w:rPr>
          <w:i/>
          <w:iCs/>
        </w:rPr>
        <w:t>11</w:t>
      </w:r>
      <w:r>
        <w:t>(21), p.6046.</w:t>
      </w:r>
    </w:p>
    <w:p w:rsidR="00D24AA7" w:rsidRDefault="00D24AA7" w:rsidP="001042B8">
      <w:pPr>
        <w:spacing w:line="480" w:lineRule="auto"/>
        <w:rPr>
          <w:color w:val="222222"/>
          <w:shd w:val="clear" w:color="auto" w:fill="FFFFFF"/>
        </w:rPr>
      </w:pPr>
      <w:r>
        <w:rPr>
          <w:color w:val="222222"/>
          <w:shd w:val="clear" w:color="auto" w:fill="FFFFFF"/>
        </w:rPr>
        <w:t>Collings, D.G., McMackin, J., Nyberg, A.J. and Wright, P.M., 2021. Strategic human resource management and COVID</w:t>
      </w:r>
      <w:r>
        <w:rPr>
          <w:rFonts w:ascii="Cambria Math" w:hAnsi="Cambria Math" w:cs="Cambria Math"/>
          <w:color w:val="222222"/>
          <w:shd w:val="clear" w:color="auto" w:fill="FFFFFF"/>
        </w:rPr>
        <w:t>‐</w:t>
      </w:r>
      <w:r>
        <w:rPr>
          <w:color w:val="222222"/>
          <w:shd w:val="clear" w:color="auto" w:fill="FFFFFF"/>
        </w:rPr>
        <w:t>19: Emerging challenges and research opportunities. </w:t>
      </w:r>
      <w:r>
        <w:rPr>
          <w:i/>
          <w:iCs/>
          <w:color w:val="222222"/>
          <w:shd w:val="clear" w:color="auto" w:fill="FFFFFF"/>
        </w:rPr>
        <w:t>Journal of Management Studies</w:t>
      </w:r>
      <w:r>
        <w:rPr>
          <w:color w:val="222222"/>
          <w:shd w:val="clear" w:color="auto" w:fill="FFFFFF"/>
        </w:rPr>
        <w:t>, </w:t>
      </w:r>
      <w:r>
        <w:rPr>
          <w:i/>
          <w:iCs/>
          <w:color w:val="222222"/>
          <w:shd w:val="clear" w:color="auto" w:fill="FFFFFF"/>
        </w:rPr>
        <w:t>58</w:t>
      </w:r>
      <w:r>
        <w:rPr>
          <w:color w:val="222222"/>
          <w:shd w:val="clear" w:color="auto" w:fill="FFFFFF"/>
        </w:rPr>
        <w:t>(5), p.1378.</w:t>
      </w:r>
    </w:p>
    <w:p w:rsidR="00D24AA7" w:rsidRDefault="00D24AA7" w:rsidP="001042B8">
      <w:pPr>
        <w:spacing w:line="480" w:lineRule="auto"/>
        <w:rPr>
          <w:color w:val="222222"/>
          <w:shd w:val="clear" w:color="auto" w:fill="FFFFFF"/>
        </w:rPr>
      </w:pPr>
      <w:r>
        <w:rPr>
          <w:color w:val="222222"/>
          <w:shd w:val="clear" w:color="auto" w:fill="FFFFFF"/>
        </w:rPr>
        <w:t>Cooke, F.L., Xiao, M. and Chen, Y., 2021. Still in search of strategic human resource management? A review and suggestions for future research with China as an example. </w:t>
      </w:r>
      <w:r>
        <w:rPr>
          <w:i/>
          <w:iCs/>
          <w:color w:val="222222"/>
          <w:shd w:val="clear" w:color="auto" w:fill="FFFFFF"/>
        </w:rPr>
        <w:t>Human Resource Management</w:t>
      </w:r>
      <w:r>
        <w:rPr>
          <w:color w:val="222222"/>
          <w:shd w:val="clear" w:color="auto" w:fill="FFFFFF"/>
        </w:rPr>
        <w:t>, </w:t>
      </w:r>
      <w:r>
        <w:rPr>
          <w:i/>
          <w:iCs/>
          <w:color w:val="222222"/>
          <w:shd w:val="clear" w:color="auto" w:fill="FFFFFF"/>
        </w:rPr>
        <w:t>60</w:t>
      </w:r>
      <w:r>
        <w:rPr>
          <w:color w:val="222222"/>
          <w:shd w:val="clear" w:color="auto" w:fill="FFFFFF"/>
        </w:rPr>
        <w:t>(1), pp.89-118.</w:t>
      </w:r>
    </w:p>
    <w:p w:rsidR="00D24AA7" w:rsidRPr="00DB43DA" w:rsidRDefault="00D24AA7" w:rsidP="001042B8">
      <w:pPr>
        <w:spacing w:before="240" w:after="240" w:line="480" w:lineRule="auto"/>
        <w:rPr>
          <w:color w:val="000000" w:themeColor="text1"/>
          <w:lang w:val="en-GB"/>
        </w:rPr>
      </w:pPr>
      <w:r w:rsidRPr="00DB43DA">
        <w:rPr>
          <w:color w:val="000000" w:themeColor="text1"/>
        </w:rPr>
        <w:t>Dubey, S., Singh, R., Singh, S.P., Mishra, A. and Singh, N.V., 2020. A brief study of value chain and supply chain. </w:t>
      </w:r>
      <w:r w:rsidRPr="00DB43DA">
        <w:rPr>
          <w:i/>
          <w:iCs/>
          <w:color w:val="000000" w:themeColor="text1"/>
        </w:rPr>
        <w:t>Agriculture Development and Economic Transformation in Global Scenario</w:t>
      </w:r>
      <w:r w:rsidRPr="00DB43DA">
        <w:rPr>
          <w:color w:val="000000" w:themeColor="text1"/>
        </w:rPr>
        <w:t>, pp.177-183.</w:t>
      </w:r>
    </w:p>
    <w:p w:rsidR="00D24AA7" w:rsidRDefault="00D24AA7" w:rsidP="001042B8">
      <w:pPr>
        <w:spacing w:before="240" w:after="240" w:line="480" w:lineRule="auto"/>
        <w:rPr>
          <w:lang w:val="en-GB"/>
        </w:rPr>
      </w:pPr>
      <w:r>
        <w:rPr>
          <w:lang w:val="en-GB"/>
        </w:rPr>
        <w:t xml:space="preserve">Falahat, M., Ramayah, T., Soto-Acosta, P. and Lee, Y.Y., 2020. SMEs internationalization: The role of product innovation, market intelligence, pricing and </w:t>
      </w:r>
      <w:r>
        <w:rPr>
          <w:lang w:val="en-GB"/>
        </w:rPr>
        <w:lastRenderedPageBreak/>
        <w:t>marketing communication capabilities as drivers of SMEs’ international performance. Technological Forecasting and Social Change, 152, p.119908.</w:t>
      </w:r>
    </w:p>
    <w:p w:rsidR="00D24AA7" w:rsidRDefault="00D24AA7" w:rsidP="001042B8">
      <w:pPr>
        <w:spacing w:before="240" w:after="240" w:line="480" w:lineRule="auto"/>
        <w:rPr>
          <w:lang w:val="en-GB"/>
        </w:rPr>
      </w:pPr>
      <w:r>
        <w:rPr>
          <w:lang w:val="en-GB"/>
        </w:rPr>
        <w:t>Farjadian, F., Ghasemi, A., Gohari, O., Roointan, A., Karimi, M. and Hamblin, M.R., 2019. Nanopharmaceuticals and nanomedicines currently on the market: challenges and opportunities. Nanomedicine, 14(1), pp.93-126.</w:t>
      </w:r>
    </w:p>
    <w:p w:rsidR="00D24AA7" w:rsidRDefault="00D24AA7" w:rsidP="001042B8">
      <w:pPr>
        <w:spacing w:line="480" w:lineRule="auto"/>
        <w:rPr>
          <w:color w:val="222222"/>
          <w:shd w:val="clear" w:color="auto" w:fill="FFFFFF"/>
        </w:rPr>
      </w:pPr>
      <w:r>
        <w:rPr>
          <w:color w:val="222222"/>
          <w:shd w:val="clear" w:color="auto" w:fill="FFFFFF"/>
        </w:rPr>
        <w:t>Fernandez-Stark, K. and Gereffi, G., 2019. Global value chain analysis: A primer. In </w:t>
      </w:r>
      <w:r>
        <w:rPr>
          <w:i/>
          <w:iCs/>
          <w:color w:val="222222"/>
          <w:shd w:val="clear" w:color="auto" w:fill="FFFFFF"/>
        </w:rPr>
        <w:t>Handbook on global value chains</w:t>
      </w:r>
      <w:r>
        <w:rPr>
          <w:color w:val="222222"/>
          <w:shd w:val="clear" w:color="auto" w:fill="FFFFFF"/>
        </w:rPr>
        <w:t> (pp. 54-76). Edward Elgar Publishing.</w:t>
      </w:r>
    </w:p>
    <w:p w:rsidR="00D24AA7" w:rsidRDefault="00D24AA7" w:rsidP="001042B8">
      <w:pPr>
        <w:spacing w:before="240" w:after="240" w:line="480" w:lineRule="auto"/>
        <w:rPr>
          <w:lang w:val="en-GB"/>
        </w:rPr>
      </w:pPr>
      <w:r>
        <w:rPr>
          <w:lang w:val="en-GB"/>
        </w:rPr>
        <w:t>Forces Model. Infrastructures, 4(1), p.6.</w:t>
      </w:r>
    </w:p>
    <w:p w:rsidR="00D24AA7" w:rsidRDefault="00D24AA7" w:rsidP="001042B8">
      <w:pPr>
        <w:spacing w:before="240" w:after="240" w:line="480" w:lineRule="auto"/>
        <w:rPr>
          <w:lang w:val="en-GB"/>
        </w:rPr>
      </w:pPr>
      <w:r>
        <w:rPr>
          <w:lang w:val="en-GB"/>
        </w:rPr>
        <w:t>Gómez, J., Pérez-Aradros, B. and Salazar, I., 2022. How to beat early movers: The role of competitive strategy and industry dynamism on followers’ performance in the telecommunications industry. Long Range Planning, 55(5), p.102244.</w:t>
      </w:r>
    </w:p>
    <w:p w:rsidR="00D24AA7" w:rsidRDefault="00D24AA7" w:rsidP="001042B8">
      <w:pPr>
        <w:spacing w:before="240" w:after="240" w:line="480" w:lineRule="auto"/>
        <w:rPr>
          <w:lang w:val="en-GB"/>
        </w:rPr>
      </w:pPr>
      <w:r>
        <w:rPr>
          <w:lang w:val="en-GB"/>
        </w:rPr>
        <w:t>Guan, Z., Xu, Y., Jiang, H. and Jiang, G., 2019. International competitiveness of Chinese textile and clothing industry–a diamond model approach. Journal of Chinese Economic and Foreign Trade Studies, 12(1), pp.2-19.</w:t>
      </w:r>
    </w:p>
    <w:p w:rsidR="00D24AA7" w:rsidRDefault="00D24AA7" w:rsidP="001042B8">
      <w:pPr>
        <w:spacing w:line="480" w:lineRule="auto"/>
      </w:pPr>
      <w:r>
        <w:rPr>
          <w:color w:val="222222"/>
          <w:shd w:val="clear" w:color="auto" w:fill="FFFFFF"/>
        </w:rPr>
        <w:t>Hamadamin, H.H. and Atan, T., 2019. The impact of strategic human resource management practices on competitive advantage sustainability: The mediation of human capital development and employee commitment. </w:t>
      </w:r>
      <w:r>
        <w:rPr>
          <w:i/>
          <w:iCs/>
          <w:color w:val="222222"/>
          <w:shd w:val="clear" w:color="auto" w:fill="FFFFFF"/>
        </w:rPr>
        <w:t>Sustainability</w:t>
      </w:r>
      <w:r>
        <w:rPr>
          <w:color w:val="222222"/>
          <w:shd w:val="clear" w:color="auto" w:fill="FFFFFF"/>
        </w:rPr>
        <w:t>, </w:t>
      </w:r>
      <w:r>
        <w:rPr>
          <w:i/>
          <w:iCs/>
          <w:color w:val="222222"/>
          <w:shd w:val="clear" w:color="auto" w:fill="FFFFFF"/>
        </w:rPr>
        <w:t>11</w:t>
      </w:r>
      <w:r>
        <w:rPr>
          <w:color w:val="222222"/>
          <w:shd w:val="clear" w:color="auto" w:fill="FFFFFF"/>
        </w:rPr>
        <w:t>(20), p.5782.</w:t>
      </w:r>
    </w:p>
    <w:p w:rsidR="00D24AA7" w:rsidRPr="00DD73A9" w:rsidRDefault="00D24AA7" w:rsidP="001042B8">
      <w:pPr>
        <w:spacing w:before="240" w:after="240" w:line="480" w:lineRule="auto"/>
        <w:rPr>
          <w:lang w:val="en-GB"/>
        </w:rPr>
      </w:pPr>
      <w:r w:rsidRPr="00DD73A9">
        <w:t>Helmold, M. and Samara, W., 2019. </w:t>
      </w:r>
      <w:r w:rsidRPr="00DD73A9">
        <w:rPr>
          <w:i/>
          <w:iCs/>
        </w:rPr>
        <w:t>Progress in performance management</w:t>
      </w:r>
      <w:r w:rsidRPr="00DD73A9">
        <w:t>. Springer International Publishing.</w:t>
      </w:r>
    </w:p>
    <w:p w:rsidR="00D24AA7" w:rsidRPr="00DD73A9" w:rsidRDefault="00D24AA7" w:rsidP="001042B8">
      <w:pPr>
        <w:spacing w:before="240" w:after="240" w:line="480" w:lineRule="auto"/>
        <w:rPr>
          <w:lang w:val="en-GB"/>
        </w:rPr>
      </w:pPr>
      <w:r w:rsidRPr="00DD73A9">
        <w:t>Hubbard, D.W., 2020. </w:t>
      </w:r>
      <w:r w:rsidRPr="00DD73A9">
        <w:rPr>
          <w:i/>
          <w:iCs/>
        </w:rPr>
        <w:t>The failure of risk management: Why it's broken and how to fix it</w:t>
      </w:r>
      <w:r w:rsidRPr="00DD73A9">
        <w:t>. John Wiley &amp; Sons.</w:t>
      </w:r>
    </w:p>
    <w:p w:rsidR="00D24AA7" w:rsidRDefault="00D24AA7" w:rsidP="001042B8">
      <w:pPr>
        <w:spacing w:before="240" w:after="240" w:line="480" w:lineRule="auto"/>
        <w:rPr>
          <w:lang w:val="en-GB"/>
        </w:rPr>
      </w:pPr>
      <w:r>
        <w:rPr>
          <w:lang w:val="en-GB"/>
        </w:rPr>
        <w:lastRenderedPageBreak/>
        <w:t>Huo, D., Chen, Y., Hung, K., Song, Z., Guan, J. and Ji, A., 2020. Diamond model and the export competitiveness of the agriculture industry from emerging markets: an exploratory vision based on a spatial effect study using a genetic algorithm. Economic research-Ekonomska istraživanja, 33(1), pp.2427-2443.</w:t>
      </w:r>
    </w:p>
    <w:p w:rsidR="00D24AA7" w:rsidRDefault="00D24AA7" w:rsidP="001042B8">
      <w:pPr>
        <w:spacing w:line="480" w:lineRule="auto"/>
        <w:rPr>
          <w:lang w:val="en-GB"/>
        </w:rPr>
      </w:pPr>
      <w:r>
        <w:rPr>
          <w:lang w:val="en-GB"/>
        </w:rPr>
        <w:t>International position in the global air cargo supply chain using Porter’s Five</w:t>
      </w:r>
    </w:p>
    <w:p w:rsidR="00D24AA7" w:rsidRDefault="00D24AA7" w:rsidP="001042B8">
      <w:pPr>
        <w:spacing w:before="240" w:after="240" w:line="480" w:lineRule="auto"/>
        <w:rPr>
          <w:lang w:val="en-GB"/>
        </w:rPr>
      </w:pPr>
      <w:r>
        <w:rPr>
          <w:color w:val="222222"/>
          <w:highlight w:val="white"/>
          <w:lang w:val="en-GB"/>
        </w:rPr>
        <w:t xml:space="preserve">Irfan, M., Zhao, Z.Y., Ahmad, M., Batool, K., Jan, A. and Mukeshimana, M.C., 2019. Competitive assessment of Indian wind power industry: A five forces model. </w:t>
      </w:r>
      <w:r>
        <w:rPr>
          <w:i/>
          <w:lang w:val="en-GB"/>
        </w:rPr>
        <w:t>Journal of Renewable and Sustainable Energy</w:t>
      </w:r>
      <w:r>
        <w:rPr>
          <w:lang w:val="en-GB"/>
        </w:rPr>
        <w:t xml:space="preserve">, </w:t>
      </w:r>
      <w:r>
        <w:rPr>
          <w:i/>
          <w:lang w:val="en-GB"/>
        </w:rPr>
        <w:t>11</w:t>
      </w:r>
      <w:r>
        <w:rPr>
          <w:lang w:val="en-GB"/>
        </w:rPr>
        <w:t>(6), p.063301.</w:t>
      </w:r>
    </w:p>
    <w:p w:rsidR="00D24AA7" w:rsidRDefault="00D24AA7" w:rsidP="001042B8">
      <w:pPr>
        <w:spacing w:before="240" w:after="240" w:line="480" w:lineRule="auto"/>
        <w:rPr>
          <w:lang w:val="en-GB"/>
        </w:rPr>
      </w:pPr>
      <w:r>
        <w:rPr>
          <w:lang w:val="en-GB"/>
        </w:rPr>
        <w:t>Isabelle, D., Horak, K., McKinnon, S. and Palumbo, C., 2020. Is Porter's Five Forces Framework Still Relevant? A study of the capital/labour intensity continuum via mining and IT industries. Technology Innovation Management Review, 10(6).</w:t>
      </w:r>
    </w:p>
    <w:p w:rsidR="00D24AA7" w:rsidRPr="00DB43DA" w:rsidRDefault="00D24AA7" w:rsidP="001042B8">
      <w:pPr>
        <w:spacing w:before="240" w:after="240" w:line="480" w:lineRule="auto"/>
        <w:rPr>
          <w:color w:val="000000" w:themeColor="text1"/>
        </w:rPr>
      </w:pPr>
      <w:r w:rsidRPr="00DB43DA">
        <w:rPr>
          <w:color w:val="000000" w:themeColor="text1"/>
        </w:rPr>
        <w:t>Isabelle, D., Horak, K., McKinnon, S. and Palumbo, C., 2020. Is Porter's Five Forces Framework Still Relevant? A study of the capital/labour intensity continuum via mining and IT industries. </w:t>
      </w:r>
      <w:r w:rsidRPr="00DB43DA">
        <w:rPr>
          <w:i/>
          <w:iCs/>
          <w:color w:val="000000" w:themeColor="text1"/>
        </w:rPr>
        <w:t>Technology Innovation Management Review</w:t>
      </w:r>
      <w:r w:rsidRPr="00DB43DA">
        <w:rPr>
          <w:color w:val="000000" w:themeColor="text1"/>
        </w:rPr>
        <w:t>, </w:t>
      </w:r>
      <w:r w:rsidRPr="00DB43DA">
        <w:rPr>
          <w:i/>
          <w:iCs/>
          <w:color w:val="000000" w:themeColor="text1"/>
        </w:rPr>
        <w:t>10</w:t>
      </w:r>
      <w:r w:rsidRPr="00DB43DA">
        <w:rPr>
          <w:color w:val="000000" w:themeColor="text1"/>
        </w:rPr>
        <w:t>(6).</w:t>
      </w:r>
    </w:p>
    <w:p w:rsidR="00D24AA7" w:rsidRDefault="00D24AA7" w:rsidP="001042B8">
      <w:pPr>
        <w:spacing w:line="480" w:lineRule="auto"/>
        <w:rPr>
          <w:color w:val="222222"/>
          <w:shd w:val="clear" w:color="auto" w:fill="FFFFFF"/>
        </w:rPr>
      </w:pPr>
      <w:r>
        <w:rPr>
          <w:color w:val="222222"/>
          <w:shd w:val="clear" w:color="auto" w:fill="FFFFFF"/>
        </w:rPr>
        <w:t>Katsikeas, C., Leonidou, L. and Zeriti, A., 2020. Revisiting international marketing strategy in a digital era: Opportunities, challenges, and research directions. </w:t>
      </w:r>
      <w:r>
        <w:rPr>
          <w:i/>
          <w:iCs/>
          <w:color w:val="222222"/>
          <w:shd w:val="clear" w:color="auto" w:fill="FFFFFF"/>
        </w:rPr>
        <w:t>International Marketing Review</w:t>
      </w:r>
      <w:r>
        <w:rPr>
          <w:color w:val="222222"/>
          <w:shd w:val="clear" w:color="auto" w:fill="FFFFFF"/>
        </w:rPr>
        <w:t>, </w:t>
      </w:r>
      <w:r>
        <w:rPr>
          <w:i/>
          <w:iCs/>
          <w:color w:val="222222"/>
          <w:shd w:val="clear" w:color="auto" w:fill="FFFFFF"/>
        </w:rPr>
        <w:t>37</w:t>
      </w:r>
      <w:r>
        <w:rPr>
          <w:color w:val="222222"/>
          <w:shd w:val="clear" w:color="auto" w:fill="FFFFFF"/>
        </w:rPr>
        <w:t>(3), pp.405-424.</w:t>
      </w:r>
    </w:p>
    <w:p w:rsidR="00D24AA7" w:rsidRDefault="00D24AA7" w:rsidP="001042B8">
      <w:pPr>
        <w:spacing w:before="240" w:after="240" w:line="480" w:lineRule="auto"/>
        <w:rPr>
          <w:lang w:val="en-GB"/>
        </w:rPr>
      </w:pPr>
      <w:r>
        <w:rPr>
          <w:color w:val="222222"/>
          <w:highlight w:val="white"/>
          <w:lang w:val="en-GB"/>
        </w:rPr>
        <w:t xml:space="preserve">Kieltyka, L., Hiep, P.M., Dao, M.T.H. and Minh, D.T., 2022. Comparative analysis of business strategy of Hung Thinh and Novaland real estate developers using McKinsey matrix. </w:t>
      </w:r>
      <w:r>
        <w:rPr>
          <w:i/>
          <w:lang w:val="en-GB"/>
        </w:rPr>
        <w:t>International Journal of Multidisciplinary Research and Growth Evaluation</w:t>
      </w:r>
      <w:r>
        <w:rPr>
          <w:lang w:val="en-GB"/>
        </w:rPr>
        <w:t xml:space="preserve">, </w:t>
      </w:r>
      <w:r>
        <w:rPr>
          <w:i/>
          <w:lang w:val="en-GB"/>
        </w:rPr>
        <w:t>3</w:t>
      </w:r>
      <w:r>
        <w:rPr>
          <w:lang w:val="en-GB"/>
        </w:rPr>
        <w:t>(1), pp.175-180.</w:t>
      </w:r>
    </w:p>
    <w:p w:rsidR="00D24AA7" w:rsidRDefault="00D24AA7" w:rsidP="001042B8">
      <w:pPr>
        <w:spacing w:line="480" w:lineRule="auto"/>
        <w:rPr>
          <w:color w:val="222222"/>
          <w:shd w:val="clear" w:color="auto" w:fill="FFFFFF"/>
        </w:rPr>
      </w:pPr>
      <w:r>
        <w:rPr>
          <w:color w:val="222222"/>
          <w:shd w:val="clear" w:color="auto" w:fill="FFFFFF"/>
        </w:rPr>
        <w:t>Kul, C., Zhang, L. and Solangi, Y.A., 2020. Assessing the renewable energy investment risk factors for sustainable development in Turkey. </w:t>
      </w:r>
      <w:r>
        <w:rPr>
          <w:i/>
          <w:iCs/>
          <w:color w:val="222222"/>
          <w:shd w:val="clear" w:color="auto" w:fill="FFFFFF"/>
        </w:rPr>
        <w:t>Journal of Cleaner Production</w:t>
      </w:r>
      <w:r>
        <w:rPr>
          <w:color w:val="222222"/>
          <w:shd w:val="clear" w:color="auto" w:fill="FFFFFF"/>
        </w:rPr>
        <w:t>, </w:t>
      </w:r>
      <w:r>
        <w:rPr>
          <w:i/>
          <w:iCs/>
          <w:color w:val="222222"/>
          <w:shd w:val="clear" w:color="auto" w:fill="FFFFFF"/>
        </w:rPr>
        <w:t>276</w:t>
      </w:r>
      <w:r>
        <w:rPr>
          <w:color w:val="222222"/>
          <w:shd w:val="clear" w:color="auto" w:fill="FFFFFF"/>
        </w:rPr>
        <w:t>, p.124164.</w:t>
      </w:r>
    </w:p>
    <w:p w:rsidR="00D24AA7" w:rsidRDefault="00D24AA7" w:rsidP="001042B8">
      <w:pPr>
        <w:spacing w:line="480" w:lineRule="auto"/>
        <w:rPr>
          <w:color w:val="222222"/>
          <w:shd w:val="clear" w:color="auto" w:fill="FFFFFF"/>
        </w:rPr>
      </w:pPr>
      <w:r>
        <w:rPr>
          <w:color w:val="222222"/>
          <w:shd w:val="clear" w:color="auto" w:fill="FFFFFF"/>
        </w:rPr>
        <w:lastRenderedPageBreak/>
        <w:t>Li, F., Larimo, J. and Leonidou, L.C., 2021. Social media marketing strategy: definition, conceptualization, taxonomy, validation, and future agenda. </w:t>
      </w:r>
      <w:r>
        <w:rPr>
          <w:i/>
          <w:iCs/>
          <w:color w:val="222222"/>
          <w:shd w:val="clear" w:color="auto" w:fill="FFFFFF"/>
        </w:rPr>
        <w:t>Journal of the Academy of Marketing Science</w:t>
      </w:r>
      <w:r>
        <w:rPr>
          <w:color w:val="222222"/>
          <w:shd w:val="clear" w:color="auto" w:fill="FFFFFF"/>
        </w:rPr>
        <w:t>, </w:t>
      </w:r>
      <w:r>
        <w:rPr>
          <w:i/>
          <w:iCs/>
          <w:color w:val="222222"/>
          <w:shd w:val="clear" w:color="auto" w:fill="FFFFFF"/>
        </w:rPr>
        <w:t>49</w:t>
      </w:r>
      <w:r>
        <w:rPr>
          <w:color w:val="222222"/>
          <w:shd w:val="clear" w:color="auto" w:fill="FFFFFF"/>
        </w:rPr>
        <w:t>, pp.51-70.</w:t>
      </w:r>
    </w:p>
    <w:p w:rsidR="00D24AA7" w:rsidRPr="00DB43DA" w:rsidRDefault="00D24AA7" w:rsidP="001042B8">
      <w:pPr>
        <w:spacing w:before="240" w:after="240" w:line="480" w:lineRule="auto"/>
        <w:rPr>
          <w:color w:val="000000" w:themeColor="text1"/>
        </w:rPr>
      </w:pPr>
      <w:r w:rsidRPr="00DB43DA">
        <w:rPr>
          <w:color w:val="000000" w:themeColor="text1"/>
        </w:rPr>
        <w:t>Li, J., Haider, Z.A., Jin, X. and Yuan, W., 2019. Corporate controversy, social responsibility and market performance: International evidence. </w:t>
      </w:r>
      <w:r w:rsidRPr="00DB43DA">
        <w:rPr>
          <w:i/>
          <w:iCs/>
          <w:color w:val="000000" w:themeColor="text1"/>
        </w:rPr>
        <w:t>Journal of International Financial Markets, Institutions and Money</w:t>
      </w:r>
      <w:r w:rsidRPr="00DB43DA">
        <w:rPr>
          <w:color w:val="000000" w:themeColor="text1"/>
        </w:rPr>
        <w:t>, </w:t>
      </w:r>
      <w:r w:rsidRPr="00DB43DA">
        <w:rPr>
          <w:i/>
          <w:iCs/>
          <w:color w:val="000000" w:themeColor="text1"/>
        </w:rPr>
        <w:t>60</w:t>
      </w:r>
      <w:r w:rsidRPr="00DB43DA">
        <w:rPr>
          <w:color w:val="000000" w:themeColor="text1"/>
        </w:rPr>
        <w:t>, pp.1-18.</w:t>
      </w:r>
    </w:p>
    <w:p w:rsidR="00D24AA7" w:rsidRDefault="00D24AA7" w:rsidP="001042B8">
      <w:pPr>
        <w:spacing w:line="480" w:lineRule="auto"/>
        <w:rPr>
          <w:color w:val="222222"/>
          <w:shd w:val="clear" w:color="auto" w:fill="FFFFFF"/>
        </w:rPr>
      </w:pPr>
      <w:r>
        <w:rPr>
          <w:color w:val="222222"/>
          <w:shd w:val="clear" w:color="auto" w:fill="FFFFFF"/>
        </w:rPr>
        <w:t>Lopez-Cabrales, A. and Valle-Cabrera, R., 2020. Sustainable HRM strategies and employment relationships as drivers of the triple bottom line. </w:t>
      </w:r>
      <w:r>
        <w:rPr>
          <w:i/>
          <w:iCs/>
          <w:color w:val="222222"/>
          <w:shd w:val="clear" w:color="auto" w:fill="FFFFFF"/>
        </w:rPr>
        <w:t>Human resource management review</w:t>
      </w:r>
      <w:r>
        <w:rPr>
          <w:color w:val="222222"/>
          <w:shd w:val="clear" w:color="auto" w:fill="FFFFFF"/>
        </w:rPr>
        <w:t>, </w:t>
      </w:r>
      <w:r>
        <w:rPr>
          <w:i/>
          <w:iCs/>
          <w:color w:val="222222"/>
          <w:shd w:val="clear" w:color="auto" w:fill="FFFFFF"/>
        </w:rPr>
        <w:t>30</w:t>
      </w:r>
      <w:r>
        <w:rPr>
          <w:color w:val="222222"/>
          <w:shd w:val="clear" w:color="auto" w:fill="FFFFFF"/>
        </w:rPr>
        <w:t>(3), p.100689.</w:t>
      </w:r>
    </w:p>
    <w:p w:rsidR="00D24AA7" w:rsidRDefault="00D24AA7" w:rsidP="001042B8">
      <w:pPr>
        <w:spacing w:line="480" w:lineRule="auto"/>
      </w:pPr>
      <w:r>
        <w:t>Manhart, P., Summers, J.K. and Blackhurst, J., 2020. A meta</w:t>
      </w:r>
      <w:r>
        <w:rPr>
          <w:rFonts w:ascii="Cambria Math" w:hAnsi="Cambria Math" w:cs="Cambria Math"/>
        </w:rPr>
        <w:t>‐</w:t>
      </w:r>
      <w:r>
        <w:t>analytic review of supply chain risk management: assessing buffering and bridging strategies and firm performance. Journal of Supply Chain Management, 56(3), pp.66-87.</w:t>
      </w:r>
    </w:p>
    <w:p w:rsidR="00D24AA7" w:rsidRDefault="00D24AA7" w:rsidP="001042B8">
      <w:pPr>
        <w:spacing w:line="480" w:lineRule="auto"/>
        <w:rPr>
          <w:color w:val="222222"/>
          <w:shd w:val="clear" w:color="auto" w:fill="FFFFFF"/>
        </w:rPr>
      </w:pPr>
      <w:r>
        <w:rPr>
          <w:color w:val="222222"/>
          <w:shd w:val="clear" w:color="auto" w:fill="FFFFFF"/>
        </w:rPr>
        <w:t>Mariappanadar, S. ed., 2019. </w:t>
      </w:r>
      <w:r>
        <w:rPr>
          <w:i/>
          <w:iCs/>
          <w:color w:val="222222"/>
          <w:shd w:val="clear" w:color="auto" w:fill="FFFFFF"/>
        </w:rPr>
        <w:t>Sustainable human resource management: Strategies, practices and challenges</w:t>
      </w:r>
      <w:r>
        <w:rPr>
          <w:color w:val="222222"/>
          <w:shd w:val="clear" w:color="auto" w:fill="FFFFFF"/>
        </w:rPr>
        <w:t>. Bloomsbury Publishing.</w:t>
      </w:r>
    </w:p>
    <w:p w:rsidR="00D24AA7" w:rsidRDefault="00D24AA7" w:rsidP="001042B8">
      <w:pPr>
        <w:spacing w:line="480" w:lineRule="auto"/>
      </w:pPr>
      <w:r>
        <w:t>Menzies, J., Orr, S. and Paul, J., 2020. SME internationalisation: The relationship between social capital and entry mode. </w:t>
      </w:r>
      <w:r>
        <w:rPr>
          <w:i/>
          <w:iCs/>
        </w:rPr>
        <w:t>Management International Review</w:t>
      </w:r>
      <w:r>
        <w:t>, </w:t>
      </w:r>
      <w:r>
        <w:rPr>
          <w:i/>
          <w:iCs/>
        </w:rPr>
        <w:t>60</w:t>
      </w:r>
      <w:r>
        <w:t>(4), pp.623-650.</w:t>
      </w:r>
    </w:p>
    <w:p w:rsidR="00D24AA7" w:rsidRDefault="00D24AA7" w:rsidP="001042B8">
      <w:pPr>
        <w:spacing w:before="240" w:after="240" w:line="480" w:lineRule="auto"/>
        <w:rPr>
          <w:color w:val="FF0000"/>
          <w:lang w:val="en-GB"/>
        </w:rPr>
      </w:pPr>
      <w:r w:rsidRPr="00DD73A9">
        <w:t>Park, S., 2020. </w:t>
      </w:r>
      <w:r w:rsidRPr="00DD73A9">
        <w:rPr>
          <w:i/>
          <w:iCs/>
        </w:rPr>
        <w:t>Marketing management</w:t>
      </w:r>
      <w:r w:rsidRPr="00DD73A9">
        <w:t> (Vol. 3). Seohee Academy</w:t>
      </w:r>
      <w:r>
        <w:rPr>
          <w:color w:val="FF0000"/>
        </w:rPr>
        <w:t>.</w:t>
      </w:r>
    </w:p>
    <w:p w:rsidR="00D24AA7" w:rsidRPr="00DB43DA" w:rsidRDefault="00D24AA7" w:rsidP="001042B8">
      <w:pPr>
        <w:spacing w:before="240" w:after="240" w:line="480" w:lineRule="auto"/>
        <w:rPr>
          <w:color w:val="000000" w:themeColor="text1"/>
        </w:rPr>
      </w:pPr>
      <w:r w:rsidRPr="00DB43DA">
        <w:rPr>
          <w:color w:val="000000" w:themeColor="text1"/>
        </w:rPr>
        <w:t>Qi, X., Chan, J.H., Hu, J. and Li, Y., 2020. Motivations for selecting cross-border e-commerce as a foreign market entry mode. </w:t>
      </w:r>
      <w:r w:rsidRPr="00DB43DA">
        <w:rPr>
          <w:i/>
          <w:iCs/>
          <w:color w:val="000000" w:themeColor="text1"/>
        </w:rPr>
        <w:t>Industrial Marketing Management</w:t>
      </w:r>
      <w:r w:rsidRPr="00DB43DA">
        <w:rPr>
          <w:color w:val="000000" w:themeColor="text1"/>
        </w:rPr>
        <w:t>, </w:t>
      </w:r>
      <w:r w:rsidRPr="00DB43DA">
        <w:rPr>
          <w:i/>
          <w:iCs/>
          <w:color w:val="000000" w:themeColor="text1"/>
        </w:rPr>
        <w:t>89</w:t>
      </w:r>
      <w:r w:rsidRPr="00DB43DA">
        <w:rPr>
          <w:color w:val="000000" w:themeColor="text1"/>
        </w:rPr>
        <w:t>, pp.50-60.</w:t>
      </w:r>
    </w:p>
    <w:p w:rsidR="00D24AA7" w:rsidRDefault="00D24AA7" w:rsidP="001042B8">
      <w:pPr>
        <w:spacing w:line="480" w:lineRule="auto"/>
      </w:pPr>
      <w:r>
        <w:t xml:space="preserve">Rli.uk. 2023. </w:t>
      </w:r>
      <w:r>
        <w:rPr>
          <w:i/>
        </w:rPr>
        <w:t xml:space="preserve">Authentic Brands Group – Evolve, Transform and Reimagine. </w:t>
      </w:r>
      <w:r>
        <w:t xml:space="preserve">Rli.uk. Available at: </w:t>
      </w:r>
      <w:hyperlink r:id="rId16" w:history="1">
        <w:r>
          <w:rPr>
            <w:rStyle w:val="Hyperlink"/>
            <w:color w:val="auto"/>
            <w:u w:val="none"/>
          </w:rPr>
          <w:t>https://www.rli.uk.com/authentic-brands-group-evolve-transform-and-reimagine/</w:t>
        </w:r>
      </w:hyperlink>
      <w:r>
        <w:t xml:space="preserve"> [Accessed on 11</w:t>
      </w:r>
      <w:r>
        <w:rPr>
          <w:vertAlign w:val="superscript"/>
        </w:rPr>
        <w:t>th</w:t>
      </w:r>
      <w:r>
        <w:t xml:space="preserve"> March 2023]</w:t>
      </w:r>
    </w:p>
    <w:p w:rsidR="00D24AA7" w:rsidRDefault="00D24AA7" w:rsidP="001042B8">
      <w:pPr>
        <w:spacing w:line="480" w:lineRule="auto"/>
        <w:rPr>
          <w:color w:val="222222"/>
          <w:shd w:val="clear" w:color="auto" w:fill="FFFFFF"/>
        </w:rPr>
      </w:pPr>
      <w:r>
        <w:rPr>
          <w:color w:val="222222"/>
          <w:shd w:val="clear" w:color="auto" w:fill="FFFFFF"/>
        </w:rPr>
        <w:lastRenderedPageBreak/>
        <w:t>Rutz, O.J. and Watson, G.F., 2019. Endogeneity and marketing strategy research: An overview. </w:t>
      </w:r>
      <w:r>
        <w:rPr>
          <w:i/>
          <w:iCs/>
          <w:color w:val="222222"/>
          <w:shd w:val="clear" w:color="auto" w:fill="FFFFFF"/>
        </w:rPr>
        <w:t>Journal of the Academy of Marketing Science</w:t>
      </w:r>
      <w:r>
        <w:rPr>
          <w:color w:val="222222"/>
          <w:shd w:val="clear" w:color="auto" w:fill="FFFFFF"/>
        </w:rPr>
        <w:t>, </w:t>
      </w:r>
      <w:r>
        <w:rPr>
          <w:i/>
          <w:iCs/>
          <w:color w:val="222222"/>
          <w:shd w:val="clear" w:color="auto" w:fill="FFFFFF"/>
        </w:rPr>
        <w:t>47</w:t>
      </w:r>
      <w:r>
        <w:rPr>
          <w:color w:val="222222"/>
          <w:shd w:val="clear" w:color="auto" w:fill="FFFFFF"/>
        </w:rPr>
        <w:t>, pp.479-498.</w:t>
      </w:r>
    </w:p>
    <w:p w:rsidR="00D24AA7" w:rsidRDefault="00D24AA7" w:rsidP="001042B8">
      <w:pPr>
        <w:spacing w:before="240" w:after="240" w:line="480" w:lineRule="auto"/>
        <w:rPr>
          <w:lang w:val="en-GB"/>
        </w:rPr>
      </w:pPr>
      <w:r>
        <w:rPr>
          <w:lang w:val="en-GB"/>
        </w:rPr>
        <w:t>Schlund, D., Schulte, S. and Sprenger, T., 2022. The who’s who of a hydrogen market ramp-up: A stakeholder analysis for Germany. Renewable and Sustainable Energy Reviews, 154, p.111810.</w:t>
      </w:r>
    </w:p>
    <w:p w:rsidR="00D24AA7" w:rsidRDefault="00D24AA7" w:rsidP="001042B8">
      <w:pPr>
        <w:spacing w:before="240" w:after="240" w:line="480" w:lineRule="auto"/>
        <w:rPr>
          <w:lang w:val="en-GB"/>
        </w:rPr>
      </w:pPr>
      <w:r>
        <w:rPr>
          <w:lang w:val="en-GB"/>
        </w:rPr>
        <w:t>Shah, D., Isah, H. and Zulkernine, F., 2019. Stock market analysis: A review and taxonomy of prediction techniques. International Journal of Financial Studies, 7(2), p.26.</w:t>
      </w:r>
    </w:p>
    <w:p w:rsidR="00D24AA7" w:rsidRDefault="00D24AA7" w:rsidP="001042B8">
      <w:pPr>
        <w:spacing w:line="480" w:lineRule="auto"/>
        <w:rPr>
          <w:color w:val="222222"/>
          <w:shd w:val="clear" w:color="auto" w:fill="FFFFFF"/>
        </w:rPr>
      </w:pPr>
      <w:r>
        <w:rPr>
          <w:color w:val="222222"/>
          <w:shd w:val="clear" w:color="auto" w:fill="FFFFFF"/>
        </w:rPr>
        <w:t>Siddiqui, S.A., Khan, S., Murid, M., Asif, Z., Oboturova, N.P., Nagdalian, A.A., Blinov, A.V., Ibrahim, S.A. and Jafari, S.M., 2022. Marketing strategies for cultured meat: a review. </w:t>
      </w:r>
      <w:r>
        <w:rPr>
          <w:i/>
          <w:iCs/>
          <w:color w:val="222222"/>
          <w:shd w:val="clear" w:color="auto" w:fill="FFFFFF"/>
        </w:rPr>
        <w:t>Applied Sciences</w:t>
      </w:r>
      <w:r>
        <w:rPr>
          <w:color w:val="222222"/>
          <w:shd w:val="clear" w:color="auto" w:fill="FFFFFF"/>
        </w:rPr>
        <w:t>, </w:t>
      </w:r>
      <w:r>
        <w:rPr>
          <w:i/>
          <w:iCs/>
          <w:color w:val="222222"/>
          <w:shd w:val="clear" w:color="auto" w:fill="FFFFFF"/>
        </w:rPr>
        <w:t>12</w:t>
      </w:r>
      <w:r>
        <w:rPr>
          <w:color w:val="222222"/>
          <w:shd w:val="clear" w:color="auto" w:fill="FFFFFF"/>
        </w:rPr>
        <w:t>(17), p.8795.</w:t>
      </w:r>
    </w:p>
    <w:p w:rsidR="00D24AA7" w:rsidRDefault="00D24AA7" w:rsidP="001042B8">
      <w:pPr>
        <w:spacing w:line="480" w:lineRule="auto"/>
      </w:pPr>
      <w:r>
        <w:t>Surdu, I., Mellahi, K. and Glaister, K.W., 2019. Once bitten, not necessarily shy? Determinants of foreign market re-entry commitment strategies. </w:t>
      </w:r>
      <w:r>
        <w:rPr>
          <w:i/>
          <w:iCs/>
        </w:rPr>
        <w:t>Journal of International Business Studies</w:t>
      </w:r>
      <w:r>
        <w:t>, </w:t>
      </w:r>
      <w:r>
        <w:rPr>
          <w:i/>
          <w:iCs/>
        </w:rPr>
        <w:t>50</w:t>
      </w:r>
      <w:r>
        <w:t>, pp.393-422.</w:t>
      </w:r>
    </w:p>
    <w:p w:rsidR="00D24AA7" w:rsidRDefault="00D24AA7" w:rsidP="001042B8">
      <w:pPr>
        <w:spacing w:line="480" w:lineRule="auto"/>
      </w:pPr>
      <w:r>
        <w:t>Tedbaker</w:t>
      </w:r>
      <w:r w:rsidR="00AC704A">
        <w:t>plc</w:t>
      </w:r>
      <w:r>
        <w:t xml:space="preserve"> 2023. </w:t>
      </w:r>
      <w:r>
        <w:rPr>
          <w:i/>
        </w:rPr>
        <w:t>About us</w:t>
      </w:r>
      <w:r w:rsidR="00AC704A">
        <w:t>. Tedbakerplc</w:t>
      </w:r>
      <w:r>
        <w:t xml:space="preserve">. Available at: </w:t>
      </w:r>
      <w:hyperlink r:id="rId17" w:history="1">
        <w:r w:rsidR="00AC704A" w:rsidRPr="00925934">
          <w:rPr>
            <w:rStyle w:val="Hyperlink"/>
          </w:rPr>
          <w:t>https://www.tedbakerplc/row/info/about-ted</w:t>
        </w:r>
      </w:hyperlink>
      <w:r>
        <w:t xml:space="preserve"> [Accessed on 11</w:t>
      </w:r>
      <w:r>
        <w:rPr>
          <w:vertAlign w:val="superscript"/>
        </w:rPr>
        <w:t>th</w:t>
      </w:r>
      <w:r>
        <w:t xml:space="preserve"> March 2023]</w:t>
      </w:r>
    </w:p>
    <w:p w:rsidR="00D24AA7" w:rsidRDefault="00AC704A" w:rsidP="001042B8">
      <w:pPr>
        <w:spacing w:line="480" w:lineRule="auto"/>
      </w:pPr>
      <w:r>
        <w:t>Tedbakerplc</w:t>
      </w:r>
      <w:r w:rsidR="00D24AA7">
        <w:t xml:space="preserve">. 2023. </w:t>
      </w:r>
      <w:r w:rsidR="00D24AA7">
        <w:rPr>
          <w:i/>
        </w:rPr>
        <w:t>People</w:t>
      </w:r>
      <w:r>
        <w:t>. Tedbakerplc</w:t>
      </w:r>
      <w:r w:rsidR="00D24AA7">
        <w:t xml:space="preserve">. Available at: </w:t>
      </w:r>
      <w:hyperlink r:id="rId18" w:history="1">
        <w:r w:rsidRPr="00925934">
          <w:rPr>
            <w:rStyle w:val="Hyperlink"/>
          </w:rPr>
          <w:t>https://www.tedbakerplc/row/info/sustainability/people</w:t>
        </w:r>
      </w:hyperlink>
      <w:r w:rsidR="00D24AA7">
        <w:t xml:space="preserve"> [Accessed on 11</w:t>
      </w:r>
      <w:r w:rsidR="00D24AA7">
        <w:rPr>
          <w:vertAlign w:val="superscript"/>
        </w:rPr>
        <w:t>th</w:t>
      </w:r>
      <w:r w:rsidR="00D24AA7">
        <w:t xml:space="preserve"> March 2023] </w:t>
      </w:r>
    </w:p>
    <w:p w:rsidR="00D24AA7" w:rsidRDefault="00AC704A" w:rsidP="001042B8">
      <w:pPr>
        <w:spacing w:line="480" w:lineRule="auto"/>
      </w:pPr>
      <w:r>
        <w:t>Tedbakerplc</w:t>
      </w:r>
      <w:r w:rsidR="00D24AA7">
        <w:t xml:space="preserve">. 2023. </w:t>
      </w:r>
      <w:r w:rsidR="00D24AA7">
        <w:rPr>
          <w:i/>
        </w:rPr>
        <w:t>Planet</w:t>
      </w:r>
      <w:r>
        <w:t>. Tedbakerplc</w:t>
      </w:r>
      <w:r w:rsidR="00D24AA7">
        <w:t xml:space="preserve">. Available at: </w:t>
      </w:r>
      <w:hyperlink r:id="rId19" w:history="1">
        <w:r w:rsidRPr="00925934">
          <w:rPr>
            <w:rStyle w:val="Hyperlink"/>
          </w:rPr>
          <w:t>https://www.tedbakerplc/row/info/sustainability/planet</w:t>
        </w:r>
      </w:hyperlink>
      <w:r w:rsidR="00D24AA7">
        <w:t xml:space="preserve"> [Accessed on 11</w:t>
      </w:r>
      <w:r w:rsidR="00D24AA7">
        <w:rPr>
          <w:vertAlign w:val="superscript"/>
        </w:rPr>
        <w:t>th</w:t>
      </w:r>
      <w:r w:rsidR="00D24AA7">
        <w:t xml:space="preserve"> March 2023]</w:t>
      </w:r>
    </w:p>
    <w:p w:rsidR="00D24AA7" w:rsidRDefault="00D24AA7" w:rsidP="001042B8">
      <w:pPr>
        <w:spacing w:line="480" w:lineRule="auto"/>
      </w:pPr>
      <w:r>
        <w:t xml:space="preserve">Tedbaker.com. 2023. </w:t>
      </w:r>
      <w:r>
        <w:rPr>
          <w:i/>
        </w:rPr>
        <w:t>Sustainability</w:t>
      </w:r>
      <w:r w:rsidR="00AC704A">
        <w:t>. Tedbakerplc</w:t>
      </w:r>
      <w:r>
        <w:t xml:space="preserve">. Available at: </w:t>
      </w:r>
      <w:hyperlink r:id="rId20" w:history="1">
        <w:r w:rsidR="009414F9" w:rsidRPr="00925934">
          <w:rPr>
            <w:rStyle w:val="Hyperlink"/>
          </w:rPr>
          <w:t>https://www.tedbakerplc/row/info/sustainability</w:t>
        </w:r>
      </w:hyperlink>
      <w:r>
        <w:t xml:space="preserve"> [Accessed on 11</w:t>
      </w:r>
      <w:r>
        <w:rPr>
          <w:vertAlign w:val="superscript"/>
        </w:rPr>
        <w:t>th</w:t>
      </w:r>
      <w:r>
        <w:t xml:space="preserve"> March 2023]</w:t>
      </w:r>
    </w:p>
    <w:p w:rsidR="00D24AA7" w:rsidRDefault="00D24AA7" w:rsidP="001042B8">
      <w:pPr>
        <w:spacing w:before="240" w:after="240" w:line="480" w:lineRule="auto"/>
        <w:rPr>
          <w:lang w:val="en-GB"/>
        </w:rPr>
      </w:pPr>
      <w:r>
        <w:rPr>
          <w:lang w:val="en-GB"/>
        </w:rPr>
        <w:t xml:space="preserve">Tedbakerplc.com 2023, </w:t>
      </w:r>
      <w:r>
        <w:rPr>
          <w:i/>
          <w:lang w:val="en-GB"/>
        </w:rPr>
        <w:t>Ted Baker</w:t>
      </w:r>
      <w:r>
        <w:rPr>
          <w:lang w:val="en-GB"/>
        </w:rPr>
        <w:t xml:space="preserve"> Available at: https://www.tedbakerplc.com/ [Accessed on 8</w:t>
      </w:r>
      <w:r>
        <w:rPr>
          <w:vertAlign w:val="superscript"/>
          <w:lang w:val="en-GB"/>
        </w:rPr>
        <w:t>th</w:t>
      </w:r>
      <w:r>
        <w:rPr>
          <w:lang w:val="en-GB"/>
        </w:rPr>
        <w:t xml:space="preserve"> March 2023]</w:t>
      </w:r>
    </w:p>
    <w:p w:rsidR="00D24AA7" w:rsidRDefault="00D24AA7" w:rsidP="001042B8">
      <w:pPr>
        <w:spacing w:line="480" w:lineRule="auto"/>
        <w:rPr>
          <w:color w:val="222222"/>
          <w:shd w:val="clear" w:color="auto" w:fill="FFFFFF"/>
        </w:rPr>
      </w:pPr>
      <w:r>
        <w:rPr>
          <w:color w:val="222222"/>
          <w:shd w:val="clear" w:color="auto" w:fill="FFFFFF"/>
        </w:rPr>
        <w:lastRenderedPageBreak/>
        <w:t>Todeschini, B.V., Cortimiglia, M.N. and de Medeiros, J.F., 2020. Collaboration practices in the fashion industry: Environmentally sustainable innovations in the value chain. </w:t>
      </w:r>
      <w:r>
        <w:rPr>
          <w:i/>
          <w:iCs/>
          <w:color w:val="222222"/>
          <w:shd w:val="clear" w:color="auto" w:fill="FFFFFF"/>
        </w:rPr>
        <w:t>Environmental Science &amp; Policy</w:t>
      </w:r>
      <w:r>
        <w:rPr>
          <w:color w:val="222222"/>
          <w:shd w:val="clear" w:color="auto" w:fill="FFFFFF"/>
        </w:rPr>
        <w:t>, </w:t>
      </w:r>
      <w:r>
        <w:rPr>
          <w:i/>
          <w:iCs/>
          <w:color w:val="222222"/>
          <w:shd w:val="clear" w:color="auto" w:fill="FFFFFF"/>
        </w:rPr>
        <w:t>106</w:t>
      </w:r>
      <w:r>
        <w:rPr>
          <w:color w:val="222222"/>
          <w:shd w:val="clear" w:color="auto" w:fill="FFFFFF"/>
        </w:rPr>
        <w:t>, pp.1-11.</w:t>
      </w:r>
    </w:p>
    <w:p w:rsidR="00D24AA7" w:rsidRDefault="00D24AA7" w:rsidP="001042B8">
      <w:pPr>
        <w:spacing w:line="480" w:lineRule="auto"/>
      </w:pPr>
      <w:r>
        <w:t>Vallati, M. and Grassi, A., 2019, July. AI to Facilitate Legal Analysis in the PESTLE Context. In </w:t>
      </w:r>
      <w:r>
        <w:rPr>
          <w:i/>
          <w:iCs/>
        </w:rPr>
        <w:t>Proc. Emerging Technology Conference (EMiT)</w:t>
      </w:r>
      <w:r>
        <w:t> (pp. 66-68).</w:t>
      </w:r>
    </w:p>
    <w:p w:rsidR="00D24AA7" w:rsidRPr="00DB43DA" w:rsidRDefault="00D24AA7" w:rsidP="001042B8">
      <w:pPr>
        <w:spacing w:before="240" w:after="240" w:line="480" w:lineRule="auto"/>
        <w:rPr>
          <w:color w:val="000000" w:themeColor="text1"/>
        </w:rPr>
      </w:pPr>
      <w:r w:rsidRPr="00DB43DA">
        <w:rPr>
          <w:color w:val="000000" w:themeColor="text1"/>
        </w:rPr>
        <w:t>Vlados, C., 2019. Porter’s diamond approaches and the competitiveness web. </w:t>
      </w:r>
      <w:r w:rsidRPr="00DB43DA">
        <w:rPr>
          <w:i/>
          <w:iCs/>
          <w:color w:val="000000" w:themeColor="text1"/>
        </w:rPr>
        <w:t>International Journal of Business Administration</w:t>
      </w:r>
      <w:r w:rsidRPr="00DB43DA">
        <w:rPr>
          <w:color w:val="000000" w:themeColor="text1"/>
        </w:rPr>
        <w:t>, </w:t>
      </w:r>
      <w:r w:rsidRPr="00DB43DA">
        <w:rPr>
          <w:i/>
          <w:iCs/>
          <w:color w:val="000000" w:themeColor="text1"/>
        </w:rPr>
        <w:t>10</w:t>
      </w:r>
      <w:r w:rsidRPr="00DB43DA">
        <w:rPr>
          <w:color w:val="000000" w:themeColor="text1"/>
        </w:rPr>
        <w:t>(5), pp.33-52.</w:t>
      </w:r>
    </w:p>
    <w:p w:rsidR="00D24AA7" w:rsidRDefault="00D24AA7" w:rsidP="001042B8">
      <w:pPr>
        <w:spacing w:line="480" w:lineRule="auto"/>
      </w:pPr>
      <w:r>
        <w:t>YÖNTEN BALABAN, A. and AKMAN, K., 2022. CLIMATE CHANGE ADAPTATION POLICIES OF METROPOLITAN MUNICIPALITIES IN TURKEY. </w:t>
      </w:r>
      <w:r>
        <w:rPr>
          <w:i/>
          <w:iCs/>
        </w:rPr>
        <w:t>Visionary E-Journal/Vizyoner Dergisi</w:t>
      </w:r>
      <w:r>
        <w:t>, </w:t>
      </w:r>
      <w:r>
        <w:rPr>
          <w:i/>
          <w:iCs/>
        </w:rPr>
        <w:t>13</w:t>
      </w:r>
      <w:r>
        <w:t>(36).</w:t>
      </w:r>
    </w:p>
    <w:p w:rsidR="00E05D4E" w:rsidRDefault="002D4108" w:rsidP="001042B8">
      <w:pPr>
        <w:spacing w:line="480" w:lineRule="auto"/>
      </w:pPr>
      <w:r>
        <w:br w:type="page"/>
      </w:r>
    </w:p>
    <w:p w:rsidR="00E05D4E" w:rsidRDefault="002D4108" w:rsidP="001042B8">
      <w:pPr>
        <w:pStyle w:val="Heading1"/>
        <w:spacing w:line="480" w:lineRule="auto"/>
        <w:rPr>
          <w:sz w:val="22"/>
          <w:szCs w:val="32"/>
        </w:rPr>
      </w:pPr>
      <w:bookmarkStart w:id="45" w:name="_Toc29915"/>
      <w:bookmarkStart w:id="46" w:name="_Toc133940689"/>
      <w:r>
        <w:rPr>
          <w:sz w:val="22"/>
          <w:szCs w:val="32"/>
        </w:rPr>
        <w:lastRenderedPageBreak/>
        <w:t>Appendix 1: Comparative Pestle Analysis</w:t>
      </w:r>
      <w:bookmarkEnd w:id="45"/>
      <w:bookmarkEnd w:id="46"/>
    </w:p>
    <w:tbl>
      <w:tblPr>
        <w:tblStyle w:val="Style11"/>
        <w:tblpPr w:leftFromText="180" w:rightFromText="180" w:vertAnchor="text" w:horzAnchor="page" w:tblpX="1776" w:tblpY="624"/>
        <w:tblOverlap w:val="never"/>
        <w:tblW w:w="922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4A0" w:firstRow="1" w:lastRow="0" w:firstColumn="1" w:lastColumn="0" w:noHBand="0" w:noVBand="1"/>
      </w:tblPr>
      <w:tblGrid>
        <w:gridCol w:w="645"/>
        <w:gridCol w:w="1438"/>
        <w:gridCol w:w="3492"/>
        <w:gridCol w:w="3650"/>
      </w:tblGrid>
      <w:tr w:rsidR="00E05D4E">
        <w:trPr>
          <w:trHeight w:val="460"/>
        </w:trPr>
        <w:tc>
          <w:tcPr>
            <w:tcW w:w="645" w:type="dxa"/>
            <w:vMerge w:val="restart"/>
            <w:shd w:val="clear" w:color="auto" w:fill="FFF2CC"/>
            <w:tcMar>
              <w:top w:w="100" w:type="dxa"/>
              <w:left w:w="100" w:type="dxa"/>
              <w:bottom w:w="100" w:type="dxa"/>
              <w:right w:w="100" w:type="dxa"/>
            </w:tcMar>
          </w:tcPr>
          <w:p w:rsidR="00E05D4E" w:rsidRDefault="002D4108" w:rsidP="001042B8">
            <w:pPr>
              <w:widowControl w:val="0"/>
              <w:spacing w:line="480" w:lineRule="auto"/>
              <w:jc w:val="center"/>
              <w:rPr>
                <w:rFonts w:eastAsia="Times New Roman"/>
                <w:b/>
              </w:rPr>
            </w:pPr>
            <w:r>
              <w:rPr>
                <w:rFonts w:eastAsia="Times New Roman"/>
                <w:b/>
              </w:rPr>
              <w:t>Serial no.</w:t>
            </w:r>
          </w:p>
        </w:tc>
        <w:tc>
          <w:tcPr>
            <w:tcW w:w="1438" w:type="dxa"/>
            <w:vMerge w:val="restart"/>
            <w:shd w:val="clear" w:color="auto" w:fill="FFF2CC"/>
            <w:tcMar>
              <w:top w:w="100" w:type="dxa"/>
              <w:left w:w="100" w:type="dxa"/>
              <w:bottom w:w="100" w:type="dxa"/>
              <w:right w:w="100" w:type="dxa"/>
            </w:tcMar>
          </w:tcPr>
          <w:p w:rsidR="00E05D4E" w:rsidRDefault="002D4108" w:rsidP="001042B8">
            <w:pPr>
              <w:widowControl w:val="0"/>
              <w:spacing w:line="480" w:lineRule="auto"/>
              <w:jc w:val="center"/>
              <w:rPr>
                <w:rFonts w:eastAsia="Times New Roman"/>
                <w:b/>
              </w:rPr>
            </w:pPr>
            <w:r>
              <w:rPr>
                <w:rFonts w:eastAsia="Times New Roman"/>
                <w:b/>
              </w:rPr>
              <w:t>Factors</w:t>
            </w:r>
          </w:p>
        </w:tc>
        <w:tc>
          <w:tcPr>
            <w:tcW w:w="7142" w:type="dxa"/>
            <w:gridSpan w:val="2"/>
            <w:shd w:val="clear" w:color="auto" w:fill="FFF2CC"/>
            <w:tcMar>
              <w:top w:w="100" w:type="dxa"/>
              <w:left w:w="100" w:type="dxa"/>
              <w:bottom w:w="100" w:type="dxa"/>
              <w:right w:w="100" w:type="dxa"/>
            </w:tcMar>
          </w:tcPr>
          <w:p w:rsidR="00E05D4E" w:rsidRDefault="002D4108" w:rsidP="001042B8">
            <w:pPr>
              <w:widowControl w:val="0"/>
              <w:spacing w:line="480" w:lineRule="auto"/>
              <w:jc w:val="center"/>
              <w:rPr>
                <w:rFonts w:eastAsia="Times New Roman"/>
                <w:b/>
              </w:rPr>
            </w:pPr>
            <w:r>
              <w:rPr>
                <w:rFonts w:eastAsia="Times New Roman"/>
                <w:b/>
              </w:rPr>
              <w:t xml:space="preserve">Analysis </w:t>
            </w:r>
          </w:p>
        </w:tc>
      </w:tr>
      <w:tr w:rsidR="00E05D4E">
        <w:trPr>
          <w:trHeight w:val="460"/>
        </w:trPr>
        <w:tc>
          <w:tcPr>
            <w:tcW w:w="645" w:type="dxa"/>
            <w:vMerge/>
            <w:shd w:val="clear" w:color="auto" w:fill="FFF2CC"/>
            <w:tcMar>
              <w:top w:w="100" w:type="dxa"/>
              <w:left w:w="100" w:type="dxa"/>
              <w:bottom w:w="100" w:type="dxa"/>
              <w:right w:w="100" w:type="dxa"/>
            </w:tcMar>
          </w:tcPr>
          <w:p w:rsidR="00E05D4E" w:rsidRDefault="00E05D4E" w:rsidP="001042B8">
            <w:pPr>
              <w:widowControl w:val="0"/>
              <w:spacing w:line="480" w:lineRule="auto"/>
              <w:rPr>
                <w:rFonts w:eastAsia="Times New Roman"/>
                <w:b/>
              </w:rPr>
            </w:pPr>
          </w:p>
        </w:tc>
        <w:tc>
          <w:tcPr>
            <w:tcW w:w="1438" w:type="dxa"/>
            <w:vMerge/>
            <w:shd w:val="clear" w:color="auto" w:fill="FFF2CC"/>
            <w:tcMar>
              <w:top w:w="100" w:type="dxa"/>
              <w:left w:w="100" w:type="dxa"/>
              <w:bottom w:w="100" w:type="dxa"/>
              <w:right w:w="100" w:type="dxa"/>
            </w:tcMar>
          </w:tcPr>
          <w:p w:rsidR="00E05D4E" w:rsidRDefault="00E05D4E" w:rsidP="001042B8">
            <w:pPr>
              <w:widowControl w:val="0"/>
              <w:spacing w:line="480" w:lineRule="auto"/>
              <w:rPr>
                <w:rFonts w:eastAsia="Times New Roman"/>
                <w:b/>
              </w:rPr>
            </w:pPr>
          </w:p>
        </w:tc>
        <w:tc>
          <w:tcPr>
            <w:tcW w:w="3492" w:type="dxa"/>
            <w:shd w:val="clear" w:color="auto" w:fill="D9EAD3"/>
            <w:tcMar>
              <w:top w:w="100" w:type="dxa"/>
              <w:left w:w="100" w:type="dxa"/>
              <w:bottom w:w="100" w:type="dxa"/>
              <w:right w:w="100" w:type="dxa"/>
            </w:tcMar>
          </w:tcPr>
          <w:p w:rsidR="00E05D4E" w:rsidRDefault="002D4108" w:rsidP="001042B8">
            <w:pPr>
              <w:widowControl w:val="0"/>
              <w:spacing w:line="480" w:lineRule="auto"/>
              <w:jc w:val="center"/>
              <w:rPr>
                <w:rFonts w:eastAsia="Times New Roman"/>
                <w:b/>
              </w:rPr>
            </w:pPr>
            <w:r>
              <w:rPr>
                <w:rFonts w:eastAsia="Times New Roman"/>
                <w:b/>
              </w:rPr>
              <w:t>United Kingdom</w:t>
            </w:r>
          </w:p>
        </w:tc>
        <w:tc>
          <w:tcPr>
            <w:tcW w:w="3650" w:type="dxa"/>
            <w:shd w:val="clear" w:color="auto" w:fill="D9EAD3"/>
            <w:tcMar>
              <w:top w:w="100" w:type="dxa"/>
              <w:left w:w="100" w:type="dxa"/>
              <w:bottom w:w="100" w:type="dxa"/>
              <w:right w:w="100" w:type="dxa"/>
            </w:tcMar>
          </w:tcPr>
          <w:p w:rsidR="00E05D4E" w:rsidRDefault="002D4108" w:rsidP="001042B8">
            <w:pPr>
              <w:widowControl w:val="0"/>
              <w:spacing w:line="480" w:lineRule="auto"/>
              <w:jc w:val="center"/>
              <w:rPr>
                <w:rFonts w:eastAsia="Times New Roman"/>
                <w:b/>
              </w:rPr>
            </w:pPr>
            <w:r>
              <w:rPr>
                <w:rFonts w:eastAsia="Times New Roman"/>
                <w:b/>
              </w:rPr>
              <w:t>Turkey</w:t>
            </w:r>
          </w:p>
        </w:tc>
      </w:tr>
      <w:tr w:rsidR="00E05D4E">
        <w:tc>
          <w:tcPr>
            <w:tcW w:w="645" w:type="dxa"/>
            <w:shd w:val="clear" w:color="auto" w:fill="auto"/>
            <w:tcMar>
              <w:top w:w="100" w:type="dxa"/>
              <w:left w:w="100" w:type="dxa"/>
              <w:bottom w:w="100" w:type="dxa"/>
              <w:right w:w="100" w:type="dxa"/>
            </w:tcMar>
          </w:tcPr>
          <w:p w:rsidR="00E05D4E" w:rsidRDefault="002D4108" w:rsidP="001042B8">
            <w:pPr>
              <w:widowControl w:val="0"/>
              <w:spacing w:line="480" w:lineRule="auto"/>
              <w:rPr>
                <w:rFonts w:eastAsia="Times New Roman"/>
              </w:rPr>
            </w:pPr>
            <w:r>
              <w:rPr>
                <w:rFonts w:eastAsia="Times New Roman"/>
              </w:rPr>
              <w:t>1</w:t>
            </w:r>
          </w:p>
        </w:tc>
        <w:tc>
          <w:tcPr>
            <w:tcW w:w="1438" w:type="dxa"/>
            <w:shd w:val="clear" w:color="auto" w:fill="auto"/>
            <w:tcMar>
              <w:top w:w="100" w:type="dxa"/>
              <w:left w:w="100" w:type="dxa"/>
              <w:bottom w:w="100" w:type="dxa"/>
              <w:right w:w="100" w:type="dxa"/>
            </w:tcMar>
          </w:tcPr>
          <w:p w:rsidR="00E05D4E" w:rsidRDefault="002D4108" w:rsidP="001042B8">
            <w:pPr>
              <w:widowControl w:val="0"/>
              <w:spacing w:line="480" w:lineRule="auto"/>
              <w:rPr>
                <w:rFonts w:eastAsia="Times New Roman"/>
                <w:b/>
                <w:i/>
              </w:rPr>
            </w:pPr>
            <w:r>
              <w:rPr>
                <w:rFonts w:eastAsia="Times New Roman"/>
                <w:b/>
                <w:i/>
              </w:rPr>
              <w:t>Political</w:t>
            </w:r>
          </w:p>
        </w:tc>
        <w:tc>
          <w:tcPr>
            <w:tcW w:w="3492" w:type="dxa"/>
            <w:shd w:val="clear" w:color="auto" w:fill="auto"/>
            <w:tcMar>
              <w:top w:w="100" w:type="dxa"/>
              <w:left w:w="100" w:type="dxa"/>
              <w:bottom w:w="100" w:type="dxa"/>
              <w:right w:w="100" w:type="dxa"/>
            </w:tcMar>
          </w:tcPr>
          <w:p w:rsidR="00E05D4E" w:rsidRDefault="002D4108" w:rsidP="001042B8">
            <w:pPr>
              <w:widowControl w:val="0"/>
              <w:numPr>
                <w:ilvl w:val="0"/>
                <w:numId w:val="3"/>
              </w:numPr>
              <w:spacing w:line="480" w:lineRule="auto"/>
              <w:rPr>
                <w:rFonts w:eastAsia="Times New Roman"/>
              </w:rPr>
            </w:pPr>
            <w:r>
              <w:rPr>
                <w:rFonts w:eastAsia="Times New Roman"/>
              </w:rPr>
              <w:t>The country is run by both a modern parliamentary and a constitutional monarchy</w:t>
            </w:r>
          </w:p>
          <w:p w:rsidR="00E05D4E" w:rsidRDefault="002D4108" w:rsidP="001042B8">
            <w:pPr>
              <w:widowControl w:val="0"/>
              <w:numPr>
                <w:ilvl w:val="0"/>
                <w:numId w:val="3"/>
              </w:numPr>
              <w:spacing w:line="480" w:lineRule="auto"/>
              <w:rPr>
                <w:rFonts w:eastAsia="Times New Roman"/>
              </w:rPr>
            </w:pPr>
            <w:r>
              <w:rPr>
                <w:rFonts w:eastAsia="Times New Roman"/>
              </w:rPr>
              <w:t xml:space="preserve">The impact of Brexit upon the engagement of companies with UK have been severely affected </w:t>
            </w:r>
          </w:p>
        </w:tc>
        <w:tc>
          <w:tcPr>
            <w:tcW w:w="3650" w:type="dxa"/>
            <w:shd w:val="clear" w:color="auto" w:fill="auto"/>
            <w:tcMar>
              <w:top w:w="100" w:type="dxa"/>
              <w:left w:w="100" w:type="dxa"/>
              <w:bottom w:w="100" w:type="dxa"/>
              <w:right w:w="100" w:type="dxa"/>
            </w:tcMar>
          </w:tcPr>
          <w:p w:rsidR="00E05D4E" w:rsidRDefault="002D4108" w:rsidP="001042B8">
            <w:pPr>
              <w:widowControl w:val="0"/>
              <w:numPr>
                <w:ilvl w:val="0"/>
                <w:numId w:val="3"/>
              </w:numPr>
              <w:spacing w:line="480" w:lineRule="auto"/>
              <w:rPr>
                <w:rFonts w:eastAsia="Times New Roman"/>
              </w:rPr>
            </w:pPr>
            <w:r>
              <w:rPr>
                <w:rFonts w:eastAsia="Times New Roman"/>
              </w:rPr>
              <w:t>Political crisis has been noted in the country as repeated terror attacks have disrupted the smooth working of Turkish organisations</w:t>
            </w:r>
          </w:p>
        </w:tc>
      </w:tr>
      <w:tr w:rsidR="00E05D4E">
        <w:tc>
          <w:tcPr>
            <w:tcW w:w="645" w:type="dxa"/>
            <w:shd w:val="clear" w:color="auto" w:fill="auto"/>
            <w:tcMar>
              <w:top w:w="100" w:type="dxa"/>
              <w:left w:w="100" w:type="dxa"/>
              <w:bottom w:w="100" w:type="dxa"/>
              <w:right w:w="100" w:type="dxa"/>
            </w:tcMar>
          </w:tcPr>
          <w:p w:rsidR="00E05D4E" w:rsidRDefault="002D4108" w:rsidP="001042B8">
            <w:pPr>
              <w:widowControl w:val="0"/>
              <w:spacing w:line="480" w:lineRule="auto"/>
              <w:rPr>
                <w:rFonts w:eastAsia="Times New Roman"/>
              </w:rPr>
            </w:pPr>
            <w:r>
              <w:rPr>
                <w:rFonts w:eastAsia="Times New Roman"/>
              </w:rPr>
              <w:t>2</w:t>
            </w:r>
          </w:p>
        </w:tc>
        <w:tc>
          <w:tcPr>
            <w:tcW w:w="1438" w:type="dxa"/>
            <w:shd w:val="clear" w:color="auto" w:fill="auto"/>
            <w:tcMar>
              <w:top w:w="100" w:type="dxa"/>
              <w:left w:w="100" w:type="dxa"/>
              <w:bottom w:w="100" w:type="dxa"/>
              <w:right w:w="100" w:type="dxa"/>
            </w:tcMar>
          </w:tcPr>
          <w:p w:rsidR="00E05D4E" w:rsidRDefault="002D4108" w:rsidP="001042B8">
            <w:pPr>
              <w:widowControl w:val="0"/>
              <w:spacing w:line="480" w:lineRule="auto"/>
              <w:rPr>
                <w:rFonts w:eastAsia="Times New Roman"/>
                <w:b/>
                <w:i/>
              </w:rPr>
            </w:pPr>
            <w:r>
              <w:rPr>
                <w:rFonts w:eastAsia="Times New Roman"/>
                <w:b/>
                <w:i/>
              </w:rPr>
              <w:t>Economic</w:t>
            </w:r>
          </w:p>
        </w:tc>
        <w:tc>
          <w:tcPr>
            <w:tcW w:w="3492" w:type="dxa"/>
            <w:shd w:val="clear" w:color="auto" w:fill="auto"/>
            <w:tcMar>
              <w:top w:w="100" w:type="dxa"/>
              <w:left w:w="100" w:type="dxa"/>
              <w:bottom w:w="100" w:type="dxa"/>
              <w:right w:w="100" w:type="dxa"/>
            </w:tcMar>
          </w:tcPr>
          <w:p w:rsidR="00E05D4E" w:rsidRDefault="002D4108" w:rsidP="001042B8">
            <w:pPr>
              <w:widowControl w:val="0"/>
              <w:numPr>
                <w:ilvl w:val="0"/>
                <w:numId w:val="4"/>
              </w:numPr>
              <w:spacing w:line="480" w:lineRule="auto"/>
              <w:rPr>
                <w:rFonts w:eastAsia="Times New Roman"/>
              </w:rPr>
            </w:pPr>
            <w:r>
              <w:rPr>
                <w:rFonts w:eastAsia="Times New Roman"/>
              </w:rPr>
              <w:t xml:space="preserve">The country has been seen to have the sixth largest economy in the global perspective </w:t>
            </w:r>
          </w:p>
          <w:p w:rsidR="00E05D4E" w:rsidRDefault="002D4108" w:rsidP="001042B8">
            <w:pPr>
              <w:widowControl w:val="0"/>
              <w:numPr>
                <w:ilvl w:val="0"/>
                <w:numId w:val="4"/>
              </w:numPr>
              <w:spacing w:line="480" w:lineRule="auto"/>
              <w:rPr>
                <w:rFonts w:eastAsia="Times New Roman"/>
              </w:rPr>
            </w:pPr>
            <w:r>
              <w:rPr>
                <w:rFonts w:eastAsia="Times New Roman"/>
              </w:rPr>
              <w:t xml:space="preserve">However, the impact of economic inflation had been initiated to the outbreak of the Covid-19 pandemic </w:t>
            </w:r>
          </w:p>
        </w:tc>
        <w:tc>
          <w:tcPr>
            <w:tcW w:w="3650" w:type="dxa"/>
            <w:shd w:val="clear" w:color="auto" w:fill="auto"/>
            <w:tcMar>
              <w:top w:w="100" w:type="dxa"/>
              <w:left w:w="100" w:type="dxa"/>
              <w:bottom w:w="100" w:type="dxa"/>
              <w:right w:w="100" w:type="dxa"/>
            </w:tcMar>
          </w:tcPr>
          <w:p w:rsidR="00E05D4E" w:rsidRDefault="002D4108" w:rsidP="001042B8">
            <w:pPr>
              <w:widowControl w:val="0"/>
              <w:numPr>
                <w:ilvl w:val="0"/>
                <w:numId w:val="5"/>
              </w:numPr>
              <w:spacing w:line="480" w:lineRule="auto"/>
              <w:rPr>
                <w:rFonts w:eastAsia="Times New Roman"/>
              </w:rPr>
            </w:pPr>
            <w:r>
              <w:rPr>
                <w:rFonts w:eastAsia="Times New Roman"/>
              </w:rPr>
              <w:t>The free market economy of Turkey the clients the opportunities for entrepreneurs to starts there companies</w:t>
            </w:r>
          </w:p>
          <w:p w:rsidR="00E05D4E" w:rsidRDefault="002D4108" w:rsidP="001042B8">
            <w:pPr>
              <w:widowControl w:val="0"/>
              <w:numPr>
                <w:ilvl w:val="0"/>
                <w:numId w:val="5"/>
              </w:numPr>
              <w:spacing w:line="480" w:lineRule="auto"/>
              <w:rPr>
                <w:rFonts w:eastAsia="Times New Roman"/>
              </w:rPr>
            </w:pPr>
            <w:r>
              <w:rPr>
                <w:rFonts w:eastAsia="Times New Roman"/>
              </w:rPr>
              <w:t>The economics strength of Turkey has been noted to be in the aspect of foreign direct investment or FDI</w:t>
            </w:r>
          </w:p>
        </w:tc>
      </w:tr>
      <w:tr w:rsidR="00E05D4E">
        <w:tc>
          <w:tcPr>
            <w:tcW w:w="645" w:type="dxa"/>
            <w:shd w:val="clear" w:color="auto" w:fill="auto"/>
            <w:tcMar>
              <w:top w:w="100" w:type="dxa"/>
              <w:left w:w="100" w:type="dxa"/>
              <w:bottom w:w="100" w:type="dxa"/>
              <w:right w:w="100" w:type="dxa"/>
            </w:tcMar>
          </w:tcPr>
          <w:p w:rsidR="00E05D4E" w:rsidRDefault="002D4108" w:rsidP="001042B8">
            <w:pPr>
              <w:widowControl w:val="0"/>
              <w:spacing w:line="480" w:lineRule="auto"/>
              <w:rPr>
                <w:rFonts w:eastAsia="Times New Roman"/>
              </w:rPr>
            </w:pPr>
            <w:r>
              <w:rPr>
                <w:rFonts w:eastAsia="Times New Roman"/>
              </w:rPr>
              <w:t>3</w:t>
            </w:r>
          </w:p>
        </w:tc>
        <w:tc>
          <w:tcPr>
            <w:tcW w:w="1438" w:type="dxa"/>
            <w:shd w:val="clear" w:color="auto" w:fill="auto"/>
            <w:tcMar>
              <w:top w:w="100" w:type="dxa"/>
              <w:left w:w="100" w:type="dxa"/>
              <w:bottom w:w="100" w:type="dxa"/>
              <w:right w:w="100" w:type="dxa"/>
            </w:tcMar>
          </w:tcPr>
          <w:p w:rsidR="00E05D4E" w:rsidRDefault="002D4108" w:rsidP="001042B8">
            <w:pPr>
              <w:widowControl w:val="0"/>
              <w:spacing w:line="480" w:lineRule="auto"/>
              <w:rPr>
                <w:rFonts w:eastAsia="Times New Roman"/>
                <w:b/>
                <w:i/>
              </w:rPr>
            </w:pPr>
            <w:r>
              <w:rPr>
                <w:rFonts w:eastAsia="Times New Roman"/>
                <w:b/>
                <w:i/>
              </w:rPr>
              <w:t>Social</w:t>
            </w:r>
          </w:p>
        </w:tc>
        <w:tc>
          <w:tcPr>
            <w:tcW w:w="3492" w:type="dxa"/>
            <w:shd w:val="clear" w:color="auto" w:fill="auto"/>
            <w:tcMar>
              <w:top w:w="100" w:type="dxa"/>
              <w:left w:w="100" w:type="dxa"/>
              <w:bottom w:w="100" w:type="dxa"/>
              <w:right w:w="100" w:type="dxa"/>
            </w:tcMar>
          </w:tcPr>
          <w:p w:rsidR="00E05D4E" w:rsidRDefault="002D4108" w:rsidP="001042B8">
            <w:pPr>
              <w:widowControl w:val="0"/>
              <w:numPr>
                <w:ilvl w:val="0"/>
                <w:numId w:val="6"/>
              </w:numPr>
              <w:spacing w:line="480" w:lineRule="auto"/>
              <w:rPr>
                <w:rFonts w:eastAsia="Times New Roman"/>
              </w:rPr>
            </w:pPr>
            <w:r>
              <w:rPr>
                <w:rFonts w:eastAsia="Times New Roman"/>
              </w:rPr>
              <w:t xml:space="preserve">Multicultural diversity is present in UK which allows the target market </w:t>
            </w:r>
            <w:r>
              <w:rPr>
                <w:rFonts w:eastAsia="Times New Roman"/>
              </w:rPr>
              <w:lastRenderedPageBreak/>
              <w:t>of the country to be expansive</w:t>
            </w:r>
          </w:p>
        </w:tc>
        <w:tc>
          <w:tcPr>
            <w:tcW w:w="3650" w:type="dxa"/>
            <w:shd w:val="clear" w:color="auto" w:fill="auto"/>
            <w:tcMar>
              <w:top w:w="100" w:type="dxa"/>
              <w:left w:w="100" w:type="dxa"/>
              <w:bottom w:w="100" w:type="dxa"/>
              <w:right w:w="100" w:type="dxa"/>
            </w:tcMar>
          </w:tcPr>
          <w:p w:rsidR="00E05D4E" w:rsidRDefault="002D4108" w:rsidP="001042B8">
            <w:pPr>
              <w:widowControl w:val="0"/>
              <w:numPr>
                <w:ilvl w:val="0"/>
                <w:numId w:val="6"/>
              </w:numPr>
              <w:spacing w:line="480" w:lineRule="auto"/>
              <w:rPr>
                <w:rFonts w:eastAsia="Times New Roman"/>
              </w:rPr>
            </w:pPr>
            <w:r>
              <w:rPr>
                <w:rFonts w:eastAsia="Times New Roman"/>
              </w:rPr>
              <w:lastRenderedPageBreak/>
              <w:t xml:space="preserve">The demographic profile of Turkey is that of the young population and the diverse </w:t>
            </w:r>
            <w:r>
              <w:rPr>
                <w:rFonts w:eastAsia="Times New Roman"/>
              </w:rPr>
              <w:lastRenderedPageBreak/>
              <w:t>culture allows a large number of target consumers for organisation to be present</w:t>
            </w:r>
          </w:p>
        </w:tc>
      </w:tr>
      <w:tr w:rsidR="00E05D4E">
        <w:tc>
          <w:tcPr>
            <w:tcW w:w="645" w:type="dxa"/>
            <w:shd w:val="clear" w:color="auto" w:fill="auto"/>
            <w:tcMar>
              <w:top w:w="100" w:type="dxa"/>
              <w:left w:w="100" w:type="dxa"/>
              <w:bottom w:w="100" w:type="dxa"/>
              <w:right w:w="100" w:type="dxa"/>
            </w:tcMar>
          </w:tcPr>
          <w:p w:rsidR="00E05D4E" w:rsidRDefault="002D4108" w:rsidP="001042B8">
            <w:pPr>
              <w:widowControl w:val="0"/>
              <w:spacing w:line="480" w:lineRule="auto"/>
              <w:rPr>
                <w:rFonts w:eastAsia="Times New Roman"/>
              </w:rPr>
            </w:pPr>
            <w:r>
              <w:rPr>
                <w:rFonts w:eastAsia="Times New Roman"/>
              </w:rPr>
              <w:lastRenderedPageBreak/>
              <w:t>4</w:t>
            </w:r>
          </w:p>
        </w:tc>
        <w:tc>
          <w:tcPr>
            <w:tcW w:w="1438" w:type="dxa"/>
            <w:shd w:val="clear" w:color="auto" w:fill="auto"/>
            <w:tcMar>
              <w:top w:w="100" w:type="dxa"/>
              <w:left w:w="100" w:type="dxa"/>
              <w:bottom w:w="100" w:type="dxa"/>
              <w:right w:w="100" w:type="dxa"/>
            </w:tcMar>
          </w:tcPr>
          <w:p w:rsidR="00E05D4E" w:rsidRDefault="002D4108" w:rsidP="001042B8">
            <w:pPr>
              <w:widowControl w:val="0"/>
              <w:spacing w:line="480" w:lineRule="auto"/>
              <w:rPr>
                <w:rFonts w:eastAsia="Times New Roman"/>
                <w:b/>
                <w:i/>
              </w:rPr>
            </w:pPr>
            <w:r>
              <w:rPr>
                <w:rFonts w:eastAsia="Times New Roman"/>
                <w:b/>
                <w:i/>
              </w:rPr>
              <w:t xml:space="preserve">Technological </w:t>
            </w:r>
          </w:p>
        </w:tc>
        <w:tc>
          <w:tcPr>
            <w:tcW w:w="3492" w:type="dxa"/>
            <w:shd w:val="clear" w:color="auto" w:fill="auto"/>
            <w:tcMar>
              <w:top w:w="100" w:type="dxa"/>
              <w:left w:w="100" w:type="dxa"/>
              <w:bottom w:w="100" w:type="dxa"/>
              <w:right w:w="100" w:type="dxa"/>
            </w:tcMar>
          </w:tcPr>
          <w:p w:rsidR="00E05D4E" w:rsidRDefault="002D4108" w:rsidP="001042B8">
            <w:pPr>
              <w:widowControl w:val="0"/>
              <w:numPr>
                <w:ilvl w:val="0"/>
                <w:numId w:val="7"/>
              </w:numPr>
              <w:spacing w:line="480" w:lineRule="auto"/>
              <w:rPr>
                <w:rFonts w:eastAsia="Times New Roman"/>
              </w:rPr>
            </w:pPr>
            <w:r>
              <w:rPr>
                <w:rFonts w:eastAsia="Times New Roman"/>
              </w:rPr>
              <w:t>The rise in technology within UK have allowed a large number of companies to emerge</w:t>
            </w:r>
          </w:p>
          <w:p w:rsidR="00E05D4E" w:rsidRDefault="002D4108" w:rsidP="001042B8">
            <w:pPr>
              <w:widowControl w:val="0"/>
              <w:numPr>
                <w:ilvl w:val="0"/>
                <w:numId w:val="7"/>
              </w:numPr>
              <w:spacing w:line="480" w:lineRule="auto"/>
              <w:rPr>
                <w:rFonts w:eastAsia="Times New Roman"/>
              </w:rPr>
            </w:pPr>
            <w:r>
              <w:rPr>
                <w:rFonts w:eastAsia="Times New Roman"/>
              </w:rPr>
              <w:t xml:space="preserve">Growth of entrepreneurship have also be noted </w:t>
            </w:r>
          </w:p>
        </w:tc>
        <w:tc>
          <w:tcPr>
            <w:tcW w:w="3650" w:type="dxa"/>
            <w:shd w:val="clear" w:color="auto" w:fill="auto"/>
            <w:tcMar>
              <w:top w:w="100" w:type="dxa"/>
              <w:left w:w="100" w:type="dxa"/>
              <w:bottom w:w="100" w:type="dxa"/>
              <w:right w:w="100" w:type="dxa"/>
            </w:tcMar>
          </w:tcPr>
          <w:p w:rsidR="00E05D4E" w:rsidRDefault="002D4108" w:rsidP="001042B8">
            <w:pPr>
              <w:widowControl w:val="0"/>
              <w:numPr>
                <w:ilvl w:val="0"/>
                <w:numId w:val="7"/>
              </w:numPr>
              <w:spacing w:line="480" w:lineRule="auto"/>
              <w:rPr>
                <w:rFonts w:eastAsia="Times New Roman"/>
              </w:rPr>
            </w:pPr>
            <w:r>
              <w:rPr>
                <w:rFonts w:eastAsia="Times New Roman"/>
              </w:rPr>
              <w:t>The technological upgradation of Turkey has been extremely proliferated</w:t>
            </w:r>
          </w:p>
          <w:p w:rsidR="00E05D4E" w:rsidRDefault="002D4108" w:rsidP="001042B8">
            <w:pPr>
              <w:widowControl w:val="0"/>
              <w:numPr>
                <w:ilvl w:val="0"/>
                <w:numId w:val="7"/>
              </w:numPr>
              <w:spacing w:line="480" w:lineRule="auto"/>
              <w:rPr>
                <w:rFonts w:eastAsia="Times New Roman"/>
              </w:rPr>
            </w:pPr>
            <w:r>
              <w:rPr>
                <w:rFonts w:eastAsia="Times New Roman"/>
              </w:rPr>
              <w:t>Heavy government investments to enhance the technologies are also noted</w:t>
            </w:r>
          </w:p>
        </w:tc>
      </w:tr>
      <w:tr w:rsidR="00E05D4E">
        <w:tc>
          <w:tcPr>
            <w:tcW w:w="645" w:type="dxa"/>
            <w:shd w:val="clear" w:color="auto" w:fill="auto"/>
            <w:tcMar>
              <w:top w:w="100" w:type="dxa"/>
              <w:left w:w="100" w:type="dxa"/>
              <w:bottom w:w="100" w:type="dxa"/>
              <w:right w:w="100" w:type="dxa"/>
            </w:tcMar>
          </w:tcPr>
          <w:p w:rsidR="00E05D4E" w:rsidRDefault="002D4108" w:rsidP="001042B8">
            <w:pPr>
              <w:widowControl w:val="0"/>
              <w:spacing w:line="480" w:lineRule="auto"/>
              <w:rPr>
                <w:rFonts w:eastAsia="Times New Roman"/>
              </w:rPr>
            </w:pPr>
            <w:r>
              <w:rPr>
                <w:rFonts w:eastAsia="Times New Roman"/>
              </w:rPr>
              <w:t>5</w:t>
            </w:r>
          </w:p>
        </w:tc>
        <w:tc>
          <w:tcPr>
            <w:tcW w:w="1438" w:type="dxa"/>
            <w:shd w:val="clear" w:color="auto" w:fill="auto"/>
            <w:tcMar>
              <w:top w:w="100" w:type="dxa"/>
              <w:left w:w="100" w:type="dxa"/>
              <w:bottom w:w="100" w:type="dxa"/>
              <w:right w:w="100" w:type="dxa"/>
            </w:tcMar>
          </w:tcPr>
          <w:p w:rsidR="00E05D4E" w:rsidRDefault="002D4108" w:rsidP="001042B8">
            <w:pPr>
              <w:widowControl w:val="0"/>
              <w:spacing w:line="480" w:lineRule="auto"/>
              <w:rPr>
                <w:rFonts w:eastAsia="Times New Roman"/>
                <w:b/>
                <w:i/>
              </w:rPr>
            </w:pPr>
            <w:r>
              <w:rPr>
                <w:rFonts w:eastAsia="Times New Roman"/>
                <w:b/>
                <w:i/>
              </w:rPr>
              <w:t>Legal</w:t>
            </w:r>
          </w:p>
        </w:tc>
        <w:tc>
          <w:tcPr>
            <w:tcW w:w="3492" w:type="dxa"/>
            <w:shd w:val="clear" w:color="auto" w:fill="auto"/>
            <w:tcMar>
              <w:top w:w="100" w:type="dxa"/>
              <w:left w:w="100" w:type="dxa"/>
              <w:bottom w:w="100" w:type="dxa"/>
              <w:right w:w="100" w:type="dxa"/>
            </w:tcMar>
          </w:tcPr>
          <w:p w:rsidR="00E05D4E" w:rsidRDefault="002D4108" w:rsidP="001042B8">
            <w:pPr>
              <w:widowControl w:val="0"/>
              <w:numPr>
                <w:ilvl w:val="0"/>
                <w:numId w:val="8"/>
              </w:numPr>
              <w:spacing w:line="480" w:lineRule="auto"/>
              <w:rPr>
                <w:rFonts w:eastAsia="Times New Roman"/>
              </w:rPr>
            </w:pPr>
            <w:r>
              <w:rPr>
                <w:rFonts w:eastAsia="Times New Roman"/>
              </w:rPr>
              <w:t>Through the incorporation of the Equality Act 2010, the country has been seen to provide equal treatment for every individual</w:t>
            </w:r>
          </w:p>
        </w:tc>
        <w:tc>
          <w:tcPr>
            <w:tcW w:w="3650" w:type="dxa"/>
            <w:shd w:val="clear" w:color="auto" w:fill="auto"/>
            <w:tcMar>
              <w:top w:w="100" w:type="dxa"/>
              <w:left w:w="100" w:type="dxa"/>
              <w:bottom w:w="100" w:type="dxa"/>
              <w:right w:w="100" w:type="dxa"/>
            </w:tcMar>
          </w:tcPr>
          <w:p w:rsidR="00E05D4E" w:rsidRDefault="002D4108" w:rsidP="001042B8">
            <w:pPr>
              <w:widowControl w:val="0"/>
              <w:numPr>
                <w:ilvl w:val="0"/>
                <w:numId w:val="8"/>
              </w:numPr>
              <w:spacing w:line="480" w:lineRule="auto"/>
              <w:rPr>
                <w:rFonts w:eastAsia="Times New Roman"/>
              </w:rPr>
            </w:pPr>
            <w:r>
              <w:rPr>
                <w:rFonts w:eastAsia="Times New Roman"/>
              </w:rPr>
              <w:t>Discrimination of the workers will turn the demographic profile is strictly prohibited</w:t>
            </w:r>
          </w:p>
        </w:tc>
      </w:tr>
      <w:tr w:rsidR="00E05D4E">
        <w:tc>
          <w:tcPr>
            <w:tcW w:w="645" w:type="dxa"/>
            <w:shd w:val="clear" w:color="auto" w:fill="auto"/>
            <w:tcMar>
              <w:top w:w="100" w:type="dxa"/>
              <w:left w:w="100" w:type="dxa"/>
              <w:bottom w:w="100" w:type="dxa"/>
              <w:right w:w="100" w:type="dxa"/>
            </w:tcMar>
          </w:tcPr>
          <w:p w:rsidR="00E05D4E" w:rsidRDefault="002D4108" w:rsidP="001042B8">
            <w:pPr>
              <w:widowControl w:val="0"/>
              <w:spacing w:line="480" w:lineRule="auto"/>
              <w:rPr>
                <w:rFonts w:eastAsia="Times New Roman"/>
              </w:rPr>
            </w:pPr>
            <w:r>
              <w:rPr>
                <w:rFonts w:eastAsia="Times New Roman"/>
              </w:rPr>
              <w:t>6</w:t>
            </w:r>
          </w:p>
        </w:tc>
        <w:tc>
          <w:tcPr>
            <w:tcW w:w="1438" w:type="dxa"/>
            <w:shd w:val="clear" w:color="auto" w:fill="auto"/>
            <w:tcMar>
              <w:top w:w="100" w:type="dxa"/>
              <w:left w:w="100" w:type="dxa"/>
              <w:bottom w:w="100" w:type="dxa"/>
              <w:right w:w="100" w:type="dxa"/>
            </w:tcMar>
          </w:tcPr>
          <w:p w:rsidR="00E05D4E" w:rsidRDefault="002D4108" w:rsidP="001042B8">
            <w:pPr>
              <w:widowControl w:val="0"/>
              <w:spacing w:line="480" w:lineRule="auto"/>
              <w:rPr>
                <w:rFonts w:eastAsia="Times New Roman"/>
                <w:b/>
                <w:i/>
              </w:rPr>
            </w:pPr>
            <w:r>
              <w:rPr>
                <w:rFonts w:eastAsia="Times New Roman"/>
                <w:b/>
                <w:i/>
              </w:rPr>
              <w:t xml:space="preserve">Environmental </w:t>
            </w:r>
          </w:p>
        </w:tc>
        <w:tc>
          <w:tcPr>
            <w:tcW w:w="3492" w:type="dxa"/>
            <w:shd w:val="clear" w:color="auto" w:fill="auto"/>
            <w:tcMar>
              <w:top w:w="100" w:type="dxa"/>
              <w:left w:w="100" w:type="dxa"/>
              <w:bottom w:w="100" w:type="dxa"/>
              <w:right w:w="100" w:type="dxa"/>
            </w:tcMar>
          </w:tcPr>
          <w:p w:rsidR="00E05D4E" w:rsidRDefault="002D4108" w:rsidP="001042B8">
            <w:pPr>
              <w:widowControl w:val="0"/>
              <w:numPr>
                <w:ilvl w:val="0"/>
                <w:numId w:val="9"/>
              </w:numPr>
              <w:spacing w:line="480" w:lineRule="auto"/>
              <w:rPr>
                <w:rFonts w:eastAsia="Times New Roman"/>
              </w:rPr>
            </w:pPr>
            <w:r>
              <w:rPr>
                <w:rFonts w:eastAsia="Times New Roman"/>
              </w:rPr>
              <w:t>A large number of norms and regulations which improve the environmental impact of the organisations have been initiated by the government</w:t>
            </w:r>
          </w:p>
        </w:tc>
        <w:tc>
          <w:tcPr>
            <w:tcW w:w="3650" w:type="dxa"/>
            <w:shd w:val="clear" w:color="auto" w:fill="auto"/>
            <w:tcMar>
              <w:top w:w="100" w:type="dxa"/>
              <w:left w:w="100" w:type="dxa"/>
              <w:bottom w:w="100" w:type="dxa"/>
              <w:right w:w="100" w:type="dxa"/>
            </w:tcMar>
          </w:tcPr>
          <w:p w:rsidR="00E05D4E" w:rsidRDefault="002D4108" w:rsidP="001042B8">
            <w:pPr>
              <w:widowControl w:val="0"/>
              <w:numPr>
                <w:ilvl w:val="0"/>
                <w:numId w:val="9"/>
              </w:numPr>
              <w:spacing w:line="480" w:lineRule="auto"/>
              <w:rPr>
                <w:rFonts w:eastAsia="Times New Roman"/>
              </w:rPr>
            </w:pPr>
            <w:r>
              <w:rPr>
                <w:rFonts w:eastAsia="Times New Roman"/>
              </w:rPr>
              <w:t>A rise in the industries have cause natural degradation due to the growth of environmental pollution</w:t>
            </w:r>
          </w:p>
        </w:tc>
      </w:tr>
    </w:tbl>
    <w:p w:rsidR="00E05D4E" w:rsidRDefault="002D4108" w:rsidP="001042B8">
      <w:pPr>
        <w:widowControl w:val="0"/>
        <w:spacing w:before="240" w:after="240" w:line="480" w:lineRule="auto"/>
        <w:jc w:val="center"/>
        <w:rPr>
          <w:rFonts w:eastAsia="Times New Roman"/>
          <w:bCs/>
          <w:iCs/>
        </w:rPr>
      </w:pPr>
      <w:r>
        <w:rPr>
          <w:rFonts w:eastAsia="Times New Roman"/>
          <w:bCs/>
          <w:iCs/>
        </w:rPr>
        <w:lastRenderedPageBreak/>
        <w:t>(Developed by researcher)</w:t>
      </w:r>
    </w:p>
    <w:p w:rsidR="00E05D4E" w:rsidRDefault="00E05D4E" w:rsidP="001042B8">
      <w:pPr>
        <w:widowControl w:val="0"/>
        <w:spacing w:line="480" w:lineRule="auto"/>
        <w:rPr>
          <w:rFonts w:eastAsia="Times New Roman"/>
          <w:b/>
          <w:i/>
        </w:rPr>
      </w:pPr>
    </w:p>
    <w:sectPr w:rsidR="00E05D4E">
      <w:footerReference w:type="default" r:id="rId21"/>
      <w:pgSz w:w="11909" w:h="16834"/>
      <w:pgMar w:top="1440" w:right="1800" w:bottom="1440" w:left="1800" w:header="720" w:footer="720" w:gutter="0"/>
      <w:pgNumType w:start="1"/>
      <w:cols w: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12AC5" w:rsidRDefault="00412AC5">
      <w:r>
        <w:separator/>
      </w:r>
    </w:p>
  </w:endnote>
  <w:endnote w:type="continuationSeparator" w:id="0">
    <w:p w:rsidR="00412AC5" w:rsidRDefault="00412AC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779770435"/>
    </w:sdtPr>
    <w:sdtEndPr>
      <w:rPr>
        <w:sz w:val="20"/>
      </w:rPr>
    </w:sdtEndPr>
    <w:sdtContent>
      <w:p w:rsidR="00001FF9" w:rsidRDefault="00001FF9">
        <w:pPr>
          <w:pStyle w:val="Footer"/>
          <w:jc w:val="right"/>
          <w:rPr>
            <w:sz w:val="20"/>
          </w:rPr>
        </w:pPr>
        <w:r>
          <w:rPr>
            <w:sz w:val="20"/>
          </w:rPr>
          <w:fldChar w:fldCharType="begin"/>
        </w:r>
        <w:r>
          <w:rPr>
            <w:sz w:val="20"/>
          </w:rPr>
          <w:instrText xml:space="preserve"> PAGE   \* MERGEFORMAT </w:instrText>
        </w:r>
        <w:r>
          <w:rPr>
            <w:sz w:val="20"/>
          </w:rPr>
          <w:fldChar w:fldCharType="separate"/>
        </w:r>
        <w:r w:rsidR="00CA0E2C">
          <w:rPr>
            <w:noProof/>
            <w:sz w:val="20"/>
          </w:rPr>
          <w:t>5</w:t>
        </w:r>
        <w:r>
          <w:rPr>
            <w:sz w:val="20"/>
          </w:rPr>
          <w:fldChar w:fldCharType="end"/>
        </w:r>
      </w:p>
    </w:sdtContent>
  </w:sdt>
  <w:p w:rsidR="00001FF9" w:rsidRDefault="00001FF9">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12AC5" w:rsidRDefault="00412AC5">
      <w:r>
        <w:separator/>
      </w:r>
    </w:p>
  </w:footnote>
  <w:footnote w:type="continuationSeparator" w:id="0">
    <w:p w:rsidR="00412AC5" w:rsidRDefault="00412AC5">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7D065F7"/>
    <w:multiLevelType w:val="multilevel"/>
    <w:tmpl w:val="07D065F7"/>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
    <w:nsid w:val="1CB16FAA"/>
    <w:multiLevelType w:val="multilevel"/>
    <w:tmpl w:val="1CB16FA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nsid w:val="2C742496"/>
    <w:multiLevelType w:val="multilevel"/>
    <w:tmpl w:val="2C74249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nsid w:val="2E1231E0"/>
    <w:multiLevelType w:val="multilevel"/>
    <w:tmpl w:val="2E1231E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nsid w:val="3342210D"/>
    <w:multiLevelType w:val="multilevel"/>
    <w:tmpl w:val="3342210D"/>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nsid w:val="36B611AA"/>
    <w:multiLevelType w:val="multilevel"/>
    <w:tmpl w:val="36B611A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nsid w:val="4AE87A21"/>
    <w:multiLevelType w:val="multilevel"/>
    <w:tmpl w:val="4AE87A2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nsid w:val="585916DF"/>
    <w:multiLevelType w:val="multilevel"/>
    <w:tmpl w:val="585916DF"/>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8">
    <w:nsid w:val="7A607957"/>
    <w:multiLevelType w:val="multilevel"/>
    <w:tmpl w:val="7A60795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7"/>
  </w:num>
  <w:num w:numId="2">
    <w:abstractNumId w:val="0"/>
  </w:num>
  <w:num w:numId="3">
    <w:abstractNumId w:val="1"/>
  </w:num>
  <w:num w:numId="4">
    <w:abstractNumId w:val="5"/>
  </w:num>
  <w:num w:numId="5">
    <w:abstractNumId w:val="2"/>
  </w:num>
  <w:num w:numId="6">
    <w:abstractNumId w:val="4"/>
  </w:num>
  <w:num w:numId="7">
    <w:abstractNumId w:val="6"/>
  </w:num>
  <w:num w:numId="8">
    <w:abstractNumId w:val="3"/>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8"/>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D75AB"/>
    <w:rsid w:val="00001FF9"/>
    <w:rsid w:val="00002B44"/>
    <w:rsid w:val="00052F3D"/>
    <w:rsid w:val="000A15BB"/>
    <w:rsid w:val="000C3E79"/>
    <w:rsid w:val="000F5B54"/>
    <w:rsid w:val="00100D95"/>
    <w:rsid w:val="001042B8"/>
    <w:rsid w:val="0012294A"/>
    <w:rsid w:val="001D1ED2"/>
    <w:rsid w:val="00203F6B"/>
    <w:rsid w:val="00215194"/>
    <w:rsid w:val="00254E02"/>
    <w:rsid w:val="002D4108"/>
    <w:rsid w:val="003218A7"/>
    <w:rsid w:val="003319E4"/>
    <w:rsid w:val="00332D99"/>
    <w:rsid w:val="00360884"/>
    <w:rsid w:val="00387AEE"/>
    <w:rsid w:val="003D6200"/>
    <w:rsid w:val="00412AC5"/>
    <w:rsid w:val="00430EF4"/>
    <w:rsid w:val="00482B88"/>
    <w:rsid w:val="0048535C"/>
    <w:rsid w:val="004875A3"/>
    <w:rsid w:val="004D1AEA"/>
    <w:rsid w:val="00522812"/>
    <w:rsid w:val="00526B7E"/>
    <w:rsid w:val="0055560F"/>
    <w:rsid w:val="00565E8B"/>
    <w:rsid w:val="005668A6"/>
    <w:rsid w:val="005729AD"/>
    <w:rsid w:val="00586D9F"/>
    <w:rsid w:val="005C1508"/>
    <w:rsid w:val="005F640A"/>
    <w:rsid w:val="00634EBD"/>
    <w:rsid w:val="006444A9"/>
    <w:rsid w:val="00646AF2"/>
    <w:rsid w:val="006619F4"/>
    <w:rsid w:val="006771CA"/>
    <w:rsid w:val="0068267A"/>
    <w:rsid w:val="006A50D4"/>
    <w:rsid w:val="006C6EF8"/>
    <w:rsid w:val="006F50D1"/>
    <w:rsid w:val="00734130"/>
    <w:rsid w:val="00741758"/>
    <w:rsid w:val="00791F84"/>
    <w:rsid w:val="007A6143"/>
    <w:rsid w:val="007E46C4"/>
    <w:rsid w:val="007F3052"/>
    <w:rsid w:val="008326CE"/>
    <w:rsid w:val="0084414E"/>
    <w:rsid w:val="008466FC"/>
    <w:rsid w:val="008A0BB4"/>
    <w:rsid w:val="008A62E6"/>
    <w:rsid w:val="008D17EF"/>
    <w:rsid w:val="008F4562"/>
    <w:rsid w:val="009414F9"/>
    <w:rsid w:val="00952D2D"/>
    <w:rsid w:val="0095645F"/>
    <w:rsid w:val="009A6D3F"/>
    <w:rsid w:val="009A70EB"/>
    <w:rsid w:val="009C5F35"/>
    <w:rsid w:val="009D75AB"/>
    <w:rsid w:val="00A05C28"/>
    <w:rsid w:val="00A530AB"/>
    <w:rsid w:val="00A9406D"/>
    <w:rsid w:val="00AB0278"/>
    <w:rsid w:val="00AC704A"/>
    <w:rsid w:val="00AD5C17"/>
    <w:rsid w:val="00AE3371"/>
    <w:rsid w:val="00AF4FEE"/>
    <w:rsid w:val="00B032FB"/>
    <w:rsid w:val="00B03E39"/>
    <w:rsid w:val="00B2697F"/>
    <w:rsid w:val="00B75D3D"/>
    <w:rsid w:val="00BB7C7E"/>
    <w:rsid w:val="00BC1034"/>
    <w:rsid w:val="00BE3F0C"/>
    <w:rsid w:val="00C711F1"/>
    <w:rsid w:val="00CA0E2C"/>
    <w:rsid w:val="00CD3551"/>
    <w:rsid w:val="00D009C6"/>
    <w:rsid w:val="00D24AA7"/>
    <w:rsid w:val="00D26C7F"/>
    <w:rsid w:val="00D30156"/>
    <w:rsid w:val="00D439EA"/>
    <w:rsid w:val="00D620D6"/>
    <w:rsid w:val="00DB12E2"/>
    <w:rsid w:val="00DB43DA"/>
    <w:rsid w:val="00DC61C4"/>
    <w:rsid w:val="00DD73A9"/>
    <w:rsid w:val="00E05D4E"/>
    <w:rsid w:val="00E1030B"/>
    <w:rsid w:val="00E10FD1"/>
    <w:rsid w:val="00E539B9"/>
    <w:rsid w:val="00EB04A4"/>
    <w:rsid w:val="00EB5C1C"/>
    <w:rsid w:val="00F16D7C"/>
    <w:rsid w:val="00F839C2"/>
    <w:rsid w:val="00F85CAB"/>
    <w:rsid w:val="00FD73DE"/>
    <w:rsid w:val="01003B8B"/>
    <w:rsid w:val="07844962"/>
    <w:rsid w:val="12B92F7A"/>
    <w:rsid w:val="13000899"/>
    <w:rsid w:val="13D57958"/>
    <w:rsid w:val="1F9D6D45"/>
    <w:rsid w:val="304A501D"/>
    <w:rsid w:val="4AC337BA"/>
    <w:rsid w:val="4FB4338A"/>
    <w:rsid w:val="55206864"/>
    <w:rsid w:val="57CE2849"/>
    <w:rsid w:val="59115E34"/>
    <w:rsid w:val="60B054C7"/>
    <w:rsid w:val="64F67403"/>
    <w:rsid w:val="696C2B07"/>
    <w:rsid w:val="6C16325C"/>
    <w:rsid w:val="6EF966EE"/>
    <w:rsid w:val="74D91CC4"/>
    <w:rsid w:val="77DE0B76"/>
    <w:rsid w:val="7ADE098E"/>
  </w:rsids>
  <m:mathPr>
    <m:mathFont m:val="Cambria Math"/>
    <m:brkBin m:val="before"/>
    <m:brkBinSub m:val="--"/>
    <m:smallFrac m:val="0"/>
    <m:dispDef/>
    <m:lMargin m:val="0"/>
    <m:rMargin m:val="0"/>
    <m:defJc m:val="centerGroup"/>
    <m:wrapIndent m:val="1440"/>
    <m:intLim m:val="subSup"/>
    <m:naryLim m:val="undOvr"/>
  </m:mathPr>
  <w:themeFontLang w:val="en-IN" w:eastAsia="zh-CN"/>
  <w:clrSchemeMapping w:bg1="light1" w:t1="dark1" w:bg2="light2" w:t2="dark2" w:accent1="accent1" w:accent2="accent2" w:accent3="accent3" w:accent4="accent4" w:accent5="accent5" w:accent6="accent6" w:hyperlink="hyperlink" w:followedHyperlink="followedHyperlink"/>
  <w:shapeDefaults>
    <o:shapedefaults v:ext="edit" spidmax="1026" fillcolor="white">
      <v:fill color="white"/>
    </o:shapedefaults>
    <o:shapelayout v:ext="edit">
      <o:idmap v:ext="edit" data="1"/>
    </o:shapelayout>
  </w:shapeDefaults>
  <w:decimalSymbol w:val="."/>
  <w:listSeparator w:val=","/>
  <w15:docId w15:val="{FF38DF14-88E3-4216-96E6-CD9F56E2DD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Arial" w:hAnsi="Arial" w:cs="Arial"/>
        <w:lang w:val="en-IN" w:eastAsia="en-IN"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lsdException w:name="heading 3" w:uiPriority="0"/>
    <w:lsdException w:name="heading 4" w:uiPriority="0" w:qFormat="1"/>
    <w:lsdException w:name="heading 5" w:uiPriority="0" w:qFormat="1"/>
    <w:lsdException w:name="heading 6" w:uiPriority="0"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unhideWhenUsed="1" w:qFormat="1"/>
    <w:lsdException w:name="toc 2" w:uiPriority="39" w:unhideWhenUsed="1" w:qFormat="1"/>
    <w:lsdException w:name="toc 3"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qFormat="1"/>
    <w:lsdException w:name="footer"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39"/>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jc w:val="both"/>
    </w:pPr>
    <w:rPr>
      <w:sz w:val="22"/>
      <w:szCs w:val="22"/>
    </w:rPr>
  </w:style>
  <w:style w:type="paragraph" w:styleId="Heading1">
    <w:name w:val="heading 1"/>
    <w:basedOn w:val="Normal"/>
    <w:next w:val="Normal"/>
    <w:qFormat/>
    <w:pPr>
      <w:keepNext/>
      <w:keepLines/>
      <w:spacing w:before="400" w:after="120"/>
      <w:outlineLvl w:val="0"/>
    </w:pPr>
    <w:rPr>
      <w:b/>
      <w:sz w:val="28"/>
      <w:szCs w:val="40"/>
    </w:rPr>
  </w:style>
  <w:style w:type="paragraph" w:styleId="Heading2">
    <w:name w:val="heading 2"/>
    <w:basedOn w:val="Normal"/>
    <w:next w:val="Normal"/>
    <w:pPr>
      <w:keepNext/>
      <w:keepLines/>
      <w:spacing w:before="360" w:after="120"/>
      <w:outlineLvl w:val="1"/>
    </w:pPr>
    <w:rPr>
      <w:b/>
      <w:sz w:val="26"/>
      <w:szCs w:val="32"/>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qFormat/>
    <w:pPr>
      <w:keepNext/>
      <w:keepLines/>
      <w:spacing w:before="280" w:after="80"/>
      <w:outlineLvl w:val="3"/>
    </w:pPr>
    <w:rPr>
      <w:color w:val="666666"/>
      <w:sz w:val="24"/>
      <w:szCs w:val="24"/>
    </w:rPr>
  </w:style>
  <w:style w:type="paragraph" w:styleId="Heading5">
    <w:name w:val="heading 5"/>
    <w:basedOn w:val="Normal"/>
    <w:next w:val="Normal"/>
    <w:qFormat/>
    <w:pPr>
      <w:keepNext/>
      <w:keepLines/>
      <w:spacing w:before="240" w:after="80"/>
      <w:outlineLvl w:val="4"/>
    </w:pPr>
    <w:rPr>
      <w:color w:val="666666"/>
    </w:rPr>
  </w:style>
  <w:style w:type="paragraph" w:styleId="Heading6">
    <w:name w:val="heading 6"/>
    <w:basedOn w:val="Normal"/>
    <w:next w:val="Normal"/>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qFormat/>
    <w:rPr>
      <w:rFonts w:ascii="Tahoma" w:hAnsi="Tahoma" w:cs="Tahoma"/>
      <w:sz w:val="16"/>
      <w:szCs w:val="16"/>
    </w:rPr>
  </w:style>
  <w:style w:type="paragraph" w:styleId="Footer">
    <w:name w:val="footer"/>
    <w:basedOn w:val="Normal"/>
    <w:link w:val="FooterChar"/>
    <w:uiPriority w:val="99"/>
    <w:unhideWhenUsed/>
    <w:qFormat/>
    <w:pPr>
      <w:tabs>
        <w:tab w:val="center" w:pos="4513"/>
        <w:tab w:val="right" w:pos="9026"/>
      </w:tabs>
    </w:pPr>
  </w:style>
  <w:style w:type="paragraph" w:styleId="Header">
    <w:name w:val="header"/>
    <w:basedOn w:val="Normal"/>
    <w:link w:val="HeaderChar"/>
    <w:uiPriority w:val="99"/>
    <w:unhideWhenUsed/>
    <w:qFormat/>
    <w:pPr>
      <w:tabs>
        <w:tab w:val="center" w:pos="4513"/>
        <w:tab w:val="right" w:pos="9026"/>
      </w:tabs>
    </w:pPr>
  </w:style>
  <w:style w:type="character" w:styleId="Hyperlink">
    <w:name w:val="Hyperlink"/>
    <w:basedOn w:val="DefaultParagraphFont"/>
    <w:uiPriority w:val="99"/>
    <w:unhideWhenUsed/>
    <w:qFormat/>
    <w:rPr>
      <w:color w:val="0000FF" w:themeColor="hyperlink"/>
      <w:u w:val="single"/>
    </w:rPr>
  </w:style>
  <w:style w:type="paragraph" w:styleId="Subtitle">
    <w:name w:val="Subtitle"/>
    <w:basedOn w:val="Normal"/>
    <w:next w:val="Normal"/>
    <w:qFormat/>
    <w:pPr>
      <w:keepNext/>
      <w:keepLines/>
      <w:spacing w:after="320"/>
    </w:pPr>
    <w:rPr>
      <w:color w:val="666666"/>
      <w:sz w:val="30"/>
      <w:szCs w:val="30"/>
    </w:rPr>
  </w:style>
  <w:style w:type="paragraph" w:styleId="Title">
    <w:name w:val="Title"/>
    <w:basedOn w:val="Normal"/>
    <w:next w:val="Normal"/>
    <w:qFormat/>
    <w:pPr>
      <w:keepNext/>
      <w:keepLines/>
      <w:spacing w:after="60"/>
    </w:pPr>
    <w:rPr>
      <w:sz w:val="52"/>
      <w:szCs w:val="52"/>
    </w:rPr>
  </w:style>
  <w:style w:type="paragraph" w:styleId="TOC1">
    <w:name w:val="toc 1"/>
    <w:basedOn w:val="Normal"/>
    <w:next w:val="Normal"/>
    <w:autoRedefine/>
    <w:uiPriority w:val="39"/>
    <w:unhideWhenUsed/>
    <w:qFormat/>
    <w:pPr>
      <w:spacing w:after="100"/>
    </w:pPr>
  </w:style>
  <w:style w:type="paragraph" w:styleId="TOC2">
    <w:name w:val="toc 2"/>
    <w:basedOn w:val="Normal"/>
    <w:next w:val="Normal"/>
    <w:uiPriority w:val="39"/>
    <w:unhideWhenUsed/>
    <w:qFormat/>
    <w:pPr>
      <w:spacing w:after="100"/>
      <w:ind w:left="220"/>
    </w:pPr>
  </w:style>
  <w:style w:type="paragraph" w:styleId="TOC3">
    <w:name w:val="toc 3"/>
    <w:basedOn w:val="Normal"/>
    <w:next w:val="Normal"/>
    <w:uiPriority w:val="39"/>
    <w:unhideWhenUsed/>
    <w:qFormat/>
    <w:pPr>
      <w:spacing w:after="100"/>
      <w:ind w:left="440"/>
    </w:pPr>
  </w:style>
  <w:style w:type="table" w:customStyle="1" w:styleId="Style11">
    <w:name w:val="_Style 11"/>
    <w:basedOn w:val="TableNormal"/>
    <w:qFormat/>
    <w:tblPr>
      <w:tblInd w:w="0" w:type="dxa"/>
      <w:tblCellMar>
        <w:top w:w="100" w:type="dxa"/>
        <w:left w:w="100" w:type="dxa"/>
        <w:bottom w:w="100" w:type="dxa"/>
        <w:right w:w="100" w:type="dxa"/>
      </w:tblCellMar>
    </w:tblPr>
  </w:style>
  <w:style w:type="character" w:customStyle="1" w:styleId="HeaderChar">
    <w:name w:val="Header Char"/>
    <w:basedOn w:val="DefaultParagraphFont"/>
    <w:link w:val="Header"/>
    <w:uiPriority w:val="99"/>
    <w:qFormat/>
  </w:style>
  <w:style w:type="character" w:customStyle="1" w:styleId="FooterChar">
    <w:name w:val="Footer Char"/>
    <w:basedOn w:val="DefaultParagraphFont"/>
    <w:link w:val="Footer"/>
    <w:uiPriority w:val="99"/>
    <w:qFormat/>
  </w:style>
  <w:style w:type="paragraph" w:customStyle="1" w:styleId="TOCHeading1">
    <w:name w:val="TOC Heading1"/>
    <w:basedOn w:val="Heading1"/>
    <w:next w:val="Normal"/>
    <w:uiPriority w:val="39"/>
    <w:unhideWhenUsed/>
    <w:qFormat/>
    <w:pPr>
      <w:spacing w:before="240" w:after="0" w:line="259" w:lineRule="auto"/>
      <w:jc w:val="left"/>
      <w:outlineLvl w:val="9"/>
    </w:pPr>
    <w:rPr>
      <w:rFonts w:asciiTheme="majorHAnsi" w:eastAsiaTheme="majorEastAsia" w:hAnsiTheme="majorHAnsi" w:cstheme="majorBidi"/>
      <w:b w:val="0"/>
      <w:color w:val="365F91" w:themeColor="accent1" w:themeShade="BF"/>
      <w:sz w:val="32"/>
      <w:szCs w:val="32"/>
      <w:lang w:val="en-US" w:eastAsia="en-US"/>
    </w:rPr>
  </w:style>
  <w:style w:type="character" w:customStyle="1" w:styleId="BalloonTextChar">
    <w:name w:val="Balloon Text Char"/>
    <w:basedOn w:val="DefaultParagraphFont"/>
    <w:link w:val="BalloonText"/>
    <w:uiPriority w:val="99"/>
    <w:semiHidden/>
    <w:qFormat/>
    <w:rPr>
      <w:rFonts w:ascii="Tahoma" w:hAnsi="Tahoma" w:cs="Tahoma"/>
      <w:sz w:val="16"/>
      <w:szCs w:val="16"/>
    </w:rPr>
  </w:style>
  <w:style w:type="paragraph" w:styleId="ListParagraph">
    <w:name w:val="List Paragraph"/>
    <w:basedOn w:val="Normal"/>
    <w:uiPriority w:val="34"/>
    <w:qFormat/>
    <w:pPr>
      <w:spacing w:line="480" w:lineRule="auto"/>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358314304">
      <w:bodyDiv w:val="1"/>
      <w:marLeft w:val="0"/>
      <w:marRight w:val="0"/>
      <w:marTop w:val="0"/>
      <w:marBottom w:val="0"/>
      <w:divBdr>
        <w:top w:val="none" w:sz="0" w:space="0" w:color="auto"/>
        <w:left w:val="none" w:sz="0" w:space="0" w:color="auto"/>
        <w:bottom w:val="none" w:sz="0" w:space="0" w:color="auto"/>
        <w:right w:val="none" w:sz="0" w:space="0" w:color="auto"/>
      </w:divBdr>
    </w:div>
    <w:div w:id="154601942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png"/><Relationship Id="rId18" Type="http://schemas.openxmlformats.org/officeDocument/2006/relationships/hyperlink" Target="https://www.tedbakerplc/row/info/sustainability/people" TargetMode="External"/><Relationship Id="rId3" Type="http://schemas.openxmlformats.org/officeDocument/2006/relationships/numbering" Target="numbering.xml"/><Relationship Id="rId21" Type="http://schemas.openxmlformats.org/officeDocument/2006/relationships/footer" Target="footer1.xml"/><Relationship Id="rId7" Type="http://schemas.openxmlformats.org/officeDocument/2006/relationships/footnotes" Target="footnotes.xml"/><Relationship Id="rId12" Type="http://schemas.openxmlformats.org/officeDocument/2006/relationships/image" Target="media/image4.png"/><Relationship Id="rId17" Type="http://schemas.openxmlformats.org/officeDocument/2006/relationships/hyperlink" Target="https://www.tedbakerplc/row/info/about-ted" TargetMode="External"/><Relationship Id="rId2" Type="http://schemas.openxmlformats.org/officeDocument/2006/relationships/customXml" Target="../customXml/item2.xml"/><Relationship Id="rId16" Type="http://schemas.openxmlformats.org/officeDocument/2006/relationships/hyperlink" Target="https://www.rli.uk.com/authentic-brands-group-evolve-transform-and-reimagine/" TargetMode="External"/><Relationship Id="rId20" Type="http://schemas.openxmlformats.org/officeDocument/2006/relationships/hyperlink" Target="https://www.tedbakerplc/row/info/sustainability"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5" Type="http://schemas.openxmlformats.org/officeDocument/2006/relationships/settings" Target="settings.xml"/><Relationship Id="rId15" Type="http://schemas.openxmlformats.org/officeDocument/2006/relationships/hyperlink" Target="https://www.annualreports.com/HostedData/AnnualReports/PDF/LSE_TBK_2022.pdf" TargetMode="External"/><Relationship Id="rId23" Type="http://schemas.openxmlformats.org/officeDocument/2006/relationships/theme" Target="theme/theme1.xml"/><Relationship Id="rId10" Type="http://schemas.openxmlformats.org/officeDocument/2006/relationships/image" Target="media/image2.png"/><Relationship Id="rId19" Type="http://schemas.openxmlformats.org/officeDocument/2006/relationships/hyperlink" Target="https://www.tedbakerplc/row/info/sustainability/planet" TargetMode="External"/><Relationship Id="rId4" Type="http://schemas.openxmlformats.org/officeDocument/2006/relationships/styles" Target="styles.xml"/><Relationship Id="rId9" Type="http://schemas.openxmlformats.org/officeDocument/2006/relationships/image" Target="media/image1.jpeg"/><Relationship Id="rId14" Type="http://schemas.openxmlformats.org/officeDocument/2006/relationships/image" Target="media/image6.png"/><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8CD0E5DC-E115-42C2-98BF-E4DC669FEE7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207</TotalTime>
  <Pages>36</Pages>
  <Words>7702</Words>
  <Characters>43905</Characters>
  <Application>Microsoft Office Word</Application>
  <DocSecurity>0</DocSecurity>
  <Lines>365</Lines>
  <Paragraphs>103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51504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Priyanka Roy Chowdhury</dc:creator>
  <cp:lastModifiedBy>mypc</cp:lastModifiedBy>
  <cp:revision>93</cp:revision>
  <dcterms:created xsi:type="dcterms:W3CDTF">2023-03-11T16:36:00Z</dcterms:created>
  <dcterms:modified xsi:type="dcterms:W3CDTF">2023-05-03T20:37:00Z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1033-11.2.0.11516</vt:lpwstr>
  </property>
  <property fmtid="{D5CDD505-2E9C-101B-9397-08002B2CF9AE}" pid="3" name="ICV">
    <vt:lpwstr>1E4917C3BF7744CDB5046378314D7962</vt:lpwstr>
  </property>
</Properties>
</file>