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EC2D71" w14:textId="4E6E12EE" w:rsidR="00501B00" w:rsidRDefault="00D42D63" w:rsidP="00D42D63">
      <w:pPr>
        <w:jc w:val="center"/>
        <w:rPr>
          <w:sz w:val="28"/>
          <w:szCs w:val="28"/>
          <w:u w:val="single"/>
        </w:rPr>
      </w:pPr>
      <w:r w:rsidRPr="00D42D63">
        <w:rPr>
          <w:sz w:val="28"/>
          <w:szCs w:val="28"/>
          <w:u w:val="single"/>
        </w:rPr>
        <w:t>Feminism and democracy: women's suffrage and reform politics in Britain, 1900-1918</w:t>
      </w:r>
      <w:r>
        <w:rPr>
          <w:sz w:val="28"/>
          <w:szCs w:val="28"/>
          <w:u w:val="single"/>
        </w:rPr>
        <w:t xml:space="preserve"> – Sandra Stanley Holton</w:t>
      </w:r>
    </w:p>
    <w:p w14:paraId="29CB1317" w14:textId="194736A1" w:rsidR="0082502B" w:rsidRDefault="00F32D66" w:rsidP="00544ED7">
      <w:pPr>
        <w:rPr>
          <w:sz w:val="24"/>
          <w:szCs w:val="24"/>
        </w:rPr>
      </w:pPr>
      <w:r>
        <w:rPr>
          <w:sz w:val="24"/>
          <w:szCs w:val="24"/>
        </w:rPr>
        <w:t xml:space="preserve">The book ‘Feminism and </w:t>
      </w:r>
      <w:r w:rsidR="006E7905">
        <w:rPr>
          <w:sz w:val="24"/>
          <w:szCs w:val="24"/>
        </w:rPr>
        <w:t>democracy:</w:t>
      </w:r>
      <w:r>
        <w:rPr>
          <w:sz w:val="24"/>
          <w:szCs w:val="24"/>
        </w:rPr>
        <w:t xml:space="preserve"> women’s suffrage and reform politics in Britian 1900 – 1918’ by Sandra Stanley Holton </w:t>
      </w:r>
      <w:r w:rsidR="000E753C">
        <w:rPr>
          <w:sz w:val="24"/>
          <w:szCs w:val="24"/>
        </w:rPr>
        <w:t>is useful for studying this topic as it provides many</w:t>
      </w:r>
      <w:r w:rsidR="00DE3C4E">
        <w:rPr>
          <w:sz w:val="24"/>
          <w:szCs w:val="24"/>
        </w:rPr>
        <w:t xml:space="preserve"> </w:t>
      </w:r>
      <w:r w:rsidR="00891835">
        <w:rPr>
          <w:sz w:val="24"/>
          <w:szCs w:val="24"/>
        </w:rPr>
        <w:t xml:space="preserve">beneficial insights into this topic </w:t>
      </w:r>
      <w:r w:rsidR="006677B0">
        <w:rPr>
          <w:sz w:val="24"/>
          <w:szCs w:val="24"/>
        </w:rPr>
        <w:t xml:space="preserve">from a Historian who has studied this topic frequently throughout her life. </w:t>
      </w:r>
    </w:p>
    <w:p w14:paraId="6D99685D" w14:textId="7D759FC9" w:rsidR="00FE7BEC" w:rsidRDefault="006E7905" w:rsidP="00544ED7">
      <w:pPr>
        <w:rPr>
          <w:sz w:val="24"/>
          <w:szCs w:val="24"/>
        </w:rPr>
      </w:pPr>
      <w:r>
        <w:rPr>
          <w:sz w:val="24"/>
          <w:szCs w:val="24"/>
        </w:rPr>
        <w:t xml:space="preserve">Within the introduction of this </w:t>
      </w:r>
      <w:r w:rsidR="00985EFB">
        <w:rPr>
          <w:sz w:val="24"/>
          <w:szCs w:val="24"/>
        </w:rPr>
        <w:t xml:space="preserve">book, the author makes many important points about this extremely important topic. Women’s suffrage is such an important topic as it </w:t>
      </w:r>
      <w:r w:rsidR="007E4DBD">
        <w:rPr>
          <w:sz w:val="24"/>
          <w:szCs w:val="24"/>
        </w:rPr>
        <w:t>fought for a key civil right and without it women</w:t>
      </w:r>
      <w:r w:rsidR="00B97253">
        <w:rPr>
          <w:sz w:val="24"/>
          <w:szCs w:val="24"/>
        </w:rPr>
        <w:t xml:space="preserve"> in Britain</w:t>
      </w:r>
      <w:r w:rsidR="007E4DBD">
        <w:rPr>
          <w:sz w:val="24"/>
          <w:szCs w:val="24"/>
        </w:rPr>
        <w:t xml:space="preserve"> would not have the </w:t>
      </w:r>
      <w:r w:rsidR="00B97253">
        <w:rPr>
          <w:sz w:val="24"/>
          <w:szCs w:val="24"/>
        </w:rPr>
        <w:t>voting rights they have today or at the time this book was written (</w:t>
      </w:r>
      <w:r w:rsidR="004A303D">
        <w:rPr>
          <w:sz w:val="24"/>
          <w:szCs w:val="24"/>
        </w:rPr>
        <w:t xml:space="preserve">1986). </w:t>
      </w:r>
      <w:r w:rsidR="002C4A80">
        <w:rPr>
          <w:sz w:val="24"/>
          <w:szCs w:val="24"/>
        </w:rPr>
        <w:t xml:space="preserve">This book provides </w:t>
      </w:r>
      <w:r w:rsidR="00164471">
        <w:rPr>
          <w:sz w:val="24"/>
          <w:szCs w:val="24"/>
        </w:rPr>
        <w:t xml:space="preserve">an account of the </w:t>
      </w:r>
      <w:r w:rsidR="000F4C28">
        <w:rPr>
          <w:sz w:val="24"/>
          <w:szCs w:val="24"/>
        </w:rPr>
        <w:t xml:space="preserve">suffrage movement in Britain between 1900 and 1918 and includes aspects </w:t>
      </w:r>
      <w:r w:rsidR="00EA0B8A">
        <w:rPr>
          <w:sz w:val="24"/>
          <w:szCs w:val="24"/>
        </w:rPr>
        <w:t xml:space="preserve">of the political dimensions of the </w:t>
      </w:r>
      <w:r w:rsidR="00624177">
        <w:rPr>
          <w:sz w:val="24"/>
          <w:szCs w:val="24"/>
        </w:rPr>
        <w:t xml:space="preserve">movement. The author states ‘Women have been </w:t>
      </w:r>
      <w:r w:rsidR="00A71990">
        <w:rPr>
          <w:sz w:val="24"/>
          <w:szCs w:val="24"/>
        </w:rPr>
        <w:t xml:space="preserve">hidden </w:t>
      </w:r>
      <w:r w:rsidR="000F1C2E">
        <w:rPr>
          <w:sz w:val="24"/>
          <w:szCs w:val="24"/>
        </w:rPr>
        <w:t xml:space="preserve">from history and are only now becoming visible’, this is due to </w:t>
      </w:r>
      <w:r w:rsidR="00383FB7">
        <w:rPr>
          <w:sz w:val="24"/>
          <w:szCs w:val="24"/>
        </w:rPr>
        <w:t>patriarchal views about women that led to women’s voices being silenced throughout history</w:t>
      </w:r>
      <w:r w:rsidR="00441520">
        <w:rPr>
          <w:sz w:val="24"/>
          <w:szCs w:val="24"/>
        </w:rPr>
        <w:t>.</w:t>
      </w:r>
      <w:r w:rsidR="00441520">
        <w:rPr>
          <w:rStyle w:val="FootnoteReference"/>
          <w:sz w:val="24"/>
          <w:szCs w:val="24"/>
        </w:rPr>
        <w:footnoteReference w:id="1"/>
      </w:r>
      <w:r w:rsidR="00A90CA4">
        <w:rPr>
          <w:sz w:val="24"/>
          <w:szCs w:val="24"/>
        </w:rPr>
        <w:t xml:space="preserve"> </w:t>
      </w:r>
      <w:r w:rsidR="000202CE">
        <w:rPr>
          <w:sz w:val="24"/>
          <w:szCs w:val="24"/>
        </w:rPr>
        <w:t>This book also explores the</w:t>
      </w:r>
      <w:r w:rsidR="00155C66">
        <w:rPr>
          <w:sz w:val="24"/>
          <w:szCs w:val="24"/>
        </w:rPr>
        <w:t xml:space="preserve"> contemporary</w:t>
      </w:r>
      <w:r w:rsidR="000202CE">
        <w:rPr>
          <w:sz w:val="24"/>
          <w:szCs w:val="24"/>
        </w:rPr>
        <w:t xml:space="preserve"> views of suffragettes</w:t>
      </w:r>
      <w:r w:rsidR="00155C66">
        <w:rPr>
          <w:sz w:val="24"/>
          <w:szCs w:val="24"/>
        </w:rPr>
        <w:t xml:space="preserve">, for example the author states ‘By their visibility and articulateness </w:t>
      </w:r>
      <w:r w:rsidR="00AF7595">
        <w:rPr>
          <w:sz w:val="24"/>
          <w:szCs w:val="24"/>
        </w:rPr>
        <w:t>suffragists are taken to be exceptional and extraordinary beings among their sex’</w:t>
      </w:r>
      <w:r w:rsidR="0075073B">
        <w:rPr>
          <w:sz w:val="24"/>
          <w:szCs w:val="24"/>
        </w:rPr>
        <w:t>.</w:t>
      </w:r>
      <w:r w:rsidR="0075073B">
        <w:rPr>
          <w:rStyle w:val="FootnoteReference"/>
          <w:sz w:val="24"/>
          <w:szCs w:val="24"/>
        </w:rPr>
        <w:footnoteReference w:id="2"/>
      </w:r>
      <w:r w:rsidR="00D26658">
        <w:rPr>
          <w:sz w:val="24"/>
          <w:szCs w:val="24"/>
        </w:rPr>
        <w:t xml:space="preserve"> </w:t>
      </w:r>
      <w:r w:rsidR="00116F07">
        <w:rPr>
          <w:sz w:val="24"/>
          <w:szCs w:val="24"/>
        </w:rPr>
        <w:t xml:space="preserve">This book, unlike others focuses on traditional women’s history as well as non-traditional </w:t>
      </w:r>
      <w:r w:rsidR="00BC53DB">
        <w:rPr>
          <w:sz w:val="24"/>
          <w:szCs w:val="24"/>
        </w:rPr>
        <w:t xml:space="preserve">women’s history. The author states within the book that this is a political history book, this is because women’s suffrage is heavily linked to politics. </w:t>
      </w:r>
      <w:r w:rsidR="00410F8A">
        <w:rPr>
          <w:sz w:val="24"/>
          <w:szCs w:val="24"/>
        </w:rPr>
        <w:t xml:space="preserve">Within this book, it is explained that there are two types of suffragettes which can be classified in two ways, either by the organisations they were attached to: </w:t>
      </w:r>
      <w:r w:rsidR="00C0154C">
        <w:rPr>
          <w:sz w:val="24"/>
          <w:szCs w:val="24"/>
        </w:rPr>
        <w:t xml:space="preserve">‘Women’s social and political union’ and ‘National union of women’s suffrage </w:t>
      </w:r>
      <w:r w:rsidR="0039705B">
        <w:rPr>
          <w:sz w:val="24"/>
          <w:szCs w:val="24"/>
        </w:rPr>
        <w:t>societies’</w:t>
      </w:r>
      <w:r w:rsidR="000B469F">
        <w:rPr>
          <w:sz w:val="24"/>
          <w:szCs w:val="24"/>
        </w:rPr>
        <w:t xml:space="preserve">, </w:t>
      </w:r>
      <w:r w:rsidR="0039705B">
        <w:rPr>
          <w:sz w:val="24"/>
          <w:szCs w:val="24"/>
        </w:rPr>
        <w:t xml:space="preserve">or by the </w:t>
      </w:r>
      <w:r w:rsidR="000B469F">
        <w:rPr>
          <w:sz w:val="24"/>
          <w:szCs w:val="24"/>
        </w:rPr>
        <w:t>descriptions used for their activism style:</w:t>
      </w:r>
      <w:r w:rsidR="0039705B">
        <w:rPr>
          <w:sz w:val="24"/>
          <w:szCs w:val="24"/>
        </w:rPr>
        <w:t xml:space="preserve"> </w:t>
      </w:r>
      <w:r w:rsidR="00CF50FA">
        <w:rPr>
          <w:sz w:val="24"/>
          <w:szCs w:val="24"/>
        </w:rPr>
        <w:t>‘Militants’ and ‘Constitutionalists’.</w:t>
      </w:r>
      <w:r w:rsidR="00CF50FA">
        <w:rPr>
          <w:rStyle w:val="FootnoteReference"/>
          <w:sz w:val="24"/>
          <w:szCs w:val="24"/>
        </w:rPr>
        <w:footnoteReference w:id="3"/>
      </w:r>
      <w:r w:rsidR="00CF50FA">
        <w:rPr>
          <w:sz w:val="24"/>
          <w:szCs w:val="24"/>
        </w:rPr>
        <w:t xml:space="preserve"> However, the </w:t>
      </w:r>
      <w:r w:rsidR="004F2664">
        <w:rPr>
          <w:sz w:val="24"/>
          <w:szCs w:val="24"/>
        </w:rPr>
        <w:t xml:space="preserve">issue with these classifications is that not every member of these groups were </w:t>
      </w:r>
      <w:r w:rsidR="00C62E9B">
        <w:rPr>
          <w:sz w:val="24"/>
          <w:szCs w:val="24"/>
        </w:rPr>
        <w:t>necessarily the type they were classified</w:t>
      </w:r>
      <w:r w:rsidR="00F52E4D">
        <w:rPr>
          <w:sz w:val="24"/>
          <w:szCs w:val="24"/>
        </w:rPr>
        <w:t xml:space="preserve"> as, for example both groups were often militant in style,</w:t>
      </w:r>
      <w:r w:rsidR="00C62E9B">
        <w:rPr>
          <w:sz w:val="24"/>
          <w:szCs w:val="24"/>
        </w:rPr>
        <w:t xml:space="preserve"> but also </w:t>
      </w:r>
      <w:r w:rsidR="004F7D13">
        <w:rPr>
          <w:sz w:val="24"/>
          <w:szCs w:val="24"/>
        </w:rPr>
        <w:t>many suffragists were members of both of these organisations</w:t>
      </w:r>
      <w:r w:rsidR="00B40230">
        <w:rPr>
          <w:sz w:val="24"/>
          <w:szCs w:val="24"/>
        </w:rPr>
        <w:t>, therefore these classifications were not entirely accurate.</w:t>
      </w:r>
      <w:r w:rsidR="00E33EA5">
        <w:rPr>
          <w:sz w:val="24"/>
          <w:szCs w:val="24"/>
        </w:rPr>
        <w:t xml:space="preserve"> </w:t>
      </w:r>
      <w:r w:rsidR="002560C7">
        <w:rPr>
          <w:sz w:val="24"/>
          <w:szCs w:val="24"/>
        </w:rPr>
        <w:t>The author of this book also provides information a</w:t>
      </w:r>
      <w:r w:rsidR="00C42F5F">
        <w:rPr>
          <w:sz w:val="24"/>
          <w:szCs w:val="24"/>
        </w:rPr>
        <w:t xml:space="preserve">bout the ways suffragists were politically classified, for example, she states </w:t>
      </w:r>
      <w:r w:rsidR="00D6165C">
        <w:rPr>
          <w:sz w:val="24"/>
          <w:szCs w:val="24"/>
        </w:rPr>
        <w:t xml:space="preserve">‘Democratic suffragists covered a broad spectrum of </w:t>
      </w:r>
      <w:r w:rsidR="000D7D08">
        <w:rPr>
          <w:sz w:val="24"/>
          <w:szCs w:val="24"/>
        </w:rPr>
        <w:t>political affiliation from progressive liberalism’.</w:t>
      </w:r>
      <w:r w:rsidR="00F24FA2">
        <w:rPr>
          <w:rStyle w:val="FootnoteReference"/>
          <w:sz w:val="24"/>
          <w:szCs w:val="24"/>
        </w:rPr>
        <w:footnoteReference w:id="4"/>
      </w:r>
      <w:r w:rsidR="000D7D08">
        <w:rPr>
          <w:sz w:val="24"/>
          <w:szCs w:val="24"/>
        </w:rPr>
        <w:t xml:space="preserve"> This suggests that the author has a broad understanding of the suffragist movement and contemporary ideas regarding the topic. </w:t>
      </w:r>
      <w:r w:rsidR="001B155A">
        <w:rPr>
          <w:sz w:val="24"/>
          <w:szCs w:val="24"/>
        </w:rPr>
        <w:t>The author also explains the groups of people involved in the suffragist movement and the significance of this</w:t>
      </w:r>
      <w:r w:rsidR="00E5671E">
        <w:rPr>
          <w:sz w:val="24"/>
          <w:szCs w:val="24"/>
        </w:rPr>
        <w:t>, for example Holton states ‘</w:t>
      </w:r>
      <w:r w:rsidR="003604D8">
        <w:rPr>
          <w:sz w:val="24"/>
          <w:szCs w:val="24"/>
        </w:rPr>
        <w:t xml:space="preserve">The demand for </w:t>
      </w:r>
      <w:r w:rsidR="00F31619">
        <w:rPr>
          <w:sz w:val="24"/>
          <w:szCs w:val="24"/>
        </w:rPr>
        <w:t xml:space="preserve">votes for women was transformed into </w:t>
      </w:r>
      <w:r w:rsidR="00B9486D">
        <w:rPr>
          <w:sz w:val="24"/>
          <w:szCs w:val="24"/>
        </w:rPr>
        <w:t>a mass social movement</w:t>
      </w:r>
      <w:r w:rsidR="00AB2D97">
        <w:rPr>
          <w:sz w:val="24"/>
          <w:szCs w:val="24"/>
        </w:rPr>
        <w:t xml:space="preserve">, and for the </w:t>
      </w:r>
      <w:r w:rsidR="007E1B95">
        <w:rPr>
          <w:sz w:val="24"/>
          <w:szCs w:val="24"/>
        </w:rPr>
        <w:t xml:space="preserve">first time working-class women were involved </w:t>
      </w:r>
      <w:r w:rsidR="007E1B95">
        <w:rPr>
          <w:sz w:val="24"/>
          <w:szCs w:val="24"/>
        </w:rPr>
        <w:lastRenderedPageBreak/>
        <w:t xml:space="preserve">in suffrage activity </w:t>
      </w:r>
      <w:r w:rsidR="00926505">
        <w:rPr>
          <w:sz w:val="24"/>
          <w:szCs w:val="24"/>
        </w:rPr>
        <w:t>in significant numbers’.</w:t>
      </w:r>
      <w:r w:rsidR="00926505">
        <w:rPr>
          <w:rStyle w:val="FootnoteReference"/>
          <w:sz w:val="24"/>
          <w:szCs w:val="24"/>
        </w:rPr>
        <w:footnoteReference w:id="5"/>
      </w:r>
      <w:r w:rsidR="00170527">
        <w:rPr>
          <w:sz w:val="24"/>
          <w:szCs w:val="24"/>
        </w:rPr>
        <w:t xml:space="preserve"> This quote also shows the </w:t>
      </w:r>
      <w:r w:rsidR="00FE7BEC">
        <w:rPr>
          <w:sz w:val="24"/>
          <w:szCs w:val="24"/>
        </w:rPr>
        <w:t>importance</w:t>
      </w:r>
      <w:r w:rsidR="00170527">
        <w:rPr>
          <w:sz w:val="24"/>
          <w:szCs w:val="24"/>
        </w:rPr>
        <w:t xml:space="preserve"> of </w:t>
      </w:r>
      <w:r w:rsidR="00FE7BEC">
        <w:rPr>
          <w:sz w:val="24"/>
          <w:szCs w:val="24"/>
        </w:rPr>
        <w:t xml:space="preserve">the suffrage movement as a social movement. It was key that working-class women were involved as it broadened the </w:t>
      </w:r>
      <w:r w:rsidR="0032604D">
        <w:rPr>
          <w:sz w:val="24"/>
          <w:szCs w:val="24"/>
        </w:rPr>
        <w:t xml:space="preserve">involvement, due to the fact that working-class women made up a large group of the population. </w:t>
      </w:r>
      <w:r w:rsidR="00B73468">
        <w:rPr>
          <w:sz w:val="24"/>
          <w:szCs w:val="24"/>
        </w:rPr>
        <w:t xml:space="preserve">Within this book, Holton also explains the </w:t>
      </w:r>
      <w:r w:rsidR="00326FED">
        <w:rPr>
          <w:sz w:val="24"/>
          <w:szCs w:val="24"/>
        </w:rPr>
        <w:t xml:space="preserve">importance of women’s suffrage to democracy; ‘The ethos of the suffrage </w:t>
      </w:r>
      <w:r w:rsidR="00E62835">
        <w:rPr>
          <w:sz w:val="24"/>
          <w:szCs w:val="24"/>
        </w:rPr>
        <w:t>movement helped make the democratic-suffragist str</w:t>
      </w:r>
      <w:r w:rsidR="00AE3C0A">
        <w:rPr>
          <w:sz w:val="24"/>
          <w:szCs w:val="24"/>
        </w:rPr>
        <w:t>ategy an effective possibility’.</w:t>
      </w:r>
      <w:r w:rsidR="00AE3C0A">
        <w:rPr>
          <w:rStyle w:val="FootnoteReference"/>
          <w:sz w:val="24"/>
          <w:szCs w:val="24"/>
        </w:rPr>
        <w:footnoteReference w:id="6"/>
      </w:r>
      <w:r w:rsidR="00DA23F5">
        <w:rPr>
          <w:sz w:val="24"/>
          <w:szCs w:val="24"/>
        </w:rPr>
        <w:t xml:space="preserve"> The author also continues this to explain that from this ethos also came the </w:t>
      </w:r>
      <w:r w:rsidR="00542A60">
        <w:rPr>
          <w:sz w:val="24"/>
          <w:szCs w:val="24"/>
        </w:rPr>
        <w:t xml:space="preserve">sex-war outlook, which unfortunately </w:t>
      </w:r>
      <w:r w:rsidR="008E7B46">
        <w:rPr>
          <w:sz w:val="24"/>
          <w:szCs w:val="24"/>
        </w:rPr>
        <w:t xml:space="preserve">caused </w:t>
      </w:r>
      <w:r w:rsidR="000A65BE">
        <w:rPr>
          <w:sz w:val="24"/>
          <w:szCs w:val="24"/>
        </w:rPr>
        <w:t>disintegration</w:t>
      </w:r>
      <w:r w:rsidR="008E7B46">
        <w:rPr>
          <w:sz w:val="24"/>
          <w:szCs w:val="24"/>
        </w:rPr>
        <w:t xml:space="preserve"> and marginalisation within campaigns as well as in the </w:t>
      </w:r>
      <w:r w:rsidR="000A65BE">
        <w:rPr>
          <w:sz w:val="24"/>
          <w:szCs w:val="24"/>
        </w:rPr>
        <w:t xml:space="preserve">organisations. Overall, the introduction of this book provides an insightful and well-researched </w:t>
      </w:r>
      <w:r w:rsidR="004B3E83">
        <w:rPr>
          <w:sz w:val="24"/>
          <w:szCs w:val="24"/>
        </w:rPr>
        <w:t xml:space="preserve">summary of women’s suffrage and reform politics </w:t>
      </w:r>
      <w:r w:rsidR="00BE67D2">
        <w:rPr>
          <w:sz w:val="24"/>
          <w:szCs w:val="24"/>
        </w:rPr>
        <w:t xml:space="preserve">in Britain 1900-1918. </w:t>
      </w:r>
    </w:p>
    <w:p w14:paraId="5610217E" w14:textId="525CD058" w:rsidR="009E21EE" w:rsidRDefault="00EE5BD0" w:rsidP="00544ED7">
      <w:pPr>
        <w:rPr>
          <w:sz w:val="24"/>
          <w:szCs w:val="24"/>
        </w:rPr>
      </w:pPr>
      <w:r>
        <w:rPr>
          <w:sz w:val="24"/>
          <w:szCs w:val="24"/>
        </w:rPr>
        <w:t xml:space="preserve">In </w:t>
      </w:r>
      <w:r w:rsidR="001B00B0">
        <w:rPr>
          <w:sz w:val="24"/>
          <w:szCs w:val="24"/>
        </w:rPr>
        <w:t>C</w:t>
      </w:r>
      <w:r>
        <w:rPr>
          <w:sz w:val="24"/>
          <w:szCs w:val="24"/>
        </w:rPr>
        <w:t xml:space="preserve">hapter 1, </w:t>
      </w:r>
      <w:r w:rsidR="003522D9">
        <w:rPr>
          <w:sz w:val="24"/>
          <w:szCs w:val="24"/>
        </w:rPr>
        <w:t>‘Feminising democracy:</w:t>
      </w:r>
      <w:r w:rsidR="00295536">
        <w:rPr>
          <w:sz w:val="24"/>
          <w:szCs w:val="24"/>
        </w:rPr>
        <w:t xml:space="preserve"> the ethos of the women’s suffrage movement’, </w:t>
      </w:r>
      <w:r w:rsidR="00B20444">
        <w:rPr>
          <w:sz w:val="24"/>
          <w:szCs w:val="24"/>
        </w:rPr>
        <w:t xml:space="preserve">the author begins to explain where the thoughts behind the suffrage movement first began to be explored. </w:t>
      </w:r>
      <w:r w:rsidR="007F1C12">
        <w:rPr>
          <w:sz w:val="24"/>
          <w:szCs w:val="24"/>
        </w:rPr>
        <w:t xml:space="preserve">Holton states that suffrage movement is thought to have descended from </w:t>
      </w:r>
      <w:r w:rsidR="00EB0122">
        <w:rPr>
          <w:sz w:val="24"/>
          <w:szCs w:val="24"/>
        </w:rPr>
        <w:t xml:space="preserve">Enlightenment political philosophy as well as Nineteenth century </w:t>
      </w:r>
      <w:r w:rsidR="00BF494F">
        <w:rPr>
          <w:sz w:val="24"/>
          <w:szCs w:val="24"/>
        </w:rPr>
        <w:t>liberal theory.</w:t>
      </w:r>
      <w:r w:rsidR="00BF494F">
        <w:rPr>
          <w:rStyle w:val="FootnoteReference"/>
          <w:sz w:val="24"/>
          <w:szCs w:val="24"/>
        </w:rPr>
        <w:footnoteReference w:id="7"/>
      </w:r>
      <w:r w:rsidR="00BF494F">
        <w:rPr>
          <w:sz w:val="24"/>
          <w:szCs w:val="24"/>
        </w:rPr>
        <w:t xml:space="preserve"> </w:t>
      </w:r>
      <w:r w:rsidR="005C0C07">
        <w:rPr>
          <w:sz w:val="24"/>
          <w:szCs w:val="24"/>
        </w:rPr>
        <w:t>For example, th</w:t>
      </w:r>
      <w:r w:rsidR="003F30A6">
        <w:rPr>
          <w:sz w:val="24"/>
          <w:szCs w:val="24"/>
        </w:rPr>
        <w:t>is ideology is thought to have been developed upon by Mary Wollstonecraft in her book ‘</w:t>
      </w:r>
      <w:r w:rsidR="001B00B0">
        <w:rPr>
          <w:sz w:val="24"/>
          <w:szCs w:val="24"/>
        </w:rPr>
        <w:t xml:space="preserve">A </w:t>
      </w:r>
      <w:r w:rsidR="003F30A6">
        <w:rPr>
          <w:sz w:val="24"/>
          <w:szCs w:val="24"/>
        </w:rPr>
        <w:t xml:space="preserve">Vindication of </w:t>
      </w:r>
      <w:r w:rsidR="001B00B0">
        <w:rPr>
          <w:sz w:val="24"/>
          <w:szCs w:val="24"/>
        </w:rPr>
        <w:t>the Rights of Woman’</w:t>
      </w:r>
      <w:r w:rsidR="008B58F1">
        <w:rPr>
          <w:sz w:val="24"/>
          <w:szCs w:val="24"/>
        </w:rPr>
        <w:t>.</w:t>
      </w:r>
      <w:r w:rsidR="008B58F1">
        <w:rPr>
          <w:rStyle w:val="FootnoteReference"/>
          <w:sz w:val="24"/>
          <w:szCs w:val="24"/>
        </w:rPr>
        <w:footnoteReference w:id="8"/>
      </w:r>
      <w:r w:rsidR="005E3497">
        <w:rPr>
          <w:sz w:val="24"/>
          <w:szCs w:val="24"/>
        </w:rPr>
        <w:t xml:space="preserve"> </w:t>
      </w:r>
      <w:r w:rsidR="00A97734">
        <w:rPr>
          <w:sz w:val="24"/>
          <w:szCs w:val="24"/>
        </w:rPr>
        <w:t xml:space="preserve">This book is viewed as a </w:t>
      </w:r>
      <w:r w:rsidR="00A97734" w:rsidRPr="00A97734">
        <w:rPr>
          <w:sz w:val="24"/>
          <w:szCs w:val="24"/>
        </w:rPr>
        <w:t xml:space="preserve">trailblazing treatise of feminism </w:t>
      </w:r>
      <w:r w:rsidR="00165C7C">
        <w:rPr>
          <w:sz w:val="24"/>
          <w:szCs w:val="24"/>
        </w:rPr>
        <w:t xml:space="preserve">which </w:t>
      </w:r>
      <w:r w:rsidR="00165C7C" w:rsidRPr="00165C7C">
        <w:rPr>
          <w:sz w:val="24"/>
          <w:szCs w:val="24"/>
        </w:rPr>
        <w:t>argues for the empowerment of women in education, politics, society, and marriage.</w:t>
      </w:r>
      <w:r w:rsidR="008B7108">
        <w:rPr>
          <w:rStyle w:val="FootnoteReference"/>
          <w:sz w:val="24"/>
          <w:szCs w:val="24"/>
        </w:rPr>
        <w:footnoteReference w:id="9"/>
      </w:r>
      <w:r w:rsidR="008B7108">
        <w:rPr>
          <w:sz w:val="24"/>
          <w:szCs w:val="24"/>
        </w:rPr>
        <w:t xml:space="preserve"> Holton also touches on the ideology of humanist </w:t>
      </w:r>
      <w:r w:rsidR="008A392C">
        <w:rPr>
          <w:sz w:val="24"/>
          <w:szCs w:val="24"/>
        </w:rPr>
        <w:t>feminism and the importance of the vote as political status especially to Middle Class Women within this chapter.</w:t>
      </w:r>
      <w:r w:rsidR="00B05FD3">
        <w:rPr>
          <w:sz w:val="24"/>
          <w:szCs w:val="24"/>
        </w:rPr>
        <w:t xml:space="preserve"> She also makes an important point that </w:t>
      </w:r>
      <w:r w:rsidR="00773D2B">
        <w:rPr>
          <w:sz w:val="24"/>
          <w:szCs w:val="24"/>
        </w:rPr>
        <w:t>a main point of success for the movement was that ‘The suffrage was ideologically homogenous’.</w:t>
      </w:r>
      <w:r w:rsidR="00773D2B">
        <w:rPr>
          <w:rStyle w:val="FootnoteReference"/>
          <w:sz w:val="24"/>
          <w:szCs w:val="24"/>
        </w:rPr>
        <w:footnoteReference w:id="10"/>
      </w:r>
      <w:r w:rsidR="00360BE2">
        <w:rPr>
          <w:sz w:val="24"/>
          <w:szCs w:val="24"/>
        </w:rPr>
        <w:t xml:space="preserve"> Overall the information conveyed within this chapter </w:t>
      </w:r>
      <w:r w:rsidR="001E353B">
        <w:rPr>
          <w:sz w:val="24"/>
          <w:szCs w:val="24"/>
        </w:rPr>
        <w:t>demonstrates the author’s knowledge of this topic.</w:t>
      </w:r>
    </w:p>
    <w:p w14:paraId="32FBB9A3" w14:textId="10E2A036" w:rsidR="001E353B" w:rsidRDefault="003118A7" w:rsidP="00544ED7">
      <w:pPr>
        <w:rPr>
          <w:sz w:val="24"/>
          <w:szCs w:val="24"/>
        </w:rPr>
      </w:pPr>
      <w:r>
        <w:rPr>
          <w:sz w:val="24"/>
          <w:szCs w:val="24"/>
        </w:rPr>
        <w:t xml:space="preserve">In Chapter </w:t>
      </w:r>
      <w:r w:rsidR="00F023C7">
        <w:rPr>
          <w:sz w:val="24"/>
          <w:szCs w:val="24"/>
        </w:rPr>
        <w:t>2, ‘</w:t>
      </w:r>
      <w:r w:rsidR="002A0476">
        <w:rPr>
          <w:sz w:val="24"/>
          <w:szCs w:val="24"/>
        </w:rPr>
        <w:t>Militants and Constitutionalists</w:t>
      </w:r>
      <w:r w:rsidR="00E33EFF">
        <w:rPr>
          <w:sz w:val="24"/>
          <w:szCs w:val="24"/>
        </w:rPr>
        <w:t xml:space="preserve">’, Holton explores many topics linked with the suffrage movement. For example, she explains </w:t>
      </w:r>
      <w:r w:rsidR="00807D7D">
        <w:rPr>
          <w:sz w:val="24"/>
          <w:szCs w:val="24"/>
        </w:rPr>
        <w:t xml:space="preserve">that women’s suffrage was overshadowed by the government’s other concerns. </w:t>
      </w:r>
      <w:r w:rsidR="004728A2">
        <w:rPr>
          <w:sz w:val="24"/>
          <w:szCs w:val="24"/>
        </w:rPr>
        <w:t>She also explains that at the time of the suffrage movement there were social reform issues</w:t>
      </w:r>
      <w:r w:rsidR="005C163C">
        <w:rPr>
          <w:sz w:val="24"/>
          <w:szCs w:val="24"/>
        </w:rPr>
        <w:t xml:space="preserve"> as well as issues with socialist politics and the introduction of New Radicalism. </w:t>
      </w:r>
      <w:r w:rsidR="004C62F5">
        <w:rPr>
          <w:sz w:val="24"/>
          <w:szCs w:val="24"/>
        </w:rPr>
        <w:t xml:space="preserve">Furthermore, Holton delves into the organisation of the suffrage movement. For example, she states </w:t>
      </w:r>
      <w:r w:rsidR="00C8619C">
        <w:rPr>
          <w:sz w:val="24"/>
          <w:szCs w:val="24"/>
        </w:rPr>
        <w:t>that the WSPU ‘had no formal constitution.</w:t>
      </w:r>
      <w:r w:rsidR="00906AB5">
        <w:rPr>
          <w:rStyle w:val="FootnoteReference"/>
          <w:sz w:val="24"/>
          <w:szCs w:val="24"/>
        </w:rPr>
        <w:footnoteReference w:id="11"/>
      </w:r>
    </w:p>
    <w:p w14:paraId="220905CA" w14:textId="77777777" w:rsidR="00A53F67" w:rsidRDefault="00A647EF" w:rsidP="00544ED7">
      <w:pPr>
        <w:rPr>
          <w:sz w:val="24"/>
          <w:szCs w:val="24"/>
        </w:rPr>
      </w:pPr>
      <w:r>
        <w:rPr>
          <w:sz w:val="24"/>
          <w:szCs w:val="24"/>
        </w:rPr>
        <w:lastRenderedPageBreak/>
        <w:t xml:space="preserve">Chapter 3, </w:t>
      </w:r>
      <w:r w:rsidR="00630ECC">
        <w:rPr>
          <w:sz w:val="24"/>
          <w:szCs w:val="24"/>
        </w:rPr>
        <w:t xml:space="preserve">‘Adult suffrage or Women’s suffrage?’ further explores </w:t>
      </w:r>
      <w:r w:rsidR="00025DF7">
        <w:rPr>
          <w:sz w:val="24"/>
          <w:szCs w:val="24"/>
        </w:rPr>
        <w:t xml:space="preserve">the </w:t>
      </w:r>
      <w:r w:rsidR="00156B2F">
        <w:rPr>
          <w:sz w:val="24"/>
          <w:szCs w:val="24"/>
        </w:rPr>
        <w:t xml:space="preserve">requirements to vote </w:t>
      </w:r>
      <w:r w:rsidR="00211317">
        <w:rPr>
          <w:sz w:val="24"/>
          <w:szCs w:val="24"/>
        </w:rPr>
        <w:t>in the early 1900 (land</w:t>
      </w:r>
      <w:r w:rsidR="00AC0352">
        <w:rPr>
          <w:sz w:val="24"/>
          <w:szCs w:val="24"/>
        </w:rPr>
        <w:t>/property</w:t>
      </w:r>
      <w:r w:rsidR="00211317">
        <w:rPr>
          <w:sz w:val="24"/>
          <w:szCs w:val="24"/>
        </w:rPr>
        <w:t xml:space="preserve"> ownership)</w:t>
      </w:r>
      <w:r w:rsidR="006B1FAB">
        <w:rPr>
          <w:sz w:val="24"/>
          <w:szCs w:val="24"/>
        </w:rPr>
        <w:t xml:space="preserve">, as well as the committees that existed at the time that had links to the suffrage movement, for example </w:t>
      </w:r>
      <w:r w:rsidR="00A46D1E">
        <w:rPr>
          <w:sz w:val="24"/>
          <w:szCs w:val="24"/>
        </w:rPr>
        <w:t xml:space="preserve">the Labour Representative Committee. These further show the </w:t>
      </w:r>
      <w:r w:rsidR="000F5A0B">
        <w:rPr>
          <w:sz w:val="24"/>
          <w:szCs w:val="24"/>
        </w:rPr>
        <w:t>extent of the author’s understanding of the topic.</w:t>
      </w:r>
    </w:p>
    <w:p w14:paraId="0C898E24" w14:textId="04C1FB26" w:rsidR="00CC55D8" w:rsidRDefault="00CC55D8" w:rsidP="00544ED7">
      <w:pPr>
        <w:rPr>
          <w:sz w:val="24"/>
          <w:szCs w:val="24"/>
        </w:rPr>
      </w:pPr>
      <w:r>
        <w:rPr>
          <w:sz w:val="24"/>
          <w:szCs w:val="24"/>
        </w:rPr>
        <w:t>In Chapter 4, ‘</w:t>
      </w:r>
      <w:r w:rsidR="00D92DFA">
        <w:rPr>
          <w:sz w:val="24"/>
          <w:szCs w:val="24"/>
        </w:rPr>
        <w:t xml:space="preserve">A suffrage-labour alliance’, Holton further delves into the political aspects of the suffrage movement, including the political groups that supported the movement and those who didn’t. </w:t>
      </w:r>
      <w:r w:rsidR="00086164">
        <w:rPr>
          <w:sz w:val="24"/>
          <w:szCs w:val="24"/>
        </w:rPr>
        <w:t>F</w:t>
      </w:r>
      <w:r w:rsidR="00804605">
        <w:rPr>
          <w:sz w:val="24"/>
          <w:szCs w:val="24"/>
        </w:rPr>
        <w:t xml:space="preserve">or </w:t>
      </w:r>
      <w:r w:rsidR="003879F8">
        <w:rPr>
          <w:sz w:val="24"/>
          <w:szCs w:val="24"/>
        </w:rPr>
        <w:t>example, she</w:t>
      </w:r>
      <w:r w:rsidR="00DD4FDE">
        <w:rPr>
          <w:sz w:val="24"/>
          <w:szCs w:val="24"/>
        </w:rPr>
        <w:t xml:space="preserve"> explains how </w:t>
      </w:r>
      <w:r w:rsidR="00804605">
        <w:rPr>
          <w:sz w:val="24"/>
          <w:szCs w:val="24"/>
        </w:rPr>
        <w:t>committed liberals in the N</w:t>
      </w:r>
      <w:r w:rsidR="00DD4FDE">
        <w:rPr>
          <w:sz w:val="24"/>
          <w:szCs w:val="24"/>
        </w:rPr>
        <w:t xml:space="preserve">ational Union </w:t>
      </w:r>
      <w:r w:rsidR="00163A44">
        <w:rPr>
          <w:sz w:val="24"/>
          <w:szCs w:val="24"/>
        </w:rPr>
        <w:t xml:space="preserve">continued to challenge the policy in support of the suffrage </w:t>
      </w:r>
      <w:r w:rsidR="00422578">
        <w:rPr>
          <w:sz w:val="24"/>
          <w:szCs w:val="24"/>
        </w:rPr>
        <w:t>and that the ‘Labour party re</w:t>
      </w:r>
      <w:r w:rsidR="003879F8">
        <w:rPr>
          <w:sz w:val="24"/>
          <w:szCs w:val="24"/>
        </w:rPr>
        <w:t>mained pledged also to adult suffrage’.</w:t>
      </w:r>
      <w:r w:rsidR="003879F8">
        <w:rPr>
          <w:rStyle w:val="FootnoteReference"/>
          <w:sz w:val="24"/>
          <w:szCs w:val="24"/>
        </w:rPr>
        <w:footnoteReference w:id="12"/>
      </w:r>
      <w:r w:rsidR="00175609">
        <w:rPr>
          <w:sz w:val="24"/>
          <w:szCs w:val="24"/>
        </w:rPr>
        <w:t xml:space="preserve"> She also explains the importance of the changes to the Reform </w:t>
      </w:r>
      <w:r w:rsidR="00632E18">
        <w:rPr>
          <w:sz w:val="24"/>
          <w:szCs w:val="24"/>
        </w:rPr>
        <w:t xml:space="preserve">Bill, and the affect this had on the suffrage movement. </w:t>
      </w:r>
      <w:r w:rsidR="00883D98">
        <w:rPr>
          <w:sz w:val="24"/>
          <w:szCs w:val="24"/>
        </w:rPr>
        <w:t xml:space="preserve">And further describes </w:t>
      </w:r>
      <w:r w:rsidR="00F427CA">
        <w:rPr>
          <w:sz w:val="24"/>
          <w:szCs w:val="24"/>
        </w:rPr>
        <w:t>the Labour Party’s ‘commitment to the enfranchisement of women’.</w:t>
      </w:r>
      <w:r w:rsidR="00F427CA">
        <w:rPr>
          <w:rStyle w:val="FootnoteReference"/>
          <w:sz w:val="24"/>
          <w:szCs w:val="24"/>
        </w:rPr>
        <w:footnoteReference w:id="13"/>
      </w:r>
    </w:p>
    <w:p w14:paraId="21BBE8F1" w14:textId="24B7AFBB" w:rsidR="00F427CA" w:rsidRDefault="00E61868" w:rsidP="00544ED7">
      <w:pPr>
        <w:rPr>
          <w:sz w:val="24"/>
          <w:szCs w:val="24"/>
        </w:rPr>
      </w:pPr>
      <w:r>
        <w:rPr>
          <w:sz w:val="24"/>
          <w:szCs w:val="24"/>
        </w:rPr>
        <w:t>In Chapter 5, ‘S</w:t>
      </w:r>
      <w:r w:rsidR="005E29AE">
        <w:rPr>
          <w:sz w:val="24"/>
          <w:szCs w:val="24"/>
        </w:rPr>
        <w:t xml:space="preserve">uffrage-labour campaigning 1913-1914’, the author </w:t>
      </w:r>
      <w:r w:rsidR="005F7BF9">
        <w:rPr>
          <w:sz w:val="24"/>
          <w:szCs w:val="24"/>
        </w:rPr>
        <w:t xml:space="preserve">details the suffragists success at the 1913 labour party </w:t>
      </w:r>
      <w:r w:rsidR="00995B36">
        <w:rPr>
          <w:sz w:val="24"/>
          <w:szCs w:val="24"/>
        </w:rPr>
        <w:t xml:space="preserve">conference. As well as </w:t>
      </w:r>
      <w:r w:rsidR="00E12C1F">
        <w:rPr>
          <w:sz w:val="24"/>
          <w:szCs w:val="24"/>
        </w:rPr>
        <w:t xml:space="preserve">the importance of the Election Fighting Fund’s campaigns and policy. </w:t>
      </w:r>
    </w:p>
    <w:p w14:paraId="08B49695" w14:textId="6FDAA145" w:rsidR="00E12C1F" w:rsidRDefault="00E12C1F" w:rsidP="00544ED7">
      <w:pPr>
        <w:rPr>
          <w:sz w:val="24"/>
          <w:szCs w:val="24"/>
        </w:rPr>
      </w:pPr>
      <w:r>
        <w:rPr>
          <w:sz w:val="24"/>
          <w:szCs w:val="24"/>
        </w:rPr>
        <w:t>Chapter 6</w:t>
      </w:r>
      <w:r w:rsidR="00B63EFD">
        <w:rPr>
          <w:sz w:val="24"/>
          <w:szCs w:val="24"/>
        </w:rPr>
        <w:t>,</w:t>
      </w:r>
      <w:r>
        <w:rPr>
          <w:sz w:val="24"/>
          <w:szCs w:val="24"/>
        </w:rPr>
        <w:t xml:space="preserve"> ‘</w:t>
      </w:r>
      <w:r w:rsidR="00B538A8">
        <w:rPr>
          <w:sz w:val="24"/>
          <w:szCs w:val="24"/>
        </w:rPr>
        <w:t>The women’s</w:t>
      </w:r>
      <w:r w:rsidR="005165CD">
        <w:rPr>
          <w:sz w:val="24"/>
          <w:szCs w:val="24"/>
        </w:rPr>
        <w:t xml:space="preserve"> suffrage movement and the impact of the war’</w:t>
      </w:r>
      <w:r w:rsidR="008667BC">
        <w:rPr>
          <w:sz w:val="24"/>
          <w:szCs w:val="24"/>
        </w:rPr>
        <w:t xml:space="preserve"> </w:t>
      </w:r>
      <w:r w:rsidR="002E1383">
        <w:rPr>
          <w:sz w:val="24"/>
          <w:szCs w:val="24"/>
        </w:rPr>
        <w:t>explains a collection of successes for the suffragists as well as the impact that the war had on the moveme</w:t>
      </w:r>
      <w:r w:rsidR="00B63EFD">
        <w:rPr>
          <w:sz w:val="24"/>
          <w:szCs w:val="24"/>
        </w:rPr>
        <w:t>nt. For example, the author st</w:t>
      </w:r>
      <w:r w:rsidR="008667BC">
        <w:rPr>
          <w:sz w:val="24"/>
          <w:szCs w:val="24"/>
        </w:rPr>
        <w:t>ates ‘Extra</w:t>
      </w:r>
      <w:r w:rsidR="00E57D3F">
        <w:rPr>
          <w:sz w:val="24"/>
          <w:szCs w:val="24"/>
        </w:rPr>
        <w:t xml:space="preserve"> </w:t>
      </w:r>
      <w:r w:rsidR="008667BC">
        <w:rPr>
          <w:sz w:val="24"/>
          <w:szCs w:val="24"/>
        </w:rPr>
        <w:t xml:space="preserve">parliamentary </w:t>
      </w:r>
      <w:r w:rsidR="00E57D3F">
        <w:rPr>
          <w:sz w:val="24"/>
          <w:szCs w:val="24"/>
        </w:rPr>
        <w:t xml:space="preserve">activity during the summer of 1913 concentrated on the highly successful </w:t>
      </w:r>
      <w:r w:rsidR="002E6AA2">
        <w:rPr>
          <w:sz w:val="24"/>
          <w:szCs w:val="24"/>
        </w:rPr>
        <w:t>Women’s Suffrage Pilgrimage</w:t>
      </w:r>
      <w:r w:rsidR="00C41ABE">
        <w:rPr>
          <w:sz w:val="24"/>
          <w:szCs w:val="24"/>
        </w:rPr>
        <w:t>’ which was a major demonstration.</w:t>
      </w:r>
      <w:r w:rsidR="00C41ABE">
        <w:rPr>
          <w:rStyle w:val="FootnoteReference"/>
          <w:sz w:val="24"/>
          <w:szCs w:val="24"/>
        </w:rPr>
        <w:footnoteReference w:id="14"/>
      </w:r>
      <w:r w:rsidR="00C41ABE">
        <w:rPr>
          <w:sz w:val="24"/>
          <w:szCs w:val="24"/>
        </w:rPr>
        <w:t xml:space="preserve"> </w:t>
      </w:r>
      <w:r w:rsidR="001D77C3">
        <w:rPr>
          <w:sz w:val="24"/>
          <w:szCs w:val="24"/>
        </w:rPr>
        <w:t>The importance of ‘Party Bills’ is also explained within this chapter</w:t>
      </w:r>
      <w:r w:rsidR="0035665D">
        <w:rPr>
          <w:sz w:val="24"/>
          <w:szCs w:val="24"/>
        </w:rPr>
        <w:t xml:space="preserve">. </w:t>
      </w:r>
      <w:r w:rsidR="000814CA">
        <w:rPr>
          <w:sz w:val="24"/>
          <w:szCs w:val="24"/>
        </w:rPr>
        <w:t xml:space="preserve">Also, the formation of the Liberal Women’s Suffrage Union </w:t>
      </w:r>
      <w:r w:rsidR="009019B2">
        <w:rPr>
          <w:sz w:val="24"/>
          <w:szCs w:val="24"/>
        </w:rPr>
        <w:t xml:space="preserve">is described. </w:t>
      </w:r>
      <w:r w:rsidR="0035665D">
        <w:rPr>
          <w:sz w:val="24"/>
          <w:szCs w:val="24"/>
        </w:rPr>
        <w:t>During the wa</w:t>
      </w:r>
      <w:r w:rsidR="009019B2">
        <w:rPr>
          <w:sz w:val="24"/>
          <w:szCs w:val="24"/>
        </w:rPr>
        <w:t xml:space="preserve">r, women went to work as was required due to the men fighting the war, this helped to further the suffrage movement. </w:t>
      </w:r>
      <w:r w:rsidR="00B8093F">
        <w:rPr>
          <w:sz w:val="24"/>
          <w:szCs w:val="24"/>
        </w:rPr>
        <w:t xml:space="preserve">Women were also involved in the war effort thus furthering the movement. Overall, this chapter demonstrates the author’s knowledge on the suffrage movement and the impact the war had on the movement. </w:t>
      </w:r>
    </w:p>
    <w:p w14:paraId="44FAAD54" w14:textId="4B94E0B3" w:rsidR="00B40A9A" w:rsidRDefault="00213799" w:rsidP="00544ED7">
      <w:pPr>
        <w:rPr>
          <w:sz w:val="24"/>
          <w:szCs w:val="24"/>
        </w:rPr>
      </w:pPr>
      <w:r>
        <w:rPr>
          <w:sz w:val="24"/>
          <w:szCs w:val="24"/>
        </w:rPr>
        <w:t xml:space="preserve">Chapter 7, </w:t>
      </w:r>
      <w:r w:rsidR="002F1BFF">
        <w:rPr>
          <w:sz w:val="24"/>
          <w:szCs w:val="24"/>
        </w:rPr>
        <w:t xml:space="preserve">‘Winning the vote’, the author describes the key events </w:t>
      </w:r>
      <w:r w:rsidR="001C45E7">
        <w:rPr>
          <w:sz w:val="24"/>
          <w:szCs w:val="24"/>
        </w:rPr>
        <w:t>that led</w:t>
      </w:r>
      <w:r w:rsidR="002F1BFF">
        <w:rPr>
          <w:sz w:val="24"/>
          <w:szCs w:val="24"/>
        </w:rPr>
        <w:t xml:space="preserve"> up to the </w:t>
      </w:r>
      <w:r w:rsidR="001C45E7">
        <w:rPr>
          <w:sz w:val="24"/>
          <w:szCs w:val="24"/>
        </w:rPr>
        <w:t>success of the suffragist movement. This chapter suggests that unity was a key reason for success; ‘</w:t>
      </w:r>
      <w:r w:rsidR="005558D9">
        <w:rPr>
          <w:sz w:val="24"/>
          <w:szCs w:val="24"/>
        </w:rPr>
        <w:t xml:space="preserve">Democratic suffragists from both wings </w:t>
      </w:r>
      <w:r w:rsidR="00CB364D">
        <w:rPr>
          <w:sz w:val="24"/>
          <w:szCs w:val="24"/>
        </w:rPr>
        <w:t>of the suffrage</w:t>
      </w:r>
      <w:r w:rsidR="00A224B5">
        <w:rPr>
          <w:sz w:val="24"/>
          <w:szCs w:val="24"/>
        </w:rPr>
        <w:t xml:space="preserve"> movement joined in the formation of the British</w:t>
      </w:r>
      <w:r w:rsidR="00374D98">
        <w:rPr>
          <w:sz w:val="24"/>
          <w:szCs w:val="24"/>
        </w:rPr>
        <w:t xml:space="preserve"> section </w:t>
      </w:r>
      <w:r w:rsidR="00F00072">
        <w:rPr>
          <w:sz w:val="24"/>
          <w:szCs w:val="24"/>
        </w:rPr>
        <w:t>of the WIPLF’.</w:t>
      </w:r>
      <w:r w:rsidR="00F00072">
        <w:rPr>
          <w:rStyle w:val="FootnoteReference"/>
          <w:sz w:val="24"/>
          <w:szCs w:val="24"/>
        </w:rPr>
        <w:footnoteReference w:id="15"/>
      </w:r>
      <w:r w:rsidR="00F00072">
        <w:rPr>
          <w:sz w:val="24"/>
          <w:szCs w:val="24"/>
        </w:rPr>
        <w:t xml:space="preserve"> </w:t>
      </w:r>
      <w:r w:rsidR="00F61F2E">
        <w:rPr>
          <w:sz w:val="24"/>
          <w:szCs w:val="24"/>
        </w:rPr>
        <w:t xml:space="preserve">The importance of the suffragist debate being featured in the Speaker’s conference is also explained. </w:t>
      </w:r>
      <w:r w:rsidR="00AC3502">
        <w:rPr>
          <w:sz w:val="24"/>
          <w:szCs w:val="24"/>
        </w:rPr>
        <w:t>The Representation of the People Act (1918), i</w:t>
      </w:r>
      <w:r w:rsidR="009E24E5">
        <w:rPr>
          <w:sz w:val="24"/>
          <w:szCs w:val="24"/>
        </w:rPr>
        <w:t xml:space="preserve">s described in this chapter, this is because this Act was extremely important as it </w:t>
      </w:r>
      <w:r w:rsidR="00E07C38">
        <w:rPr>
          <w:sz w:val="24"/>
          <w:szCs w:val="24"/>
        </w:rPr>
        <w:t>meant that</w:t>
      </w:r>
      <w:r w:rsidR="009E24E5">
        <w:rPr>
          <w:sz w:val="24"/>
          <w:szCs w:val="24"/>
        </w:rPr>
        <w:t xml:space="preserve"> ‘all women on the local government register</w:t>
      </w:r>
      <w:r w:rsidR="000340A5">
        <w:rPr>
          <w:sz w:val="24"/>
          <w:szCs w:val="24"/>
        </w:rPr>
        <w:t>, or who were wives of men on the local government register</w:t>
      </w:r>
      <w:r w:rsidR="00E07C38">
        <w:rPr>
          <w:sz w:val="24"/>
          <w:szCs w:val="24"/>
        </w:rPr>
        <w:t xml:space="preserve"> and were over the </w:t>
      </w:r>
      <w:r w:rsidR="00E07C38">
        <w:rPr>
          <w:sz w:val="24"/>
          <w:szCs w:val="24"/>
        </w:rPr>
        <w:lastRenderedPageBreak/>
        <w:t>age of 30 were enfranchised.</w:t>
      </w:r>
      <w:r w:rsidR="00E07C38">
        <w:rPr>
          <w:rStyle w:val="FootnoteReference"/>
          <w:sz w:val="24"/>
          <w:szCs w:val="24"/>
        </w:rPr>
        <w:footnoteReference w:id="16"/>
      </w:r>
      <w:r w:rsidR="003757B1">
        <w:rPr>
          <w:sz w:val="24"/>
          <w:szCs w:val="24"/>
        </w:rPr>
        <w:t xml:space="preserve"> </w:t>
      </w:r>
      <w:r w:rsidR="00B05E46">
        <w:rPr>
          <w:sz w:val="24"/>
          <w:szCs w:val="24"/>
        </w:rPr>
        <w:t>In 1928</w:t>
      </w:r>
      <w:r w:rsidR="003757B1">
        <w:rPr>
          <w:sz w:val="24"/>
          <w:szCs w:val="24"/>
        </w:rPr>
        <w:t xml:space="preserve"> ‘Women were at last given</w:t>
      </w:r>
      <w:r w:rsidR="00B05E46">
        <w:rPr>
          <w:sz w:val="24"/>
          <w:szCs w:val="24"/>
        </w:rPr>
        <w:t xml:space="preserve"> equal political rights with men’.</w:t>
      </w:r>
      <w:r w:rsidR="00B05E46">
        <w:rPr>
          <w:rStyle w:val="FootnoteReference"/>
          <w:sz w:val="24"/>
          <w:szCs w:val="24"/>
        </w:rPr>
        <w:footnoteReference w:id="17"/>
      </w:r>
      <w:r w:rsidR="00B05E46">
        <w:rPr>
          <w:sz w:val="24"/>
          <w:szCs w:val="24"/>
        </w:rPr>
        <w:t xml:space="preserve"> This chapter is a useful explanation of </w:t>
      </w:r>
      <w:r w:rsidR="00AE6772">
        <w:rPr>
          <w:sz w:val="24"/>
          <w:szCs w:val="24"/>
        </w:rPr>
        <w:t xml:space="preserve">the voting rights being equal and how this happened, therefore this </w:t>
      </w:r>
      <w:r w:rsidR="00266F61">
        <w:rPr>
          <w:sz w:val="24"/>
          <w:szCs w:val="24"/>
        </w:rPr>
        <w:t>presents the authors knowledge and their ability to describe key historical events and the explanations behind them.</w:t>
      </w:r>
    </w:p>
    <w:p w14:paraId="3E54E775" w14:textId="4A0FBC5B" w:rsidR="00266F61" w:rsidRDefault="00E0670E" w:rsidP="00544ED7">
      <w:pPr>
        <w:rPr>
          <w:sz w:val="24"/>
          <w:szCs w:val="24"/>
        </w:rPr>
      </w:pPr>
      <w:r>
        <w:rPr>
          <w:sz w:val="24"/>
          <w:szCs w:val="24"/>
        </w:rPr>
        <w:t>Overall, each chapter of this book provides an interesting</w:t>
      </w:r>
      <w:r w:rsidR="00E7495D">
        <w:rPr>
          <w:sz w:val="24"/>
          <w:szCs w:val="24"/>
        </w:rPr>
        <w:t xml:space="preserve"> and useful</w:t>
      </w:r>
      <w:r>
        <w:rPr>
          <w:sz w:val="24"/>
          <w:szCs w:val="24"/>
        </w:rPr>
        <w:t xml:space="preserve"> insight into </w:t>
      </w:r>
      <w:r w:rsidR="00E7495D">
        <w:rPr>
          <w:sz w:val="24"/>
          <w:szCs w:val="24"/>
        </w:rPr>
        <w:t xml:space="preserve">women’s suffrage and reform politics in Britain </w:t>
      </w:r>
      <w:r w:rsidR="0045094F">
        <w:rPr>
          <w:sz w:val="24"/>
          <w:szCs w:val="24"/>
        </w:rPr>
        <w:t>1900-1918.</w:t>
      </w:r>
    </w:p>
    <w:p w14:paraId="5E6E09EA" w14:textId="33DC4B07" w:rsidR="005364BA" w:rsidRDefault="00F31619" w:rsidP="00544ED7">
      <w:pPr>
        <w:rPr>
          <w:sz w:val="24"/>
          <w:szCs w:val="24"/>
        </w:rPr>
      </w:pPr>
      <w:r>
        <w:rPr>
          <w:sz w:val="24"/>
          <w:szCs w:val="24"/>
        </w:rPr>
        <w:t>T</w:t>
      </w:r>
      <w:r w:rsidR="00544ED7">
        <w:rPr>
          <w:sz w:val="24"/>
          <w:szCs w:val="24"/>
        </w:rPr>
        <w:t>his book was written by Sandra Stanley Holton, who is a well-known aca</w:t>
      </w:r>
      <w:r w:rsidR="00AE1CB8">
        <w:rPr>
          <w:sz w:val="24"/>
          <w:szCs w:val="24"/>
        </w:rPr>
        <w:t xml:space="preserve">demic and empirical historian. </w:t>
      </w:r>
      <w:r w:rsidR="00473545">
        <w:rPr>
          <w:sz w:val="24"/>
          <w:szCs w:val="24"/>
        </w:rPr>
        <w:t xml:space="preserve">She has 63 publications, most of which focus on </w:t>
      </w:r>
      <w:r w:rsidR="00C2539A">
        <w:rPr>
          <w:sz w:val="24"/>
          <w:szCs w:val="24"/>
        </w:rPr>
        <w:t>gender history and British history. This therefore suggests that she is a reliable source.</w:t>
      </w:r>
      <w:r w:rsidR="0082502B">
        <w:rPr>
          <w:sz w:val="24"/>
          <w:szCs w:val="24"/>
        </w:rPr>
        <w:t xml:space="preserve"> It could also be suggested that this book is a reliable source as t</w:t>
      </w:r>
      <w:r w:rsidR="00C2539A">
        <w:rPr>
          <w:sz w:val="24"/>
          <w:szCs w:val="24"/>
        </w:rPr>
        <w:t xml:space="preserve">he publisher of this book is </w:t>
      </w:r>
      <w:r w:rsidR="00924CE9">
        <w:rPr>
          <w:sz w:val="24"/>
          <w:szCs w:val="24"/>
        </w:rPr>
        <w:t xml:space="preserve">Cambridge University Press, a well-known and well-established </w:t>
      </w:r>
      <w:r w:rsidR="00BF42AD">
        <w:rPr>
          <w:sz w:val="24"/>
          <w:szCs w:val="24"/>
        </w:rPr>
        <w:t xml:space="preserve">publishing press which was founded in </w:t>
      </w:r>
      <w:r w:rsidR="005364BA">
        <w:rPr>
          <w:sz w:val="24"/>
          <w:szCs w:val="24"/>
        </w:rPr>
        <w:t>1534</w:t>
      </w:r>
      <w:r w:rsidR="00971643">
        <w:rPr>
          <w:rStyle w:val="FootnoteReference"/>
          <w:sz w:val="24"/>
          <w:szCs w:val="24"/>
        </w:rPr>
        <w:footnoteReference w:id="18"/>
      </w:r>
      <w:r w:rsidR="005364BA">
        <w:rPr>
          <w:sz w:val="24"/>
          <w:szCs w:val="24"/>
        </w:rPr>
        <w:t>. This Press is respected and reliable.</w:t>
      </w:r>
      <w:r w:rsidR="0082502B">
        <w:rPr>
          <w:sz w:val="24"/>
          <w:szCs w:val="24"/>
        </w:rPr>
        <w:t xml:space="preserve"> </w:t>
      </w:r>
      <w:r w:rsidR="005364BA">
        <w:rPr>
          <w:sz w:val="24"/>
          <w:szCs w:val="24"/>
        </w:rPr>
        <w:t>Th</w:t>
      </w:r>
      <w:r w:rsidR="0082502B">
        <w:rPr>
          <w:sz w:val="24"/>
          <w:szCs w:val="24"/>
        </w:rPr>
        <w:t>e</w:t>
      </w:r>
      <w:r w:rsidR="005364BA">
        <w:rPr>
          <w:sz w:val="24"/>
          <w:szCs w:val="24"/>
        </w:rPr>
        <w:t xml:space="preserve"> book was written in 1986. This was after the events the book describes therefore it is a secondary source</w:t>
      </w:r>
      <w:r w:rsidR="004F4790">
        <w:rPr>
          <w:sz w:val="24"/>
          <w:szCs w:val="24"/>
        </w:rPr>
        <w:t>. This may be reliable however it could be suggested that secondary sources are not as reliable as they are not first hand</w:t>
      </w:r>
      <w:r w:rsidR="002B31FB">
        <w:rPr>
          <w:sz w:val="24"/>
          <w:szCs w:val="24"/>
        </w:rPr>
        <w:t>, however this book appears to be well-</w:t>
      </w:r>
      <w:r w:rsidR="000C6A55">
        <w:rPr>
          <w:sz w:val="24"/>
          <w:szCs w:val="24"/>
        </w:rPr>
        <w:t>researched,</w:t>
      </w:r>
      <w:r w:rsidR="002B31FB">
        <w:rPr>
          <w:sz w:val="24"/>
          <w:szCs w:val="24"/>
        </w:rPr>
        <w:t xml:space="preserve"> and an accurate representation of the events described within the book</w:t>
      </w:r>
      <w:r w:rsidR="004F4790">
        <w:rPr>
          <w:sz w:val="24"/>
          <w:szCs w:val="24"/>
        </w:rPr>
        <w:t>.</w:t>
      </w:r>
      <w:r w:rsidR="00A24CBD">
        <w:rPr>
          <w:sz w:val="24"/>
          <w:szCs w:val="24"/>
        </w:rPr>
        <w:t xml:space="preserve"> This book also does not appear to show a bias therefore it could be considered reliable.</w:t>
      </w:r>
      <w:r w:rsidR="0082502B">
        <w:rPr>
          <w:sz w:val="24"/>
          <w:szCs w:val="24"/>
        </w:rPr>
        <w:t xml:space="preserve"> Overall, the book appears to be reliable and a useful source for studying women’s suffrage and reform politics in Britain 1900-1918.</w:t>
      </w:r>
      <w:r w:rsidR="00DA23F5">
        <w:rPr>
          <w:sz w:val="24"/>
          <w:szCs w:val="24"/>
        </w:rPr>
        <w:t xml:space="preserve"> </w:t>
      </w:r>
    </w:p>
    <w:p w14:paraId="360BBCE5" w14:textId="63574A65" w:rsidR="008F665B" w:rsidRDefault="008F665B" w:rsidP="00544ED7">
      <w:pPr>
        <w:rPr>
          <w:sz w:val="24"/>
          <w:szCs w:val="24"/>
        </w:rPr>
      </w:pPr>
      <w:r>
        <w:rPr>
          <w:sz w:val="24"/>
          <w:szCs w:val="24"/>
        </w:rPr>
        <w:t xml:space="preserve">This book is an important addition to the historiography of </w:t>
      </w:r>
      <w:r w:rsidR="004D2188">
        <w:rPr>
          <w:sz w:val="24"/>
          <w:szCs w:val="24"/>
        </w:rPr>
        <w:t xml:space="preserve">the time due to </w:t>
      </w:r>
      <w:r w:rsidR="00A24CBD">
        <w:rPr>
          <w:sz w:val="24"/>
          <w:szCs w:val="24"/>
        </w:rPr>
        <w:t xml:space="preserve">the </w:t>
      </w:r>
      <w:r w:rsidR="004D2188">
        <w:rPr>
          <w:sz w:val="24"/>
          <w:szCs w:val="24"/>
        </w:rPr>
        <w:t>broad information</w:t>
      </w:r>
      <w:r w:rsidR="00A24CBD">
        <w:rPr>
          <w:sz w:val="24"/>
          <w:szCs w:val="24"/>
        </w:rPr>
        <w:t xml:space="preserve"> displayed</w:t>
      </w:r>
      <w:r w:rsidR="004D2188">
        <w:rPr>
          <w:sz w:val="24"/>
          <w:szCs w:val="24"/>
        </w:rPr>
        <w:t xml:space="preserve"> and the author’s unique perspective.</w:t>
      </w:r>
      <w:r w:rsidR="00D91FC8">
        <w:rPr>
          <w:sz w:val="24"/>
          <w:szCs w:val="24"/>
        </w:rPr>
        <w:t xml:space="preserve"> Compared to other books on this topic, I found this book to </w:t>
      </w:r>
      <w:r w:rsidR="00960834">
        <w:rPr>
          <w:sz w:val="24"/>
          <w:szCs w:val="24"/>
        </w:rPr>
        <w:t>have far greater detail and conciseness.</w:t>
      </w:r>
    </w:p>
    <w:p w14:paraId="46D2AB8E" w14:textId="4C8A3BE6" w:rsidR="00960834" w:rsidRPr="00544ED7" w:rsidRDefault="00237C07" w:rsidP="00544ED7">
      <w:pPr>
        <w:rPr>
          <w:sz w:val="24"/>
          <w:szCs w:val="24"/>
        </w:rPr>
      </w:pPr>
      <w:r>
        <w:rPr>
          <w:sz w:val="24"/>
          <w:szCs w:val="24"/>
        </w:rPr>
        <w:t>Overall, I found ‘</w:t>
      </w:r>
      <w:r w:rsidRPr="00237C07">
        <w:rPr>
          <w:sz w:val="24"/>
          <w:szCs w:val="24"/>
        </w:rPr>
        <w:t>Feminism and democracy: women’s suffrage and reform politics in Britian 1900 – 1918’</w:t>
      </w:r>
      <w:r>
        <w:rPr>
          <w:sz w:val="24"/>
          <w:szCs w:val="24"/>
        </w:rPr>
        <w:t xml:space="preserve"> by Sandra Stanley Holton to be </w:t>
      </w:r>
      <w:r w:rsidR="00792C75">
        <w:rPr>
          <w:sz w:val="24"/>
          <w:szCs w:val="24"/>
        </w:rPr>
        <w:t xml:space="preserve">a well </w:t>
      </w:r>
      <w:r w:rsidR="001A6AF7">
        <w:rPr>
          <w:sz w:val="24"/>
          <w:szCs w:val="24"/>
        </w:rPr>
        <w:t>written and</w:t>
      </w:r>
      <w:r w:rsidR="00712C43">
        <w:rPr>
          <w:sz w:val="24"/>
          <w:szCs w:val="24"/>
        </w:rPr>
        <w:t xml:space="preserve"> well</w:t>
      </w:r>
      <w:r w:rsidR="001A6AF7">
        <w:rPr>
          <w:sz w:val="24"/>
          <w:szCs w:val="24"/>
        </w:rPr>
        <w:t xml:space="preserve"> researched discussion on the topic</w:t>
      </w:r>
      <w:r w:rsidR="00712C43">
        <w:rPr>
          <w:sz w:val="24"/>
          <w:szCs w:val="24"/>
        </w:rPr>
        <w:t xml:space="preserve">. This book accurately conveys the importance of this topic </w:t>
      </w:r>
      <w:r w:rsidR="00310E10">
        <w:rPr>
          <w:sz w:val="24"/>
          <w:szCs w:val="24"/>
        </w:rPr>
        <w:t xml:space="preserve">as well as showing the opinions held by those at the time. I believe this book to be </w:t>
      </w:r>
      <w:r w:rsidR="00AE32E3">
        <w:rPr>
          <w:sz w:val="24"/>
          <w:szCs w:val="24"/>
        </w:rPr>
        <w:t xml:space="preserve">reliable due to the fact that it does not appear to possess a bias and it </w:t>
      </w:r>
      <w:r w:rsidR="00F5707F">
        <w:rPr>
          <w:sz w:val="24"/>
          <w:szCs w:val="24"/>
        </w:rPr>
        <w:t>details the events accurately and simil</w:t>
      </w:r>
      <w:r w:rsidR="00F241D0">
        <w:rPr>
          <w:sz w:val="24"/>
          <w:szCs w:val="24"/>
        </w:rPr>
        <w:t>arly to how other sources detail them.</w:t>
      </w:r>
    </w:p>
    <w:sectPr w:rsidR="00960834" w:rsidRPr="00544E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A30FE0" w14:textId="77777777" w:rsidR="00D23FA7" w:rsidRDefault="00D23FA7" w:rsidP="00441520">
      <w:pPr>
        <w:spacing w:after="0" w:line="240" w:lineRule="auto"/>
      </w:pPr>
      <w:r>
        <w:separator/>
      </w:r>
    </w:p>
  </w:endnote>
  <w:endnote w:type="continuationSeparator" w:id="0">
    <w:p w14:paraId="7AD048E7" w14:textId="77777777" w:rsidR="00D23FA7" w:rsidRDefault="00D23FA7" w:rsidP="004415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462752" w14:textId="77777777" w:rsidR="00D23FA7" w:rsidRDefault="00D23FA7" w:rsidP="00441520">
      <w:pPr>
        <w:spacing w:after="0" w:line="240" w:lineRule="auto"/>
      </w:pPr>
      <w:r>
        <w:separator/>
      </w:r>
    </w:p>
  </w:footnote>
  <w:footnote w:type="continuationSeparator" w:id="0">
    <w:p w14:paraId="1A33C365" w14:textId="77777777" w:rsidR="00D23FA7" w:rsidRDefault="00D23FA7" w:rsidP="00441520">
      <w:pPr>
        <w:spacing w:after="0" w:line="240" w:lineRule="auto"/>
      </w:pPr>
      <w:r>
        <w:continuationSeparator/>
      </w:r>
    </w:p>
  </w:footnote>
  <w:footnote w:id="1">
    <w:p w14:paraId="32E76F15" w14:textId="0180E775" w:rsidR="00441520" w:rsidRDefault="00441520">
      <w:pPr>
        <w:pStyle w:val="FootnoteText"/>
      </w:pPr>
      <w:r>
        <w:rPr>
          <w:rStyle w:val="FootnoteReference"/>
        </w:rPr>
        <w:footnoteRef/>
      </w:r>
      <w:r>
        <w:t xml:space="preserve"> </w:t>
      </w:r>
      <w:r w:rsidR="00A90CA4" w:rsidRPr="00A90CA4">
        <w:t>Holton, S.S. (</w:t>
      </w:r>
      <w:r w:rsidR="00FB0C9C">
        <w:t>1968</w:t>
      </w:r>
      <w:r w:rsidR="00A90CA4" w:rsidRPr="00A90CA4">
        <w:t>) Feminism and democracy: Women’s Suffrage and Reform Politics in Britain, 1900-1918. Cambridge University Press.</w:t>
      </w:r>
      <w:r w:rsidR="00A90CA4">
        <w:t xml:space="preserve"> Page 1</w:t>
      </w:r>
      <w:r w:rsidR="0075073B">
        <w:t>.</w:t>
      </w:r>
    </w:p>
  </w:footnote>
  <w:footnote w:id="2">
    <w:p w14:paraId="3D06431F" w14:textId="03D497C3" w:rsidR="0075073B" w:rsidRDefault="0075073B">
      <w:pPr>
        <w:pStyle w:val="FootnoteText"/>
      </w:pPr>
      <w:r>
        <w:rPr>
          <w:rStyle w:val="FootnoteReference"/>
        </w:rPr>
        <w:footnoteRef/>
      </w:r>
      <w:r>
        <w:t xml:space="preserve"> </w:t>
      </w:r>
      <w:r w:rsidRPr="0075073B">
        <w:t>Holton, S.S. (</w:t>
      </w:r>
      <w:r w:rsidR="00FB0C9C">
        <w:t>1968</w:t>
      </w:r>
      <w:r w:rsidRPr="0075073B">
        <w:t>) Feminism and democracy: Women’s Suffrage and Reform Politics in Britain, 1900-1918. Cambridge University Press. Page 1</w:t>
      </w:r>
      <w:r>
        <w:t>.</w:t>
      </w:r>
    </w:p>
  </w:footnote>
  <w:footnote w:id="3">
    <w:p w14:paraId="363B8C5F" w14:textId="6047A213" w:rsidR="00CF50FA" w:rsidRDefault="00CF50FA">
      <w:pPr>
        <w:pStyle w:val="FootnoteText"/>
      </w:pPr>
      <w:r>
        <w:rPr>
          <w:rStyle w:val="FootnoteReference"/>
        </w:rPr>
        <w:footnoteRef/>
      </w:r>
      <w:r>
        <w:t xml:space="preserve"> </w:t>
      </w:r>
      <w:r w:rsidRPr="00CF50FA">
        <w:t>Holton, S.S. (</w:t>
      </w:r>
      <w:r w:rsidR="00FB0C9C">
        <w:t>1968</w:t>
      </w:r>
      <w:r w:rsidRPr="00CF50FA">
        <w:t xml:space="preserve">) Feminism and democracy: Women’s Suffrage and Reform Politics in Britain, 1900-1918. Cambridge University Press. Page </w:t>
      </w:r>
      <w:r w:rsidR="004F2664">
        <w:t>4.</w:t>
      </w:r>
    </w:p>
  </w:footnote>
  <w:footnote w:id="4">
    <w:p w14:paraId="1EB83468" w14:textId="26129C6B" w:rsidR="00F24FA2" w:rsidRDefault="00F24FA2">
      <w:pPr>
        <w:pStyle w:val="FootnoteText"/>
      </w:pPr>
      <w:r>
        <w:rPr>
          <w:rStyle w:val="FootnoteReference"/>
        </w:rPr>
        <w:footnoteRef/>
      </w:r>
      <w:r>
        <w:t xml:space="preserve"> </w:t>
      </w:r>
      <w:r w:rsidRPr="00F24FA2">
        <w:t>Holton, S.S. (</w:t>
      </w:r>
      <w:r w:rsidR="00FB0C9C">
        <w:t>1968</w:t>
      </w:r>
      <w:r w:rsidRPr="00F24FA2">
        <w:t xml:space="preserve">) Feminism and democracy: Women’s Suffrage and Reform Politics in Britain, 1900-1918. Cambridge University Press. Page </w:t>
      </w:r>
      <w:r w:rsidR="002E1F55">
        <w:t>6.</w:t>
      </w:r>
    </w:p>
  </w:footnote>
  <w:footnote w:id="5">
    <w:p w14:paraId="723A1E46" w14:textId="0FE00F71" w:rsidR="00926505" w:rsidRDefault="00926505">
      <w:pPr>
        <w:pStyle w:val="FootnoteText"/>
      </w:pPr>
      <w:r>
        <w:rPr>
          <w:rStyle w:val="FootnoteReference"/>
        </w:rPr>
        <w:footnoteRef/>
      </w:r>
      <w:r>
        <w:t xml:space="preserve"> </w:t>
      </w:r>
      <w:r w:rsidRPr="00926505">
        <w:t>Holton, S.S. (</w:t>
      </w:r>
      <w:r w:rsidR="00FB0C9C">
        <w:t>1986</w:t>
      </w:r>
      <w:r w:rsidRPr="00926505">
        <w:t xml:space="preserve">) Feminism and democracy: Women’s Suffrage and Reform Politics in Britain, 1900-1918. Cambridge University Press. Page </w:t>
      </w:r>
      <w:r w:rsidR="00170527">
        <w:t>7.</w:t>
      </w:r>
    </w:p>
  </w:footnote>
  <w:footnote w:id="6">
    <w:p w14:paraId="1284956B" w14:textId="13F87D46" w:rsidR="00AE3C0A" w:rsidRDefault="00AE3C0A">
      <w:pPr>
        <w:pStyle w:val="FootnoteText"/>
      </w:pPr>
      <w:r>
        <w:rPr>
          <w:rStyle w:val="FootnoteReference"/>
        </w:rPr>
        <w:footnoteRef/>
      </w:r>
      <w:r>
        <w:t xml:space="preserve"> </w:t>
      </w:r>
      <w:r w:rsidRPr="00AE3C0A">
        <w:t>Holton, S.S. (</w:t>
      </w:r>
      <w:r w:rsidR="00FB0C9C">
        <w:t>1986</w:t>
      </w:r>
      <w:r w:rsidRPr="00AE3C0A">
        <w:t xml:space="preserve">) Feminism and democracy: Women’s Suffrage and Reform Politics in Britain, 1900-1918. Cambridge University Press. Page </w:t>
      </w:r>
      <w:r>
        <w:t xml:space="preserve">8. </w:t>
      </w:r>
    </w:p>
  </w:footnote>
  <w:footnote w:id="7">
    <w:p w14:paraId="69E2BE34" w14:textId="541AAF4F" w:rsidR="00BF494F" w:rsidRDefault="00BF494F">
      <w:pPr>
        <w:pStyle w:val="FootnoteText"/>
      </w:pPr>
      <w:r>
        <w:rPr>
          <w:rStyle w:val="FootnoteReference"/>
        </w:rPr>
        <w:footnoteRef/>
      </w:r>
      <w:r>
        <w:t xml:space="preserve"> </w:t>
      </w:r>
      <w:r w:rsidRPr="00BF494F">
        <w:t>Holton, S.S. (</w:t>
      </w:r>
      <w:r w:rsidR="00FB0C9C">
        <w:t>1986</w:t>
      </w:r>
      <w:r w:rsidRPr="00BF494F">
        <w:t xml:space="preserve">) Feminism and democracy: Women’s Suffrage and Reform Politics in Britain, 1900-1918. Cambridge University Press. Page </w:t>
      </w:r>
      <w:r>
        <w:t>9.</w:t>
      </w:r>
    </w:p>
  </w:footnote>
  <w:footnote w:id="8">
    <w:p w14:paraId="35D9FA7C" w14:textId="040A27AE" w:rsidR="008B58F1" w:rsidRDefault="008B58F1">
      <w:pPr>
        <w:pStyle w:val="FootnoteText"/>
      </w:pPr>
      <w:r>
        <w:rPr>
          <w:rStyle w:val="FootnoteReference"/>
        </w:rPr>
        <w:footnoteRef/>
      </w:r>
      <w:r>
        <w:t xml:space="preserve"> </w:t>
      </w:r>
      <w:r w:rsidRPr="008B58F1">
        <w:t>Wollstonecraft, M. (1</w:t>
      </w:r>
      <w:r w:rsidR="005E3497">
        <w:t>795</w:t>
      </w:r>
      <w:r w:rsidRPr="008B58F1">
        <w:t>) A vindication of the rights of woman: With Strictures on Political and Moral Subjects.</w:t>
      </w:r>
    </w:p>
  </w:footnote>
  <w:footnote w:id="9">
    <w:p w14:paraId="7159C8D5" w14:textId="1E4D5E69" w:rsidR="008B7108" w:rsidRDefault="008B7108">
      <w:pPr>
        <w:pStyle w:val="FootnoteText"/>
      </w:pPr>
      <w:r>
        <w:rPr>
          <w:rStyle w:val="FootnoteReference"/>
        </w:rPr>
        <w:footnoteRef/>
      </w:r>
      <w:r>
        <w:t xml:space="preserve"> </w:t>
      </w:r>
      <w:r w:rsidRPr="008B7108">
        <w:t xml:space="preserve">Sottosanti, K. (2023) A Vindication of the Rights of Woman | Summary, Importance, &amp; facts. </w:t>
      </w:r>
      <w:hyperlink r:id="rId1" w:history="1">
        <w:r w:rsidRPr="00A104B6">
          <w:rPr>
            <w:rStyle w:val="Hyperlink"/>
          </w:rPr>
          <w:t>https://www.britannica.com/topic/A-Vindication-of-the-Rights-of-Woman</w:t>
        </w:r>
      </w:hyperlink>
      <w:r w:rsidRPr="008B7108">
        <w:t>.</w:t>
      </w:r>
    </w:p>
  </w:footnote>
  <w:footnote w:id="10">
    <w:p w14:paraId="22DD9FBF" w14:textId="446FF56B" w:rsidR="00773D2B" w:rsidRDefault="00773D2B">
      <w:pPr>
        <w:pStyle w:val="FootnoteText"/>
      </w:pPr>
      <w:r>
        <w:rPr>
          <w:rStyle w:val="FootnoteReference"/>
        </w:rPr>
        <w:footnoteRef/>
      </w:r>
      <w:r>
        <w:t xml:space="preserve"> </w:t>
      </w:r>
      <w:r w:rsidRPr="00773D2B">
        <w:t>Holton, S.S. (</w:t>
      </w:r>
      <w:r w:rsidR="00FB0C9C">
        <w:t>1986</w:t>
      </w:r>
      <w:r w:rsidRPr="00773D2B">
        <w:t xml:space="preserve">) Feminism and democracy: Women’s Suffrage and Reform Politics in Britain, 1900-1918. Cambridge University Press. Page </w:t>
      </w:r>
      <w:r w:rsidR="00FB0C9C">
        <w:t>28.</w:t>
      </w:r>
    </w:p>
  </w:footnote>
  <w:footnote w:id="11">
    <w:p w14:paraId="61290278" w14:textId="1D414F5B" w:rsidR="00906AB5" w:rsidRDefault="00906AB5">
      <w:pPr>
        <w:pStyle w:val="FootnoteText"/>
      </w:pPr>
      <w:r>
        <w:rPr>
          <w:rStyle w:val="FootnoteReference"/>
        </w:rPr>
        <w:footnoteRef/>
      </w:r>
      <w:r>
        <w:t xml:space="preserve"> </w:t>
      </w:r>
      <w:r w:rsidR="00431B6D" w:rsidRPr="00431B6D">
        <w:t xml:space="preserve">Holton, S.S. (1986) Feminism and democracy: Women’s Suffrage and Reform Politics in Britain, 1900-1918. Cambridge University Press. Page </w:t>
      </w:r>
      <w:r w:rsidR="00431B6D">
        <w:t>41.</w:t>
      </w:r>
    </w:p>
  </w:footnote>
  <w:footnote w:id="12">
    <w:p w14:paraId="46C01532" w14:textId="17713ED8" w:rsidR="003879F8" w:rsidRDefault="003879F8">
      <w:pPr>
        <w:pStyle w:val="FootnoteText"/>
      </w:pPr>
      <w:r>
        <w:rPr>
          <w:rStyle w:val="FootnoteReference"/>
        </w:rPr>
        <w:footnoteRef/>
      </w:r>
      <w:r>
        <w:t xml:space="preserve"> </w:t>
      </w:r>
      <w:r w:rsidRPr="003879F8">
        <w:t xml:space="preserve">  Holton, S.S. (1986) Feminism and democracy: Women’s Suffrage and Reform Politics in Britain, 1900-1918. Cambridge University Press. Page 7</w:t>
      </w:r>
      <w:r w:rsidR="00175609">
        <w:t>7.</w:t>
      </w:r>
    </w:p>
  </w:footnote>
  <w:footnote w:id="13">
    <w:p w14:paraId="20CC916F" w14:textId="0CBC4152" w:rsidR="00F427CA" w:rsidRDefault="00F427CA">
      <w:pPr>
        <w:pStyle w:val="FootnoteText"/>
      </w:pPr>
      <w:r>
        <w:rPr>
          <w:rStyle w:val="FootnoteReference"/>
        </w:rPr>
        <w:footnoteRef/>
      </w:r>
      <w:r>
        <w:t xml:space="preserve"> </w:t>
      </w:r>
      <w:r w:rsidRPr="00F427CA">
        <w:t xml:space="preserve">  Holton, S.S. (1986) Feminism and democracy: Women’s Suffrage and Reform Politics in Britain, 1900-1918. Cambridge University Press. Page </w:t>
      </w:r>
      <w:r>
        <w:t>96.</w:t>
      </w:r>
    </w:p>
  </w:footnote>
  <w:footnote w:id="14">
    <w:p w14:paraId="7A75B9C8" w14:textId="5323D92F" w:rsidR="00C41ABE" w:rsidRDefault="00C41ABE">
      <w:pPr>
        <w:pStyle w:val="FootnoteText"/>
      </w:pPr>
      <w:r>
        <w:rPr>
          <w:rStyle w:val="FootnoteReference"/>
        </w:rPr>
        <w:footnoteRef/>
      </w:r>
      <w:r>
        <w:t xml:space="preserve"> </w:t>
      </w:r>
      <w:r w:rsidRPr="00C41ABE">
        <w:t xml:space="preserve">  Holton, S.S. (1986) Feminism and democracy: Women’s Suffrage and Reform Politics in Britain, 1900-1918. Cambridge University Press. Page </w:t>
      </w:r>
      <w:r>
        <w:t>117.</w:t>
      </w:r>
    </w:p>
  </w:footnote>
  <w:footnote w:id="15">
    <w:p w14:paraId="38D7D0C0" w14:textId="6BA35EC2" w:rsidR="00F00072" w:rsidRDefault="00F00072">
      <w:pPr>
        <w:pStyle w:val="FootnoteText"/>
      </w:pPr>
      <w:r>
        <w:rPr>
          <w:rStyle w:val="FootnoteReference"/>
        </w:rPr>
        <w:footnoteRef/>
      </w:r>
      <w:r>
        <w:t xml:space="preserve"> </w:t>
      </w:r>
      <w:r w:rsidRPr="00F00072">
        <w:t xml:space="preserve">  Holton, S.S. (1986) Feminism and democracy: Women’s Suffrage and Reform Politics in Britain, 1900-1918. Cambridge University Press. Page </w:t>
      </w:r>
      <w:r>
        <w:t>138.</w:t>
      </w:r>
    </w:p>
  </w:footnote>
  <w:footnote w:id="16">
    <w:p w14:paraId="1276180C" w14:textId="44CC6C1A" w:rsidR="00E07C38" w:rsidRDefault="00E07C38">
      <w:pPr>
        <w:pStyle w:val="FootnoteText"/>
      </w:pPr>
      <w:r>
        <w:rPr>
          <w:rStyle w:val="FootnoteReference"/>
        </w:rPr>
        <w:footnoteRef/>
      </w:r>
      <w:r>
        <w:t xml:space="preserve"> </w:t>
      </w:r>
      <w:r w:rsidRPr="00E07C38">
        <w:t xml:space="preserve">  Holton, S.S. (1986) Feminism and democracy: Women’s Suffrage and Reform Politics in Britain, 1900-1918. Cambridge University Press. Page </w:t>
      </w:r>
      <w:r w:rsidR="003757B1">
        <w:t>150.</w:t>
      </w:r>
    </w:p>
  </w:footnote>
  <w:footnote w:id="17">
    <w:p w14:paraId="0FF0AD29" w14:textId="67B3C71B" w:rsidR="00B05E46" w:rsidRDefault="00B05E46">
      <w:pPr>
        <w:pStyle w:val="FootnoteText"/>
      </w:pPr>
      <w:r>
        <w:rPr>
          <w:rStyle w:val="FootnoteReference"/>
        </w:rPr>
        <w:footnoteRef/>
      </w:r>
      <w:r>
        <w:t xml:space="preserve"> </w:t>
      </w:r>
      <w:r w:rsidRPr="00B05E46">
        <w:t xml:space="preserve">  Holton, S.S. (1986) Feminism and democracy: Women’s Suffrage and Reform Politics in Britain, 1900-1918. Cambridge University Press. Page </w:t>
      </w:r>
      <w:r>
        <w:t>150.</w:t>
      </w:r>
    </w:p>
  </w:footnote>
  <w:footnote w:id="18">
    <w:p w14:paraId="0284D2D3" w14:textId="4C1919FF" w:rsidR="00971643" w:rsidRDefault="00971643">
      <w:pPr>
        <w:pStyle w:val="FootnoteText"/>
      </w:pPr>
      <w:r>
        <w:rPr>
          <w:rStyle w:val="FootnoteReference"/>
        </w:rPr>
        <w:footnoteRef/>
      </w:r>
      <w:r>
        <w:t xml:space="preserve"> </w:t>
      </w:r>
      <w:r w:rsidRPr="00971643">
        <w:t xml:space="preserve">'Cambridge University Press' (no date) www.jstor.org [Preprint]. </w:t>
      </w:r>
      <w:hyperlink r:id="rId2" w:history="1">
        <w:r w:rsidR="002B31FB" w:rsidRPr="00A104B6">
          <w:rPr>
            <w:rStyle w:val="Hyperlink"/>
          </w:rPr>
          <w:t>https://www.jstor.org/publisher/cup</w:t>
        </w:r>
      </w:hyperlink>
      <w:r w:rsidRPr="00971643">
        <w:t>.</w:t>
      </w:r>
    </w:p>
    <w:p w14:paraId="49C9C5D1" w14:textId="77777777" w:rsidR="002B31FB" w:rsidRDefault="002B31FB">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85F"/>
    <w:rsid w:val="000202CE"/>
    <w:rsid w:val="00025DF7"/>
    <w:rsid w:val="000340A5"/>
    <w:rsid w:val="000814CA"/>
    <w:rsid w:val="00086164"/>
    <w:rsid w:val="000A65BE"/>
    <w:rsid w:val="000B469F"/>
    <w:rsid w:val="000C6A55"/>
    <w:rsid w:val="000D7D08"/>
    <w:rsid w:val="000E753C"/>
    <w:rsid w:val="000F1C2E"/>
    <w:rsid w:val="000F4C28"/>
    <w:rsid w:val="000F5A0B"/>
    <w:rsid w:val="00116F07"/>
    <w:rsid w:val="00155C66"/>
    <w:rsid w:val="00156B2F"/>
    <w:rsid w:val="00163A44"/>
    <w:rsid w:val="00164471"/>
    <w:rsid w:val="00165C7C"/>
    <w:rsid w:val="00170527"/>
    <w:rsid w:val="00175609"/>
    <w:rsid w:val="001A6AF7"/>
    <w:rsid w:val="001B00B0"/>
    <w:rsid w:val="001B155A"/>
    <w:rsid w:val="001C45E7"/>
    <w:rsid w:val="001D77C3"/>
    <w:rsid w:val="001E353B"/>
    <w:rsid w:val="00211317"/>
    <w:rsid w:val="00213799"/>
    <w:rsid w:val="00237C07"/>
    <w:rsid w:val="002560C7"/>
    <w:rsid w:val="00266F61"/>
    <w:rsid w:val="00295536"/>
    <w:rsid w:val="002A0476"/>
    <w:rsid w:val="002B31FB"/>
    <w:rsid w:val="002C4A80"/>
    <w:rsid w:val="002E1383"/>
    <w:rsid w:val="002E1F55"/>
    <w:rsid w:val="002E6AA2"/>
    <w:rsid w:val="002F1BFF"/>
    <w:rsid w:val="00310E10"/>
    <w:rsid w:val="003118A7"/>
    <w:rsid w:val="0032604D"/>
    <w:rsid w:val="00326FED"/>
    <w:rsid w:val="003522D9"/>
    <w:rsid w:val="0035665D"/>
    <w:rsid w:val="003604D8"/>
    <w:rsid w:val="00360BE2"/>
    <w:rsid w:val="00374D98"/>
    <w:rsid w:val="003757B1"/>
    <w:rsid w:val="00383FB7"/>
    <w:rsid w:val="003879F8"/>
    <w:rsid w:val="0039705B"/>
    <w:rsid w:val="003F30A6"/>
    <w:rsid w:val="00410F8A"/>
    <w:rsid w:val="00422578"/>
    <w:rsid w:val="00431B6D"/>
    <w:rsid w:val="00441520"/>
    <w:rsid w:val="0045094F"/>
    <w:rsid w:val="004728A2"/>
    <w:rsid w:val="00473545"/>
    <w:rsid w:val="004863A6"/>
    <w:rsid w:val="004A303D"/>
    <w:rsid w:val="004B3E83"/>
    <w:rsid w:val="004C62F5"/>
    <w:rsid w:val="004D02D4"/>
    <w:rsid w:val="004D2188"/>
    <w:rsid w:val="004D36DF"/>
    <w:rsid w:val="004F2664"/>
    <w:rsid w:val="004F4790"/>
    <w:rsid w:val="004F67E1"/>
    <w:rsid w:val="004F7D13"/>
    <w:rsid w:val="00501B00"/>
    <w:rsid w:val="005165CD"/>
    <w:rsid w:val="005364BA"/>
    <w:rsid w:val="00542A60"/>
    <w:rsid w:val="00544ED7"/>
    <w:rsid w:val="005558D9"/>
    <w:rsid w:val="005C0C07"/>
    <w:rsid w:val="005C163C"/>
    <w:rsid w:val="005E29AE"/>
    <w:rsid w:val="005E3497"/>
    <w:rsid w:val="005F7BF9"/>
    <w:rsid w:val="00624177"/>
    <w:rsid w:val="00630ECC"/>
    <w:rsid w:val="00632E18"/>
    <w:rsid w:val="006677B0"/>
    <w:rsid w:val="006B1FAB"/>
    <w:rsid w:val="006E7905"/>
    <w:rsid w:val="00712C43"/>
    <w:rsid w:val="0075073B"/>
    <w:rsid w:val="00773D2B"/>
    <w:rsid w:val="00792C75"/>
    <w:rsid w:val="007E1B95"/>
    <w:rsid w:val="007E4DBD"/>
    <w:rsid w:val="007F1C12"/>
    <w:rsid w:val="00804605"/>
    <w:rsid w:val="00807D7D"/>
    <w:rsid w:val="0082502B"/>
    <w:rsid w:val="0083485F"/>
    <w:rsid w:val="008667BC"/>
    <w:rsid w:val="00883D98"/>
    <w:rsid w:val="00891835"/>
    <w:rsid w:val="008A392C"/>
    <w:rsid w:val="008B58F1"/>
    <w:rsid w:val="008B7108"/>
    <w:rsid w:val="008E6C59"/>
    <w:rsid w:val="008E7B46"/>
    <w:rsid w:val="008F665B"/>
    <w:rsid w:val="009019B2"/>
    <w:rsid w:val="00906AB5"/>
    <w:rsid w:val="00910815"/>
    <w:rsid w:val="00924CE9"/>
    <w:rsid w:val="00926505"/>
    <w:rsid w:val="00927B12"/>
    <w:rsid w:val="0094393F"/>
    <w:rsid w:val="00960834"/>
    <w:rsid w:val="00971643"/>
    <w:rsid w:val="00985EFB"/>
    <w:rsid w:val="00995B36"/>
    <w:rsid w:val="009E21EE"/>
    <w:rsid w:val="009E24E5"/>
    <w:rsid w:val="00A224B5"/>
    <w:rsid w:val="00A24CBD"/>
    <w:rsid w:val="00A46D1E"/>
    <w:rsid w:val="00A53F67"/>
    <w:rsid w:val="00A647EF"/>
    <w:rsid w:val="00A71990"/>
    <w:rsid w:val="00A90CA4"/>
    <w:rsid w:val="00A97734"/>
    <w:rsid w:val="00AB2D97"/>
    <w:rsid w:val="00AC0352"/>
    <w:rsid w:val="00AC3502"/>
    <w:rsid w:val="00AE1CB8"/>
    <w:rsid w:val="00AE32E3"/>
    <w:rsid w:val="00AE3C0A"/>
    <w:rsid w:val="00AE6772"/>
    <w:rsid w:val="00AF7595"/>
    <w:rsid w:val="00B05E46"/>
    <w:rsid w:val="00B05FD3"/>
    <w:rsid w:val="00B20444"/>
    <w:rsid w:val="00B40230"/>
    <w:rsid w:val="00B40A9A"/>
    <w:rsid w:val="00B538A8"/>
    <w:rsid w:val="00B63EFD"/>
    <w:rsid w:val="00B73468"/>
    <w:rsid w:val="00B8093F"/>
    <w:rsid w:val="00B9486D"/>
    <w:rsid w:val="00B97253"/>
    <w:rsid w:val="00BC53DB"/>
    <w:rsid w:val="00BD1721"/>
    <w:rsid w:val="00BE67D2"/>
    <w:rsid w:val="00BF42AD"/>
    <w:rsid w:val="00BF494F"/>
    <w:rsid w:val="00C0154C"/>
    <w:rsid w:val="00C2539A"/>
    <w:rsid w:val="00C41ABE"/>
    <w:rsid w:val="00C42F5F"/>
    <w:rsid w:val="00C62E9B"/>
    <w:rsid w:val="00C8619C"/>
    <w:rsid w:val="00CB364D"/>
    <w:rsid w:val="00CB65ED"/>
    <w:rsid w:val="00CC55D8"/>
    <w:rsid w:val="00CF50FA"/>
    <w:rsid w:val="00D23FA7"/>
    <w:rsid w:val="00D26658"/>
    <w:rsid w:val="00D42D63"/>
    <w:rsid w:val="00D6165C"/>
    <w:rsid w:val="00D91FC8"/>
    <w:rsid w:val="00D92DFA"/>
    <w:rsid w:val="00DA23F5"/>
    <w:rsid w:val="00DA7C90"/>
    <w:rsid w:val="00DD4FDE"/>
    <w:rsid w:val="00DE3C4E"/>
    <w:rsid w:val="00E0670E"/>
    <w:rsid w:val="00E07C38"/>
    <w:rsid w:val="00E12C1F"/>
    <w:rsid w:val="00E33EA5"/>
    <w:rsid w:val="00E33EFF"/>
    <w:rsid w:val="00E5671E"/>
    <w:rsid w:val="00E57D3F"/>
    <w:rsid w:val="00E61868"/>
    <w:rsid w:val="00E62835"/>
    <w:rsid w:val="00E7495D"/>
    <w:rsid w:val="00EA0B8A"/>
    <w:rsid w:val="00EB0122"/>
    <w:rsid w:val="00EE5BD0"/>
    <w:rsid w:val="00F00072"/>
    <w:rsid w:val="00F023C7"/>
    <w:rsid w:val="00F241D0"/>
    <w:rsid w:val="00F24FA2"/>
    <w:rsid w:val="00F31619"/>
    <w:rsid w:val="00F32D66"/>
    <w:rsid w:val="00F427CA"/>
    <w:rsid w:val="00F52E4D"/>
    <w:rsid w:val="00F5707F"/>
    <w:rsid w:val="00F61F2E"/>
    <w:rsid w:val="00FB0C9C"/>
    <w:rsid w:val="00FC76AA"/>
    <w:rsid w:val="00FE7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3064B"/>
  <w15:chartTrackingRefBased/>
  <w15:docId w15:val="{401A5447-F155-414B-AB9A-FC20082EB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48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48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48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48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48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48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48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48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48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48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48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48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48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48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48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48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48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485F"/>
    <w:rPr>
      <w:rFonts w:eastAsiaTheme="majorEastAsia" w:cstheme="majorBidi"/>
      <w:color w:val="272727" w:themeColor="text1" w:themeTint="D8"/>
    </w:rPr>
  </w:style>
  <w:style w:type="paragraph" w:styleId="Title">
    <w:name w:val="Title"/>
    <w:basedOn w:val="Normal"/>
    <w:next w:val="Normal"/>
    <w:link w:val="TitleChar"/>
    <w:uiPriority w:val="10"/>
    <w:qFormat/>
    <w:rsid w:val="008348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48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48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48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485F"/>
    <w:pPr>
      <w:spacing w:before="160"/>
      <w:jc w:val="center"/>
    </w:pPr>
    <w:rPr>
      <w:i/>
      <w:iCs/>
      <w:color w:val="404040" w:themeColor="text1" w:themeTint="BF"/>
    </w:rPr>
  </w:style>
  <w:style w:type="character" w:customStyle="1" w:styleId="QuoteChar">
    <w:name w:val="Quote Char"/>
    <w:basedOn w:val="DefaultParagraphFont"/>
    <w:link w:val="Quote"/>
    <w:uiPriority w:val="29"/>
    <w:rsid w:val="0083485F"/>
    <w:rPr>
      <w:i/>
      <w:iCs/>
      <w:color w:val="404040" w:themeColor="text1" w:themeTint="BF"/>
    </w:rPr>
  </w:style>
  <w:style w:type="paragraph" w:styleId="ListParagraph">
    <w:name w:val="List Paragraph"/>
    <w:basedOn w:val="Normal"/>
    <w:uiPriority w:val="34"/>
    <w:qFormat/>
    <w:rsid w:val="0083485F"/>
    <w:pPr>
      <w:ind w:left="720"/>
      <w:contextualSpacing/>
    </w:pPr>
  </w:style>
  <w:style w:type="character" w:styleId="IntenseEmphasis">
    <w:name w:val="Intense Emphasis"/>
    <w:basedOn w:val="DefaultParagraphFont"/>
    <w:uiPriority w:val="21"/>
    <w:qFormat/>
    <w:rsid w:val="0083485F"/>
    <w:rPr>
      <w:i/>
      <w:iCs/>
      <w:color w:val="0F4761" w:themeColor="accent1" w:themeShade="BF"/>
    </w:rPr>
  </w:style>
  <w:style w:type="paragraph" w:styleId="IntenseQuote">
    <w:name w:val="Intense Quote"/>
    <w:basedOn w:val="Normal"/>
    <w:next w:val="Normal"/>
    <w:link w:val="IntenseQuoteChar"/>
    <w:uiPriority w:val="30"/>
    <w:qFormat/>
    <w:rsid w:val="008348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485F"/>
    <w:rPr>
      <w:i/>
      <w:iCs/>
      <w:color w:val="0F4761" w:themeColor="accent1" w:themeShade="BF"/>
    </w:rPr>
  </w:style>
  <w:style w:type="character" w:styleId="IntenseReference">
    <w:name w:val="Intense Reference"/>
    <w:basedOn w:val="DefaultParagraphFont"/>
    <w:uiPriority w:val="32"/>
    <w:qFormat/>
    <w:rsid w:val="0083485F"/>
    <w:rPr>
      <w:b/>
      <w:bCs/>
      <w:smallCaps/>
      <w:color w:val="0F4761" w:themeColor="accent1" w:themeShade="BF"/>
      <w:spacing w:val="5"/>
    </w:rPr>
  </w:style>
  <w:style w:type="paragraph" w:styleId="FootnoteText">
    <w:name w:val="footnote text"/>
    <w:basedOn w:val="Normal"/>
    <w:link w:val="FootnoteTextChar"/>
    <w:uiPriority w:val="99"/>
    <w:semiHidden/>
    <w:unhideWhenUsed/>
    <w:rsid w:val="0044152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41520"/>
    <w:rPr>
      <w:sz w:val="20"/>
      <w:szCs w:val="20"/>
    </w:rPr>
  </w:style>
  <w:style w:type="character" w:styleId="FootnoteReference">
    <w:name w:val="footnote reference"/>
    <w:basedOn w:val="DefaultParagraphFont"/>
    <w:uiPriority w:val="99"/>
    <w:semiHidden/>
    <w:unhideWhenUsed/>
    <w:rsid w:val="00441520"/>
    <w:rPr>
      <w:vertAlign w:val="superscript"/>
    </w:rPr>
  </w:style>
  <w:style w:type="character" w:styleId="Hyperlink">
    <w:name w:val="Hyperlink"/>
    <w:basedOn w:val="DefaultParagraphFont"/>
    <w:uiPriority w:val="99"/>
    <w:unhideWhenUsed/>
    <w:rsid w:val="008B7108"/>
    <w:rPr>
      <w:color w:val="467886" w:themeColor="hyperlink"/>
      <w:u w:val="single"/>
    </w:rPr>
  </w:style>
  <w:style w:type="character" w:styleId="UnresolvedMention">
    <w:name w:val="Unresolved Mention"/>
    <w:basedOn w:val="DefaultParagraphFont"/>
    <w:uiPriority w:val="99"/>
    <w:semiHidden/>
    <w:unhideWhenUsed/>
    <w:rsid w:val="008B71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_rels/footnotes.xml.rels><?xml version="1.0" encoding="UTF-8" standalone="yes"?>
<Relationships xmlns="http://schemas.openxmlformats.org/package/2006/relationships"><Relationship Id="rId2" Type="http://schemas.openxmlformats.org/officeDocument/2006/relationships/hyperlink" Target="https://www.jstor.org/publisher/cup" TargetMode="External"/><Relationship Id="rId1" Type="http://schemas.openxmlformats.org/officeDocument/2006/relationships/hyperlink" Target="https://www.britannica.com/topic/A-Vindication-of-the-Rights-of-Wom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5" ma:contentTypeDescription="Create a new document." ma:contentTypeScope="" ma:versionID="95c80f00c53ed7df0ede396187e6fb00">
  <xsd:schema xmlns:xsd="http://www.w3.org/2001/XMLSchema" xmlns:xs="http://www.w3.org/2001/XMLSchema" xmlns:p="http://schemas.microsoft.com/office/2006/metadata/properties" xmlns:ns3="0085e1a2-9cbf-4b92-866b-21f3c89040b6" targetNamespace="http://schemas.microsoft.com/office/2006/metadata/properties" ma:root="true" ma:fieldsID="1da3593a7deacc1e117be7cdce9eeaf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0176E75-EA40-42F9-A6D7-CFA51D7662AF}">
  <ds:schemaRefs>
    <ds:schemaRef ds:uri="http://schemas.openxmlformats.org/officeDocument/2006/bibliography"/>
  </ds:schemaRefs>
</ds:datastoreItem>
</file>

<file path=customXml/itemProps2.xml><?xml version="1.0" encoding="utf-8"?>
<ds:datastoreItem xmlns:ds="http://schemas.openxmlformats.org/officeDocument/2006/customXml" ds:itemID="{94E60E9C-8612-437C-81F4-263B3406B9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8F81E9-3572-42A4-BC4F-578300102FC8}">
  <ds:schemaRefs>
    <ds:schemaRef ds:uri="http://schemas.microsoft.com/sharepoint/v3/contenttype/forms"/>
  </ds:schemaRefs>
</ds:datastoreItem>
</file>

<file path=customXml/itemProps4.xml><?xml version="1.0" encoding="utf-8"?>
<ds:datastoreItem xmlns:ds="http://schemas.openxmlformats.org/officeDocument/2006/customXml" ds:itemID="{CDD78A02-FD12-428F-8A07-EA5E02E78790}">
  <ds:schemaRefs>
    <ds:schemaRef ds:uri="http://purl.org/dc/elements/1.1/"/>
    <ds:schemaRef ds:uri="http://purl.org/dc/dcmitype/"/>
    <ds:schemaRef ds:uri="http://www.w3.org/XML/1998/namespace"/>
    <ds:schemaRef ds:uri="http://schemas.microsoft.com/office/2006/documentManagement/types"/>
    <ds:schemaRef ds:uri="http://schemas.openxmlformats.org/package/2006/metadata/core-properties"/>
    <ds:schemaRef ds:uri="http://schemas.microsoft.com/office/2006/metadata/properties"/>
    <ds:schemaRef ds:uri="http://schemas.microsoft.com/office/infopath/2007/PartnerControls"/>
    <ds:schemaRef ds:uri="0085e1a2-9cbf-4b92-866b-21f3c89040b6"/>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4757</TotalTime>
  <Pages>4</Pages>
  <Words>1522</Words>
  <Characters>8681</Characters>
  <Application>Microsoft Office Word</Application>
  <DocSecurity>0</DocSecurity>
  <Lines>72</Lines>
  <Paragraphs>20</Paragraphs>
  <ScaleCrop>false</ScaleCrop>
  <Company/>
  <LinksUpToDate>false</LinksUpToDate>
  <CharactersWithSpaces>10183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Dabell (2400501)</dc:creator>
  <cp:keywords/>
  <dc:description/>
  <cp:lastModifiedBy>Megan Dabell (2400501)</cp:lastModifiedBy>
  <cp:revision>199</cp:revision>
  <dcterms:created xsi:type="dcterms:W3CDTF">2024-11-27T16:01:00Z</dcterms:created>
  <dcterms:modified xsi:type="dcterms:W3CDTF">2024-12-09T16:05:00Z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