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3FD0C939" w:rsidR="00583709" w:rsidRPr="003D668E" w:rsidRDefault="00F867C0">
      <w:pPr>
        <w:spacing w:after="165" w:line="360" w:lineRule="auto"/>
        <w:jc w:val="center"/>
        <w:rPr>
          <w:rFonts w:ascii="Tahoma" w:eastAsia="Tahoma" w:hAnsi="Tahoma" w:cs="Tahoma"/>
          <w:color w:val="000000"/>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AB04399" w:rsidR="00583709" w:rsidRDefault="007F596B">
            <w:pPr>
              <w:spacing w:before="120" w:after="120" w:line="360" w:lineRule="auto"/>
              <w:rPr>
                <w:rFonts w:ascii="Tahoma" w:eastAsia="Tahoma" w:hAnsi="Tahoma" w:cs="Tahoma"/>
                <w:sz w:val="32"/>
                <w:szCs w:val="32"/>
              </w:rPr>
            </w:pPr>
            <w:r>
              <w:rPr>
                <w:rFonts w:ascii="Tahoma" w:eastAsia="Tahoma" w:hAnsi="Tahoma" w:cs="Tahoma"/>
                <w:sz w:val="32"/>
                <w:szCs w:val="32"/>
              </w:rPr>
              <w:t>Whitney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79FB1BD" w:rsidR="00583709" w:rsidRDefault="009962F5">
            <w:pPr>
              <w:spacing w:before="120" w:after="120" w:line="360" w:lineRule="auto"/>
              <w:rPr>
                <w:rFonts w:ascii="Tahoma" w:eastAsia="Tahoma" w:hAnsi="Tahoma" w:cs="Tahoma"/>
                <w:sz w:val="32"/>
                <w:szCs w:val="32"/>
              </w:rPr>
            </w:pPr>
            <w:r w:rsidRPr="009962F5">
              <w:rPr>
                <w:rFonts w:ascii="Tahoma" w:eastAsia="Tahoma" w:hAnsi="Tahoma" w:cs="Tahoma"/>
                <w:sz w:val="32"/>
                <w:szCs w:val="32"/>
              </w:rPr>
              <w:t>2329046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23960F9" w:rsidR="00583709" w:rsidRPr="000C11AD" w:rsidRDefault="008312FD">
            <w:pPr>
              <w:spacing w:before="120" w:after="120" w:line="360" w:lineRule="auto"/>
              <w:rPr>
                <w:rFonts w:ascii="Tahoma" w:eastAsia="Tahoma" w:hAnsi="Tahoma" w:cs="Tahoma"/>
                <w:sz w:val="32"/>
                <w:szCs w:val="32"/>
              </w:rPr>
            </w:pPr>
            <w:r w:rsidRPr="000C11AD">
              <w:rPr>
                <w:rFonts w:ascii="Tahoma" w:eastAsia="Tahoma" w:hAnsi="Tahoma" w:cs="Tahoma"/>
                <w:sz w:val="32"/>
                <w:szCs w:val="32"/>
              </w:rPr>
              <w:t>BMSK</w:t>
            </w:r>
            <w:r w:rsidR="00134FDC" w:rsidRPr="000C11AD">
              <w:rPr>
                <w:rFonts w:ascii="Tahoma" w:eastAsia="Tahoma" w:hAnsi="Tahoma" w:cs="Tahoma"/>
                <w:sz w:val="32"/>
                <w:szCs w:val="32"/>
              </w:rPr>
              <w:t>6011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2732CFE0" w:rsidR="00583709" w:rsidRPr="000C11AD" w:rsidRDefault="000C11AD">
            <w:pPr>
              <w:spacing w:before="120" w:after="120" w:line="360" w:lineRule="auto"/>
              <w:rPr>
                <w:rFonts w:ascii="Tahoma" w:eastAsia="Tahoma" w:hAnsi="Tahoma" w:cs="Tahoma"/>
                <w:sz w:val="32"/>
                <w:szCs w:val="32"/>
              </w:rPr>
            </w:pPr>
            <w:r w:rsidRPr="000C11AD">
              <w:rPr>
                <w:rFonts w:ascii="Tahoma" w:eastAsia="Tahoma" w:hAnsi="Tahoma" w:cs="Tahoma"/>
                <w:sz w:val="32"/>
                <w:szCs w:val="32"/>
              </w:rPr>
              <w:t>Leading and Implementing Workplace Change</w:t>
            </w:r>
          </w:p>
        </w:tc>
      </w:tr>
    </w:tbl>
    <w:p w14:paraId="700B284E" w14:textId="77777777" w:rsidR="00583709" w:rsidRDefault="008312FD">
      <w:pPr>
        <w:spacing w:before="120" w:after="120" w:line="360" w:lineRule="auto"/>
        <w:rPr>
          <w:rFonts w:ascii="Tahoma" w:eastAsia="Tahoma" w:hAnsi="Tahoma" w:cs="Tahoma"/>
          <w:b/>
          <w:color w:val="000000"/>
          <w:szCs w:val="24"/>
        </w:rPr>
      </w:pPr>
      <w:r>
        <w:rPr>
          <w:rFonts w:ascii="Tahoma" w:eastAsia="Tahoma" w:hAnsi="Tahoma" w:cs="Tahoma"/>
          <w:b/>
          <w:color w:val="000000"/>
          <w:szCs w:val="24"/>
        </w:rPr>
        <w:t>Statement of Confirmation of Authenticity</w:t>
      </w:r>
    </w:p>
    <w:p w14:paraId="77162AC0"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Attention is drawn to the plagiarism and unfair practice policies of both the University and of ILM.</w:t>
      </w:r>
    </w:p>
    <w:p w14:paraId="616510F2" w14:textId="46C94898" w:rsidR="00D742ED" w:rsidRPr="00D742ED" w:rsidRDefault="00D742ED" w:rsidP="00D742ED">
      <w:pPr>
        <w:rPr>
          <w:rFonts w:ascii="Tahoma" w:hAnsi="Tahoma" w:cs="Tahoma"/>
        </w:rPr>
      </w:pPr>
      <w:r w:rsidRPr="00D742ED">
        <w:rPr>
          <w:rFonts w:ascii="Tahoma" w:hAnsi="Tahoma" w:cs="Tahoma"/>
          <w:b/>
          <w:bCs/>
        </w:rPr>
        <w:t>AI Declaration:</w:t>
      </w:r>
      <w:r w:rsidRPr="00D742ED">
        <w:rPr>
          <w:rFonts w:ascii="Tahoma" w:hAnsi="Tahoma" w:cs="Tahoma"/>
        </w:rPr>
        <w:t xml:space="preserve"> I confirm that </w:t>
      </w:r>
      <w:r w:rsidRPr="00D742ED">
        <w:rPr>
          <w:rFonts w:ascii="Tahoma" w:hAnsi="Tahoma" w:cs="Tahoma"/>
          <w:b/>
          <w:bCs/>
        </w:rPr>
        <w:t>I have not used Generative AI</w:t>
      </w:r>
      <w:r w:rsidRPr="00D742ED">
        <w:rPr>
          <w:rFonts w:ascii="Tahoma" w:hAnsi="Tahoma" w:cs="Tahoma"/>
        </w:rPr>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5C61974A" w14:textId="110580D1" w:rsidR="00583709" w:rsidRDefault="00583709">
      <w:pPr>
        <w:rPr>
          <w:rFonts w:ascii="Tahoma" w:eastAsia="Tahoma" w:hAnsi="Tahoma" w:cs="Tahoma"/>
          <w:color w:val="000000"/>
          <w:szCs w:val="24"/>
        </w:rPr>
      </w:pPr>
    </w:p>
    <w:p w14:paraId="3E6FEB8F" w14:textId="77777777" w:rsidR="00583709" w:rsidRDefault="008312FD">
      <w:pPr>
        <w:keepNext/>
        <w:keepLines/>
        <w:pBdr>
          <w:top w:val="nil"/>
          <w:left w:val="nil"/>
          <w:bottom w:val="nil"/>
          <w:right w:val="nil"/>
          <w:between w:val="nil"/>
        </w:pBdr>
        <w:spacing w:before="240" w:after="0"/>
        <w:rPr>
          <w:rFonts w:cs="Arial"/>
          <w:b/>
          <w:bCs/>
          <w:sz w:val="32"/>
          <w:szCs w:val="32"/>
        </w:rPr>
      </w:pPr>
      <w:r w:rsidRPr="00D742ED">
        <w:rPr>
          <w:rFonts w:cs="Arial"/>
          <w:b/>
          <w:bCs/>
          <w:sz w:val="32"/>
          <w:szCs w:val="32"/>
        </w:rPr>
        <w:t>Table of Contents</w:t>
      </w:r>
    </w:p>
    <w:p w14:paraId="588D0369" w14:textId="77777777" w:rsidR="00D742ED" w:rsidRPr="00D742ED" w:rsidRDefault="00D742ED">
      <w:pPr>
        <w:keepNext/>
        <w:keepLines/>
        <w:pBdr>
          <w:top w:val="nil"/>
          <w:left w:val="nil"/>
          <w:bottom w:val="nil"/>
          <w:right w:val="nil"/>
          <w:between w:val="nil"/>
        </w:pBdr>
        <w:spacing w:before="240" w:after="0"/>
        <w:rPr>
          <w:rFonts w:cs="Arial"/>
          <w:b/>
          <w:bCs/>
          <w:sz w:val="32"/>
          <w:szCs w:val="32"/>
        </w:rPr>
      </w:pPr>
    </w:p>
    <w:sdt>
      <w:sdtPr>
        <w:id w:val="-2053372548"/>
        <w:docPartObj>
          <w:docPartGallery w:val="Table of Contents"/>
          <w:docPartUnique/>
        </w:docPartObj>
      </w:sdtPr>
      <w:sdtContent>
        <w:p w14:paraId="6E306F2C" w14:textId="4E9D4B25" w:rsidR="00D43AA7" w:rsidRDefault="008312FD">
          <w:pPr>
            <w:pStyle w:val="TOC1"/>
            <w:tabs>
              <w:tab w:val="right" w:pos="9350"/>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\h \u \z </w:instrText>
          </w:r>
          <w:r>
            <w:fldChar w:fldCharType="separate"/>
          </w:r>
          <w:hyperlink w:anchor="_Toc242643333" w:history="1">
            <w:r w:rsidR="00D43AA7" w:rsidRPr="00607747">
              <w:rPr>
                <w:rStyle w:val="Hyperlink"/>
                <w:noProof/>
              </w:rPr>
              <w:t>Introduction</w:t>
            </w:r>
            <w:r w:rsidR="00D43AA7">
              <w:rPr>
                <w:noProof/>
                <w:webHidden/>
              </w:rPr>
              <w:tab/>
            </w:r>
            <w:r w:rsidR="00D43AA7">
              <w:rPr>
                <w:noProof/>
                <w:webHidden/>
              </w:rPr>
              <w:fldChar w:fldCharType="begin"/>
            </w:r>
            <w:r w:rsidR="00D43AA7">
              <w:rPr>
                <w:noProof/>
                <w:webHidden/>
              </w:rPr>
              <w:instrText xml:space="preserve"> PAGEREF _Toc242643333 \h </w:instrText>
            </w:r>
            <w:r w:rsidR="00D43AA7">
              <w:rPr>
                <w:noProof/>
                <w:webHidden/>
              </w:rPr>
            </w:r>
            <w:r w:rsidR="00D43AA7">
              <w:rPr>
                <w:noProof/>
                <w:webHidden/>
              </w:rPr>
              <w:fldChar w:fldCharType="separate"/>
            </w:r>
            <w:r w:rsidR="00D43AA7">
              <w:rPr>
                <w:noProof/>
                <w:webHidden/>
              </w:rPr>
              <w:t>3</w:t>
            </w:r>
            <w:r w:rsidR="00D43AA7">
              <w:rPr>
                <w:noProof/>
                <w:webHidden/>
              </w:rPr>
              <w:fldChar w:fldCharType="end"/>
            </w:r>
          </w:hyperlink>
        </w:p>
        <w:p w14:paraId="5325D382" w14:textId="7C04BFEB" w:rsidR="00D43AA7" w:rsidRDefault="00D43AA7">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643334" w:history="1">
            <w:r w:rsidRPr="00607747">
              <w:rPr>
                <w:rStyle w:val="Hyperlink"/>
                <w:noProof/>
              </w:rPr>
              <w:t>Forces for Change, Culture and Organisational Capability</w:t>
            </w:r>
            <w:r>
              <w:rPr>
                <w:noProof/>
                <w:webHidden/>
              </w:rPr>
              <w:tab/>
            </w:r>
            <w:r>
              <w:rPr>
                <w:noProof/>
                <w:webHidden/>
              </w:rPr>
              <w:fldChar w:fldCharType="begin"/>
            </w:r>
            <w:r>
              <w:rPr>
                <w:noProof/>
                <w:webHidden/>
              </w:rPr>
              <w:instrText xml:space="preserve"> PAGEREF _Toc242643334 \h </w:instrText>
            </w:r>
            <w:r>
              <w:rPr>
                <w:noProof/>
                <w:webHidden/>
              </w:rPr>
            </w:r>
            <w:r>
              <w:rPr>
                <w:noProof/>
                <w:webHidden/>
              </w:rPr>
              <w:fldChar w:fldCharType="separate"/>
            </w:r>
            <w:r>
              <w:rPr>
                <w:noProof/>
                <w:webHidden/>
              </w:rPr>
              <w:t>3</w:t>
            </w:r>
            <w:r>
              <w:rPr>
                <w:noProof/>
                <w:webHidden/>
              </w:rPr>
              <w:fldChar w:fldCharType="end"/>
            </w:r>
          </w:hyperlink>
        </w:p>
        <w:p w14:paraId="6D300B0C" w14:textId="044339F3" w:rsidR="00D43AA7" w:rsidRDefault="00D43AA7">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643335" w:history="1">
            <w:r w:rsidRPr="00607747">
              <w:rPr>
                <w:rStyle w:val="Hyperlink"/>
                <w:noProof/>
              </w:rPr>
              <w:t>Macro Environment: PESTLE Analysis</w:t>
            </w:r>
            <w:r>
              <w:rPr>
                <w:noProof/>
                <w:webHidden/>
              </w:rPr>
              <w:tab/>
            </w:r>
            <w:r>
              <w:rPr>
                <w:noProof/>
                <w:webHidden/>
              </w:rPr>
              <w:fldChar w:fldCharType="begin"/>
            </w:r>
            <w:r>
              <w:rPr>
                <w:noProof/>
                <w:webHidden/>
              </w:rPr>
              <w:instrText xml:space="preserve"> PAGEREF _Toc242643335 \h </w:instrText>
            </w:r>
            <w:r>
              <w:rPr>
                <w:noProof/>
                <w:webHidden/>
              </w:rPr>
            </w:r>
            <w:r>
              <w:rPr>
                <w:noProof/>
                <w:webHidden/>
              </w:rPr>
              <w:fldChar w:fldCharType="separate"/>
            </w:r>
            <w:r>
              <w:rPr>
                <w:noProof/>
                <w:webHidden/>
              </w:rPr>
              <w:t>3</w:t>
            </w:r>
            <w:r>
              <w:rPr>
                <w:noProof/>
                <w:webHidden/>
              </w:rPr>
              <w:fldChar w:fldCharType="end"/>
            </w:r>
          </w:hyperlink>
        </w:p>
        <w:p w14:paraId="6724CFFB" w14:textId="49231127" w:rsidR="00D43AA7" w:rsidRDefault="00D43AA7">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643336" w:history="1">
            <w:r w:rsidRPr="00607747">
              <w:rPr>
                <w:rStyle w:val="Hyperlink"/>
                <w:noProof/>
              </w:rPr>
              <w:t>Micro Environment: SWOT Analysis</w:t>
            </w:r>
            <w:r>
              <w:rPr>
                <w:noProof/>
                <w:webHidden/>
              </w:rPr>
              <w:tab/>
            </w:r>
            <w:r>
              <w:rPr>
                <w:noProof/>
                <w:webHidden/>
              </w:rPr>
              <w:fldChar w:fldCharType="begin"/>
            </w:r>
            <w:r>
              <w:rPr>
                <w:noProof/>
                <w:webHidden/>
              </w:rPr>
              <w:instrText xml:space="preserve"> PAGEREF _Toc242643336 \h </w:instrText>
            </w:r>
            <w:r>
              <w:rPr>
                <w:noProof/>
                <w:webHidden/>
              </w:rPr>
            </w:r>
            <w:r>
              <w:rPr>
                <w:noProof/>
                <w:webHidden/>
              </w:rPr>
              <w:fldChar w:fldCharType="separate"/>
            </w:r>
            <w:r>
              <w:rPr>
                <w:noProof/>
                <w:webHidden/>
              </w:rPr>
              <w:t>5</w:t>
            </w:r>
            <w:r>
              <w:rPr>
                <w:noProof/>
                <w:webHidden/>
              </w:rPr>
              <w:fldChar w:fldCharType="end"/>
            </w:r>
          </w:hyperlink>
        </w:p>
        <w:p w14:paraId="0A4BBD82" w14:textId="376FF4DB" w:rsidR="00D43AA7" w:rsidRDefault="00D43AA7">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643337" w:history="1">
            <w:r w:rsidRPr="00607747">
              <w:rPr>
                <w:rStyle w:val="Hyperlink"/>
                <w:noProof/>
              </w:rPr>
              <w:t>Impact on Organisational Culture and Capability</w:t>
            </w:r>
            <w:r>
              <w:rPr>
                <w:noProof/>
                <w:webHidden/>
              </w:rPr>
              <w:tab/>
            </w:r>
            <w:r>
              <w:rPr>
                <w:noProof/>
                <w:webHidden/>
              </w:rPr>
              <w:fldChar w:fldCharType="begin"/>
            </w:r>
            <w:r>
              <w:rPr>
                <w:noProof/>
                <w:webHidden/>
              </w:rPr>
              <w:instrText xml:space="preserve"> PAGEREF _Toc242643337 \h </w:instrText>
            </w:r>
            <w:r>
              <w:rPr>
                <w:noProof/>
                <w:webHidden/>
              </w:rPr>
            </w:r>
            <w:r>
              <w:rPr>
                <w:noProof/>
                <w:webHidden/>
              </w:rPr>
              <w:fldChar w:fldCharType="separate"/>
            </w:r>
            <w:r>
              <w:rPr>
                <w:noProof/>
                <w:webHidden/>
              </w:rPr>
              <w:t>6</w:t>
            </w:r>
            <w:r>
              <w:rPr>
                <w:noProof/>
                <w:webHidden/>
              </w:rPr>
              <w:fldChar w:fldCharType="end"/>
            </w:r>
          </w:hyperlink>
        </w:p>
        <w:p w14:paraId="16B1D83B" w14:textId="79A48A4E" w:rsidR="00D43AA7" w:rsidRDefault="00D43AA7">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643338" w:history="1">
            <w:r w:rsidRPr="00607747">
              <w:rPr>
                <w:rStyle w:val="Hyperlink"/>
                <w:noProof/>
              </w:rPr>
              <w:t>Judgement</w:t>
            </w:r>
            <w:r>
              <w:rPr>
                <w:noProof/>
                <w:webHidden/>
              </w:rPr>
              <w:tab/>
            </w:r>
            <w:r>
              <w:rPr>
                <w:noProof/>
                <w:webHidden/>
              </w:rPr>
              <w:fldChar w:fldCharType="begin"/>
            </w:r>
            <w:r>
              <w:rPr>
                <w:noProof/>
                <w:webHidden/>
              </w:rPr>
              <w:instrText xml:space="preserve"> PAGEREF _Toc242643338 \h </w:instrText>
            </w:r>
            <w:r>
              <w:rPr>
                <w:noProof/>
                <w:webHidden/>
              </w:rPr>
            </w:r>
            <w:r>
              <w:rPr>
                <w:noProof/>
                <w:webHidden/>
              </w:rPr>
              <w:fldChar w:fldCharType="separate"/>
            </w:r>
            <w:r>
              <w:rPr>
                <w:noProof/>
                <w:webHidden/>
              </w:rPr>
              <w:t>7</w:t>
            </w:r>
            <w:r>
              <w:rPr>
                <w:noProof/>
                <w:webHidden/>
              </w:rPr>
              <w:fldChar w:fldCharType="end"/>
            </w:r>
          </w:hyperlink>
        </w:p>
        <w:p w14:paraId="3FC10528" w14:textId="0DBC3BC9" w:rsidR="00D43AA7" w:rsidRDefault="00D43AA7">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643339" w:history="1">
            <w:r w:rsidRPr="00607747">
              <w:rPr>
                <w:rStyle w:val="Hyperlink"/>
                <w:noProof/>
              </w:rPr>
              <w:t>Leading Stakeholders Through Complex Workplace Change</w:t>
            </w:r>
            <w:r>
              <w:rPr>
                <w:noProof/>
                <w:webHidden/>
              </w:rPr>
              <w:tab/>
            </w:r>
            <w:r>
              <w:rPr>
                <w:noProof/>
                <w:webHidden/>
              </w:rPr>
              <w:fldChar w:fldCharType="begin"/>
            </w:r>
            <w:r>
              <w:rPr>
                <w:noProof/>
                <w:webHidden/>
              </w:rPr>
              <w:instrText xml:space="preserve"> PAGEREF _Toc242643339 \h </w:instrText>
            </w:r>
            <w:r>
              <w:rPr>
                <w:noProof/>
                <w:webHidden/>
              </w:rPr>
            </w:r>
            <w:r>
              <w:rPr>
                <w:noProof/>
                <w:webHidden/>
              </w:rPr>
              <w:fldChar w:fldCharType="separate"/>
            </w:r>
            <w:r>
              <w:rPr>
                <w:noProof/>
                <w:webHidden/>
              </w:rPr>
              <w:t>7</w:t>
            </w:r>
            <w:r>
              <w:rPr>
                <w:noProof/>
                <w:webHidden/>
              </w:rPr>
              <w:fldChar w:fldCharType="end"/>
            </w:r>
          </w:hyperlink>
        </w:p>
        <w:p w14:paraId="6AEFB26F" w14:textId="19BD9C1D" w:rsidR="00D43AA7" w:rsidRDefault="00D43AA7">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643340" w:history="1">
            <w:r w:rsidRPr="00607747">
              <w:rPr>
                <w:rStyle w:val="Hyperlink"/>
                <w:noProof/>
              </w:rPr>
              <w:t>Complex Change and Stakeholder Analysis</w:t>
            </w:r>
            <w:r>
              <w:rPr>
                <w:noProof/>
                <w:webHidden/>
              </w:rPr>
              <w:tab/>
            </w:r>
            <w:r>
              <w:rPr>
                <w:noProof/>
                <w:webHidden/>
              </w:rPr>
              <w:fldChar w:fldCharType="begin"/>
            </w:r>
            <w:r>
              <w:rPr>
                <w:noProof/>
                <w:webHidden/>
              </w:rPr>
              <w:instrText xml:space="preserve"> PAGEREF _Toc242643340 \h </w:instrText>
            </w:r>
            <w:r>
              <w:rPr>
                <w:noProof/>
                <w:webHidden/>
              </w:rPr>
            </w:r>
            <w:r>
              <w:rPr>
                <w:noProof/>
                <w:webHidden/>
              </w:rPr>
              <w:fldChar w:fldCharType="separate"/>
            </w:r>
            <w:r>
              <w:rPr>
                <w:noProof/>
                <w:webHidden/>
              </w:rPr>
              <w:t>7</w:t>
            </w:r>
            <w:r>
              <w:rPr>
                <w:noProof/>
                <w:webHidden/>
              </w:rPr>
              <w:fldChar w:fldCharType="end"/>
            </w:r>
          </w:hyperlink>
        </w:p>
        <w:p w14:paraId="089D438A" w14:textId="1053E2C5" w:rsidR="00D43AA7" w:rsidRDefault="00D43AA7">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643341" w:history="1">
            <w:r w:rsidRPr="00607747">
              <w:rPr>
                <w:rStyle w:val="Hyperlink"/>
                <w:noProof/>
              </w:rPr>
              <w:t>Applying Change Theory</w:t>
            </w:r>
            <w:r>
              <w:rPr>
                <w:noProof/>
                <w:webHidden/>
              </w:rPr>
              <w:tab/>
            </w:r>
            <w:r>
              <w:rPr>
                <w:noProof/>
                <w:webHidden/>
              </w:rPr>
              <w:fldChar w:fldCharType="begin"/>
            </w:r>
            <w:r>
              <w:rPr>
                <w:noProof/>
                <w:webHidden/>
              </w:rPr>
              <w:instrText xml:space="preserve"> PAGEREF _Toc242643341 \h </w:instrText>
            </w:r>
            <w:r>
              <w:rPr>
                <w:noProof/>
                <w:webHidden/>
              </w:rPr>
            </w:r>
            <w:r>
              <w:rPr>
                <w:noProof/>
                <w:webHidden/>
              </w:rPr>
              <w:fldChar w:fldCharType="separate"/>
            </w:r>
            <w:r>
              <w:rPr>
                <w:noProof/>
                <w:webHidden/>
              </w:rPr>
              <w:t>9</w:t>
            </w:r>
            <w:r>
              <w:rPr>
                <w:noProof/>
                <w:webHidden/>
              </w:rPr>
              <w:fldChar w:fldCharType="end"/>
            </w:r>
          </w:hyperlink>
        </w:p>
        <w:p w14:paraId="1434B850" w14:textId="1DD9246B" w:rsidR="00D43AA7" w:rsidRDefault="00D43AA7">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643342" w:history="1">
            <w:r w:rsidRPr="00607747">
              <w:rPr>
                <w:rStyle w:val="Hyperlink"/>
                <w:noProof/>
              </w:rPr>
              <w:t>Emotional Responses, Resistance and Leadership</w:t>
            </w:r>
            <w:r>
              <w:rPr>
                <w:noProof/>
                <w:webHidden/>
              </w:rPr>
              <w:tab/>
            </w:r>
            <w:r>
              <w:rPr>
                <w:noProof/>
                <w:webHidden/>
              </w:rPr>
              <w:fldChar w:fldCharType="begin"/>
            </w:r>
            <w:r>
              <w:rPr>
                <w:noProof/>
                <w:webHidden/>
              </w:rPr>
              <w:instrText xml:space="preserve"> PAGEREF _Toc242643342 \h </w:instrText>
            </w:r>
            <w:r>
              <w:rPr>
                <w:noProof/>
                <w:webHidden/>
              </w:rPr>
            </w:r>
            <w:r>
              <w:rPr>
                <w:noProof/>
                <w:webHidden/>
              </w:rPr>
              <w:fldChar w:fldCharType="separate"/>
            </w:r>
            <w:r>
              <w:rPr>
                <w:noProof/>
                <w:webHidden/>
              </w:rPr>
              <w:t>10</w:t>
            </w:r>
            <w:r>
              <w:rPr>
                <w:noProof/>
                <w:webHidden/>
              </w:rPr>
              <w:fldChar w:fldCharType="end"/>
            </w:r>
          </w:hyperlink>
        </w:p>
        <w:p w14:paraId="458F8ADC" w14:textId="5491EBD9" w:rsidR="00D43AA7" w:rsidRDefault="00D43AA7">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643343" w:history="1">
            <w:r w:rsidRPr="00607747">
              <w:rPr>
                <w:rStyle w:val="Hyperlink"/>
                <w:noProof/>
              </w:rPr>
              <w:t>Recommendations</w:t>
            </w:r>
            <w:r>
              <w:rPr>
                <w:noProof/>
                <w:webHidden/>
              </w:rPr>
              <w:tab/>
            </w:r>
            <w:r>
              <w:rPr>
                <w:noProof/>
                <w:webHidden/>
              </w:rPr>
              <w:fldChar w:fldCharType="begin"/>
            </w:r>
            <w:r>
              <w:rPr>
                <w:noProof/>
                <w:webHidden/>
              </w:rPr>
              <w:instrText xml:space="preserve"> PAGEREF _Toc242643343 \h </w:instrText>
            </w:r>
            <w:r>
              <w:rPr>
                <w:noProof/>
                <w:webHidden/>
              </w:rPr>
            </w:r>
            <w:r>
              <w:rPr>
                <w:noProof/>
                <w:webHidden/>
              </w:rPr>
              <w:fldChar w:fldCharType="separate"/>
            </w:r>
            <w:r>
              <w:rPr>
                <w:noProof/>
                <w:webHidden/>
              </w:rPr>
              <w:t>11</w:t>
            </w:r>
            <w:r>
              <w:rPr>
                <w:noProof/>
                <w:webHidden/>
              </w:rPr>
              <w:fldChar w:fldCharType="end"/>
            </w:r>
          </w:hyperlink>
        </w:p>
        <w:p w14:paraId="2ECF03CC" w14:textId="2C054866" w:rsidR="00D43AA7" w:rsidRDefault="00D43AA7">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643344" w:history="1">
            <w:r w:rsidRPr="00607747">
              <w:rPr>
                <w:rStyle w:val="Hyperlink"/>
                <w:noProof/>
              </w:rPr>
              <w:t>Conclusion</w:t>
            </w:r>
            <w:r>
              <w:rPr>
                <w:noProof/>
                <w:webHidden/>
              </w:rPr>
              <w:tab/>
            </w:r>
            <w:r>
              <w:rPr>
                <w:noProof/>
                <w:webHidden/>
              </w:rPr>
              <w:fldChar w:fldCharType="begin"/>
            </w:r>
            <w:r>
              <w:rPr>
                <w:noProof/>
                <w:webHidden/>
              </w:rPr>
              <w:instrText xml:space="preserve"> PAGEREF _Toc242643344 \h </w:instrText>
            </w:r>
            <w:r>
              <w:rPr>
                <w:noProof/>
                <w:webHidden/>
              </w:rPr>
            </w:r>
            <w:r>
              <w:rPr>
                <w:noProof/>
                <w:webHidden/>
              </w:rPr>
              <w:fldChar w:fldCharType="separate"/>
            </w:r>
            <w:r>
              <w:rPr>
                <w:noProof/>
                <w:webHidden/>
              </w:rPr>
              <w:t>12</w:t>
            </w:r>
            <w:r>
              <w:rPr>
                <w:noProof/>
                <w:webHidden/>
              </w:rPr>
              <w:fldChar w:fldCharType="end"/>
            </w:r>
          </w:hyperlink>
        </w:p>
        <w:p w14:paraId="56D175D6" w14:textId="4FCC8458" w:rsidR="00D43AA7" w:rsidRDefault="00D43AA7">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643345" w:history="1">
            <w:r w:rsidRPr="00607747">
              <w:rPr>
                <w:rStyle w:val="Hyperlink"/>
                <w:rFonts w:cs="Arial"/>
                <w:b/>
                <w:bCs/>
                <w:noProof/>
              </w:rPr>
              <w:t>References</w:t>
            </w:r>
            <w:r>
              <w:rPr>
                <w:noProof/>
                <w:webHidden/>
              </w:rPr>
              <w:tab/>
            </w:r>
            <w:r>
              <w:rPr>
                <w:noProof/>
                <w:webHidden/>
              </w:rPr>
              <w:fldChar w:fldCharType="begin"/>
            </w:r>
            <w:r>
              <w:rPr>
                <w:noProof/>
                <w:webHidden/>
              </w:rPr>
              <w:instrText xml:space="preserve"> PAGEREF _Toc242643345 \h </w:instrText>
            </w:r>
            <w:r>
              <w:rPr>
                <w:noProof/>
                <w:webHidden/>
              </w:rPr>
            </w:r>
            <w:r>
              <w:rPr>
                <w:noProof/>
                <w:webHidden/>
              </w:rPr>
              <w:fldChar w:fldCharType="separate"/>
            </w:r>
            <w:r>
              <w:rPr>
                <w:noProof/>
                <w:webHidden/>
              </w:rPr>
              <w:t>13</w:t>
            </w:r>
            <w:r>
              <w:rPr>
                <w:noProof/>
                <w:webHidden/>
              </w:rPr>
              <w:fldChar w:fldCharType="end"/>
            </w:r>
          </w:hyperlink>
        </w:p>
        <w:p w14:paraId="2BF66C93" w14:textId="3CA26C95" w:rsidR="00583709" w:rsidRDefault="008312FD">
          <w:pPr>
            <w:rPr>
              <w:rFonts w:eastAsia="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eastAsia="Arial" w:cs="Arial"/>
          <w:color w:val="2E75B5"/>
        </w:rPr>
      </w:pPr>
    </w:p>
    <w:p w14:paraId="2AB20172" w14:textId="77777777" w:rsidR="00583709" w:rsidRDefault="00583709">
      <w:pPr>
        <w:spacing w:before="120" w:after="120" w:line="360" w:lineRule="auto"/>
        <w:rPr>
          <w:rFonts w:ascii="Tahoma" w:eastAsia="Tahoma" w:hAnsi="Tahoma" w:cs="Tahoma"/>
          <w:color w:val="000000"/>
          <w:szCs w:val="24"/>
        </w:rPr>
      </w:pPr>
    </w:p>
    <w:p w14:paraId="09EE4763" w14:textId="77777777" w:rsidR="00583709" w:rsidRDefault="008312FD">
      <w:r>
        <w:br w:type="page"/>
      </w:r>
    </w:p>
    <w:p w14:paraId="153553B2" w14:textId="22A4871F" w:rsidR="00583709" w:rsidRPr="00D71DA0" w:rsidRDefault="005831A9" w:rsidP="00D71DA0">
      <w:pPr>
        <w:pStyle w:val="Heading1"/>
      </w:pPr>
      <w:bookmarkStart w:id="0" w:name="_1ci93xb" w:colFirst="0" w:colLast="0"/>
      <w:bookmarkStart w:id="1" w:name="_Toc242643333"/>
      <w:bookmarkEnd w:id="0"/>
      <w:r w:rsidRPr="00D71DA0">
        <w:lastRenderedPageBreak/>
        <w:t>Introduction</w:t>
      </w:r>
      <w:bookmarkEnd w:id="1"/>
    </w:p>
    <w:p w14:paraId="684F0961" w14:textId="77777777" w:rsidR="002619A2" w:rsidRPr="002619A2" w:rsidRDefault="002619A2" w:rsidP="006C6A26">
      <w:r w:rsidRPr="002619A2">
        <w:t>This report examines a large multinational professional services organisation operating within financial audit and assurance. The organisation operates within a rapidly changing environment shaped by technological development, regulatory expectations, demanding deadlines and evolving client requirements. These pressures create a continuing requirement for change; however, change within audit cannot be considered solely in terms of speed or efficiency because professional judgement, audit quality and the confidentiality of client information must also be maintained. This creates an organisational environment in which adaptation is necessary, but the level and pace of change must remain proportionate to professional risk.</w:t>
      </w:r>
    </w:p>
    <w:p w14:paraId="036EA652" w14:textId="77777777" w:rsidR="002619A2" w:rsidRDefault="002619A2" w:rsidP="006C6A26">
      <w:r w:rsidRPr="002619A2">
        <w:t>The report first critically analyses the forces for change within the organisation's macro and micro environments, using PESTLE and SWOT to consider how external pressures interact with existing culture and organisational capability. The second part evaluates how organisational stakeholders can be led through a specific complex workplace change, the increased adoption of AI enabled tools within audit. Stakeholder analysis and established change theory will be considered alongside emotional responses, motivation, psychological safety and adaptive leadership. Rather than assuming that successful change can be achieved through the mechanical application of a single model, the analysis considers how leadership approaches and organisational systems interact in practice.</w:t>
      </w:r>
    </w:p>
    <w:p w14:paraId="72A61592" w14:textId="0BC79A14" w:rsidR="00D71DA0" w:rsidRPr="00F05D62" w:rsidRDefault="00D71DA0" w:rsidP="002619A2">
      <w:pPr>
        <w:pStyle w:val="Heading1"/>
      </w:pPr>
      <w:bookmarkStart w:id="2" w:name="_Toc242643334"/>
      <w:r w:rsidRPr="00D71DA0">
        <w:t>Forces for Change, Culture and Organisational Capability</w:t>
      </w:r>
      <w:bookmarkEnd w:id="2"/>
    </w:p>
    <w:p w14:paraId="168FCD6E" w14:textId="4C4FD988" w:rsidR="005831A9" w:rsidRDefault="004320A5" w:rsidP="004320A5">
      <w:pPr>
        <w:pStyle w:val="Heading2"/>
      </w:pPr>
      <w:bookmarkStart w:id="3" w:name="_Toc242643335"/>
      <w:r w:rsidRPr="004320A5">
        <w:t>Macro Environment: PESTLE Analysis</w:t>
      </w:r>
      <w:bookmarkEnd w:id="3"/>
    </w:p>
    <w:p w14:paraId="74B719D0" w14:textId="77777777" w:rsidR="00061325" w:rsidRPr="00061325" w:rsidRDefault="00061325" w:rsidP="00061325">
      <w:r w:rsidRPr="00061325">
        <w:t>The organisation's external environment creates pressure for change from several directions. Technological development is particularly significant because digital platforms, automation and increasingly AI enabled systems are changing how information is gathered, analysed and communicated. Organisational experience already demonstrates the importance of technology through the adoption of the internal global audit platform and secure client collaboration portal. These systems changed the way working papers, client information, project progress, document requests and journal samples are managed, demonstrating that technological change can alter both internal processes and interactions with clients.</w:t>
      </w:r>
    </w:p>
    <w:p w14:paraId="2F662AD0" w14:textId="77777777" w:rsidR="00061325" w:rsidRPr="00061325" w:rsidRDefault="00061325" w:rsidP="00061325">
      <w:r w:rsidRPr="00061325">
        <w:t>The successful implementation of large digital platforms demonstrates organisational capability to resource, standardise and coordinate approved change, but does not necessarily demonstrate that smaller employee led improvements are identified and progressed equally effectively. Central technological change requires governance, expertise and coordinated implementation, whereas local change also depends upon accessible opportunities to experiment and provide feedback.</w:t>
      </w:r>
    </w:p>
    <w:p w14:paraId="7D8536EA" w14:textId="12C8DD3A" w:rsidR="00061325" w:rsidRPr="00061325" w:rsidRDefault="00DE20B7" w:rsidP="00061325">
      <w:r w:rsidRPr="00DE20B7">
        <w:t>The Financial Reporting Council (FRC) issued guidance on the use of AI in audit in 2025 and further guidance on generative and agentic AI in March 2026 (FRC, 2025, 2026).</w:t>
      </w:r>
      <w:r w:rsidR="00BB6217">
        <w:t xml:space="preserve"> </w:t>
      </w:r>
      <w:r w:rsidR="00061325" w:rsidRPr="00061325">
        <w:t xml:space="preserve">The more recent guidance recognises the potential for AI to improve audit quality </w:t>
      </w:r>
      <w:r w:rsidR="00061325" w:rsidRPr="00061325">
        <w:lastRenderedPageBreak/>
        <w:t>and efficiency, while also identifying risks relating to the quality and use of AI outputs that require appropriate mitigation, professional judgement and human oversight (Financial Reporting Council [FRC], 2026).</w:t>
      </w:r>
    </w:p>
    <w:p w14:paraId="7A98A88A" w14:textId="77777777" w:rsidR="00061325" w:rsidRDefault="00061325" w:rsidP="00061325">
      <w:r w:rsidRPr="00061325">
        <w:t>Hanelt et al. (2021) describe digital transformation as involving continuous organisational change, sometimes accelerated by more episodic technological developments.</w:t>
      </w:r>
    </w:p>
    <w:p w14:paraId="4E0BDF35" w14:textId="27E1310A" w:rsidR="001022A3" w:rsidRPr="00061325" w:rsidRDefault="001022A3" w:rsidP="00061325">
      <w:r w:rsidRPr="001022A3">
        <w:t>Technological development should also be considered as an opportunity rather than solely as a pressure for change. The organisation already has established digital infrastructure and experience of implementing large technological systems, which provides a foundation for the wider use of automation and AI enabled tools. These technologies may reduce repetitive activity, improve the organisation of information and create greater capacity for employees to focus on work requiring professional judgement. However, technological capability cannot be measured only by whether systems are available. Employees also need the skills and confidence to use new tools appropriately, question outputs and recognise when professional judgement should override technological recommendations. Digital infrastructure therefore represents an important organisational strength, but its value depends upon the capability of employees to use technology critically and adapt working practices around it. This suggests that technological change creates both an opportunity for greater efficiency and a continuing requirement for learning and capability development.</w:t>
      </w:r>
    </w:p>
    <w:p w14:paraId="4D86A7F3" w14:textId="77777777" w:rsidR="00061325" w:rsidRPr="00061325" w:rsidRDefault="00061325" w:rsidP="00061325">
      <w:r w:rsidRPr="00061325">
        <w:t>Regulatory and legal pressures interact closely with technological change. Audit organisations cannot adopt new processes solely because they offer potential efficiency. Changes affecting client information, audit evidence or automated decision support require clear accountability, testing and professional oversight.</w:t>
      </w:r>
    </w:p>
    <w:p w14:paraId="41E5EBD2" w14:textId="77777777" w:rsidR="00061325" w:rsidRDefault="00061325" w:rsidP="00061325">
      <w:r w:rsidRPr="00061325">
        <w:t>Economic and client pressures provide a further force for change. Organisations are expected to deliver work efficiently while continuing to meet demanding quality standards. Client expectations for responsive, secure and transparent collaboration create incentives to improve existing processes, while deadlines and resource pressures simultaneously limit the time available for employees to develop and test alternatives. Workload can therefore be understood as a practical capacity issue rather than straightforward cultural resistance: ideas may be welcomed, but employees still have to balance improvement activity with immediate client work.</w:t>
      </w:r>
    </w:p>
    <w:p w14:paraId="03544E90" w14:textId="6DFC41A2" w:rsidR="00F645B5" w:rsidRPr="00061325" w:rsidRDefault="00F645B5" w:rsidP="00061325">
      <w:r w:rsidRPr="00F645B5">
        <w:t xml:space="preserve">Economic and client pressures may therefore both encourage and restrict organisational change. Expectations for efficient delivery create a strong incentive to improve processes, yet the same deadline and workload pressures can reduce the time employees have available for training, experimentation and reflection. This creates a tension between short term delivery requirements and longer term capability development. Where new technology is introduced primarily to increase efficiency, there is a risk that insufficient time is provided for employees to develop confidence in its use or consider the implications for quality and professional judgement. The organisation </w:t>
      </w:r>
      <w:r w:rsidRPr="00F645B5">
        <w:lastRenderedPageBreak/>
        <w:t xml:space="preserve">must therefore avoid assuming that faster implementation automatically represents successful change. Capacity for learning should be considered alongside immediate performance expectations so that efficiency improvements do not weaken the organisation’s ability to adapt sustainably. Workload is therefore not only a practical weakness but also a factor that can influence how effectively external pressure is converted into useful organisational change. </w:t>
      </w:r>
    </w:p>
    <w:p w14:paraId="1537B432" w14:textId="77777777" w:rsidR="00061325" w:rsidRDefault="00061325" w:rsidP="00061325">
      <w:r w:rsidRPr="00061325">
        <w:t>Social and workforce changes are also relevant. Increasingly complex, digitally mediated workplaces are accompanied by changing expectations around wellbeing, supportive leadership, communication and psychological safety. Employees are required to work across diverse teams, respond to rapid organisational change and manage increasing stakeholder expectations while maintaining professional performance.</w:t>
      </w:r>
    </w:p>
    <w:p w14:paraId="6118527C" w14:textId="01F7A9BF" w:rsidR="000B142C" w:rsidRDefault="006730F9" w:rsidP="00061325">
      <w:pPr>
        <w:pStyle w:val="Heading2"/>
      </w:pPr>
      <w:bookmarkStart w:id="4" w:name="_Toc242643336"/>
      <w:r w:rsidRPr="006730F9">
        <w:t>Micro Environment: SWOT Analysis</w:t>
      </w:r>
      <w:bookmarkEnd w:id="4"/>
    </w:p>
    <w:p w14:paraId="59B25340" w14:textId="77777777" w:rsidR="005E4566" w:rsidRPr="005E4566" w:rsidRDefault="005E4566" w:rsidP="005E4566">
      <w:r w:rsidRPr="005E4566">
        <w:t>The organisation has several internal strengths that support its ability to respond to change. It possesses substantial professional expertise, established digital infrastructure and experience of implementing organisation wide technological systems. Existing managerial behaviour also appears supportive of improvement. Workplace experience indicates that suggestions from employees are listened to even at relatively junior levels, while managers appropriately expect evidence before changes are implemented. This suggests a culture that is receptive to change without treating change itself as automatically beneficial.</w:t>
      </w:r>
    </w:p>
    <w:p w14:paraId="2930AC06" w14:textId="77777777" w:rsidR="005E4566" w:rsidRPr="005E4566" w:rsidRDefault="005E4566" w:rsidP="005E4566">
      <w:r w:rsidRPr="005E4566">
        <w:t>A further strength is knowledge sharing. Employees are encouraged to share more effective working practices, and existing recognition mechanisms can acknowledge useful contributions. However, the value of these mechanisms depends upon whether learning is transferred beyond the individual engagement or team. A useful idea may still remain local if its wider relevance is not recognised. The organisational challenge is therefore not necessarily creating a collaborative culture from the beginning, but making existing learning more consistent and durable.</w:t>
      </w:r>
    </w:p>
    <w:p w14:paraId="4B4419A0" w14:textId="77777777" w:rsidR="005E4566" w:rsidRDefault="005E4566" w:rsidP="005E4566">
      <w:r w:rsidRPr="005E4566">
        <w:t>The principal internal weakness is capacity. Audit workloads and deadlines can restrict the time available to develop, test and share improvements even where managers are receptive. This distinction is important because a lack of implemented change should not automatically be interpreted as resistance. Employees may recognise an inefficient process and still prioritise an immediate client deadline. Amabile and Pratt (2016) distinguish between productive time pressure and sustained pressure that can narrow attention towards immediate delivery.</w:t>
      </w:r>
    </w:p>
    <w:p w14:paraId="7AD49395" w14:textId="77777777" w:rsidR="002E71F8" w:rsidRDefault="002E71F8" w:rsidP="002E71F8">
      <w:r>
        <w:t xml:space="preserve">The organisation also has several opportunities arising from technological development and its existing culture. Increased use of AI and automation may improve efficiency, while established digital systems provide a platform from which successful practices can be developed and shared more widely. Knowledge sharing between teams creates a further opportunity to prevent useful improvements remaining within individual </w:t>
      </w:r>
      <w:r>
        <w:lastRenderedPageBreak/>
        <w:t>engagements. The combination of experienced professional judgement and the fresh perspectives of newer employees may also support the identification of more effective ways of working.</w:t>
      </w:r>
    </w:p>
    <w:p w14:paraId="47DA70CE" w14:textId="482EB4BD" w:rsidR="002E71F8" w:rsidRPr="005E4566" w:rsidRDefault="002E71F8" w:rsidP="002E71F8">
      <w:r>
        <w:t>However, many of these opportunities are accompanied by corresponding threats. Greater use of AI increases the importance of confidentiality, data security, professional judgement and appropriate human oversight. Rapid technological change may also create skills gaps if employee development does not keep pace with new systems. In addition, continued workload pressure may limit the time available to learn, test and evaluate new approaches. The same technological development can therefore represent both an opportunity and a threat depending on how it is governed and supported. This reinforces the need for change to be proportionate to risk rather than pursued solely because new technology is available.</w:t>
      </w:r>
    </w:p>
    <w:p w14:paraId="11B6CAB3" w14:textId="77777777" w:rsidR="005E4566" w:rsidRDefault="005E4566" w:rsidP="005E4566">
      <w:r w:rsidRPr="005E4566">
        <w:t>The organisation therefore appears relatively strong at implementing approved change, while there is less evidence concerning the consistency with which smaller ideas are captured and developed. This should not be interpreted as evidence of weak creativity or poor culture; rather, the available workplace evidence is stronger for implementation capability than for the earlier stages of change development.</w:t>
      </w:r>
    </w:p>
    <w:p w14:paraId="014AAEB7" w14:textId="30719D93" w:rsidR="000B142C" w:rsidRDefault="008C2E58" w:rsidP="005E4566">
      <w:pPr>
        <w:pStyle w:val="Heading2"/>
      </w:pPr>
      <w:bookmarkStart w:id="5" w:name="_Toc242643337"/>
      <w:r w:rsidRPr="008C2E58">
        <w:t>Impact on Organisational Culture and Capability</w:t>
      </w:r>
      <w:bookmarkEnd w:id="5"/>
    </w:p>
    <w:p w14:paraId="3A33DFD6" w14:textId="61C0646C" w:rsidR="00426D53" w:rsidRDefault="00E70FDD" w:rsidP="00E70FDD">
      <w:r>
        <w:t xml:space="preserve">The interaction between environmental pressure and organisational capability is more important than the identification of individual forces alone. The organisation already demonstrates significant capability in implementing approved change through established systems, technical expertise and governance. However, capability should not be judged solely by whether large projects can be successfully introduced. </w:t>
      </w:r>
      <w:r w:rsidR="00426D53" w:rsidRPr="00426D53">
        <w:t>Sustainable adaptation also requires employees to recognise problems, question existing practices, learn new skills and contribute knowledge (Cohen &amp; Levinthal, 1990).</w:t>
      </w:r>
    </w:p>
    <w:p w14:paraId="59088C6C" w14:textId="071C7F37" w:rsidR="00E70FDD" w:rsidRDefault="00E70FDD" w:rsidP="00E70FDD">
      <w:r>
        <w:t>Psychological safety is therefore relevant because employees must feel able to question routines, acknowledge uncertainty and suggest alternatives without interpersonal punishment</w:t>
      </w:r>
      <w:r w:rsidR="00DB35E1">
        <w:t xml:space="preserve"> </w:t>
      </w:r>
      <w:r w:rsidR="00DB35E1" w:rsidRPr="00DB35E1">
        <w:t>(Edmondson, 1999).</w:t>
      </w:r>
    </w:p>
    <w:p w14:paraId="37FFEA05" w14:textId="77777777" w:rsidR="00E70FDD" w:rsidRDefault="00E70FDD" w:rsidP="00E70FDD">
      <w:r>
        <w:t>More recent research strengthens that argument. Edmondson and Bransby (2023) describe psychological safety as increasingly important in complex and dynamic organisational environments and identify links with learning, performance and leadership.</w:t>
      </w:r>
    </w:p>
    <w:p w14:paraId="6FC19309" w14:textId="77777777" w:rsidR="00E70FDD" w:rsidRDefault="00E70FDD" w:rsidP="00E70FDD">
      <w:r>
        <w:t>The organisation's existing culture appears broadly supportive. Experienced employees provide technical judgement, while newer colleagues can contribute alternative perspectives and question routines that have become normalised. This should not be presented as a conflict between senior and junior employees, as stronger collective capability can develop when experience and fresh perspectives are combined.</w:t>
      </w:r>
    </w:p>
    <w:p w14:paraId="1353DFCB" w14:textId="5E1421D4" w:rsidR="00AF4AEE" w:rsidRDefault="00E70FDD" w:rsidP="00E70FDD">
      <w:r>
        <w:t xml:space="preserve">Autonomy must nevertheless remain proportionate to risk. This can be understood as autonomy with accountability: employees should have freedom to improve their work, </w:t>
      </w:r>
      <w:r>
        <w:lastRenderedPageBreak/>
        <w:t>but within clear professional boundaries. A reversible change to routine team coordination does not require the same level of scrutiny as a change affecting confidential data, audit evidence or methodology.</w:t>
      </w:r>
      <w:r w:rsidR="00B50A8F">
        <w:t xml:space="preserve"> </w:t>
      </w:r>
    </w:p>
    <w:p w14:paraId="67FBE618" w14:textId="449427AE" w:rsidR="00D43AA7" w:rsidRDefault="00D43AA7" w:rsidP="00E70FDD">
      <w:r w:rsidRPr="00D43AA7">
        <w:t>Organisational culture therefore influences whether external pressure is translated into sustainable capability. Digital infrastructure and professional expertise provide important resources, but these alone do not ensure that employees can respond effectively to continued change. Employees also require sufficient time, confidence and permission to question existing practice, develop new skills and contribute knowledge. Psychological safety can support this process by encouraging employees to raise uncertainty and challenge established routines, while clear professional boundaries ensure that openness does not weaken accountability. Similarly, autonomy is most effective where employees understand the limits within which they can experiment and when additional review is required. Organisational capability is therefore strongest when technical infrastructure, professional expertise, employee learning and appropriate governance operate together. The organisation appears to possess many of these strengths already, but its ability to respond consistently to future change will depend on whether sufficient capacity is created for employees to learn, experiment and adapt alongside existing delivery responsibilities.</w:t>
      </w:r>
    </w:p>
    <w:p w14:paraId="05DF880D" w14:textId="5ECD7DDC" w:rsidR="00227FFA" w:rsidRDefault="00227FFA" w:rsidP="00227FFA">
      <w:pPr>
        <w:pStyle w:val="Heading2"/>
      </w:pPr>
      <w:bookmarkStart w:id="6" w:name="_Toc242643338"/>
      <w:r>
        <w:t>Judgement</w:t>
      </w:r>
      <w:bookmarkEnd w:id="6"/>
    </w:p>
    <w:p w14:paraId="3B36301C" w14:textId="77777777" w:rsidR="000F6954" w:rsidRDefault="000F6954" w:rsidP="000F6954">
      <w:r w:rsidRPr="000F6954">
        <w:t>Based on the analysis, the organisation appears well positioned to respond to current forces for change. Existing digital infrastructure, professional expertise, supportive managerial behaviour and established knowledge sharing provide a strong foundation for adaptation. However, organisational capability depends upon more than the willingness to change. Workload and demanding deadlines can restrict the practical capacity available to develop, test and embed improvements, even where employees and managers are receptive. The organisation therefore appears stronger at implementing approved change than at consistently creating the time and opportunity for smaller improvements to develop. This distinction is important because limited change activity should not automatically be interpreted as cultural resistance. Overall, technological and regulatory pressures create the strongest requirement for continued adaptation, while maintaining audit quality requires autonomy, experimentation and governance to remain proportionate to professional risk.</w:t>
      </w:r>
    </w:p>
    <w:p w14:paraId="44A2D054" w14:textId="32B7409A" w:rsidR="00E507ED" w:rsidRDefault="00E507ED" w:rsidP="00E507ED">
      <w:pPr>
        <w:pStyle w:val="Heading1"/>
      </w:pPr>
      <w:bookmarkStart w:id="7" w:name="_Toc242643339"/>
      <w:r>
        <w:t>Leading Stakeholders Through Complex Workplace Change</w:t>
      </w:r>
      <w:bookmarkEnd w:id="7"/>
    </w:p>
    <w:p w14:paraId="64D0B12D" w14:textId="37AD4682" w:rsidR="000B142C" w:rsidRDefault="00E507ED" w:rsidP="00E507ED">
      <w:pPr>
        <w:pStyle w:val="Heading2"/>
      </w:pPr>
      <w:bookmarkStart w:id="8" w:name="_Toc242643340"/>
      <w:r>
        <w:t>Complex Change and Stakeholder Analysis</w:t>
      </w:r>
      <w:bookmarkEnd w:id="8"/>
    </w:p>
    <w:p w14:paraId="2D20E4A9" w14:textId="77777777" w:rsidR="00F46F6C" w:rsidRDefault="00F46F6C" w:rsidP="00F46F6C">
      <w:r>
        <w:t xml:space="preserve">The complex workplace change considered within this report is the increasing adoption of AI enabled tools within audit processes. Although AI may offer opportunities to improve efficiency and support the analysis of information, its use within audit also raises important considerations around professional judgement, confidentiality, accountability and regulatory compliance (FRC, 2026). AI adoption therefore cannot be viewed simply as the introduction of another digital system, as it may also affect employee capability, established working practices and the way decisions are reviewed. </w:t>
      </w:r>
      <w:r>
        <w:lastRenderedPageBreak/>
        <w:t>The complexity of the change is further increased by the range of stakeholders affected and by the differing levels of influence, responsibility and concern they hold.</w:t>
      </w:r>
    </w:p>
    <w:p w14:paraId="0D438662" w14:textId="61F0E403" w:rsidR="00D21F87" w:rsidRPr="00D86CB5" w:rsidRDefault="00F46F6C" w:rsidP="00F46F6C">
      <w:r>
        <w:t>Stakeholder analysis is important because organisational change can affect groups in different ways, while their ability to influence the change also varies. Within the adoption of AI enabled audit tools, some stakeholders have greater formal authority, while others have more direct involvement in how the change operates in practice. Mitchell et al. (1997) argue that stakeholder salience can be considered through power, legitimacy and urgency, which provides a useful basis for identifying which stakeholders require closer management, greater involvement or more targeted communication.</w:t>
      </w:r>
    </w:p>
    <w:tbl>
      <w:tblPr>
        <w:tblStyle w:val="TableGrid"/>
        <w:tblW w:w="5317" w:type="pct"/>
        <w:tblLook w:val="04A0" w:firstRow="1" w:lastRow="0" w:firstColumn="1" w:lastColumn="0" w:noHBand="0" w:noVBand="1"/>
      </w:tblPr>
      <w:tblGrid>
        <w:gridCol w:w="2388"/>
        <w:gridCol w:w="2869"/>
        <w:gridCol w:w="2399"/>
        <w:gridCol w:w="2287"/>
      </w:tblGrid>
      <w:tr w:rsidR="00DD3805" w:rsidRPr="00DD3805" w14:paraId="682512C0" w14:textId="77777777" w:rsidTr="00DD3805">
        <w:tc>
          <w:tcPr>
            <w:tcW w:w="0" w:type="auto"/>
            <w:hideMark/>
          </w:tcPr>
          <w:p w14:paraId="46118815" w14:textId="77777777" w:rsidR="00DD3805" w:rsidRPr="00DD3805" w:rsidRDefault="00DD3805" w:rsidP="00DD3805">
            <w:pPr>
              <w:rPr>
                <w:b/>
                <w:bCs/>
                <w:lang w:eastAsia="en-GB"/>
              </w:rPr>
            </w:pPr>
            <w:r w:rsidRPr="00DD3805">
              <w:rPr>
                <w:b/>
                <w:bCs/>
                <w:lang w:eastAsia="en-GB"/>
              </w:rPr>
              <w:t>Stakeholder</w:t>
            </w:r>
          </w:p>
        </w:tc>
        <w:tc>
          <w:tcPr>
            <w:tcW w:w="0" w:type="auto"/>
            <w:hideMark/>
          </w:tcPr>
          <w:p w14:paraId="299E623A" w14:textId="77777777" w:rsidR="00DD3805" w:rsidRPr="00DD3805" w:rsidRDefault="00DD3805" w:rsidP="00DD3805">
            <w:pPr>
              <w:rPr>
                <w:b/>
                <w:bCs/>
                <w:lang w:eastAsia="en-GB"/>
              </w:rPr>
            </w:pPr>
            <w:r w:rsidRPr="00DD3805">
              <w:rPr>
                <w:b/>
                <w:bCs/>
                <w:lang w:eastAsia="en-GB"/>
              </w:rPr>
              <w:t>Likely interest/concern</w:t>
            </w:r>
          </w:p>
        </w:tc>
        <w:tc>
          <w:tcPr>
            <w:tcW w:w="0" w:type="auto"/>
            <w:hideMark/>
          </w:tcPr>
          <w:p w14:paraId="3C2B0152" w14:textId="77777777" w:rsidR="00DD3805" w:rsidRPr="00DD3805" w:rsidRDefault="00DD3805" w:rsidP="00DD3805">
            <w:pPr>
              <w:rPr>
                <w:b/>
                <w:bCs/>
                <w:lang w:eastAsia="en-GB"/>
              </w:rPr>
            </w:pPr>
            <w:r w:rsidRPr="00DD3805">
              <w:rPr>
                <w:b/>
                <w:bCs/>
                <w:lang w:eastAsia="en-GB"/>
              </w:rPr>
              <w:t>Power/influence</w:t>
            </w:r>
          </w:p>
        </w:tc>
        <w:tc>
          <w:tcPr>
            <w:tcW w:w="0" w:type="auto"/>
            <w:hideMark/>
          </w:tcPr>
          <w:p w14:paraId="58DE6DBF" w14:textId="77777777" w:rsidR="00DD3805" w:rsidRPr="00DD3805" w:rsidRDefault="00DD3805" w:rsidP="00DD3805">
            <w:pPr>
              <w:rPr>
                <w:b/>
                <w:bCs/>
                <w:lang w:eastAsia="en-GB"/>
              </w:rPr>
            </w:pPr>
            <w:r w:rsidRPr="00DD3805">
              <w:rPr>
                <w:b/>
                <w:bCs/>
                <w:lang w:eastAsia="en-GB"/>
              </w:rPr>
              <w:t>Approach</w:t>
            </w:r>
          </w:p>
        </w:tc>
      </w:tr>
      <w:tr w:rsidR="00DD3805" w:rsidRPr="00DD3805" w14:paraId="1948410C" w14:textId="77777777" w:rsidTr="00DD3805">
        <w:tc>
          <w:tcPr>
            <w:tcW w:w="0" w:type="auto"/>
            <w:hideMark/>
          </w:tcPr>
          <w:p w14:paraId="714D2BD6" w14:textId="77777777" w:rsidR="00DD3805" w:rsidRPr="00DD3805" w:rsidRDefault="00DD3805" w:rsidP="00DD3805">
            <w:pPr>
              <w:rPr>
                <w:lang w:eastAsia="en-GB"/>
              </w:rPr>
            </w:pPr>
            <w:r w:rsidRPr="00DD3805">
              <w:rPr>
                <w:lang w:eastAsia="en-GB"/>
              </w:rPr>
              <w:t>Partners and senior leadership</w:t>
            </w:r>
          </w:p>
        </w:tc>
        <w:tc>
          <w:tcPr>
            <w:tcW w:w="0" w:type="auto"/>
            <w:hideMark/>
          </w:tcPr>
          <w:p w14:paraId="389793A6" w14:textId="77777777" w:rsidR="00DD3805" w:rsidRPr="00DD3805" w:rsidRDefault="00DD3805" w:rsidP="00DD3805">
            <w:pPr>
              <w:rPr>
                <w:lang w:eastAsia="en-GB"/>
              </w:rPr>
            </w:pPr>
            <w:r w:rsidRPr="00DD3805">
              <w:rPr>
                <w:lang w:eastAsia="en-GB"/>
              </w:rPr>
              <w:t>Audit quality, efficiency, risk and reputation</w:t>
            </w:r>
          </w:p>
        </w:tc>
        <w:tc>
          <w:tcPr>
            <w:tcW w:w="0" w:type="auto"/>
            <w:hideMark/>
          </w:tcPr>
          <w:p w14:paraId="2A081827" w14:textId="77777777" w:rsidR="00DD3805" w:rsidRPr="00DD3805" w:rsidRDefault="00DD3805" w:rsidP="00DD3805">
            <w:pPr>
              <w:rPr>
                <w:lang w:eastAsia="en-GB"/>
              </w:rPr>
            </w:pPr>
            <w:r w:rsidRPr="00DD3805">
              <w:rPr>
                <w:lang w:eastAsia="en-GB"/>
              </w:rPr>
              <w:t>High</w:t>
            </w:r>
          </w:p>
        </w:tc>
        <w:tc>
          <w:tcPr>
            <w:tcW w:w="0" w:type="auto"/>
            <w:hideMark/>
          </w:tcPr>
          <w:p w14:paraId="139369A3" w14:textId="77777777" w:rsidR="00DD3805" w:rsidRPr="00DD3805" w:rsidRDefault="00DD3805" w:rsidP="00DD3805">
            <w:pPr>
              <w:rPr>
                <w:lang w:eastAsia="en-GB"/>
              </w:rPr>
            </w:pPr>
            <w:r w:rsidRPr="00DD3805">
              <w:rPr>
                <w:lang w:eastAsia="en-GB"/>
              </w:rPr>
              <w:t>Manage closely</w:t>
            </w:r>
          </w:p>
        </w:tc>
      </w:tr>
      <w:tr w:rsidR="00DD3805" w:rsidRPr="00DD3805" w14:paraId="1EFC41AC" w14:textId="77777777" w:rsidTr="00DD3805">
        <w:tc>
          <w:tcPr>
            <w:tcW w:w="0" w:type="auto"/>
            <w:hideMark/>
          </w:tcPr>
          <w:p w14:paraId="03F430FF" w14:textId="77777777" w:rsidR="00DD3805" w:rsidRPr="00DD3805" w:rsidRDefault="00DD3805" w:rsidP="00DD3805">
            <w:pPr>
              <w:rPr>
                <w:lang w:eastAsia="en-GB"/>
              </w:rPr>
            </w:pPr>
            <w:r w:rsidRPr="00DD3805">
              <w:rPr>
                <w:lang w:eastAsia="en-GB"/>
              </w:rPr>
              <w:t>Audit managers and teams</w:t>
            </w:r>
          </w:p>
        </w:tc>
        <w:tc>
          <w:tcPr>
            <w:tcW w:w="0" w:type="auto"/>
            <w:hideMark/>
          </w:tcPr>
          <w:p w14:paraId="4A084CA0" w14:textId="77777777" w:rsidR="00DD3805" w:rsidRPr="00DD3805" w:rsidRDefault="00DD3805" w:rsidP="00DD3805">
            <w:pPr>
              <w:rPr>
                <w:lang w:eastAsia="en-GB"/>
              </w:rPr>
            </w:pPr>
            <w:r w:rsidRPr="00DD3805">
              <w:rPr>
                <w:lang w:eastAsia="en-GB"/>
              </w:rPr>
              <w:t>Workflow, skills, accountability and implementation</w:t>
            </w:r>
          </w:p>
        </w:tc>
        <w:tc>
          <w:tcPr>
            <w:tcW w:w="0" w:type="auto"/>
            <w:hideMark/>
          </w:tcPr>
          <w:p w14:paraId="3B70737C" w14:textId="77777777" w:rsidR="00DD3805" w:rsidRPr="00DD3805" w:rsidRDefault="00DD3805" w:rsidP="00DD3805">
            <w:pPr>
              <w:rPr>
                <w:lang w:eastAsia="en-GB"/>
              </w:rPr>
            </w:pPr>
            <w:r w:rsidRPr="00DD3805">
              <w:rPr>
                <w:lang w:eastAsia="en-GB"/>
              </w:rPr>
              <w:t>High</w:t>
            </w:r>
          </w:p>
        </w:tc>
        <w:tc>
          <w:tcPr>
            <w:tcW w:w="0" w:type="auto"/>
            <w:hideMark/>
          </w:tcPr>
          <w:p w14:paraId="640B4252" w14:textId="77777777" w:rsidR="00DD3805" w:rsidRPr="00DD3805" w:rsidRDefault="00DD3805" w:rsidP="00DD3805">
            <w:pPr>
              <w:rPr>
                <w:lang w:eastAsia="en-GB"/>
              </w:rPr>
            </w:pPr>
            <w:r w:rsidRPr="00DD3805">
              <w:rPr>
                <w:lang w:eastAsia="en-GB"/>
              </w:rPr>
              <w:t>Manage closely</w:t>
            </w:r>
          </w:p>
        </w:tc>
      </w:tr>
      <w:tr w:rsidR="00DD3805" w:rsidRPr="00DD3805" w14:paraId="3F17550E" w14:textId="77777777" w:rsidTr="00DD3805">
        <w:tc>
          <w:tcPr>
            <w:tcW w:w="0" w:type="auto"/>
            <w:hideMark/>
          </w:tcPr>
          <w:p w14:paraId="4E701CF4" w14:textId="77777777" w:rsidR="00DD3805" w:rsidRPr="00DD3805" w:rsidRDefault="00DD3805" w:rsidP="00DD3805">
            <w:pPr>
              <w:rPr>
                <w:lang w:eastAsia="en-GB"/>
              </w:rPr>
            </w:pPr>
            <w:r w:rsidRPr="00DD3805">
              <w:rPr>
                <w:lang w:eastAsia="en-GB"/>
              </w:rPr>
              <w:t>Audit employees</w:t>
            </w:r>
          </w:p>
        </w:tc>
        <w:tc>
          <w:tcPr>
            <w:tcW w:w="0" w:type="auto"/>
            <w:hideMark/>
          </w:tcPr>
          <w:p w14:paraId="3E13A2B2" w14:textId="77777777" w:rsidR="00DD3805" w:rsidRPr="00DD3805" w:rsidRDefault="00DD3805" w:rsidP="00DD3805">
            <w:pPr>
              <w:rPr>
                <w:lang w:eastAsia="en-GB"/>
              </w:rPr>
            </w:pPr>
            <w:r w:rsidRPr="00DD3805">
              <w:rPr>
                <w:lang w:eastAsia="en-GB"/>
              </w:rPr>
              <w:t>Training, competence, workload and role implications</w:t>
            </w:r>
          </w:p>
        </w:tc>
        <w:tc>
          <w:tcPr>
            <w:tcW w:w="0" w:type="auto"/>
            <w:hideMark/>
          </w:tcPr>
          <w:p w14:paraId="12554947" w14:textId="77777777" w:rsidR="00DD3805" w:rsidRPr="00DD3805" w:rsidRDefault="00DD3805" w:rsidP="00DD3805">
            <w:pPr>
              <w:rPr>
                <w:lang w:eastAsia="en-GB"/>
              </w:rPr>
            </w:pPr>
            <w:r w:rsidRPr="00DD3805">
              <w:rPr>
                <w:lang w:eastAsia="en-GB"/>
              </w:rPr>
              <w:t>High interest, lower formal power</w:t>
            </w:r>
          </w:p>
        </w:tc>
        <w:tc>
          <w:tcPr>
            <w:tcW w:w="0" w:type="auto"/>
            <w:hideMark/>
          </w:tcPr>
          <w:p w14:paraId="6CE8EEA0" w14:textId="77777777" w:rsidR="00DD3805" w:rsidRPr="00DD3805" w:rsidRDefault="00DD3805" w:rsidP="00DD3805">
            <w:pPr>
              <w:rPr>
                <w:lang w:eastAsia="en-GB"/>
              </w:rPr>
            </w:pPr>
            <w:r w:rsidRPr="00DD3805">
              <w:rPr>
                <w:lang w:eastAsia="en-GB"/>
              </w:rPr>
              <w:t>Actively involve</w:t>
            </w:r>
          </w:p>
        </w:tc>
      </w:tr>
      <w:tr w:rsidR="00DD3805" w:rsidRPr="00DD3805" w14:paraId="1B6B2BFB" w14:textId="77777777" w:rsidTr="00DD3805">
        <w:tc>
          <w:tcPr>
            <w:tcW w:w="0" w:type="auto"/>
            <w:hideMark/>
          </w:tcPr>
          <w:p w14:paraId="7D26C755" w14:textId="77777777" w:rsidR="00DD3805" w:rsidRPr="00DD3805" w:rsidRDefault="00DD3805" w:rsidP="00DD3805">
            <w:pPr>
              <w:rPr>
                <w:lang w:eastAsia="en-GB"/>
              </w:rPr>
            </w:pPr>
            <w:r w:rsidRPr="00DD3805">
              <w:rPr>
                <w:lang w:eastAsia="en-GB"/>
              </w:rPr>
              <w:t>Technology and data specialists</w:t>
            </w:r>
          </w:p>
        </w:tc>
        <w:tc>
          <w:tcPr>
            <w:tcW w:w="0" w:type="auto"/>
            <w:hideMark/>
          </w:tcPr>
          <w:p w14:paraId="53BA127F" w14:textId="77777777" w:rsidR="00DD3805" w:rsidRPr="00DD3805" w:rsidRDefault="00DD3805" w:rsidP="00DD3805">
            <w:pPr>
              <w:rPr>
                <w:lang w:eastAsia="en-GB"/>
              </w:rPr>
            </w:pPr>
            <w:r w:rsidRPr="00DD3805">
              <w:rPr>
                <w:lang w:eastAsia="en-GB"/>
              </w:rPr>
              <w:t>Functionality, security and implementation</w:t>
            </w:r>
          </w:p>
        </w:tc>
        <w:tc>
          <w:tcPr>
            <w:tcW w:w="0" w:type="auto"/>
            <w:hideMark/>
          </w:tcPr>
          <w:p w14:paraId="24646D7A" w14:textId="77777777" w:rsidR="00DD3805" w:rsidRPr="00DD3805" w:rsidRDefault="00DD3805" w:rsidP="00DD3805">
            <w:pPr>
              <w:rPr>
                <w:lang w:eastAsia="en-GB"/>
              </w:rPr>
            </w:pPr>
            <w:r w:rsidRPr="00DD3805">
              <w:rPr>
                <w:lang w:eastAsia="en-GB"/>
              </w:rPr>
              <w:t>High specialist influence</w:t>
            </w:r>
          </w:p>
        </w:tc>
        <w:tc>
          <w:tcPr>
            <w:tcW w:w="0" w:type="auto"/>
            <w:hideMark/>
          </w:tcPr>
          <w:p w14:paraId="3BC8A4E8" w14:textId="77777777" w:rsidR="00DD3805" w:rsidRPr="00DD3805" w:rsidRDefault="00DD3805" w:rsidP="00DD3805">
            <w:pPr>
              <w:rPr>
                <w:lang w:eastAsia="en-GB"/>
              </w:rPr>
            </w:pPr>
            <w:r w:rsidRPr="00DD3805">
              <w:rPr>
                <w:lang w:eastAsia="en-GB"/>
              </w:rPr>
              <w:t>Manage closely</w:t>
            </w:r>
          </w:p>
        </w:tc>
      </w:tr>
      <w:tr w:rsidR="00DD3805" w:rsidRPr="00DD3805" w14:paraId="25FF1B45" w14:textId="77777777" w:rsidTr="00DD3805">
        <w:tc>
          <w:tcPr>
            <w:tcW w:w="0" w:type="auto"/>
            <w:hideMark/>
          </w:tcPr>
          <w:p w14:paraId="7982EB89" w14:textId="77777777" w:rsidR="00DD3805" w:rsidRPr="00DD3805" w:rsidRDefault="00DD3805" w:rsidP="00DD3805">
            <w:pPr>
              <w:rPr>
                <w:lang w:eastAsia="en-GB"/>
              </w:rPr>
            </w:pPr>
            <w:r w:rsidRPr="00DD3805">
              <w:rPr>
                <w:lang w:eastAsia="en-GB"/>
              </w:rPr>
              <w:t>Risk, methodology and independence teams</w:t>
            </w:r>
          </w:p>
        </w:tc>
        <w:tc>
          <w:tcPr>
            <w:tcW w:w="0" w:type="auto"/>
            <w:hideMark/>
          </w:tcPr>
          <w:p w14:paraId="2E92DF2E" w14:textId="77777777" w:rsidR="00DD3805" w:rsidRPr="00DD3805" w:rsidRDefault="00DD3805" w:rsidP="00DD3805">
            <w:pPr>
              <w:rPr>
                <w:lang w:eastAsia="en-GB"/>
              </w:rPr>
            </w:pPr>
            <w:r w:rsidRPr="00DD3805">
              <w:rPr>
                <w:lang w:eastAsia="en-GB"/>
              </w:rPr>
              <w:t>Compliance, professional judgement and audit quality</w:t>
            </w:r>
          </w:p>
        </w:tc>
        <w:tc>
          <w:tcPr>
            <w:tcW w:w="0" w:type="auto"/>
            <w:hideMark/>
          </w:tcPr>
          <w:p w14:paraId="5388BDA7" w14:textId="77777777" w:rsidR="00DD3805" w:rsidRPr="00DD3805" w:rsidRDefault="00DD3805" w:rsidP="00DD3805">
            <w:pPr>
              <w:rPr>
                <w:lang w:eastAsia="en-GB"/>
              </w:rPr>
            </w:pPr>
            <w:r w:rsidRPr="00DD3805">
              <w:rPr>
                <w:lang w:eastAsia="en-GB"/>
              </w:rPr>
              <w:t>High</w:t>
            </w:r>
          </w:p>
        </w:tc>
        <w:tc>
          <w:tcPr>
            <w:tcW w:w="0" w:type="auto"/>
            <w:hideMark/>
          </w:tcPr>
          <w:p w14:paraId="3FE0969F" w14:textId="77777777" w:rsidR="00DD3805" w:rsidRPr="00DD3805" w:rsidRDefault="00DD3805" w:rsidP="00DD3805">
            <w:pPr>
              <w:rPr>
                <w:lang w:eastAsia="en-GB"/>
              </w:rPr>
            </w:pPr>
            <w:r w:rsidRPr="00DD3805">
              <w:rPr>
                <w:lang w:eastAsia="en-GB"/>
              </w:rPr>
              <w:t>Manage closely</w:t>
            </w:r>
          </w:p>
        </w:tc>
      </w:tr>
      <w:tr w:rsidR="00DD3805" w:rsidRPr="00DD3805" w14:paraId="043370FA" w14:textId="77777777" w:rsidTr="00DD3805">
        <w:tc>
          <w:tcPr>
            <w:tcW w:w="0" w:type="auto"/>
            <w:hideMark/>
          </w:tcPr>
          <w:p w14:paraId="46C5E0CF" w14:textId="77777777" w:rsidR="00DD3805" w:rsidRPr="00DD3805" w:rsidRDefault="00DD3805" w:rsidP="00DD3805">
            <w:pPr>
              <w:rPr>
                <w:lang w:eastAsia="en-GB"/>
              </w:rPr>
            </w:pPr>
            <w:r w:rsidRPr="00DD3805">
              <w:rPr>
                <w:lang w:eastAsia="en-GB"/>
              </w:rPr>
              <w:t>Clients</w:t>
            </w:r>
          </w:p>
        </w:tc>
        <w:tc>
          <w:tcPr>
            <w:tcW w:w="0" w:type="auto"/>
            <w:hideMark/>
          </w:tcPr>
          <w:p w14:paraId="304E4EA0" w14:textId="77777777" w:rsidR="00DD3805" w:rsidRPr="00DD3805" w:rsidRDefault="00DD3805" w:rsidP="00DD3805">
            <w:pPr>
              <w:rPr>
                <w:lang w:eastAsia="en-GB"/>
              </w:rPr>
            </w:pPr>
            <w:r w:rsidRPr="00DD3805">
              <w:rPr>
                <w:lang w:eastAsia="en-GB"/>
              </w:rPr>
              <w:t>Efficiency, confidentiality and trust</w:t>
            </w:r>
          </w:p>
        </w:tc>
        <w:tc>
          <w:tcPr>
            <w:tcW w:w="0" w:type="auto"/>
            <w:hideMark/>
          </w:tcPr>
          <w:p w14:paraId="472B1968" w14:textId="77777777" w:rsidR="00DD3805" w:rsidRPr="00DD3805" w:rsidRDefault="00DD3805" w:rsidP="00DD3805">
            <w:pPr>
              <w:rPr>
                <w:lang w:eastAsia="en-GB"/>
              </w:rPr>
            </w:pPr>
            <w:r w:rsidRPr="00DD3805">
              <w:rPr>
                <w:lang w:eastAsia="en-GB"/>
              </w:rPr>
              <w:t>Variable</w:t>
            </w:r>
          </w:p>
        </w:tc>
        <w:tc>
          <w:tcPr>
            <w:tcW w:w="0" w:type="auto"/>
            <w:hideMark/>
          </w:tcPr>
          <w:p w14:paraId="5B7A76FB" w14:textId="77777777" w:rsidR="00DD3805" w:rsidRPr="00DD3805" w:rsidRDefault="00DD3805" w:rsidP="00DD3805">
            <w:pPr>
              <w:rPr>
                <w:lang w:eastAsia="en-GB"/>
              </w:rPr>
            </w:pPr>
            <w:r w:rsidRPr="00DD3805">
              <w:rPr>
                <w:lang w:eastAsia="en-GB"/>
              </w:rPr>
              <w:t>Keep informed and appropriately involved</w:t>
            </w:r>
          </w:p>
        </w:tc>
      </w:tr>
      <w:tr w:rsidR="00DD3805" w:rsidRPr="00DD3805" w14:paraId="40658FA9" w14:textId="77777777" w:rsidTr="00DD3805">
        <w:tc>
          <w:tcPr>
            <w:tcW w:w="0" w:type="auto"/>
            <w:hideMark/>
          </w:tcPr>
          <w:p w14:paraId="4481C89D" w14:textId="77777777" w:rsidR="00DD3805" w:rsidRPr="00DD3805" w:rsidRDefault="00DD3805" w:rsidP="00DD3805">
            <w:pPr>
              <w:rPr>
                <w:lang w:eastAsia="en-GB"/>
              </w:rPr>
            </w:pPr>
            <w:r w:rsidRPr="00DD3805">
              <w:rPr>
                <w:lang w:eastAsia="en-GB"/>
              </w:rPr>
              <w:t>Regulators and professional bodies</w:t>
            </w:r>
          </w:p>
        </w:tc>
        <w:tc>
          <w:tcPr>
            <w:tcW w:w="0" w:type="auto"/>
            <w:hideMark/>
          </w:tcPr>
          <w:p w14:paraId="41FA05CD" w14:textId="77777777" w:rsidR="00DD3805" w:rsidRPr="00DD3805" w:rsidRDefault="00DD3805" w:rsidP="00DD3805">
            <w:pPr>
              <w:rPr>
                <w:lang w:eastAsia="en-GB"/>
              </w:rPr>
            </w:pPr>
            <w:r w:rsidRPr="00DD3805">
              <w:rPr>
                <w:lang w:eastAsia="en-GB"/>
              </w:rPr>
              <w:t>Audit quality and professional standards</w:t>
            </w:r>
          </w:p>
        </w:tc>
        <w:tc>
          <w:tcPr>
            <w:tcW w:w="0" w:type="auto"/>
            <w:hideMark/>
          </w:tcPr>
          <w:p w14:paraId="2FBD705A" w14:textId="77777777" w:rsidR="00DD3805" w:rsidRPr="00DD3805" w:rsidRDefault="00DD3805" w:rsidP="00DD3805">
            <w:pPr>
              <w:rPr>
                <w:lang w:eastAsia="en-GB"/>
              </w:rPr>
            </w:pPr>
            <w:r w:rsidRPr="00DD3805">
              <w:rPr>
                <w:lang w:eastAsia="en-GB"/>
              </w:rPr>
              <w:t>High external influence</w:t>
            </w:r>
          </w:p>
        </w:tc>
        <w:tc>
          <w:tcPr>
            <w:tcW w:w="0" w:type="auto"/>
            <w:hideMark/>
          </w:tcPr>
          <w:p w14:paraId="118BEF3C" w14:textId="77777777" w:rsidR="00DD3805" w:rsidRPr="00DD3805" w:rsidRDefault="00DD3805" w:rsidP="00DD3805">
            <w:pPr>
              <w:rPr>
                <w:lang w:eastAsia="en-GB"/>
              </w:rPr>
            </w:pPr>
            <w:r w:rsidRPr="00DD3805">
              <w:rPr>
                <w:lang w:eastAsia="en-GB"/>
              </w:rPr>
              <w:t>Meet requirements and maintain confidence</w:t>
            </w:r>
          </w:p>
        </w:tc>
      </w:tr>
    </w:tbl>
    <w:p w14:paraId="44CE88B0" w14:textId="77777777" w:rsidR="00DD3805" w:rsidRDefault="00DD3805" w:rsidP="004B2BD6">
      <w:pPr>
        <w:pStyle w:val="Heading2"/>
      </w:pPr>
    </w:p>
    <w:p w14:paraId="3593470D" w14:textId="497A08F8" w:rsidR="00E519F2" w:rsidRPr="00E519F2" w:rsidRDefault="00F46F6C" w:rsidP="00E519F2">
      <w:r w:rsidRPr="00F46F6C">
        <w:t>The stakeholder analysis demonstrates that a single approach to leading change would be inappropriate. Senior leaders, risk teams, technology specialists and regulators hold greater formal or specialist influence and therefore require detailed information, clear accountability and evidence that the change is being implemented responsibly. Audit employees and managers, however, are more directly involved in the day to day operation of the change and are likely to require greater participation, training and opportunities to provide feedback. Clients also have an important interest in confidentiality, service quality and trust, although their level of direct involvement in implementation is more limited. It is therefore reasonable to conclude that effective stakeholder leadership should be adapted according to the level of influence, responsibility and exposure each group has to the change, rather than relying on a standardised communication approach</w:t>
      </w:r>
      <w:r w:rsidR="00CE01A8">
        <w:t xml:space="preserve"> </w:t>
      </w:r>
      <w:r w:rsidR="00CE01A8" w:rsidRPr="00CE01A8">
        <w:t>(Bridoux &amp; Stoelhorst, 2022).</w:t>
      </w:r>
    </w:p>
    <w:p w14:paraId="6F5977E9" w14:textId="755E7C2C" w:rsidR="004B2BD6" w:rsidRDefault="004B2BD6" w:rsidP="004B2BD6">
      <w:pPr>
        <w:pStyle w:val="Heading2"/>
      </w:pPr>
      <w:bookmarkStart w:id="9" w:name="_Toc242643341"/>
      <w:r w:rsidRPr="004B2BD6">
        <w:lastRenderedPageBreak/>
        <w:t>Applying Change Theory</w:t>
      </w:r>
      <w:bookmarkEnd w:id="9"/>
    </w:p>
    <w:p w14:paraId="2A2369A2" w14:textId="77777777" w:rsidR="00C34995" w:rsidRDefault="00C34995" w:rsidP="00C34995">
      <w:r>
        <w:t>Kotter’s model provides a structured approach to organisational change by moving from establishing the need for change through to building support, communicating direction, removing barriers and embedding new practice (Kotter, 1996). Applied to the increasing adoption of AI enabled audit tools, the model is useful because implementation would require more than simply introducing new technology. Employees would need to understand why the change is necessary, how it affects existing working practices and what expectations remain around professional judgement, quality and accountability.</w:t>
      </w:r>
    </w:p>
    <w:p w14:paraId="2B98465E" w14:textId="77777777" w:rsidR="00C34995" w:rsidRDefault="00C34995" w:rsidP="00C34995">
      <w:r>
        <w:t>Changes affecting working papers, client data or audit methodology require clear ownership, testing and approval. Governance should also reflect the level of risk rather than being applied equally to all changes. Changes involving AI, automated decision support or confidential information therefore require stronger review and controlled testing than lower risk operational improvements.</w:t>
      </w:r>
    </w:p>
    <w:p w14:paraId="0BD047D0" w14:textId="77777777" w:rsidR="00C34995" w:rsidRDefault="00C34995" w:rsidP="00C34995">
      <w:r>
        <w:t>Kotter’s emphasis on removing barriers is also relevant because support for change does not automatically mean employees have sufficient capacity to adopt it effectively. Workload and deadlines may create practical constraints even where managers are receptive to improvement. Employees may therefore understand the purpose of AI adoption but still lack the time to develop confidence, test new processes or contribute feedback. This suggests that implementation should include protected time for learning, clear guidance and opportunities to identify problems as they emerge.</w:t>
      </w:r>
    </w:p>
    <w:p w14:paraId="505FAADD" w14:textId="77777777" w:rsidR="00C34995" w:rsidRDefault="00C34995" w:rsidP="00C34995">
      <w:r>
        <w:t>Testing and feedback are particularly important because successful implementation should not be judged simply by whether a new tool has been introduced. Changes should therefore move through controlled testing, user feedback and review before wider implementation, particularly where audit quality or confidential information could be affected. The type and level of evidence required should also reflect the level of risk.</w:t>
      </w:r>
    </w:p>
    <w:p w14:paraId="012AB1E3" w14:textId="77777777" w:rsidR="00C34995" w:rsidRDefault="00C34995" w:rsidP="00C34995">
      <w:r>
        <w:t>However, Kotter should not be treated as a fixed sequence that guarantees successful change. Complex technological change is likely to require iteration because employee feedback, regulatory expectations and emerging risks may require earlier decisions to be reconsidered. This is particularly relevant to AI adoption, where the technology itself continues to develop. Hughes (2022) also cautions against overly simplified assumptions about planned organisational change, supporting the view that change models should inform judgement rather than be treated as fixed formulas.</w:t>
      </w:r>
    </w:p>
    <w:p w14:paraId="5DF6FD85" w14:textId="77777777" w:rsidR="00C34995" w:rsidRDefault="00C34995" w:rsidP="00C34995">
      <w:r>
        <w:t>This critical position is also consistent with limitations associated with rigid and overly linear change processes, which can become bureaucratic even though learning, setbacks and feedback may require iteration. A structured process can reduce uncertainty, but excessive control may discourage participation or delay useful improvements.</w:t>
      </w:r>
    </w:p>
    <w:p w14:paraId="6768D006" w14:textId="77777777" w:rsidR="00C34995" w:rsidRDefault="00C34995" w:rsidP="00C34995">
      <w:r>
        <w:t xml:space="preserve">Lewin’s model provides a broader way of understanding the same change through the stages of unfreezing, changing and refreezing (Lewin, 1947). In this context, unfreezing would involve challenging established working practices and developing readiness for </w:t>
      </w:r>
      <w:r>
        <w:lastRenderedPageBreak/>
        <w:t>AI enabled processes, while the change stage would involve training, testing and implementation. Refreezing would involve embedding effective practices into normal working arrangements. However, the concept of a permanent refreeze may be less suited to AI related change where technology, regulation and organisational expectations continue to evolve.</w:t>
      </w:r>
    </w:p>
    <w:p w14:paraId="3804D615" w14:textId="3B017363" w:rsidR="0081063F" w:rsidRDefault="00C34995" w:rsidP="00C34995">
      <w:r>
        <w:t>Burnes (2020) argues that Lewin’s work is more sophisticated than the simplified three stage interpretation often presented. This suggests that the model remains useful for understanding transition, but its application should allow for continued adaptation rather than assuming that change reaches a permanently stable end point.</w:t>
      </w:r>
    </w:p>
    <w:p w14:paraId="783B1A8F" w14:textId="2C95C4E3" w:rsidR="00F563D9" w:rsidRDefault="00406FA9" w:rsidP="00406FA9">
      <w:pPr>
        <w:pStyle w:val="Heading2"/>
      </w:pPr>
      <w:bookmarkStart w:id="10" w:name="_Toc242643342"/>
      <w:r w:rsidRPr="00406FA9">
        <w:t>Emotional Responses, Resistance and Leadership</w:t>
      </w:r>
      <w:bookmarkEnd w:id="10"/>
    </w:p>
    <w:p w14:paraId="3226CBA6" w14:textId="77777777" w:rsidR="00B01250" w:rsidRPr="00B01250" w:rsidRDefault="00B01250" w:rsidP="00B01250">
      <w:r w:rsidRPr="00B01250">
        <w:t>Change is not experienced solely as an operational process. Employees may understand the organisational reasons for adopting AI enabled audit tools while still experiencing uncertainty about their competence, workload, autonomy or future role. Leadership during change therefore requires more than explaining the technical purpose of a new system. Emotionally aware leaders are better placed to recognise employee perspectives, regulate their own responses and adapt communication to different situations. However, emotional intelligence should not be treated as a solution to structural problems, as inadequate resources, unrealistic workloads or unclear expectations may still limit employees’ ability to engage effectively with change.</w:t>
      </w:r>
    </w:p>
    <w:p w14:paraId="155F6956" w14:textId="4CE6CA8E" w:rsidR="00B01250" w:rsidRPr="00B01250" w:rsidRDefault="00B01250" w:rsidP="00B01250">
      <w:r w:rsidRPr="00B01250">
        <w:t>Communication is particularly important during complex change because the way information is delivered can influence how employees respond. Endrejat et al. (2021) found that communication which restricts autonomy can undermine change readiness, whereas communication that supports employees’ psychological needs can improve reactions to change. This is relevant to AI adoption because employees may require opportunities to ask questions, understand how their responsibilities are changing and contribute feedback on how new tools operate in practice. Resistance should therefore not automatically be interpreted as an unwillingness to change, as concerns may instead reflect uncertainty, limited confidence, insufficient information or legitimate questions relating to risk and accountability</w:t>
      </w:r>
      <w:r w:rsidR="00C54236">
        <w:t xml:space="preserve"> </w:t>
      </w:r>
      <w:r w:rsidR="00C54236" w:rsidRPr="00C54236">
        <w:t>(Warrick, 2023)</w:t>
      </w:r>
      <w:r w:rsidR="00C54236">
        <w:t>.</w:t>
      </w:r>
    </w:p>
    <w:p w14:paraId="0858CD68" w14:textId="5077DED8" w:rsidR="00B01250" w:rsidRPr="00B01250" w:rsidRDefault="00B01250" w:rsidP="00B01250">
      <w:r w:rsidRPr="00B01250">
        <w:t>Leadership approaches should also reflect differences in employee knowledge, confidence, motivation and experience. Employees are more likely to perform confidently when they understand why a task matters and when responsibility is increased gradually as capability develops</w:t>
      </w:r>
      <w:r w:rsidR="00185A80">
        <w:t xml:space="preserve"> </w:t>
      </w:r>
      <w:r w:rsidR="00954C3E" w:rsidRPr="00954C3E">
        <w:t>(Deci et al., 2017; Gagné et al., 2022).</w:t>
      </w:r>
      <w:r w:rsidR="00C54236">
        <w:t xml:space="preserve"> </w:t>
      </w:r>
      <w:r w:rsidRPr="00B01250">
        <w:t>Support should therefore reduce as confidence grows, allowing employees to become increasingly independent rather than dependent upon continued direction. In the context of AI enabled processes, a more directive approach may initially be appropriate where employees have limited experience of the technology. As competence develops, greater autonomy can be introduced, allowing employees to apply their own judgement while knowing that support remains available where required.</w:t>
      </w:r>
    </w:p>
    <w:p w14:paraId="51CCB4FE" w14:textId="77777777" w:rsidR="00B01250" w:rsidRPr="00B01250" w:rsidRDefault="00B01250" w:rsidP="00B01250">
      <w:r w:rsidRPr="00B01250">
        <w:lastRenderedPageBreak/>
        <w:t>Transformational leadership provides further insight into this process. Peng et al. (2021) found that transformational leadership was positively associated with commitment, openness and readiness for organisational change and negatively associated with resistance and cynicism. However, this does not suggest that one leadership style will be effective in every situation. Employees respond differently according to their experience, confidence and individual needs, while the requirements of the organisation may also change during implementation. Leadership should therefore be understood as informed judgement rather than the consistent use of a preferred style. Goleman’s (2000) leadership styles are useful in this respect because they recognise the value of adapting leadership behaviour according to the circumstances and needs of employees.</w:t>
      </w:r>
    </w:p>
    <w:p w14:paraId="3548668A" w14:textId="77777777" w:rsidR="00B01250" w:rsidRPr="00B01250" w:rsidRDefault="00B01250" w:rsidP="00B01250">
      <w:r w:rsidRPr="00B01250">
        <w:t>Psychological safety is also important during the adoption of AI enabled tools because employees need to feel able to admit uncertainty, question AI generated outputs and raise implementation concerns without fear of negative consequences. Psychological safety can support open communication, learning and the acknowledgement of mistakes while still operating within clear organisational standards and professional expectations. Edmondson and Bransby (2023) further demonstrate the importance of psychological safety within complex and dynamic organisational environments. In an audit context, this is particularly significant because employees must feel able to challenge outputs or processes where they believe audit quality, evidence or professional judgement could be affected. A culture in which employees remain silent because they are uncertain about how concerns will be received may therefore create greater risk than one in which questioning is encouraged within appropriate professional boundaries.</w:t>
      </w:r>
    </w:p>
    <w:p w14:paraId="60A2693C" w14:textId="5F9DA6DA" w:rsidR="00B01250" w:rsidRDefault="00B01250" w:rsidP="00B01250">
      <w:r w:rsidRPr="00B01250">
        <w:t xml:space="preserve">Coaching and mentoring can provide additional support during implementation by helping employees develop capability and confidence. Coaching can encourage ownership and independent decision making by helping individuals work through problems rather than relying on continued correction </w:t>
      </w:r>
      <w:r w:rsidR="00A13575" w:rsidRPr="00A13575">
        <w:t>(Brandes &amp; Lai, 2022).</w:t>
      </w:r>
      <w:r w:rsidR="00A13575">
        <w:t xml:space="preserve"> </w:t>
      </w:r>
      <w:r w:rsidR="00613E6E">
        <w:t>M</w:t>
      </w:r>
      <w:r w:rsidRPr="00B01250">
        <w:t>entoring may be more appropriate where experiential guidance or technical knowledge is required. The level of support should therefore change as capability develops, with greater guidance during the early stages of adoption and increasing independence as employees become more confident. It is therefore reasonable to conclude that effectively leading stakeholders through complex change requires attention to both practical and emotional needs. Communication, psychological safety and appropriate support may improve readiness for change, but leadership must also respond to workload, capability and organisational conditions rather than assuming that resistance can be overcome through communication alone.</w:t>
      </w:r>
    </w:p>
    <w:p w14:paraId="7CEFB1F6" w14:textId="64E92E4F" w:rsidR="00FE1B10" w:rsidRDefault="00FE1B10" w:rsidP="00B01250">
      <w:pPr>
        <w:pStyle w:val="Heading2"/>
      </w:pPr>
      <w:bookmarkStart w:id="11" w:name="_Toc242643343"/>
      <w:r>
        <w:t>Recommendations</w:t>
      </w:r>
      <w:bookmarkEnd w:id="11"/>
    </w:p>
    <w:p w14:paraId="22E88FE1" w14:textId="77777777" w:rsidR="00472F9D" w:rsidRDefault="00472F9D" w:rsidP="00472F9D">
      <w:r w:rsidRPr="00472F9D">
        <w:t xml:space="preserve">Based on the analysis, several actions could support the effective implementation of AI enabled audit tools. First, employees should be provided with protected time for training and adaptation so that change activity does not continually compete with existing client deadlines. Second, governance should remain proportionate to risk, with stronger </w:t>
      </w:r>
      <w:r w:rsidRPr="00472F9D">
        <w:lastRenderedPageBreak/>
        <w:t>oversight where AI use affects confidential information, audit evidence or professional judgement. Third, employees should have clear opportunities to provide feedback and raise concerns throughout implementation, ensuring that emerging issues lead to visible responses rather than being treated as isolated problems. Technical training should also be supported by coaching or mentoring where appropriate, allowing guidance to reduce as employee capability and confidence develop. Finally, the success of the change should be evaluated using a balanced range of measures, including audit quality, employee adoption, user feedback and client impact, rather than assessing implementation only by whether the technology has been introduced.</w:t>
      </w:r>
    </w:p>
    <w:p w14:paraId="2D42CC51" w14:textId="7CAD642A" w:rsidR="00DA6CE2" w:rsidRPr="00DA6CE2" w:rsidRDefault="00DA6CE2" w:rsidP="00DA6CE2">
      <w:pPr>
        <w:pStyle w:val="Heading1"/>
      </w:pPr>
      <w:bookmarkStart w:id="12" w:name="_Toc242643344"/>
      <w:r w:rsidRPr="00DA6CE2">
        <w:t>Conclusion</w:t>
      </w:r>
      <w:bookmarkEnd w:id="12"/>
    </w:p>
    <w:p w14:paraId="312B5D74" w14:textId="77777777" w:rsidR="000216A0" w:rsidRDefault="000216A0" w:rsidP="000216A0">
      <w:bookmarkStart w:id="13" w:name="_2bn6wsx" w:colFirst="0" w:colLast="0"/>
      <w:bookmarkEnd w:id="13"/>
      <w:r>
        <w:t>The analysis demonstrates that technological and regulatory pressures are currently the strongest forces for change within the organisation, while client expectations, workload and wider workforce pressures influence how effectively change can be managed. The organisation appears to have strong foundations for adaptation through its digital infrastructure, professional expertise, supportive managerial behaviour and established knowledge sharing. However, capability is constrained where employees lack sufficient time to develop, test and embed improvements alongside existing audit responsibilities.</w:t>
      </w:r>
    </w:p>
    <w:p w14:paraId="67AD0A73" w14:textId="77777777" w:rsidR="000216A0" w:rsidRDefault="000216A0" w:rsidP="000216A0">
      <w:r>
        <w:t>The analysis of AI enabled audit tools also shows that complex workplace change cannot be managed through a single standardised approach. Stakeholders differ in their levels of influence, responsibility and exposure to risk, meaning that communication, involvement and support should be adapted accordingly. Kotter and Lewin provide useful frameworks for structuring change, but neither should be applied mechanically. Effective implementation depends on flexible leadership, appropriate training, psychological safety and governance that reflects the level of professional risk.</w:t>
      </w:r>
    </w:p>
    <w:p w14:paraId="5DEEB5CF" w14:textId="7476B969" w:rsidR="00583709" w:rsidRDefault="000216A0" w:rsidP="000216A0">
      <w:r>
        <w:t>Overall, successful change is most likely where employees understand the purpose of the change, feel able to raise concerns and receive support that develops with their capability. The organisation should therefore balance the need for innovation and efficiency with professional judgement, accountability and continued attention to employee capacity.</w:t>
      </w:r>
    </w:p>
    <w:p w14:paraId="664FB32A" w14:textId="77777777" w:rsidR="00684E7E" w:rsidRDefault="00684E7E"/>
    <w:p w14:paraId="29C1A788"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p w14:paraId="2028C9D7" w14:textId="77777777" w:rsidR="00583709" w:rsidRDefault="00583709"/>
    <w:p w14:paraId="0211B4FF" w14:textId="77777777" w:rsidR="00583709" w:rsidRPr="00D742ED" w:rsidRDefault="008312FD">
      <w:pPr>
        <w:pStyle w:val="Heading1"/>
        <w:rPr>
          <w:rFonts w:cs="Arial"/>
          <w:b/>
          <w:bCs/>
          <w:color w:val="auto"/>
        </w:rPr>
      </w:pPr>
      <w:bookmarkStart w:id="14" w:name="_3o7alnk" w:colFirst="0" w:colLast="0"/>
      <w:bookmarkStart w:id="15" w:name="_23ckvvd" w:colFirst="0" w:colLast="0"/>
      <w:bookmarkStart w:id="16" w:name="_ihv636" w:colFirst="0" w:colLast="0"/>
      <w:bookmarkStart w:id="17" w:name="_32hioqz" w:colFirst="0" w:colLast="0"/>
      <w:bookmarkStart w:id="18" w:name="_1hmsyys" w:colFirst="0" w:colLast="0"/>
      <w:bookmarkStart w:id="19" w:name="_Toc242643345"/>
      <w:bookmarkEnd w:id="14"/>
      <w:bookmarkEnd w:id="15"/>
      <w:bookmarkEnd w:id="16"/>
      <w:bookmarkEnd w:id="17"/>
      <w:bookmarkEnd w:id="18"/>
      <w:r w:rsidRPr="00D742ED">
        <w:rPr>
          <w:rFonts w:cs="Arial"/>
          <w:b/>
          <w:bCs/>
          <w:color w:val="auto"/>
        </w:rPr>
        <w:lastRenderedPageBreak/>
        <w:t>References</w:t>
      </w:r>
      <w:bookmarkEnd w:id="19"/>
    </w:p>
    <w:p w14:paraId="4CA18B65" w14:textId="4233DDD7" w:rsidR="00824FD4" w:rsidRDefault="00824FD4" w:rsidP="00824FD4">
      <w:r>
        <w:t xml:space="preserve">Amabile, T. M., &amp; Pratt, M. G. (2016). The dynamic componential model of creativity and innovation in organizations: Making progress, making meaning. Research in Organizational Behavior, 36, 157–183. </w:t>
      </w:r>
      <w:hyperlink r:id="rId8" w:history="1">
        <w:r w:rsidR="00BD40AF" w:rsidRPr="00496737">
          <w:rPr>
            <w:rStyle w:val="Hyperlink"/>
          </w:rPr>
          <w:t>https://doi.org/10.1016/j.riob.2016.10.001</w:t>
        </w:r>
      </w:hyperlink>
      <w:r w:rsidR="00BD40AF">
        <w:t xml:space="preserve"> </w:t>
      </w:r>
    </w:p>
    <w:p w14:paraId="6C6D6D4B" w14:textId="520CFB16" w:rsidR="00824FD4" w:rsidRDefault="00824FD4" w:rsidP="00824FD4">
      <w:r>
        <w:t xml:space="preserve">Brandes, B., &amp; Lai, Y. L. (2022). Addressing resistance to change through a micro interpersonal lens: An investigation into the coaching process. Journal of Organizational Change Management, 35(3), 666–681. </w:t>
      </w:r>
      <w:hyperlink r:id="rId9" w:history="1">
        <w:r w:rsidR="00BD40AF" w:rsidRPr="00496737">
          <w:rPr>
            <w:rStyle w:val="Hyperlink"/>
          </w:rPr>
          <w:t>https://doi.org/10.1108/JOCM-07-2021-0214</w:t>
        </w:r>
      </w:hyperlink>
      <w:r w:rsidR="00BD40AF">
        <w:t xml:space="preserve"> </w:t>
      </w:r>
      <w:r>
        <w:t xml:space="preserve"> </w:t>
      </w:r>
    </w:p>
    <w:p w14:paraId="3D06BAA7" w14:textId="09560823" w:rsidR="00824FD4" w:rsidRDefault="00824FD4" w:rsidP="00824FD4">
      <w:r>
        <w:t xml:space="preserve">Bridoux, F., &amp; Stoelhorst, J. W. (2022). Stakeholder theory, strategy, and organization: Past, present, and future. Strategic Organization, 20(4), 797–809. </w:t>
      </w:r>
      <w:hyperlink r:id="rId10" w:history="1">
        <w:r w:rsidR="00BD40AF" w:rsidRPr="00496737">
          <w:rPr>
            <w:rStyle w:val="Hyperlink"/>
          </w:rPr>
          <w:t>https://doi.org/10.1177/14761270221127628</w:t>
        </w:r>
      </w:hyperlink>
      <w:r w:rsidR="00BD40AF">
        <w:t xml:space="preserve"> </w:t>
      </w:r>
      <w:r>
        <w:t xml:space="preserve"> </w:t>
      </w:r>
    </w:p>
    <w:p w14:paraId="46335B6E" w14:textId="7EA05407" w:rsidR="00824FD4" w:rsidRDefault="00824FD4" w:rsidP="00824FD4">
      <w:r>
        <w:t xml:space="preserve">Burnes, B. (2020). The origins of Lewin’s three-step model of change. The Journal of Applied Behavioral Science, 56(1), 32–59. </w:t>
      </w:r>
      <w:hyperlink r:id="rId11" w:history="1">
        <w:r w:rsidR="00BD40AF" w:rsidRPr="00496737">
          <w:rPr>
            <w:rStyle w:val="Hyperlink"/>
          </w:rPr>
          <w:t>https://doi.org/10.1177/0021886319892685</w:t>
        </w:r>
      </w:hyperlink>
      <w:r w:rsidR="00BD40AF">
        <w:t xml:space="preserve"> </w:t>
      </w:r>
    </w:p>
    <w:p w14:paraId="3B475EBB" w14:textId="40C6949E" w:rsidR="00824FD4" w:rsidRDefault="00824FD4" w:rsidP="00824FD4">
      <w:r>
        <w:t xml:space="preserve">Cohen, W. M., &amp; Levinthal, D. A. (1990). Absorptive capacity: A new perspective on learning and innovation. Administrative Science Quarterly, 35(1), 128–152. </w:t>
      </w:r>
      <w:hyperlink r:id="rId12" w:history="1">
        <w:r w:rsidR="00BD40AF" w:rsidRPr="00496737">
          <w:rPr>
            <w:rStyle w:val="Hyperlink"/>
          </w:rPr>
          <w:t>https://doi.org/10.2307/2393553</w:t>
        </w:r>
      </w:hyperlink>
      <w:r w:rsidR="00BD40AF">
        <w:t xml:space="preserve"> </w:t>
      </w:r>
    </w:p>
    <w:p w14:paraId="3C0A089F" w14:textId="6FA97813" w:rsidR="00824FD4" w:rsidRDefault="00824FD4" w:rsidP="00824FD4">
      <w:r>
        <w:t xml:space="preserve">Deci, E. L., Olafsen, A. H., &amp; Ryan, R. M. (2017). Self-determination theory in work organizations: The state of a science. Annual Review of Organizational Psychology and Organizational Behavior, 4, 19–43. </w:t>
      </w:r>
      <w:hyperlink r:id="rId13" w:history="1">
        <w:r w:rsidR="00BD40AF" w:rsidRPr="00496737">
          <w:rPr>
            <w:rStyle w:val="Hyperlink"/>
          </w:rPr>
          <w:t>https://doi.org/10.1146/annurev-orgpsych-032516-113108</w:t>
        </w:r>
      </w:hyperlink>
      <w:r w:rsidR="00BD40AF">
        <w:t xml:space="preserve"> </w:t>
      </w:r>
    </w:p>
    <w:p w14:paraId="67F989AF" w14:textId="1DCE51A2" w:rsidR="00824FD4" w:rsidRDefault="00824FD4" w:rsidP="00824FD4">
      <w:r>
        <w:t xml:space="preserve">Edmondson, A. C. (1999). Psychological safety and learning behavior in work teams. Administrative Science Quarterly, 44(2), 350–383. </w:t>
      </w:r>
      <w:hyperlink r:id="rId14" w:history="1">
        <w:r w:rsidR="00BD40AF" w:rsidRPr="00496737">
          <w:rPr>
            <w:rStyle w:val="Hyperlink"/>
          </w:rPr>
          <w:t>https://doi.org/10.2307/2666999</w:t>
        </w:r>
      </w:hyperlink>
      <w:r w:rsidR="00BD40AF">
        <w:t xml:space="preserve"> </w:t>
      </w:r>
    </w:p>
    <w:p w14:paraId="6B23FB2D" w14:textId="5C78A081" w:rsidR="00824FD4" w:rsidRDefault="00824FD4" w:rsidP="00824FD4">
      <w:r>
        <w:t xml:space="preserve">Edmondson, A. C., &amp; Bransby, D. P. (2023). Psychological safety comes of age: Observed themes in an established literature. Annual Review of Organizational Psychology and Organizational Behavior, 10, 55–78. </w:t>
      </w:r>
      <w:hyperlink r:id="rId15" w:history="1">
        <w:r w:rsidR="00BD40AF" w:rsidRPr="00496737">
          <w:rPr>
            <w:rStyle w:val="Hyperlink"/>
          </w:rPr>
          <w:t>https://doi.org/10.1146/annurev-orgpsych-120920-055217</w:t>
        </w:r>
      </w:hyperlink>
      <w:r w:rsidR="00BD40AF">
        <w:t xml:space="preserve"> </w:t>
      </w:r>
    </w:p>
    <w:p w14:paraId="5E67F02C" w14:textId="43F6EE0D" w:rsidR="00824FD4" w:rsidRDefault="00824FD4" w:rsidP="00824FD4">
      <w:r>
        <w:t xml:space="preserve">Endrejat, P. C., Klonek, F. E., Müller-Frommeyer, L. C., &amp; Kauffeld, S. (2021). Turning change resistance into readiness: How change agents’ communication shapes recipient reactions. European Management Journal, 39(5), 595–604. </w:t>
      </w:r>
      <w:hyperlink r:id="rId16" w:history="1">
        <w:r w:rsidR="00BD40AF" w:rsidRPr="00496737">
          <w:rPr>
            <w:rStyle w:val="Hyperlink"/>
          </w:rPr>
          <w:t>https://doi.org/10.1016/j.emj.2020.11.004</w:t>
        </w:r>
      </w:hyperlink>
      <w:r w:rsidR="00BD40AF">
        <w:t xml:space="preserve"> </w:t>
      </w:r>
    </w:p>
    <w:p w14:paraId="5475A784" w14:textId="79141606" w:rsidR="00824FD4" w:rsidRDefault="00824FD4" w:rsidP="00824FD4">
      <w:r>
        <w:t xml:space="preserve">Financial Reporting Council. (2025, June 26). AI in audit: Illustrative example and documentation guidance. </w:t>
      </w:r>
      <w:hyperlink r:id="rId17" w:history="1">
        <w:r w:rsidR="00BD40AF" w:rsidRPr="00496737">
          <w:rPr>
            <w:rStyle w:val="Hyperlink"/>
          </w:rPr>
          <w:t>https://www.frc.org.uk/library/standards-codes-policy/audit-assurance-and-ethics/guidance/ai-in-audit/</w:t>
        </w:r>
      </w:hyperlink>
      <w:r w:rsidR="00BD40AF">
        <w:t xml:space="preserve"> </w:t>
      </w:r>
    </w:p>
    <w:p w14:paraId="40A8637F" w14:textId="7567264E" w:rsidR="00824FD4" w:rsidRDefault="00824FD4" w:rsidP="00824FD4">
      <w:r>
        <w:t xml:space="preserve">Financial Reporting Council. (2026, March 30). Generative and agentic AI guidance. </w:t>
      </w:r>
      <w:hyperlink r:id="rId18" w:history="1">
        <w:r w:rsidR="00BD40AF" w:rsidRPr="00496737">
          <w:rPr>
            <w:rStyle w:val="Hyperlink"/>
          </w:rPr>
          <w:t>https://www.frc.org.uk/library/standards-codes-policy/audit-assurance-and-ethics/guidance/ai-in-audit/</w:t>
        </w:r>
      </w:hyperlink>
      <w:r w:rsidR="00BD40AF">
        <w:t xml:space="preserve"> </w:t>
      </w:r>
    </w:p>
    <w:p w14:paraId="16FDD23C" w14:textId="1C27928D" w:rsidR="00824FD4" w:rsidRDefault="00824FD4" w:rsidP="00824FD4">
      <w:r>
        <w:t>Gagné, M., Parker, S. K., Griffin, M. A., Dunlop, P. D., Knight, C., Klonek, F. E., &amp; Parent-Rocheleau, X. (2022). Understanding and shaping the future of work with self-</w:t>
      </w:r>
      <w:r>
        <w:lastRenderedPageBreak/>
        <w:t xml:space="preserve">determination theory. Nature Reviews Psychology, 1, 378–392. </w:t>
      </w:r>
      <w:hyperlink r:id="rId19" w:history="1">
        <w:r w:rsidR="00BD40AF" w:rsidRPr="00496737">
          <w:rPr>
            <w:rStyle w:val="Hyperlink"/>
          </w:rPr>
          <w:t>https://doi.org/10.1038/s44159-022-00056-w</w:t>
        </w:r>
      </w:hyperlink>
      <w:r w:rsidR="00BD40AF">
        <w:t xml:space="preserve"> </w:t>
      </w:r>
    </w:p>
    <w:p w14:paraId="22770C22" w14:textId="77777777" w:rsidR="00824FD4" w:rsidRDefault="00824FD4" w:rsidP="00824FD4">
      <w:r>
        <w:t>Goleman, D. (2000). Leadership that gets results. Harvard Business Review, 78(2), 78–90.</w:t>
      </w:r>
    </w:p>
    <w:p w14:paraId="4C194101" w14:textId="53CC6A0F" w:rsidR="00824FD4" w:rsidRDefault="00824FD4" w:rsidP="00824FD4">
      <w:r>
        <w:t xml:space="preserve">Hanelt, A., Bohnsack, R., Marz, D., &amp; Antunes Marante, C. (2021). A systematic review of the literature on digital transformation: Insights and implications for strategy and organizational change. Journal of Management Studies, 58(5), 1159–1197. </w:t>
      </w:r>
      <w:hyperlink r:id="rId20" w:history="1">
        <w:r w:rsidR="00BD40AF" w:rsidRPr="00496737">
          <w:rPr>
            <w:rStyle w:val="Hyperlink"/>
          </w:rPr>
          <w:t>https://doi.org/10.1111/joms.12639</w:t>
        </w:r>
      </w:hyperlink>
      <w:r w:rsidR="00BD40AF">
        <w:t xml:space="preserve"> </w:t>
      </w:r>
    </w:p>
    <w:p w14:paraId="7FDF963B" w14:textId="3FABD89E" w:rsidR="00824FD4" w:rsidRDefault="00824FD4" w:rsidP="00824FD4">
      <w:r>
        <w:t xml:space="preserve">Hughes, M. (2022). Reflections: How studying organizational change lost its way. Journal of Change Management, 22(1), 8–25. </w:t>
      </w:r>
      <w:hyperlink r:id="rId21" w:history="1">
        <w:r w:rsidR="00BD40AF" w:rsidRPr="00496737">
          <w:rPr>
            <w:rStyle w:val="Hyperlink"/>
          </w:rPr>
          <w:t>https://doi.org/10.1080/14697017.2022.2030980</w:t>
        </w:r>
      </w:hyperlink>
      <w:r w:rsidR="00BD40AF">
        <w:t xml:space="preserve"> </w:t>
      </w:r>
    </w:p>
    <w:p w14:paraId="3CEC5F9D" w14:textId="2C6E4B15" w:rsidR="003D4555" w:rsidRDefault="00824FD4" w:rsidP="00824FD4">
      <w:r>
        <w:t>Kotter, J. P. (1996). Leading change. Harvard Business School Press.</w:t>
      </w:r>
    </w:p>
    <w:p w14:paraId="11ADE6F3" w14:textId="77777777" w:rsidR="00824FD4" w:rsidRDefault="00824FD4" w:rsidP="00824FD4">
      <w:r>
        <w:t>Lewin, K. (1947). Frontiers in group dynamics: Concept, method and reality in social science; social equilibria and social change. Human Relations, 1(1), 5–41.</w:t>
      </w:r>
    </w:p>
    <w:p w14:paraId="5781AAA1" w14:textId="0B8455FF" w:rsidR="00824FD4" w:rsidRDefault="00824FD4" w:rsidP="00824FD4">
      <w:r>
        <w:t xml:space="preserve">Mitchell, R. K., Agle, B. R., &amp; Wood, D. J. (1997). Toward a theory of stakeholder identification and salience: Defining the principle of who and what really counts. Academy of Management Review, 22(4), 853–886. </w:t>
      </w:r>
      <w:hyperlink r:id="rId22" w:history="1">
        <w:r w:rsidR="00BD40AF" w:rsidRPr="00496737">
          <w:rPr>
            <w:rStyle w:val="Hyperlink"/>
          </w:rPr>
          <w:t>https://doi.org/10.5465/amr.1997.9711022105</w:t>
        </w:r>
      </w:hyperlink>
      <w:r w:rsidR="00BD40AF">
        <w:t xml:space="preserve"> </w:t>
      </w:r>
    </w:p>
    <w:p w14:paraId="247BBEBA" w14:textId="02152ED6" w:rsidR="00824FD4" w:rsidRDefault="00824FD4" w:rsidP="00824FD4">
      <w:r>
        <w:t xml:space="preserve">Peng, J., Li, M., Wang, Z., &amp; Lin, Y. (2021). Transformational leadership and employees’ reactions to organizational change: Evidence from a meta-analysis. The Journal of Applied Behavioral Science, 57(3), 369–397. </w:t>
      </w:r>
      <w:hyperlink r:id="rId23" w:history="1">
        <w:r w:rsidR="00BD40AF" w:rsidRPr="00496737">
          <w:rPr>
            <w:rStyle w:val="Hyperlink"/>
          </w:rPr>
          <w:t>https://doi.org/10.1177/0021886320920366</w:t>
        </w:r>
      </w:hyperlink>
      <w:r w:rsidR="00BD40AF">
        <w:t xml:space="preserve"> </w:t>
      </w:r>
    </w:p>
    <w:p w14:paraId="7C594AD0" w14:textId="52B98064" w:rsidR="00583709" w:rsidRDefault="00824FD4" w:rsidP="00824FD4">
      <w:r>
        <w:t xml:space="preserve">Warrick, D. D. (2023). Revisiting resistance to change and how to manage it: What has been learned and what organizations need to do. Business Horizons, 66(4), 433–441. </w:t>
      </w:r>
      <w:hyperlink r:id="rId24" w:history="1">
        <w:r w:rsidR="00BD40AF" w:rsidRPr="00496737">
          <w:rPr>
            <w:rStyle w:val="Hyperlink"/>
          </w:rPr>
          <w:t>https://doi.org/10.1016/j.bushor.2022.09.001</w:t>
        </w:r>
      </w:hyperlink>
      <w:r w:rsidR="00BD40AF">
        <w:t xml:space="preserve"> </w:t>
      </w:r>
    </w:p>
    <w:p w14:paraId="089805E7" w14:textId="77777777" w:rsidR="00583709" w:rsidRDefault="00583709"/>
    <w:p w14:paraId="4B272E88" w14:textId="77777777" w:rsidR="00583709" w:rsidRDefault="00583709"/>
    <w:p w14:paraId="3930F96A" w14:textId="410CD5C8" w:rsidR="00583709" w:rsidRDefault="00583709"/>
    <w:p w14:paraId="5CA1C29B" w14:textId="44B397E3" w:rsidR="008312FD" w:rsidRDefault="008312FD"/>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3435F" w14:textId="77777777" w:rsidR="002C04FF" w:rsidRDefault="002C04FF" w:rsidP="005831A9">
      <w:pPr>
        <w:spacing w:after="0" w:line="240" w:lineRule="auto"/>
      </w:pPr>
      <w:r>
        <w:separator/>
      </w:r>
    </w:p>
  </w:endnote>
  <w:endnote w:type="continuationSeparator" w:id="0">
    <w:p w14:paraId="7460C723" w14:textId="77777777" w:rsidR="002C04FF" w:rsidRDefault="002C04FF"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40E4A" w14:textId="77777777" w:rsidR="002C04FF" w:rsidRDefault="002C04FF" w:rsidP="005831A9">
      <w:pPr>
        <w:spacing w:after="0" w:line="240" w:lineRule="auto"/>
      </w:pPr>
      <w:r>
        <w:separator/>
      </w:r>
    </w:p>
  </w:footnote>
  <w:footnote w:type="continuationSeparator" w:id="0">
    <w:p w14:paraId="73257CDE" w14:textId="77777777" w:rsidR="002C04FF" w:rsidRDefault="002C04FF"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27644"/>
    <w:multiLevelType w:val="multilevel"/>
    <w:tmpl w:val="D91C8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51899"/>
    <w:multiLevelType w:val="multilevel"/>
    <w:tmpl w:val="A254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E92790"/>
    <w:multiLevelType w:val="multilevel"/>
    <w:tmpl w:val="DF10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7F1020"/>
    <w:multiLevelType w:val="multilevel"/>
    <w:tmpl w:val="7810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2F7DB1"/>
    <w:multiLevelType w:val="multilevel"/>
    <w:tmpl w:val="8EAA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897713">
    <w:abstractNumId w:val="0"/>
  </w:num>
  <w:num w:numId="2" w16cid:durableId="386337680">
    <w:abstractNumId w:val="5"/>
  </w:num>
  <w:num w:numId="3" w16cid:durableId="277761904">
    <w:abstractNumId w:val="3"/>
  </w:num>
  <w:num w:numId="4" w16cid:durableId="1770465597">
    <w:abstractNumId w:val="4"/>
  </w:num>
  <w:num w:numId="5" w16cid:durableId="1658848894">
    <w:abstractNumId w:val="1"/>
  </w:num>
  <w:num w:numId="6" w16cid:durableId="2022314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16A0"/>
    <w:rsid w:val="00061325"/>
    <w:rsid w:val="00076079"/>
    <w:rsid w:val="00084A3F"/>
    <w:rsid w:val="0009761F"/>
    <w:rsid w:val="000A3BF8"/>
    <w:rsid w:val="000B142C"/>
    <w:rsid w:val="000C11AD"/>
    <w:rsid w:val="000D36AE"/>
    <w:rsid w:val="000F29EC"/>
    <w:rsid w:val="000F4054"/>
    <w:rsid w:val="000F6954"/>
    <w:rsid w:val="001022A3"/>
    <w:rsid w:val="00102B55"/>
    <w:rsid w:val="00112FC5"/>
    <w:rsid w:val="001203A2"/>
    <w:rsid w:val="00134FDC"/>
    <w:rsid w:val="00172C82"/>
    <w:rsid w:val="00173A4B"/>
    <w:rsid w:val="00183B04"/>
    <w:rsid w:val="00185A80"/>
    <w:rsid w:val="001B155F"/>
    <w:rsid w:val="001F799E"/>
    <w:rsid w:val="00227FFA"/>
    <w:rsid w:val="00250FC3"/>
    <w:rsid w:val="00250FE5"/>
    <w:rsid w:val="002619A2"/>
    <w:rsid w:val="002B3153"/>
    <w:rsid w:val="002C04FF"/>
    <w:rsid w:val="002E71F8"/>
    <w:rsid w:val="002F7A36"/>
    <w:rsid w:val="0036176A"/>
    <w:rsid w:val="00362DB7"/>
    <w:rsid w:val="003A7E3A"/>
    <w:rsid w:val="003B278C"/>
    <w:rsid w:val="003D4555"/>
    <w:rsid w:val="003D668E"/>
    <w:rsid w:val="003E6F40"/>
    <w:rsid w:val="00406FA9"/>
    <w:rsid w:val="00423049"/>
    <w:rsid w:val="00426D53"/>
    <w:rsid w:val="004320A5"/>
    <w:rsid w:val="00472F9D"/>
    <w:rsid w:val="004A4BE8"/>
    <w:rsid w:val="004B2BD6"/>
    <w:rsid w:val="004D32FF"/>
    <w:rsid w:val="005831A9"/>
    <w:rsid w:val="00583709"/>
    <w:rsid w:val="00594C03"/>
    <w:rsid w:val="005E4566"/>
    <w:rsid w:val="005F7A5E"/>
    <w:rsid w:val="00603D1A"/>
    <w:rsid w:val="006075B5"/>
    <w:rsid w:val="00613E6E"/>
    <w:rsid w:val="006603AA"/>
    <w:rsid w:val="006730F9"/>
    <w:rsid w:val="0068457A"/>
    <w:rsid w:val="00684E7E"/>
    <w:rsid w:val="006C6A26"/>
    <w:rsid w:val="006E0A87"/>
    <w:rsid w:val="0072071C"/>
    <w:rsid w:val="00727D74"/>
    <w:rsid w:val="00767209"/>
    <w:rsid w:val="00785129"/>
    <w:rsid w:val="0079714E"/>
    <w:rsid w:val="007C4A60"/>
    <w:rsid w:val="007E78E8"/>
    <w:rsid w:val="007F596B"/>
    <w:rsid w:val="0081063F"/>
    <w:rsid w:val="00824FD4"/>
    <w:rsid w:val="008312FD"/>
    <w:rsid w:val="0088160F"/>
    <w:rsid w:val="00883E45"/>
    <w:rsid w:val="008C2E58"/>
    <w:rsid w:val="008F416F"/>
    <w:rsid w:val="00901E0D"/>
    <w:rsid w:val="00915E26"/>
    <w:rsid w:val="00951193"/>
    <w:rsid w:val="00953E85"/>
    <w:rsid w:val="00954C3E"/>
    <w:rsid w:val="009633FD"/>
    <w:rsid w:val="009962F5"/>
    <w:rsid w:val="009A77A0"/>
    <w:rsid w:val="00A13575"/>
    <w:rsid w:val="00A32608"/>
    <w:rsid w:val="00A45FC9"/>
    <w:rsid w:val="00A473D4"/>
    <w:rsid w:val="00A7634A"/>
    <w:rsid w:val="00AB113D"/>
    <w:rsid w:val="00AF4AEE"/>
    <w:rsid w:val="00B01250"/>
    <w:rsid w:val="00B05A7E"/>
    <w:rsid w:val="00B0665A"/>
    <w:rsid w:val="00B50A8F"/>
    <w:rsid w:val="00B92C2B"/>
    <w:rsid w:val="00BA205C"/>
    <w:rsid w:val="00BB6217"/>
    <w:rsid w:val="00BC534F"/>
    <w:rsid w:val="00BD40AF"/>
    <w:rsid w:val="00BD6870"/>
    <w:rsid w:val="00BE36B8"/>
    <w:rsid w:val="00C13B48"/>
    <w:rsid w:val="00C2448E"/>
    <w:rsid w:val="00C34995"/>
    <w:rsid w:val="00C47D89"/>
    <w:rsid w:val="00C53075"/>
    <w:rsid w:val="00C54236"/>
    <w:rsid w:val="00C94A81"/>
    <w:rsid w:val="00CE01A8"/>
    <w:rsid w:val="00D14985"/>
    <w:rsid w:val="00D2108B"/>
    <w:rsid w:val="00D21F87"/>
    <w:rsid w:val="00D43AA7"/>
    <w:rsid w:val="00D4737E"/>
    <w:rsid w:val="00D60C60"/>
    <w:rsid w:val="00D71DA0"/>
    <w:rsid w:val="00D742ED"/>
    <w:rsid w:val="00D86CB5"/>
    <w:rsid w:val="00DA6CE2"/>
    <w:rsid w:val="00DA7BE4"/>
    <w:rsid w:val="00DB35E1"/>
    <w:rsid w:val="00DD3805"/>
    <w:rsid w:val="00DE20B7"/>
    <w:rsid w:val="00DE7836"/>
    <w:rsid w:val="00E2032E"/>
    <w:rsid w:val="00E42DB5"/>
    <w:rsid w:val="00E507ED"/>
    <w:rsid w:val="00E51654"/>
    <w:rsid w:val="00E519F2"/>
    <w:rsid w:val="00E70FDD"/>
    <w:rsid w:val="00E840C7"/>
    <w:rsid w:val="00E841CA"/>
    <w:rsid w:val="00E923D4"/>
    <w:rsid w:val="00F05D62"/>
    <w:rsid w:val="00F24CAC"/>
    <w:rsid w:val="00F266C2"/>
    <w:rsid w:val="00F46F6C"/>
    <w:rsid w:val="00F563D9"/>
    <w:rsid w:val="00F631F5"/>
    <w:rsid w:val="00F645B5"/>
    <w:rsid w:val="00F80E7D"/>
    <w:rsid w:val="00F867C0"/>
    <w:rsid w:val="00FB478F"/>
    <w:rsid w:val="00FD23AB"/>
    <w:rsid w:val="00FE1B10"/>
    <w:rsid w:val="00FE3563"/>
    <w:rsid w:val="00FE382F"/>
    <w:rsid w:val="00FF4C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Calibri"/>
        <w:sz w:val="24"/>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table" w:styleId="TableGrid">
    <w:name w:val="Table Grid"/>
    <w:basedOn w:val="TableNormal"/>
    <w:uiPriority w:val="39"/>
    <w:rsid w:val="000F4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73D4"/>
    <w:rPr>
      <w:color w:val="605E5C"/>
      <w:shd w:val="clear" w:color="auto" w:fill="E1DFDD"/>
    </w:rPr>
  </w:style>
  <w:style w:type="character" w:styleId="FollowedHyperlink">
    <w:name w:val="FollowedHyperlink"/>
    <w:basedOn w:val="DefaultParagraphFont"/>
    <w:uiPriority w:val="99"/>
    <w:semiHidden/>
    <w:unhideWhenUsed/>
    <w:rsid w:val="00BD40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j.riob.2016.10.001" TargetMode="External"/><Relationship Id="rId13" Type="http://schemas.openxmlformats.org/officeDocument/2006/relationships/hyperlink" Target="https://doi.org/10.1146/annurev-orgpsych-032516-113108" TargetMode="External"/><Relationship Id="rId18" Type="http://schemas.openxmlformats.org/officeDocument/2006/relationships/hyperlink" Target="https://www.frc.org.uk/library/standards-codes-policy/audit-assurance-and-ethics/guidance/ai-in-audi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80/14697017.2022.2030980" TargetMode="External"/><Relationship Id="rId7" Type="http://schemas.openxmlformats.org/officeDocument/2006/relationships/image" Target="media/image1.png"/><Relationship Id="rId12" Type="http://schemas.openxmlformats.org/officeDocument/2006/relationships/hyperlink" Target="https://doi.org/10.2307/2393553" TargetMode="External"/><Relationship Id="rId17" Type="http://schemas.openxmlformats.org/officeDocument/2006/relationships/hyperlink" Target="https://www.frc.org.uk/library/standards-codes-policy/audit-assurance-and-ethics/guidance/ai-in-audi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emj.2020.11.004" TargetMode="External"/><Relationship Id="rId20" Type="http://schemas.openxmlformats.org/officeDocument/2006/relationships/hyperlink" Target="https://doi.org/10.1111/joms.126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21886319892685" TargetMode="External"/><Relationship Id="rId24" Type="http://schemas.openxmlformats.org/officeDocument/2006/relationships/hyperlink" Target="https://doi.org/10.1016/j.bushor.2022.09.001" TargetMode="External"/><Relationship Id="rId5" Type="http://schemas.openxmlformats.org/officeDocument/2006/relationships/footnotes" Target="footnotes.xml"/><Relationship Id="rId15" Type="http://schemas.openxmlformats.org/officeDocument/2006/relationships/hyperlink" Target="https://doi.org/10.1146/annurev-orgpsych-120920-055217" TargetMode="External"/><Relationship Id="rId23" Type="http://schemas.openxmlformats.org/officeDocument/2006/relationships/hyperlink" Target="https://doi.org/10.1177/0021886320920366" TargetMode="External"/><Relationship Id="rId10" Type="http://schemas.openxmlformats.org/officeDocument/2006/relationships/hyperlink" Target="https://doi.org/10.1177/14761270221127628" TargetMode="External"/><Relationship Id="rId19" Type="http://schemas.openxmlformats.org/officeDocument/2006/relationships/hyperlink" Target="https://doi.org/10.1038/s44159-022-00056-w" TargetMode="External"/><Relationship Id="rId4" Type="http://schemas.openxmlformats.org/officeDocument/2006/relationships/webSettings" Target="webSettings.xml"/><Relationship Id="rId9" Type="http://schemas.openxmlformats.org/officeDocument/2006/relationships/hyperlink" Target="https://doi.org/10.1108/JOCM-07-2021-0214" TargetMode="External"/><Relationship Id="rId14" Type="http://schemas.openxmlformats.org/officeDocument/2006/relationships/hyperlink" Target="https://doi.org/10.2307/2666999" TargetMode="External"/><Relationship Id="rId22" Type="http://schemas.openxmlformats.org/officeDocument/2006/relationships/hyperlink" Target="https://doi.org/10.5465/amr.1997.9711022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14</Pages>
  <Words>5625</Words>
  <Characters>32069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Whitney Davies</cp:lastModifiedBy>
  <cp:revision>11</cp:revision>
  <dcterms:created xsi:type="dcterms:W3CDTF">2026-10-11T19:14:00Z</dcterms:created>
  <dcterms:modified xsi:type="dcterms:W3CDTF">2026-10-11T19:35:00Z</dcterms:modified>
</cp:coreProperties>
</file>