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96"/>
          <w:szCs w:val="96"/>
        </w:rPr>
      </w:pPr>
      <w:r w:rsidDel="00000000" w:rsidR="00000000" w:rsidRPr="00000000">
        <w:rPr>
          <w:rtl w:val="0"/>
        </w:rPr>
      </w:r>
    </w:p>
    <w:p w:rsidR="00000000" w:rsidDel="00000000" w:rsidP="00000000" w:rsidRDefault="00000000" w:rsidRPr="00000000" w14:paraId="00000002">
      <w:pPr>
        <w:rPr>
          <w:b w:val="1"/>
          <w:sz w:val="96"/>
          <w:szCs w:val="96"/>
        </w:rPr>
      </w:pPr>
      <w:r w:rsidDel="00000000" w:rsidR="00000000" w:rsidRPr="00000000">
        <w:rPr>
          <w:rtl w:val="0"/>
        </w:rPr>
      </w:r>
    </w:p>
    <w:p w:rsidR="00000000" w:rsidDel="00000000" w:rsidP="00000000" w:rsidRDefault="00000000" w:rsidRPr="00000000" w14:paraId="00000003">
      <w:pPr>
        <w:jc w:val="center"/>
        <w:rPr>
          <w:b w:val="1"/>
          <w:sz w:val="96"/>
          <w:szCs w:val="96"/>
        </w:rPr>
      </w:pPr>
      <w:r w:rsidDel="00000000" w:rsidR="00000000" w:rsidRPr="00000000">
        <w:rPr>
          <w:rtl w:val="0"/>
        </w:rPr>
      </w:r>
    </w:p>
    <w:p w:rsidR="00000000" w:rsidDel="00000000" w:rsidP="00000000" w:rsidRDefault="00000000" w:rsidRPr="00000000" w14:paraId="00000004">
      <w:pPr>
        <w:jc w:val="center"/>
        <w:rPr>
          <w:b w:val="1"/>
          <w:sz w:val="96"/>
          <w:szCs w:val="96"/>
        </w:rPr>
      </w:pPr>
      <w:r w:rsidDel="00000000" w:rsidR="00000000" w:rsidRPr="00000000">
        <w:rPr>
          <w:rtl w:val="0"/>
        </w:rPr>
      </w:r>
    </w:p>
    <w:p w:rsidR="00000000" w:rsidDel="00000000" w:rsidP="00000000" w:rsidRDefault="00000000" w:rsidRPr="00000000" w14:paraId="00000005">
      <w:pPr>
        <w:jc w:val="center"/>
        <w:rPr>
          <w:b w:val="1"/>
          <w:sz w:val="96"/>
          <w:szCs w:val="96"/>
        </w:rPr>
      </w:pPr>
      <w:r w:rsidDel="00000000" w:rsidR="00000000" w:rsidRPr="00000000">
        <w:rPr>
          <w:b w:val="1"/>
          <w:sz w:val="96"/>
          <w:szCs w:val="96"/>
          <w:rtl w:val="0"/>
        </w:rPr>
        <w:t xml:space="preserve">Employability skills</w:t>
      </w:r>
    </w:p>
    <w:p w:rsidR="00000000" w:rsidDel="00000000" w:rsidP="00000000" w:rsidRDefault="00000000" w:rsidRPr="00000000" w14:paraId="00000006">
      <w:pPr>
        <w:jc w:val="center"/>
        <w:rPr>
          <w:b w:val="1"/>
          <w:sz w:val="46"/>
          <w:szCs w:val="46"/>
        </w:rPr>
      </w:pPr>
      <w:r w:rsidDel="00000000" w:rsidR="00000000" w:rsidRPr="00000000">
        <w:rPr>
          <w:b w:val="1"/>
          <w:sz w:val="46"/>
          <w:szCs w:val="46"/>
          <w:rtl w:val="0"/>
        </w:rPr>
        <w:t xml:space="preserve">Mirela Mocanu</w:t>
      </w:r>
    </w:p>
    <w:p w:rsidR="00000000" w:rsidDel="00000000" w:rsidP="00000000" w:rsidRDefault="00000000" w:rsidRPr="00000000" w14:paraId="00000007">
      <w:pPr>
        <w:jc w:val="center"/>
        <w:rPr>
          <w:b w:val="1"/>
          <w:sz w:val="46"/>
          <w:szCs w:val="46"/>
        </w:rPr>
      </w:pPr>
      <w:r w:rsidDel="00000000" w:rsidR="00000000" w:rsidRPr="00000000">
        <w:rPr>
          <w:b w:val="1"/>
          <w:sz w:val="46"/>
          <w:szCs w:val="46"/>
          <w:rtl w:val="0"/>
        </w:rPr>
        <w:t xml:space="preserve">1921774 </w:t>
      </w:r>
    </w:p>
    <w:p w:rsidR="00000000" w:rsidDel="00000000" w:rsidP="00000000" w:rsidRDefault="00000000" w:rsidRPr="00000000" w14:paraId="0000000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Calibri" w:cs="Calibri" w:eastAsia="Calibri" w:hAnsi="Calibri"/>
          <w:b w:val="1"/>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Kolb’s reflective cycle</w:t>
              <w:tab/>
              <w:t xml:space="preserve">3</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Gibbs’ Reflective Cycle:</w:t>
              <w:tab/>
              <w:t xml:space="preserve">5</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Employability skills</w:t>
              <w:tab/>
              <w:t xml:space="preserve">7</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CONCULUSION</w:t>
              <w:tab/>
              <w:t xml:space="preserve">8</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4">
      <w:pPr>
        <w:rPr>
          <w:color w:val="222222"/>
          <w:highlight w:val="white"/>
        </w:rPr>
      </w:pPr>
      <w:r w:rsidDel="00000000" w:rsidR="00000000" w:rsidRPr="00000000">
        <w:rPr>
          <w:rtl w:val="0"/>
        </w:rPr>
        <w:tab/>
        <w:t xml:space="preserve">For the student’s academic life, employability skills are the most important aspect for the student to get the higher qualification and higher skills in the future. Employability must be defined as the different chances of acquiring and marinating the different employment opportunities. Employability skills are include the soft skills that allow the student to coordinate and work with the others</w:t>
      </w:r>
      <w:r w:rsidDel="00000000" w:rsidR="00000000" w:rsidRPr="00000000">
        <w:rPr>
          <w:color w:val="222222"/>
          <w:highlight w:val="white"/>
          <w:rtl w:val="0"/>
        </w:rPr>
        <w:t xml:space="preserve"> (Divan and McBurney, 2016)</w:t>
      </w:r>
      <w:r w:rsidDel="00000000" w:rsidR="00000000" w:rsidRPr="00000000">
        <w:rPr>
          <w:rtl w:val="0"/>
        </w:rPr>
        <w:t xml:space="preserve">. These skills also called the professional skills which help the student to get out from academic life and work under the academic professions and these skills help the student to job-readiness skills. For this a student must have the some common skills like good communication, ability to work under the pressure, team leading skills and many more. These skills improve the confidence of the student to work in professional work. For this assignment the two models are Gibbs reflective model and Kolb’s learning style. Furthermore it include the basic academic report on the various skills and knowledge which is gained by the different topics of employability. </w:t>
      </w:r>
      <w:r w:rsidDel="00000000" w:rsidR="00000000" w:rsidRPr="00000000">
        <w:rPr>
          <w:rtl w:val="0"/>
        </w:rPr>
      </w:r>
    </w:p>
    <w:p w:rsidR="00000000" w:rsidDel="00000000" w:rsidP="00000000" w:rsidRDefault="00000000" w:rsidRPr="00000000" w14:paraId="00000015">
      <w:pPr>
        <w:pStyle w:val="Heading1"/>
        <w:rPr/>
      </w:pPr>
      <w:bookmarkStart w:colFirst="0" w:colLast="0" w:name="_30j0zll" w:id="1"/>
      <w:bookmarkEnd w:id="1"/>
      <w:r w:rsidDel="00000000" w:rsidR="00000000" w:rsidRPr="00000000">
        <w:rPr>
          <w:rtl w:val="0"/>
        </w:rPr>
        <w:t xml:space="preserve">MAIN BODY</w:t>
      </w:r>
    </w:p>
    <w:p w:rsidR="00000000" w:rsidDel="00000000" w:rsidP="00000000" w:rsidRDefault="00000000" w:rsidRPr="00000000" w14:paraId="00000016">
      <w:pPr>
        <w:rPr/>
      </w:pPr>
      <w:r w:rsidDel="00000000" w:rsidR="00000000" w:rsidRPr="00000000">
        <w:rPr>
          <w:rtl w:val="0"/>
        </w:rPr>
        <w:tab/>
        <w:t xml:space="preserve">Employability skills help in student’s career to elaborate more their professional life and get the success in the life. I learned various points from the module which enhance my knowledge and future in the professional life. The models which are using to summarise the employability skills are Kolb’s reflective cycle, Gibbs reflective models and Driscoll’s cycle as these three models are explaining the best way to employability skills.</w:t>
      </w:r>
    </w:p>
    <w:p w:rsidR="00000000" w:rsidDel="00000000" w:rsidP="00000000" w:rsidRDefault="00000000" w:rsidRPr="00000000" w14:paraId="00000017">
      <w:pPr>
        <w:pStyle w:val="Heading2"/>
        <w:rPr/>
      </w:pPr>
      <w:bookmarkStart w:colFirst="0" w:colLast="0" w:name="_1fob9te" w:id="2"/>
      <w:bookmarkEnd w:id="2"/>
      <w:r w:rsidDel="00000000" w:rsidR="00000000" w:rsidRPr="00000000">
        <w:rPr>
          <w:rtl w:val="0"/>
        </w:rPr>
        <w:t xml:space="preserve">Kolb’s reflective cycle</w:t>
      </w:r>
    </w:p>
    <w:p w:rsidR="00000000" w:rsidDel="00000000" w:rsidP="00000000" w:rsidRDefault="00000000" w:rsidRPr="00000000" w14:paraId="00000018">
      <w:pPr>
        <w:rPr>
          <w:color w:val="222222"/>
          <w:highlight w:val="white"/>
        </w:rPr>
      </w:pPr>
      <w:r w:rsidDel="00000000" w:rsidR="00000000" w:rsidRPr="00000000">
        <w:rPr>
          <w:b w:val="1"/>
          <w:rtl w:val="0"/>
        </w:rPr>
        <w:tab/>
      </w:r>
      <w:r w:rsidDel="00000000" w:rsidR="00000000" w:rsidRPr="00000000">
        <w:rPr>
          <w:rtl w:val="0"/>
        </w:rPr>
        <w:t xml:space="preserve">It is the theory which is synthesis the goal directed and behaviour learning of the value process. This model is the highlighted the reflection component in the learning cycle of the student life. This model give the knowledge to student which allow them to get the process of what happened during the experience gain. As the student can recount and evaluate their experience. This theory is represented by the four stage of the learning cycle these steps are: Concrete experience; which means a new experience gained by the student. Second step is reflective observation; here a student can link their experience with their understanding, their expectation and the outcome of the experience</w:t>
      </w:r>
      <w:r w:rsidDel="00000000" w:rsidR="00000000" w:rsidRPr="00000000">
        <w:rPr>
          <w:color w:val="222222"/>
          <w:highlight w:val="white"/>
          <w:rtl w:val="0"/>
        </w:rPr>
        <w:t xml:space="preserve"> (Dupuis, 2020)</w:t>
      </w:r>
      <w:r w:rsidDel="00000000" w:rsidR="00000000" w:rsidRPr="00000000">
        <w:rPr>
          <w:rtl w:val="0"/>
        </w:rPr>
        <w:t xml:space="preserve">. Another step is abstract conceptualization; after analysing the understanding, the new idea is generated or the modification of an existing abstract concept. And in final reflection is the active experimental stage, here the student create plan for further learning experience. Kolb show the effective learning style again in four steps; Experience, reflection, conceptualisation and test. This step is effective as a learner can enter the cycle at any stage and follow that structure through its logical sequence.</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723900</wp:posOffset>
            </wp:positionH>
            <wp:positionV relativeFrom="paragraph">
              <wp:posOffset>628650</wp:posOffset>
            </wp:positionV>
            <wp:extent cx="3829050" cy="2886075"/>
            <wp:effectExtent b="0" l="0" r="0" t="0"/>
            <wp:wrapSquare wrapText="bothSides" distB="0" distT="0" distL="114300" distR="114300"/>
            <wp:docPr descr="https://www.pugetsound.edu/files/resources/kolb-learning-cycle.jpg" id="1" name="image1.png"/>
            <a:graphic>
              <a:graphicData uri="http://schemas.openxmlformats.org/drawingml/2006/picture">
                <pic:pic>
                  <pic:nvPicPr>
                    <pic:cNvPr descr="https://www.pugetsound.edu/files/resources/kolb-learning-cycle.jpg" id="0" name="image1.png"/>
                    <pic:cNvPicPr preferRelativeResize="0"/>
                  </pic:nvPicPr>
                  <pic:blipFill>
                    <a:blip r:embed="rId6"/>
                    <a:srcRect b="0" l="0" r="0" t="0"/>
                    <a:stretch>
                      <a:fillRect/>
                    </a:stretch>
                  </pic:blipFill>
                  <pic:spPr>
                    <a:xfrm>
                      <a:off x="0" y="0"/>
                      <a:ext cx="3829050" cy="2886075"/>
                    </a:xfrm>
                    <a:prstGeom prst="rect"/>
                    <a:ln/>
                  </pic:spPr>
                </pic:pic>
              </a:graphicData>
            </a:graphic>
          </wp:anchor>
        </w:drawing>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pStyle w:val="Heading1"/>
        <w:rPr/>
      </w:pPr>
      <w:r w:rsidDel="00000000" w:rsidR="00000000" w:rsidRPr="00000000">
        <w:rPr>
          <w:rtl w:val="0"/>
        </w:rPr>
      </w:r>
    </w:p>
    <w:p w:rsidR="00000000" w:rsidDel="00000000" w:rsidP="00000000" w:rsidRDefault="00000000" w:rsidRPr="00000000" w14:paraId="0000001B">
      <w:pPr>
        <w:pStyle w:val="Heading1"/>
        <w:rPr/>
      </w:pPr>
      <w:r w:rsidDel="00000000" w:rsidR="00000000" w:rsidRPr="00000000">
        <w:rPr>
          <w:rtl w:val="0"/>
        </w:rPr>
      </w:r>
    </w:p>
    <w:p w:rsidR="00000000" w:rsidDel="00000000" w:rsidP="00000000" w:rsidRDefault="00000000" w:rsidRPr="00000000" w14:paraId="0000001C">
      <w:pPr>
        <w:pStyle w:val="Heading1"/>
        <w:rPr/>
      </w:pPr>
      <w:r w:rsidDel="00000000" w:rsidR="00000000" w:rsidRPr="00000000">
        <w:rPr>
          <w:rtl w:val="0"/>
        </w:rPr>
      </w:r>
    </w:p>
    <w:p w:rsidR="00000000" w:rsidDel="00000000" w:rsidP="00000000" w:rsidRDefault="00000000" w:rsidRPr="00000000" w14:paraId="0000001D">
      <w:pPr>
        <w:pStyle w:val="Heading1"/>
        <w:rPr/>
      </w:pPr>
      <w:r w:rsidDel="00000000" w:rsidR="00000000" w:rsidRPr="00000000">
        <w:rPr>
          <w:rtl w:val="0"/>
        </w:rPr>
      </w:r>
    </w:p>
    <w:p w:rsidR="00000000" w:rsidDel="00000000" w:rsidP="00000000" w:rsidRDefault="00000000" w:rsidRPr="00000000" w14:paraId="0000001E">
      <w:pPr>
        <w:pStyle w:val="Heading1"/>
        <w:rPr/>
      </w:pPr>
      <w:r w:rsidDel="00000000" w:rsidR="00000000" w:rsidRPr="00000000">
        <w:rPr>
          <w:rtl w:val="0"/>
        </w:rPr>
      </w:r>
    </w:p>
    <w:p w:rsidR="00000000" w:rsidDel="00000000" w:rsidP="00000000" w:rsidRDefault="00000000" w:rsidRPr="00000000" w14:paraId="0000001F">
      <w:pPr>
        <w:pStyle w:val="Heading1"/>
        <w:rPr/>
      </w:pPr>
      <w:r w:rsidDel="00000000" w:rsidR="00000000" w:rsidRPr="00000000">
        <w:rPr>
          <w:rtl w:val="0"/>
        </w:rPr>
      </w:r>
    </w:p>
    <w:p w:rsidR="00000000" w:rsidDel="00000000" w:rsidP="00000000" w:rsidRDefault="00000000" w:rsidRPr="00000000" w14:paraId="00000020">
      <w:pPr>
        <w:pStyle w:val="Heading1"/>
        <w:rPr/>
      </w:pPr>
      <w:r w:rsidDel="00000000" w:rsidR="00000000" w:rsidRPr="00000000">
        <w:rPr>
          <w:rtl w:val="0"/>
        </w:rPr>
      </w:r>
    </w:p>
    <w:p w:rsidR="00000000" w:rsidDel="00000000" w:rsidP="00000000" w:rsidRDefault="00000000" w:rsidRPr="00000000" w14:paraId="00000021">
      <w:pPr>
        <w:rPr>
          <w:color w:val="222222"/>
          <w:highlight w:val="white"/>
        </w:rPr>
      </w:pPr>
      <w:r w:rsidDel="00000000" w:rsidR="00000000" w:rsidRPr="00000000">
        <w:rPr>
          <w:rtl w:val="0"/>
        </w:rPr>
        <w:t xml:space="preserve">Learning style of Kolb’s reflective theory: Kolb derive the four distinct style which are based on the above four learning reflective cycle (</w:t>
      </w:r>
      <w:r w:rsidDel="00000000" w:rsidR="00000000" w:rsidRPr="00000000">
        <w:rPr>
          <w:color w:val="222222"/>
          <w:highlight w:val="white"/>
          <w:rtl w:val="0"/>
        </w:rPr>
        <w:t xml:space="preserve">Martini and Cavenago, 2017)</w:t>
      </w:r>
      <w:r w:rsidDel="00000000" w:rsidR="00000000" w:rsidRPr="00000000">
        <w:rPr>
          <w:rtl w:val="0"/>
        </w:rPr>
        <w:t xml:space="preserve">. As according to him different people have different methodology to adopt the style and there are lots of factors which affect the decision of the student or the learner like; educational environment, family background, educational experience. On the basis of two axis Kolb solve this theory they are Processing continuum; how a learner achieve the task and perception continuum; how they response on the emotional basis.</w:t>
      </w:r>
      <w:r w:rsidDel="00000000" w:rsidR="00000000" w:rsidRPr="00000000">
        <w:rPr>
          <w:rtl w:val="0"/>
        </w:rPr>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c>
          <w:tcPr/>
          <w:p w:rsidR="00000000" w:rsidDel="00000000" w:rsidP="00000000" w:rsidRDefault="00000000" w:rsidRPr="00000000" w14:paraId="00000022">
            <w:pPr>
              <w:rPr/>
            </w:pPr>
            <w:r w:rsidDel="00000000" w:rsidR="00000000" w:rsidRPr="00000000">
              <w:rPr>
                <w:rtl w:val="0"/>
              </w:rPr>
            </w:r>
          </w:p>
        </w:tc>
        <w:tc>
          <w:tcPr/>
          <w:p w:rsidR="00000000" w:rsidDel="00000000" w:rsidP="00000000" w:rsidRDefault="00000000" w:rsidRPr="00000000" w14:paraId="00000023">
            <w:pPr>
              <w:rPr/>
            </w:pPr>
            <w:r w:rsidDel="00000000" w:rsidR="00000000" w:rsidRPr="00000000">
              <w:rPr>
                <w:rtl w:val="0"/>
              </w:rPr>
              <w:t xml:space="preserve">Active experimentation</w:t>
            </w:r>
          </w:p>
          <w:p w:rsidR="00000000" w:rsidDel="00000000" w:rsidP="00000000" w:rsidRDefault="00000000" w:rsidRPr="00000000" w14:paraId="00000024">
            <w:pPr>
              <w:rPr/>
            </w:pPr>
            <w:r w:rsidDel="00000000" w:rsidR="00000000" w:rsidRPr="00000000">
              <w:rPr>
                <w:rtl w:val="0"/>
              </w:rPr>
              <w:t xml:space="preserve">(Doing)</w:t>
            </w:r>
          </w:p>
        </w:tc>
        <w:tc>
          <w:tcPr/>
          <w:p w:rsidR="00000000" w:rsidDel="00000000" w:rsidP="00000000" w:rsidRDefault="00000000" w:rsidRPr="00000000" w14:paraId="00000025">
            <w:pPr>
              <w:rPr/>
            </w:pPr>
            <w:r w:rsidDel="00000000" w:rsidR="00000000" w:rsidRPr="00000000">
              <w:rPr>
                <w:rtl w:val="0"/>
              </w:rPr>
              <w:t xml:space="preserve">Reflective observation</w:t>
            </w:r>
          </w:p>
          <w:p w:rsidR="00000000" w:rsidDel="00000000" w:rsidP="00000000" w:rsidRDefault="00000000" w:rsidRPr="00000000" w14:paraId="00000026">
            <w:pPr>
              <w:rPr/>
            </w:pPr>
            <w:r w:rsidDel="00000000" w:rsidR="00000000" w:rsidRPr="00000000">
              <w:rPr>
                <w:rtl w:val="0"/>
              </w:rPr>
              <w:t xml:space="preserve">(Watching)</w:t>
            </w:r>
          </w:p>
        </w:tc>
      </w:tr>
      <w:tr>
        <w:tc>
          <w:tcPr/>
          <w:p w:rsidR="00000000" w:rsidDel="00000000" w:rsidP="00000000" w:rsidRDefault="00000000" w:rsidRPr="00000000" w14:paraId="00000027">
            <w:pPr>
              <w:rPr/>
            </w:pPr>
            <w:r w:rsidDel="00000000" w:rsidR="00000000" w:rsidRPr="00000000">
              <w:rPr>
                <w:rtl w:val="0"/>
              </w:rPr>
              <w:t xml:space="preserve">Concrete experience </w:t>
            </w:r>
          </w:p>
          <w:p w:rsidR="00000000" w:rsidDel="00000000" w:rsidP="00000000" w:rsidRDefault="00000000" w:rsidRPr="00000000" w14:paraId="00000028">
            <w:pPr>
              <w:rPr/>
            </w:pPr>
            <w:r w:rsidDel="00000000" w:rsidR="00000000" w:rsidRPr="00000000">
              <w:rPr>
                <w:rtl w:val="0"/>
              </w:rPr>
              <w:t xml:space="preserve">(feeling)</w:t>
            </w:r>
          </w:p>
        </w:tc>
        <w:tc>
          <w:tcPr/>
          <w:p w:rsidR="00000000" w:rsidDel="00000000" w:rsidP="00000000" w:rsidRDefault="00000000" w:rsidRPr="00000000" w14:paraId="00000029">
            <w:pPr>
              <w:rPr/>
            </w:pPr>
            <w:r w:rsidDel="00000000" w:rsidR="00000000" w:rsidRPr="00000000">
              <w:rPr>
                <w:rtl w:val="0"/>
              </w:rPr>
              <w:t xml:space="preserve">Accommodating</w:t>
            </w:r>
          </w:p>
        </w:tc>
        <w:tc>
          <w:tcPr/>
          <w:p w:rsidR="00000000" w:rsidDel="00000000" w:rsidP="00000000" w:rsidRDefault="00000000" w:rsidRPr="00000000" w14:paraId="0000002A">
            <w:pPr>
              <w:rPr/>
            </w:pPr>
            <w:r w:rsidDel="00000000" w:rsidR="00000000" w:rsidRPr="00000000">
              <w:rPr>
                <w:rtl w:val="0"/>
              </w:rPr>
              <w:t xml:space="preserve">Diverging</w:t>
            </w:r>
          </w:p>
        </w:tc>
      </w:tr>
      <w:tr>
        <w:tc>
          <w:tcPr/>
          <w:p w:rsidR="00000000" w:rsidDel="00000000" w:rsidP="00000000" w:rsidRDefault="00000000" w:rsidRPr="00000000" w14:paraId="0000002B">
            <w:pPr>
              <w:rPr/>
            </w:pPr>
            <w:r w:rsidDel="00000000" w:rsidR="00000000" w:rsidRPr="00000000">
              <w:rPr>
                <w:rtl w:val="0"/>
              </w:rPr>
              <w:t xml:space="preserve">Abstract conceptualization</w:t>
            </w:r>
          </w:p>
          <w:p w:rsidR="00000000" w:rsidDel="00000000" w:rsidP="00000000" w:rsidRDefault="00000000" w:rsidRPr="00000000" w14:paraId="0000002C">
            <w:pPr>
              <w:rPr/>
            </w:pPr>
            <w:r w:rsidDel="00000000" w:rsidR="00000000" w:rsidRPr="00000000">
              <w:rPr>
                <w:rtl w:val="0"/>
              </w:rPr>
              <w:t xml:space="preserve">(Thinking)</w:t>
            </w:r>
          </w:p>
        </w:tc>
        <w:tc>
          <w:tcPr/>
          <w:p w:rsidR="00000000" w:rsidDel="00000000" w:rsidP="00000000" w:rsidRDefault="00000000" w:rsidRPr="00000000" w14:paraId="0000002D">
            <w:pPr>
              <w:rPr/>
            </w:pPr>
            <w:r w:rsidDel="00000000" w:rsidR="00000000" w:rsidRPr="00000000">
              <w:rPr>
                <w:rtl w:val="0"/>
              </w:rPr>
              <w:t xml:space="preserve">Converging</w:t>
            </w:r>
          </w:p>
        </w:tc>
        <w:tc>
          <w:tcPr/>
          <w:p w:rsidR="00000000" w:rsidDel="00000000" w:rsidP="00000000" w:rsidRDefault="00000000" w:rsidRPr="00000000" w14:paraId="0000002E">
            <w:pPr>
              <w:rPr/>
            </w:pPr>
            <w:r w:rsidDel="00000000" w:rsidR="00000000" w:rsidRPr="00000000">
              <w:rPr>
                <w:rtl w:val="0"/>
              </w:rPr>
              <w:t xml:space="preserve">Assimilating</w:t>
            </w:r>
          </w:p>
        </w:tc>
      </w:tr>
    </w:tbl>
    <w:p w:rsidR="00000000" w:rsidDel="00000000" w:rsidP="00000000" w:rsidRDefault="00000000" w:rsidRPr="00000000" w14:paraId="0000002F">
      <w:pPr>
        <w:rPr/>
      </w:pPr>
      <w:r w:rsidDel="00000000" w:rsidR="00000000" w:rsidRPr="00000000">
        <w:rPr>
          <w:rtl w:val="0"/>
        </w:rPr>
        <w:tab/>
        <w:t xml:space="preserve">These two by two matrix shows that every style is represented by two preferred style as a person can’t perform both the task at a single time or at a single axis. These described in detail;</w:t>
      </w:r>
    </w:p>
    <w:p w:rsidR="00000000" w:rsidDel="00000000" w:rsidP="00000000" w:rsidRDefault="00000000" w:rsidRPr="00000000" w14:paraId="0000003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Diverging: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people who have different prospective to look the things and they have sensitive nature are comes under this category. They have the nature to watch the thing rather than do. They live in imagination and solve the problem by imagining the implementation of the solution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(Olson,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perfect example is brainstorming, they have the diverging style have broad interest and like to gather information. </w:t>
      </w:r>
      <w:r w:rsidDel="00000000" w:rsidR="00000000" w:rsidRPr="00000000">
        <w:rPr>
          <w:rtl w:val="0"/>
        </w:rPr>
      </w:r>
    </w:p>
    <w:p w:rsidR="00000000" w:rsidDel="00000000" w:rsidP="00000000" w:rsidRDefault="00000000" w:rsidRPr="00000000" w14:paraId="0000003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Assimilating: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is the learning approach as they are focused on concept more than people. In this type of segment people believe on the clear and accurate explanation rather than practical opportunity. They are more interested in watching and learning the theories as compare to doing the practical. This is important in effectiveness of the information and also good for science careers.</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3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Converging: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People who fall under this group can solve the problems and use their learnings by implementing the practical issue. They prefer more to the practical and learning work as compare to the people and thinking. They are attached with technical task or issues rather than social or personal issues.</w:t>
      </w:r>
    </w:p>
    <w:p w:rsidR="00000000" w:rsidDel="00000000" w:rsidP="00000000" w:rsidRDefault="00000000" w:rsidRPr="00000000" w14:paraId="0000003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Accommodating: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Here the people believe on intuition rather than logics by using practical and experimental approach. What they feel they do and complete the task, they don’t believe in thinking and watching</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(Rothwell and Rothwell,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Whenever they attracted the new plan and issues they just carry out the plans. They are relay on the other thinking rather than learning their own analysis. This style is used by the general population.</w:t>
      </w:r>
    </w:p>
    <w:p w:rsidR="00000000" w:rsidDel="00000000" w:rsidP="00000000" w:rsidRDefault="00000000" w:rsidRPr="00000000" w14:paraId="00000034">
      <w:pPr>
        <w:ind w:left="360" w:firstLine="360"/>
        <w:rPr/>
      </w:pPr>
      <w:r w:rsidDel="00000000" w:rsidR="00000000" w:rsidRPr="00000000">
        <w:rPr>
          <w:rtl w:val="0"/>
        </w:rPr>
        <w:t xml:space="preserve">In the four mentioned styles, I come under the accommodating style, as what I think is what I do. My main focus is on the completing the work on time and so that what I learned I used in that in implementing on the plan.</w:t>
      </w:r>
    </w:p>
    <w:p w:rsidR="00000000" w:rsidDel="00000000" w:rsidP="00000000" w:rsidRDefault="00000000" w:rsidRPr="00000000" w14:paraId="00000035">
      <w:pPr>
        <w:pStyle w:val="Heading2"/>
        <w:rPr/>
      </w:pPr>
      <w:bookmarkStart w:colFirst="0" w:colLast="0" w:name="_3znysh7" w:id="3"/>
      <w:bookmarkEnd w:id="3"/>
      <w:r w:rsidDel="00000000" w:rsidR="00000000" w:rsidRPr="00000000">
        <w:rPr>
          <w:rtl w:val="0"/>
        </w:rPr>
        <w:t xml:space="preserve">Gibbs’ Reflective Cycle:</w:t>
      </w:r>
    </w:p>
    <w:p w:rsidR="00000000" w:rsidDel="00000000" w:rsidP="00000000" w:rsidRDefault="00000000" w:rsidRPr="00000000" w14:paraId="00000036">
      <w:pPr>
        <w:rPr/>
      </w:pPr>
      <w:r w:rsidDel="00000000" w:rsidR="00000000" w:rsidRPr="00000000">
        <w:rPr>
          <w:rtl w:val="0"/>
        </w:rPr>
        <w:tab/>
        <w:t xml:space="preserve">Graham Gibbs give this reflective cycle model to elaborate the ways which comes from learning. This model is based on the cyclic nature as it lean on the repeated experiences, allowing a learner to learn the things from the plans which are either goes well or didn’t go well while implanting them. So basically, this model is properly based on the experiences or stand alone. For example if a meeting is going to be happened than this means that collaboration is must in the meeting. This is the repeated experience and known by the individual. This is divided in six elements;</w:t>
      </w:r>
    </w:p>
    <w:p w:rsidR="00000000" w:rsidDel="00000000" w:rsidP="00000000" w:rsidRDefault="00000000" w:rsidRPr="00000000" w14:paraId="0000003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Description: This element lies on the factual description of the incident, means no conclusion is make or concluded as they are just describing the incident. Main focus is on the factual information which is relevant and needed. The feeling and conclusion is concern after evaluating that what was happened. Here the most important thing is describing what was happened, how, when and whom was present that time? As when the academic assignment is given to me, than we divide the assignment in group on the basis of skills and abilities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(Sin, Tavares and Amaral,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But all the team members write that assignment in different style therefore all of our have to rewrite the assignment again.</w:t>
      </w:r>
    </w:p>
    <w:p w:rsidR="00000000" w:rsidDel="00000000" w:rsidP="00000000" w:rsidRDefault="00000000" w:rsidRPr="00000000" w14:paraId="0000003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Feeling: During incident take place what are the emotions and feeling are coming in that peoples are the main motive of this element. Like how you feeling during the situation or before or after the situation and many more questions related to the feelings. In my case, I thought that plan would work and had felt good about our planning. But when we have to rewrite it the feeling was frustrated and irritating.</w:t>
      </w:r>
    </w:p>
    <w:p w:rsidR="00000000" w:rsidDel="00000000" w:rsidP="00000000" w:rsidRDefault="00000000" w:rsidRPr="00000000" w14:paraId="0000003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In this the evaluation is done as what can do done at that time or what is the best way to minimize or eliminate the incident at that particular time. Questions arises like what was good or bad at that time, what went well and many more. I evaluate that the dividing plan went well but the coherence and inability to work in a team would goes wrong.</w:t>
      </w:r>
    </w:p>
    <w:p w:rsidR="00000000" w:rsidDel="00000000" w:rsidP="00000000" w:rsidRDefault="00000000" w:rsidRPr="00000000" w14:paraId="0000003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Here you make the steps where learner analysis the situation and can be helped the situation at that time. Here the theory and experience both parts are linked and can be analysed by referencing the literacy articles. I analysis that dividing the work is good but how it looks in end is not decided by us and here we goes wrong. We were forced to complete the assignment in less time so that we didn’t make the sense on the conclusion of the report and the group thinking and role is missing in our action.</w:t>
      </w:r>
    </w:p>
    <w:p w:rsidR="00000000" w:rsidDel="00000000" w:rsidP="00000000" w:rsidRDefault="00000000" w:rsidRPr="00000000" w14:paraId="0000003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In this section what was happened was concluded and what you actually learn with the incident comes under this part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Stoten,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Means summarising and evaluating the learning and make highlight about the improvement which must be taken in that particular case. I learned that divide the work according to the peoples need is good but we have to pre-plan and rough outcome is think before starting the plan. And lastly I will remember the danger and hurdles which can be come in the group work and also what the theory of Gibbs is suggest for.</w:t>
      </w:r>
    </w:p>
    <w:p w:rsidR="00000000" w:rsidDel="00000000" w:rsidP="00000000" w:rsidRDefault="00000000" w:rsidRPr="00000000" w14:paraId="0000003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Action plan: this area deals with the action plan of how to effectively handle the situation in the next time and steps is taken to overcome the situation in next incidents. Like what particular training and skills can help you to improve the situation if it occur again. I will use the Belbin’s group theory to divide the team work and role in the future team management task. And finally I talked to the other people of the group and mirror the assignment before starting and make my concern and issues clear with the other people at the time.</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124450" cy="3514725"/>
            <wp:effectExtent b="0" l="0" r="0" t="0"/>
            <wp:docPr descr="C:\Users\Vinita\Desktop\5ed632f5d490a.jpg" id="2" name="image2.png"/>
            <a:graphic>
              <a:graphicData uri="http://schemas.openxmlformats.org/drawingml/2006/picture">
                <pic:pic>
                  <pic:nvPicPr>
                    <pic:cNvPr descr="C:\Users\Vinita\Desktop\5ed632f5d490a.jpg" id="0" name="image2.png"/>
                    <pic:cNvPicPr preferRelativeResize="0"/>
                  </pic:nvPicPr>
                  <pic:blipFill>
                    <a:blip r:embed="rId7"/>
                    <a:srcRect b="0" l="0" r="0" t="0"/>
                    <a:stretch>
                      <a:fillRect/>
                    </a:stretch>
                  </pic:blipFill>
                  <pic:spPr>
                    <a:xfrm>
                      <a:off x="0" y="0"/>
                      <a:ext cx="5124450" cy="3514725"/>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pStyle w:val="Heading2"/>
        <w:rPr/>
      </w:pPr>
      <w:bookmarkStart w:colFirst="0" w:colLast="0" w:name="_2et92p0" w:id="4"/>
      <w:bookmarkEnd w:id="4"/>
      <w:r w:rsidDel="00000000" w:rsidR="00000000" w:rsidRPr="00000000">
        <w:rPr>
          <w:rtl w:val="0"/>
        </w:rPr>
        <w:t xml:space="preserve">Employability skills</w:t>
      </w:r>
    </w:p>
    <w:p w:rsidR="00000000" w:rsidDel="00000000" w:rsidP="00000000" w:rsidRDefault="00000000" w:rsidRPr="00000000" w14:paraId="0000003F">
      <w:pPr>
        <w:rPr>
          <w:color w:val="222222"/>
          <w:highlight w:val="white"/>
        </w:rPr>
      </w:pPr>
      <w:r w:rsidDel="00000000" w:rsidR="00000000" w:rsidRPr="00000000">
        <w:rPr>
          <w:b w:val="1"/>
          <w:rtl w:val="0"/>
        </w:rPr>
        <w:tab/>
      </w:r>
      <w:r w:rsidDel="00000000" w:rsidR="00000000" w:rsidRPr="00000000">
        <w:rPr>
          <w:rtl w:val="0"/>
        </w:rPr>
        <w:t xml:space="preserve">This is not as easy as seems so a learner must now the value and knowledge of the employability skills in the professional life</w:t>
      </w:r>
      <w:r w:rsidDel="00000000" w:rsidR="00000000" w:rsidRPr="00000000">
        <w:rPr>
          <w:color w:val="222222"/>
          <w:highlight w:val="white"/>
          <w:rtl w:val="0"/>
        </w:rPr>
        <w:t xml:space="preserve"> (Walker and Fongwa, 2017). </w:t>
      </w:r>
      <w:r w:rsidDel="00000000" w:rsidR="00000000" w:rsidRPr="00000000">
        <w:rPr>
          <w:rtl w:val="0"/>
        </w:rPr>
        <w:t xml:space="preserve">They have to compare their generic skills with the technical skills</w:t>
        <w:tab/>
        <w:t xml:space="preserve"> and it gives the value and impact on the individual training programme. Learner’s expertise to develop employability and workforce decision-making skills with the help of improving recruitment with more regularised procedures. Also enhance the wider benefits of adult education, help in highlight and upgrade the CV for the more job applications. These is the set of behaviour and skills which are necessary for the any job requirement in today’s world. Only a good academic life is not needed but the goods skills and abilities to work in the different culture of the organisations are the needed and demanding by the companies. These skills are known by the foundational skill, work-readiness skills or job-readiness skill. Employability skills allow the person to communicate the co-workers, problem solving abilities and understand the role within the organisation.</w:t>
      </w:r>
      <w:r w:rsidDel="00000000" w:rsidR="00000000" w:rsidRPr="00000000">
        <w:rPr>
          <w:rtl w:val="0"/>
        </w:rPr>
      </w:r>
    </w:p>
    <w:p w:rsidR="00000000" w:rsidDel="00000000" w:rsidP="00000000" w:rsidRDefault="00000000" w:rsidRPr="00000000" w14:paraId="00000040">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Foundational 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this the skills which are organised be organised in the nature, ready to work on time or early if possible, having a positive attitude toward work</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(Watkins and Smith,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Furthermore seek out the information to improve skills and be flexible and adoptable. </w:t>
      </w:r>
    </w:p>
    <w:p w:rsidR="00000000" w:rsidDel="00000000" w:rsidP="00000000" w:rsidRDefault="00000000" w:rsidRPr="00000000" w14:paraId="0000004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Interpersonal 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included the skills, be friendly and polite with the other peer members of the company. Always analysis the feedback from the top management and make corrective steps in order to arrange minimize the constructive criticism.</w:t>
      </w:r>
    </w:p>
    <w:p w:rsidR="00000000" w:rsidDel="00000000" w:rsidP="00000000" w:rsidRDefault="00000000" w:rsidRPr="00000000" w14:paraId="0000004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Communication 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this I will evaluate the read and understanding of the written materials, always follow the directions provided by the top management of the company. And always try to express my idea and while speaking or writing.</w:t>
      </w:r>
    </w:p>
    <w:p w:rsidR="00000000" w:rsidDel="00000000" w:rsidP="00000000" w:rsidRDefault="00000000" w:rsidRPr="00000000" w14:paraId="0000004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Teamwork: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always try to become comfortable working with people of diverse backgrounds, whenever the team is needed be sensitive to other People’s needs. I always take my responsibilities for my own work. And always contribute to team goals and help them to achieve them.</w:t>
      </w:r>
    </w:p>
    <w:p w:rsidR="00000000" w:rsidDel="00000000" w:rsidP="00000000" w:rsidRDefault="00000000" w:rsidRPr="00000000" w14:paraId="0000004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Career development: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my career development the skills which are help in my career growth in professional development life. Always work on the work communities which increase my social networks in the community of the professional work.</w:t>
      </w:r>
    </w:p>
    <w:p w:rsidR="00000000" w:rsidDel="00000000" w:rsidP="00000000" w:rsidRDefault="00000000" w:rsidRPr="00000000" w14:paraId="00000045">
      <w:pPr>
        <w:ind w:left="360" w:firstLine="360"/>
        <w:rPr/>
      </w:pPr>
      <w:r w:rsidDel="00000000" w:rsidR="00000000" w:rsidRPr="00000000">
        <w:rPr>
          <w:rtl w:val="0"/>
        </w:rPr>
        <w:t xml:space="preserve">These skills help my career growth and employability skills to enhance the career growth in the professional life. And help me to increase the possibilities of my future.</w:t>
      </w:r>
    </w:p>
    <w:p w:rsidR="00000000" w:rsidDel="00000000" w:rsidP="00000000" w:rsidRDefault="00000000" w:rsidRPr="00000000" w14:paraId="00000046">
      <w:pPr>
        <w:pStyle w:val="Heading1"/>
        <w:rPr/>
      </w:pPr>
      <w:bookmarkStart w:colFirst="0" w:colLast="0" w:name="_tyjcwt" w:id="5"/>
      <w:bookmarkEnd w:id="5"/>
      <w:r w:rsidDel="00000000" w:rsidR="00000000" w:rsidRPr="00000000">
        <w:rPr>
          <w:rtl w:val="0"/>
        </w:rPr>
        <w:t xml:space="preserve">CONCULUSION</w:t>
      </w:r>
    </w:p>
    <w:p w:rsidR="00000000" w:rsidDel="00000000" w:rsidP="00000000" w:rsidRDefault="00000000" w:rsidRPr="00000000" w14:paraId="00000047">
      <w:pPr>
        <w:rPr/>
      </w:pPr>
      <w:r w:rsidDel="00000000" w:rsidR="00000000" w:rsidRPr="00000000">
        <w:rPr>
          <w:rtl w:val="0"/>
        </w:rPr>
        <w:tab/>
        <w:t xml:space="preserve">From the above report it is concluded that the employability skills, are important to grow the lifestyle of the student’s academic life and peruse them to acknowledge the professional career. Kolb’s reflective models are Accommodating, Diverging, Converging and Assimilating are the main style which is provided by the author to solve the theory of reflective models. Gibbs reflective model are the theory which help the learner to learn the things from the experience and pre-existing incidents. He use the six elements which are based on the incident used by the student to learn the behaviour of the incident of the work. The skills help in improving the abilities of the students.</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pStyle w:val="Heading1"/>
        <w:rPr/>
      </w:pPr>
      <w:r w:rsidDel="00000000" w:rsidR="00000000" w:rsidRPr="00000000">
        <w:rPr>
          <w:rtl w:val="0"/>
        </w:rPr>
      </w:r>
    </w:p>
    <w:p w:rsidR="00000000" w:rsidDel="00000000" w:rsidP="00000000" w:rsidRDefault="00000000" w:rsidRPr="00000000" w14:paraId="0000004B">
      <w:pPr>
        <w:pStyle w:val="Heading1"/>
        <w:rPr/>
      </w:pPr>
      <w:r w:rsidDel="00000000" w:rsidR="00000000" w:rsidRPr="00000000">
        <w:rPr>
          <w:rtl w:val="0"/>
        </w:rPr>
      </w:r>
    </w:p>
    <w:p w:rsidR="00000000" w:rsidDel="00000000" w:rsidP="00000000" w:rsidRDefault="00000000" w:rsidRPr="00000000" w14:paraId="0000004C">
      <w:pPr>
        <w:spacing w:line="259" w:lineRule="auto"/>
        <w:jc w:val="left"/>
        <w:rPr>
          <w:b w:val="1"/>
        </w:rPr>
      </w:pPr>
      <w:r w:rsidDel="00000000" w:rsidR="00000000" w:rsidRPr="00000000">
        <w:rPr>
          <w:rtl w:val="0"/>
        </w:rPr>
      </w:r>
    </w:p>
    <w:p w:rsidR="00000000" w:rsidDel="00000000" w:rsidP="00000000" w:rsidRDefault="00000000" w:rsidRPr="00000000" w14:paraId="0000004D">
      <w:pPr>
        <w:spacing w:line="259" w:lineRule="auto"/>
        <w:jc w:val="left"/>
        <w:rPr>
          <w:b w:val="1"/>
        </w:rPr>
      </w:pPr>
      <w:r w:rsidDel="00000000" w:rsidR="00000000" w:rsidRPr="00000000">
        <w:rPr>
          <w:rtl w:val="0"/>
        </w:rPr>
      </w:r>
    </w:p>
    <w:p w:rsidR="00000000" w:rsidDel="00000000" w:rsidP="00000000" w:rsidRDefault="00000000" w:rsidRPr="00000000" w14:paraId="0000004E">
      <w:pPr>
        <w:pStyle w:val="Heading1"/>
        <w:rPr/>
      </w:pPr>
      <w:bookmarkStart w:colFirst="0" w:colLast="0" w:name="_3dy6vkm" w:id="6"/>
      <w:bookmarkEnd w:id="6"/>
      <w:r w:rsidDel="00000000" w:rsidR="00000000" w:rsidRPr="00000000">
        <w:rPr>
          <w:rtl w:val="0"/>
        </w:rPr>
        <w:t xml:space="preserve">REFERENCES</w:t>
      </w:r>
    </w:p>
    <w:p w:rsidR="00000000" w:rsidDel="00000000" w:rsidP="00000000" w:rsidRDefault="00000000" w:rsidRPr="00000000" w14:paraId="0000004F">
      <w:pPr>
        <w:spacing w:after="0" w:lineRule="auto"/>
        <w:rPr>
          <w:u w:val="single"/>
        </w:rPr>
      </w:pPr>
      <w:r w:rsidDel="00000000" w:rsidR="00000000" w:rsidRPr="00000000">
        <w:rPr>
          <w:u w:val="single"/>
          <w:rtl w:val="0"/>
        </w:rPr>
        <w:t xml:space="preserve">Books and Journals</w:t>
      </w:r>
    </w:p>
    <w:p w:rsidR="00000000" w:rsidDel="00000000" w:rsidP="00000000" w:rsidRDefault="00000000" w:rsidRPr="00000000" w14:paraId="00000050">
      <w:pPr>
        <w:spacing w:after="0" w:lineRule="auto"/>
        <w:ind w:left="851" w:hanging="851"/>
        <w:rPr>
          <w:color w:val="222222"/>
          <w:highlight w:val="white"/>
        </w:rPr>
      </w:pPr>
      <w:r w:rsidDel="00000000" w:rsidR="00000000" w:rsidRPr="00000000">
        <w:rPr>
          <w:color w:val="222222"/>
          <w:highlight w:val="white"/>
          <w:rtl w:val="0"/>
        </w:rPr>
        <w:t xml:space="preserve">Divan, A. and McBurney, S., 2016. Understanding how students manage their employability. </w:t>
      </w:r>
      <w:r w:rsidDel="00000000" w:rsidR="00000000" w:rsidRPr="00000000">
        <w:rPr>
          <w:i w:val="1"/>
          <w:color w:val="222222"/>
          <w:highlight w:val="white"/>
          <w:rtl w:val="0"/>
        </w:rPr>
        <w:t xml:space="preserve">New Directions in the Teaching of Physical Sciences</w:t>
      </w:r>
      <w:r w:rsidDel="00000000" w:rsidR="00000000" w:rsidRPr="00000000">
        <w:rPr>
          <w:color w:val="222222"/>
          <w:highlight w:val="white"/>
          <w:rtl w:val="0"/>
        </w:rPr>
        <w:t xml:space="preserve">. (11).</w:t>
      </w:r>
    </w:p>
    <w:p w:rsidR="00000000" w:rsidDel="00000000" w:rsidP="00000000" w:rsidRDefault="00000000" w:rsidRPr="00000000" w14:paraId="00000051">
      <w:pPr>
        <w:spacing w:after="0" w:lineRule="auto"/>
        <w:ind w:left="851" w:hanging="851"/>
        <w:rPr>
          <w:color w:val="222222"/>
          <w:highlight w:val="white"/>
        </w:rPr>
      </w:pPr>
      <w:r w:rsidDel="00000000" w:rsidR="00000000" w:rsidRPr="00000000">
        <w:rPr>
          <w:color w:val="222222"/>
          <w:highlight w:val="white"/>
          <w:rtl w:val="0"/>
        </w:rPr>
        <w:t xml:space="preserve">Dupuis, C.E., 2020. Exploring experiential education and post-secondary student employability skills: a twenty-year review.</w:t>
      </w:r>
    </w:p>
    <w:p w:rsidR="00000000" w:rsidDel="00000000" w:rsidP="00000000" w:rsidRDefault="00000000" w:rsidRPr="00000000" w14:paraId="00000052">
      <w:pPr>
        <w:spacing w:after="0" w:lineRule="auto"/>
        <w:ind w:left="851" w:hanging="851"/>
        <w:rPr>
          <w:u w:val="single"/>
        </w:rPr>
      </w:pPr>
      <w:r w:rsidDel="00000000" w:rsidR="00000000" w:rsidRPr="00000000">
        <w:rPr>
          <w:color w:val="222222"/>
          <w:highlight w:val="white"/>
          <w:rtl w:val="0"/>
        </w:rPr>
        <w:t xml:space="preserve">Martini, M. and Cavenago, D., 2017. The role of perceived workplace development opportunities in enhancing individual employability. </w:t>
      </w:r>
      <w:r w:rsidDel="00000000" w:rsidR="00000000" w:rsidRPr="00000000">
        <w:rPr>
          <w:i w:val="1"/>
          <w:color w:val="222222"/>
          <w:highlight w:val="white"/>
          <w:rtl w:val="0"/>
        </w:rPr>
        <w:t xml:space="preserve">International Journal of Training and Development</w:t>
      </w:r>
      <w:r w:rsidDel="00000000" w:rsidR="00000000" w:rsidRPr="00000000">
        <w:rPr>
          <w:color w:val="222222"/>
          <w:highlight w:val="white"/>
          <w:rtl w:val="0"/>
        </w:rPr>
        <w:t xml:space="preserve">. 21(1). pp.18-34.</w:t>
      </w:r>
      <w:r w:rsidDel="00000000" w:rsidR="00000000" w:rsidRPr="00000000">
        <w:rPr>
          <w:rtl w:val="0"/>
        </w:rPr>
      </w:r>
    </w:p>
    <w:p w:rsidR="00000000" w:rsidDel="00000000" w:rsidP="00000000" w:rsidRDefault="00000000" w:rsidRPr="00000000" w14:paraId="00000053">
      <w:pPr>
        <w:spacing w:after="0" w:lineRule="auto"/>
        <w:ind w:left="851" w:hanging="851"/>
        <w:rPr>
          <w:color w:val="222222"/>
          <w:highlight w:val="white"/>
        </w:rPr>
      </w:pPr>
      <w:r w:rsidDel="00000000" w:rsidR="00000000" w:rsidRPr="00000000">
        <w:rPr>
          <w:color w:val="222222"/>
          <w:highlight w:val="white"/>
          <w:rtl w:val="0"/>
        </w:rPr>
        <w:t xml:space="preserve">Olson, J.D., 2016. </w:t>
      </w:r>
      <w:r w:rsidDel="00000000" w:rsidR="00000000" w:rsidRPr="00000000">
        <w:rPr>
          <w:i w:val="1"/>
          <w:color w:val="222222"/>
          <w:highlight w:val="white"/>
          <w:rtl w:val="0"/>
        </w:rPr>
        <w:t xml:space="preserve">Teaching employability skills to post-secondary students through e-learning: A case study of online curriculum</w:t>
      </w:r>
      <w:r w:rsidDel="00000000" w:rsidR="00000000" w:rsidRPr="00000000">
        <w:rPr>
          <w:color w:val="222222"/>
          <w:highlight w:val="white"/>
          <w:rtl w:val="0"/>
        </w:rPr>
        <w:t xml:space="preserve">. Northcentral University.</w:t>
      </w:r>
    </w:p>
    <w:p w:rsidR="00000000" w:rsidDel="00000000" w:rsidP="00000000" w:rsidRDefault="00000000" w:rsidRPr="00000000" w14:paraId="00000054">
      <w:pPr>
        <w:spacing w:after="0" w:lineRule="auto"/>
        <w:ind w:left="851" w:hanging="851"/>
        <w:rPr>
          <w:color w:val="222222"/>
          <w:highlight w:val="white"/>
        </w:rPr>
      </w:pPr>
      <w:r w:rsidDel="00000000" w:rsidR="00000000" w:rsidRPr="00000000">
        <w:rPr>
          <w:color w:val="222222"/>
          <w:highlight w:val="white"/>
          <w:rtl w:val="0"/>
        </w:rPr>
        <w:t xml:space="preserve">Rothwell, A. and Rothwell, F., 2017. Graduate employability: A critical oversight. In </w:t>
      </w:r>
      <w:r w:rsidDel="00000000" w:rsidR="00000000" w:rsidRPr="00000000">
        <w:rPr>
          <w:i w:val="1"/>
          <w:color w:val="222222"/>
          <w:highlight w:val="white"/>
          <w:rtl w:val="0"/>
        </w:rPr>
        <w:t xml:space="preserve">Graduate employability in context</w:t>
      </w:r>
      <w:r w:rsidDel="00000000" w:rsidR="00000000" w:rsidRPr="00000000">
        <w:rPr>
          <w:color w:val="222222"/>
          <w:highlight w:val="white"/>
          <w:rtl w:val="0"/>
        </w:rPr>
        <w:t xml:space="preserve"> (pp. 41-63). Palgrave Macmillan, London.</w:t>
      </w:r>
    </w:p>
    <w:p w:rsidR="00000000" w:rsidDel="00000000" w:rsidP="00000000" w:rsidRDefault="00000000" w:rsidRPr="00000000" w14:paraId="00000055">
      <w:pPr>
        <w:spacing w:after="0" w:lineRule="auto"/>
        <w:ind w:left="851" w:hanging="851"/>
        <w:rPr>
          <w:color w:val="222222"/>
          <w:highlight w:val="white"/>
        </w:rPr>
      </w:pPr>
      <w:r w:rsidDel="00000000" w:rsidR="00000000" w:rsidRPr="00000000">
        <w:rPr>
          <w:color w:val="222222"/>
          <w:highlight w:val="white"/>
          <w:rtl w:val="0"/>
        </w:rPr>
        <w:t xml:space="preserve">Sin, C., Tavares, O. and Amaral, A., 2016. Who is responsible for employability? Student perceptions and practices. </w:t>
      </w:r>
      <w:r w:rsidDel="00000000" w:rsidR="00000000" w:rsidRPr="00000000">
        <w:rPr>
          <w:i w:val="1"/>
          <w:color w:val="222222"/>
          <w:highlight w:val="white"/>
          <w:rtl w:val="0"/>
        </w:rPr>
        <w:t xml:space="preserve">Tertiary Education and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22</w:t>
      </w:r>
      <w:r w:rsidDel="00000000" w:rsidR="00000000" w:rsidRPr="00000000">
        <w:rPr>
          <w:color w:val="222222"/>
          <w:highlight w:val="white"/>
          <w:rtl w:val="0"/>
        </w:rPr>
        <w:t xml:space="preserve">(1).  pp.65-81.</w:t>
      </w:r>
    </w:p>
    <w:p w:rsidR="00000000" w:rsidDel="00000000" w:rsidP="00000000" w:rsidRDefault="00000000" w:rsidRPr="00000000" w14:paraId="00000056">
      <w:pPr>
        <w:spacing w:after="0" w:lineRule="auto"/>
        <w:ind w:left="851" w:hanging="851"/>
        <w:rPr>
          <w:color w:val="222222"/>
          <w:highlight w:val="white"/>
        </w:rPr>
      </w:pPr>
      <w:r w:rsidDel="00000000" w:rsidR="00000000" w:rsidRPr="00000000">
        <w:rPr>
          <w:color w:val="222222"/>
          <w:highlight w:val="white"/>
          <w:rtl w:val="0"/>
        </w:rPr>
        <w:t xml:space="preserve">Stoten, D.W., 2018. Employability: a contested concept in higher education. </w:t>
      </w:r>
      <w:r w:rsidDel="00000000" w:rsidR="00000000" w:rsidRPr="00000000">
        <w:rPr>
          <w:i w:val="1"/>
          <w:color w:val="222222"/>
          <w:highlight w:val="white"/>
          <w:rtl w:val="0"/>
        </w:rPr>
        <w:t xml:space="preserve">Journal of pedagogic development</w:t>
      </w:r>
      <w:r w:rsidDel="00000000" w:rsidR="00000000" w:rsidRPr="00000000">
        <w:rPr>
          <w:color w:val="222222"/>
          <w:highlight w:val="white"/>
          <w:rtl w:val="0"/>
        </w:rPr>
        <w:t xml:space="preserve">.</w:t>
      </w:r>
    </w:p>
    <w:p w:rsidR="00000000" w:rsidDel="00000000" w:rsidP="00000000" w:rsidRDefault="00000000" w:rsidRPr="00000000" w14:paraId="00000057">
      <w:pPr>
        <w:spacing w:after="0" w:lineRule="auto"/>
        <w:ind w:left="851" w:hanging="851"/>
        <w:rPr>
          <w:color w:val="222222"/>
          <w:highlight w:val="white"/>
        </w:rPr>
      </w:pPr>
      <w:r w:rsidDel="00000000" w:rsidR="00000000" w:rsidRPr="00000000">
        <w:rPr>
          <w:color w:val="222222"/>
          <w:highlight w:val="white"/>
          <w:rtl w:val="0"/>
        </w:rPr>
        <w:t xml:space="preserve">Walker, M. and Fongwa, S., 2017. </w:t>
      </w:r>
      <w:r w:rsidDel="00000000" w:rsidR="00000000" w:rsidRPr="00000000">
        <w:rPr>
          <w:i w:val="1"/>
          <w:color w:val="222222"/>
          <w:highlight w:val="white"/>
          <w:rtl w:val="0"/>
        </w:rPr>
        <w:t xml:space="preserve">Universities, employability and human development</w:t>
      </w:r>
      <w:r w:rsidDel="00000000" w:rsidR="00000000" w:rsidRPr="00000000">
        <w:rPr>
          <w:color w:val="222222"/>
          <w:highlight w:val="white"/>
          <w:rtl w:val="0"/>
        </w:rPr>
        <w:t xml:space="preserve">. Springer.</w:t>
      </w:r>
    </w:p>
    <w:p w:rsidR="00000000" w:rsidDel="00000000" w:rsidP="00000000" w:rsidRDefault="00000000" w:rsidRPr="00000000" w14:paraId="00000058">
      <w:pPr>
        <w:spacing w:after="0" w:lineRule="auto"/>
        <w:ind w:left="851" w:hanging="851"/>
        <w:rPr>
          <w:color w:val="222222"/>
          <w:highlight w:val="white"/>
        </w:rPr>
      </w:pPr>
      <w:r w:rsidDel="00000000" w:rsidR="00000000" w:rsidRPr="00000000">
        <w:rPr>
          <w:color w:val="222222"/>
          <w:highlight w:val="white"/>
          <w:rtl w:val="0"/>
        </w:rPr>
        <w:t xml:space="preserve">Watkins, H. and Smith, R., 2018. Thinking globally, working locally: Employability and internationalization at home. </w:t>
      </w:r>
      <w:r w:rsidDel="00000000" w:rsidR="00000000" w:rsidRPr="00000000">
        <w:rPr>
          <w:i w:val="1"/>
          <w:color w:val="222222"/>
          <w:highlight w:val="white"/>
          <w:rtl w:val="0"/>
        </w:rPr>
        <w:t xml:space="preserve">Journal of Studies in International Education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22</w:t>
      </w:r>
      <w:r w:rsidDel="00000000" w:rsidR="00000000" w:rsidRPr="00000000">
        <w:rPr>
          <w:color w:val="222222"/>
          <w:highlight w:val="white"/>
          <w:rtl w:val="0"/>
        </w:rPr>
        <w:t xml:space="preserve">(3). pp.210-224.</w:t>
      </w:r>
    </w:p>
    <w:p w:rsidR="00000000" w:rsidDel="00000000" w:rsidP="00000000" w:rsidRDefault="00000000" w:rsidRPr="00000000" w14:paraId="00000059">
      <w:pPr>
        <w:spacing w:after="0" w:lineRule="auto"/>
        <w:ind w:left="851" w:hanging="851"/>
        <w:rPr>
          <w:color w:val="222222"/>
          <w:highlight w:val="white"/>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rPr>
  </w:style>
  <w:style w:type="paragraph" w:styleId="Heading2">
    <w:name w:val="heading 2"/>
    <w:basedOn w:val="Normal"/>
    <w:next w:val="Normal"/>
    <w:pPr>
      <w:keepNext w:val="1"/>
      <w:keepLines w:val="1"/>
      <w:spacing w:after="0" w:before="40" w:lineRule="auto"/>
    </w:pPr>
    <w:rPr>
      <w:u w:val="single"/>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