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F8505" w14:textId="77777777" w:rsidR="00AF43C2" w:rsidRPr="00DD22C5" w:rsidRDefault="00AF43C2">
      <w:pPr>
        <w:spacing w:line="360" w:lineRule="auto"/>
        <w:jc w:val="center"/>
        <w:rPr>
          <w:rFonts w:ascii="Times New Roman" w:eastAsia="Times New Roman" w:hAnsi="Times New Roman" w:cs="Times New Roman"/>
          <w:b/>
          <w:color w:val="000000" w:themeColor="text1"/>
          <w:sz w:val="32"/>
          <w:szCs w:val="32"/>
        </w:rPr>
      </w:pPr>
    </w:p>
    <w:p w14:paraId="73EED9DE" w14:textId="3A336BBC" w:rsidR="00AF43C2" w:rsidRDefault="008F3866">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w:t>
      </w:r>
      <w:proofErr w:type="spellStart"/>
      <w:r>
        <w:rPr>
          <w:rFonts w:ascii="Times New Roman" w:eastAsia="Times New Roman" w:hAnsi="Times New Roman" w:cs="Times New Roman"/>
          <w:b/>
          <w:color w:val="000000" w:themeColor="text1"/>
          <w:sz w:val="32"/>
          <w:szCs w:val="32"/>
        </w:rPr>
        <w:t>name:Viktoriya</w:t>
      </w:r>
      <w:proofErr w:type="spellEnd"/>
      <w:r>
        <w:rPr>
          <w:rFonts w:ascii="Times New Roman" w:eastAsia="Times New Roman" w:hAnsi="Times New Roman" w:cs="Times New Roman"/>
          <w:b/>
          <w:color w:val="000000" w:themeColor="text1"/>
          <w:sz w:val="32"/>
          <w:szCs w:val="32"/>
        </w:rPr>
        <w:t xml:space="preserve"> </w:t>
      </w:r>
      <w:proofErr w:type="spellStart"/>
      <w:r>
        <w:rPr>
          <w:rFonts w:ascii="Times New Roman" w:eastAsia="Times New Roman" w:hAnsi="Times New Roman" w:cs="Times New Roman"/>
          <w:b/>
          <w:color w:val="000000" w:themeColor="text1"/>
          <w:sz w:val="32"/>
          <w:szCs w:val="32"/>
        </w:rPr>
        <w:t>Adalbertova</w:t>
      </w:r>
      <w:proofErr w:type="spellEnd"/>
      <w:r>
        <w:rPr>
          <w:rFonts w:ascii="Times New Roman" w:eastAsia="Times New Roman" w:hAnsi="Times New Roman" w:cs="Times New Roman"/>
          <w:b/>
          <w:color w:val="000000" w:themeColor="text1"/>
          <w:sz w:val="32"/>
          <w:szCs w:val="32"/>
        </w:rPr>
        <w:t xml:space="preserve"> </w:t>
      </w:r>
    </w:p>
    <w:p w14:paraId="61B8EFC6" w14:textId="433CDE10" w:rsidR="008F3866" w:rsidRDefault="008F3866">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number:1818237</w:t>
      </w:r>
    </w:p>
    <w:p w14:paraId="111FF577" w14:textId="24418B76" w:rsidR="008F3866" w:rsidRDefault="0039292F">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Module </w:t>
      </w:r>
      <w:proofErr w:type="spellStart"/>
      <w:r>
        <w:rPr>
          <w:rFonts w:ascii="Times New Roman" w:eastAsia="Times New Roman" w:hAnsi="Times New Roman" w:cs="Times New Roman"/>
          <w:b/>
          <w:color w:val="000000" w:themeColor="text1"/>
          <w:sz w:val="32"/>
          <w:szCs w:val="32"/>
        </w:rPr>
        <w:t>title:Global</w:t>
      </w:r>
      <w:proofErr w:type="spellEnd"/>
      <w:r>
        <w:rPr>
          <w:rFonts w:ascii="Times New Roman" w:eastAsia="Times New Roman" w:hAnsi="Times New Roman" w:cs="Times New Roman"/>
          <w:b/>
          <w:color w:val="000000" w:themeColor="text1"/>
          <w:sz w:val="32"/>
          <w:szCs w:val="32"/>
        </w:rPr>
        <w:t xml:space="preserve"> Business Environment </w:t>
      </w:r>
    </w:p>
    <w:p w14:paraId="018FF3A1" w14:textId="2D23B04D" w:rsidR="0039292F" w:rsidRDefault="00DD1EF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w:t>
      </w:r>
      <w:bookmarkStart w:id="0" w:name="_GoBack"/>
      <w:bookmarkEnd w:id="0"/>
    </w:p>
    <w:p w14:paraId="2BFC5D41" w14:textId="77777777" w:rsidR="0039292F" w:rsidRPr="00DD22C5" w:rsidRDefault="0039292F">
      <w:pPr>
        <w:spacing w:line="360" w:lineRule="auto"/>
        <w:jc w:val="center"/>
        <w:rPr>
          <w:rFonts w:ascii="Times New Roman" w:eastAsia="Times New Roman" w:hAnsi="Times New Roman" w:cs="Times New Roman"/>
          <w:b/>
          <w:color w:val="000000" w:themeColor="text1"/>
          <w:sz w:val="32"/>
          <w:szCs w:val="32"/>
        </w:rPr>
      </w:pPr>
    </w:p>
    <w:p w14:paraId="2D291DAC" w14:textId="77777777" w:rsidR="00AF43C2" w:rsidRPr="00DD22C5" w:rsidRDefault="00AF43C2">
      <w:pPr>
        <w:spacing w:line="360" w:lineRule="auto"/>
        <w:jc w:val="center"/>
        <w:rPr>
          <w:rFonts w:ascii="Times New Roman" w:eastAsia="Times New Roman" w:hAnsi="Times New Roman" w:cs="Times New Roman"/>
          <w:b/>
          <w:color w:val="000000" w:themeColor="text1"/>
          <w:sz w:val="32"/>
          <w:szCs w:val="32"/>
        </w:rPr>
      </w:pPr>
    </w:p>
    <w:p w14:paraId="1D642B6C" w14:textId="77777777" w:rsidR="00AF43C2" w:rsidRPr="00DD22C5" w:rsidRDefault="00AF43C2">
      <w:pPr>
        <w:spacing w:line="360" w:lineRule="auto"/>
        <w:jc w:val="center"/>
        <w:rPr>
          <w:rFonts w:ascii="Times New Roman" w:eastAsia="Times New Roman" w:hAnsi="Times New Roman" w:cs="Times New Roman"/>
          <w:b/>
          <w:color w:val="000000" w:themeColor="text1"/>
          <w:sz w:val="32"/>
          <w:szCs w:val="32"/>
        </w:rPr>
      </w:pPr>
    </w:p>
    <w:p w14:paraId="26E2A334" w14:textId="65F11D61" w:rsidR="00AF43C2" w:rsidRDefault="00AF43C2">
      <w:pPr>
        <w:spacing w:line="360" w:lineRule="auto"/>
        <w:jc w:val="center"/>
        <w:rPr>
          <w:rFonts w:ascii="Times New Roman" w:eastAsia="Times New Roman" w:hAnsi="Times New Roman" w:cs="Times New Roman"/>
          <w:b/>
          <w:color w:val="000000" w:themeColor="text1"/>
          <w:sz w:val="32"/>
          <w:szCs w:val="32"/>
        </w:rPr>
      </w:pPr>
    </w:p>
    <w:p w14:paraId="6E00F5F7" w14:textId="77777777" w:rsidR="004C5F87" w:rsidRPr="00DD22C5" w:rsidRDefault="004C5F87">
      <w:pPr>
        <w:spacing w:line="360" w:lineRule="auto"/>
        <w:jc w:val="center"/>
        <w:rPr>
          <w:rFonts w:ascii="Times New Roman" w:eastAsia="Times New Roman" w:hAnsi="Times New Roman" w:cs="Times New Roman"/>
          <w:b/>
          <w:color w:val="000000" w:themeColor="text1"/>
          <w:sz w:val="32"/>
          <w:szCs w:val="32"/>
        </w:rPr>
      </w:pPr>
    </w:p>
    <w:p w14:paraId="5F9BDAFB" w14:textId="77777777" w:rsidR="00AF43C2" w:rsidRPr="00DD22C5" w:rsidRDefault="00AF43C2">
      <w:pPr>
        <w:spacing w:line="360" w:lineRule="auto"/>
        <w:jc w:val="center"/>
        <w:rPr>
          <w:rFonts w:ascii="Times New Roman" w:eastAsia="Times New Roman" w:hAnsi="Times New Roman" w:cs="Times New Roman"/>
          <w:b/>
          <w:color w:val="000000" w:themeColor="text1"/>
          <w:sz w:val="32"/>
          <w:szCs w:val="32"/>
        </w:rPr>
      </w:pPr>
    </w:p>
    <w:p w14:paraId="792CA7E5" w14:textId="77777777" w:rsidR="00AF43C2" w:rsidRPr="00DD22C5" w:rsidRDefault="00AF43C2">
      <w:pPr>
        <w:spacing w:line="360" w:lineRule="auto"/>
        <w:jc w:val="center"/>
        <w:rPr>
          <w:rFonts w:ascii="Times New Roman" w:eastAsia="Times New Roman" w:hAnsi="Times New Roman" w:cs="Times New Roman"/>
          <w:b/>
          <w:color w:val="000000" w:themeColor="text1"/>
          <w:sz w:val="32"/>
          <w:szCs w:val="32"/>
        </w:rPr>
      </w:pPr>
    </w:p>
    <w:p w14:paraId="4131FECB" w14:textId="77777777" w:rsidR="00AF43C2" w:rsidRPr="00DD22C5" w:rsidRDefault="00BC2748">
      <w:pPr>
        <w:spacing w:line="360" w:lineRule="auto"/>
        <w:jc w:val="center"/>
        <w:rPr>
          <w:rFonts w:ascii="Times New Roman" w:eastAsia="Times New Roman" w:hAnsi="Times New Roman" w:cs="Times New Roman"/>
          <w:b/>
          <w:color w:val="000000" w:themeColor="text1"/>
          <w:sz w:val="32"/>
          <w:szCs w:val="32"/>
        </w:rPr>
      </w:pPr>
      <w:r w:rsidRPr="00DD22C5">
        <w:rPr>
          <w:rFonts w:ascii="Times New Roman" w:eastAsia="Times New Roman" w:hAnsi="Times New Roman" w:cs="Times New Roman"/>
          <w:b/>
          <w:color w:val="000000" w:themeColor="text1"/>
          <w:sz w:val="32"/>
          <w:szCs w:val="32"/>
        </w:rPr>
        <w:t>NEW BUSINESS OPPORTUNITIES AND PRODUCT LIFE CYCLE - ASSESSMENT 2</w:t>
      </w:r>
    </w:p>
    <w:p w14:paraId="36087C4D" w14:textId="77777777" w:rsidR="00AF43C2" w:rsidRPr="00DD22C5" w:rsidRDefault="00AF43C2">
      <w:pPr>
        <w:spacing w:line="360" w:lineRule="auto"/>
        <w:jc w:val="both"/>
        <w:rPr>
          <w:rFonts w:ascii="Times New Roman" w:eastAsia="Times New Roman" w:hAnsi="Times New Roman" w:cs="Times New Roman"/>
          <w:b/>
          <w:color w:val="000000" w:themeColor="text1"/>
          <w:sz w:val="24"/>
          <w:szCs w:val="24"/>
        </w:rPr>
      </w:pPr>
    </w:p>
    <w:p w14:paraId="7E95658B"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color w:val="000000" w:themeColor="text1"/>
        </w:rPr>
        <w:br w:type="page"/>
      </w:r>
    </w:p>
    <w:p w14:paraId="5F939B92" w14:textId="7A1938B6" w:rsidR="00633287" w:rsidRPr="004C5F87" w:rsidRDefault="00633287" w:rsidP="004C5F87">
      <w:pPr>
        <w:pStyle w:val="TableofFigures"/>
        <w:tabs>
          <w:tab w:val="right" w:leader="dot" w:pos="9019"/>
        </w:tabs>
        <w:spacing w:line="360" w:lineRule="auto"/>
        <w:jc w:val="center"/>
        <w:rPr>
          <w:rFonts w:ascii="Times New Roman" w:hAnsi="Times New Roman" w:cs="Times New Roman"/>
          <w:b/>
          <w:bCs/>
          <w:sz w:val="24"/>
          <w:szCs w:val="24"/>
        </w:rPr>
      </w:pPr>
      <w:r w:rsidRPr="004C5F87">
        <w:rPr>
          <w:rFonts w:ascii="Times New Roman" w:hAnsi="Times New Roman" w:cs="Times New Roman"/>
          <w:b/>
          <w:bCs/>
          <w:sz w:val="24"/>
          <w:szCs w:val="24"/>
        </w:rPr>
        <w:lastRenderedPageBreak/>
        <w:t>Table of Contents</w:t>
      </w:r>
    </w:p>
    <w:p w14:paraId="61E1F968" w14:textId="65060A01" w:rsidR="00633287" w:rsidRPr="00633287" w:rsidRDefault="001D7277" w:rsidP="00633287">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r w:rsidRPr="00633287">
        <w:rPr>
          <w:rFonts w:ascii="Times New Roman" w:hAnsi="Times New Roman" w:cs="Times New Roman"/>
          <w:sz w:val="24"/>
          <w:szCs w:val="24"/>
        </w:rPr>
        <w:fldChar w:fldCharType="begin"/>
      </w:r>
      <w:r w:rsidRPr="00633287">
        <w:rPr>
          <w:rFonts w:ascii="Times New Roman" w:hAnsi="Times New Roman" w:cs="Times New Roman"/>
          <w:sz w:val="24"/>
          <w:szCs w:val="24"/>
        </w:rPr>
        <w:instrText xml:space="preserve"> TOC \h \z \t "Heading 1" \c </w:instrText>
      </w:r>
      <w:r w:rsidRPr="00633287">
        <w:rPr>
          <w:rFonts w:ascii="Times New Roman" w:hAnsi="Times New Roman" w:cs="Times New Roman"/>
          <w:sz w:val="24"/>
          <w:szCs w:val="24"/>
        </w:rPr>
        <w:fldChar w:fldCharType="separate"/>
      </w:r>
      <w:hyperlink w:anchor="_Toc39511574" w:history="1">
        <w:r w:rsidR="00633287" w:rsidRPr="00633287">
          <w:rPr>
            <w:rStyle w:val="Hyperlink"/>
            <w:rFonts w:ascii="Times New Roman" w:hAnsi="Times New Roman" w:cs="Times New Roman"/>
            <w:noProof/>
            <w:sz w:val="24"/>
            <w:szCs w:val="24"/>
          </w:rPr>
          <w:t>Introduction</w:t>
        </w:r>
        <w:r w:rsidR="00633287" w:rsidRPr="00633287">
          <w:rPr>
            <w:rFonts w:ascii="Times New Roman" w:hAnsi="Times New Roman" w:cs="Times New Roman"/>
            <w:noProof/>
            <w:webHidden/>
            <w:sz w:val="24"/>
            <w:szCs w:val="24"/>
          </w:rPr>
          <w:tab/>
        </w:r>
        <w:r w:rsidR="00633287" w:rsidRPr="00633287">
          <w:rPr>
            <w:rFonts w:ascii="Times New Roman" w:hAnsi="Times New Roman" w:cs="Times New Roman"/>
            <w:noProof/>
            <w:webHidden/>
            <w:sz w:val="24"/>
            <w:szCs w:val="24"/>
          </w:rPr>
          <w:fldChar w:fldCharType="begin"/>
        </w:r>
        <w:r w:rsidR="00633287" w:rsidRPr="00633287">
          <w:rPr>
            <w:rFonts w:ascii="Times New Roman" w:hAnsi="Times New Roman" w:cs="Times New Roman"/>
            <w:noProof/>
            <w:webHidden/>
            <w:sz w:val="24"/>
            <w:szCs w:val="24"/>
          </w:rPr>
          <w:instrText xml:space="preserve"> PAGEREF _Toc39511574 \h </w:instrText>
        </w:r>
        <w:r w:rsidR="00633287" w:rsidRPr="00633287">
          <w:rPr>
            <w:rFonts w:ascii="Times New Roman" w:hAnsi="Times New Roman" w:cs="Times New Roman"/>
            <w:noProof/>
            <w:webHidden/>
            <w:sz w:val="24"/>
            <w:szCs w:val="24"/>
          </w:rPr>
        </w:r>
        <w:r w:rsidR="00633287" w:rsidRPr="00633287">
          <w:rPr>
            <w:rFonts w:ascii="Times New Roman" w:hAnsi="Times New Roman" w:cs="Times New Roman"/>
            <w:noProof/>
            <w:webHidden/>
            <w:sz w:val="24"/>
            <w:szCs w:val="24"/>
          </w:rPr>
          <w:fldChar w:fldCharType="separate"/>
        </w:r>
        <w:r w:rsidR="004C5F87">
          <w:rPr>
            <w:rFonts w:ascii="Times New Roman" w:hAnsi="Times New Roman" w:cs="Times New Roman"/>
            <w:noProof/>
            <w:webHidden/>
            <w:sz w:val="24"/>
            <w:szCs w:val="24"/>
          </w:rPr>
          <w:t>2</w:t>
        </w:r>
        <w:r w:rsidR="00633287" w:rsidRPr="00633287">
          <w:rPr>
            <w:rFonts w:ascii="Times New Roman" w:hAnsi="Times New Roman" w:cs="Times New Roman"/>
            <w:noProof/>
            <w:webHidden/>
            <w:sz w:val="24"/>
            <w:szCs w:val="24"/>
          </w:rPr>
          <w:fldChar w:fldCharType="end"/>
        </w:r>
      </w:hyperlink>
    </w:p>
    <w:p w14:paraId="3529E705" w14:textId="1ECFDE4F" w:rsidR="00633287" w:rsidRPr="00633287" w:rsidRDefault="00555E19" w:rsidP="00633287">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39511575" w:history="1">
        <w:r w:rsidR="00633287" w:rsidRPr="00633287">
          <w:rPr>
            <w:rStyle w:val="Hyperlink"/>
            <w:rFonts w:ascii="Times New Roman" w:hAnsi="Times New Roman" w:cs="Times New Roman"/>
            <w:noProof/>
            <w:sz w:val="24"/>
            <w:szCs w:val="24"/>
          </w:rPr>
          <w:t>a) Identification of new business opportunities in the automotive industry focusing of electric cars</w:t>
        </w:r>
        <w:r w:rsidR="00633287" w:rsidRPr="00633287">
          <w:rPr>
            <w:rFonts w:ascii="Times New Roman" w:hAnsi="Times New Roman" w:cs="Times New Roman"/>
            <w:noProof/>
            <w:webHidden/>
            <w:sz w:val="24"/>
            <w:szCs w:val="24"/>
          </w:rPr>
          <w:tab/>
        </w:r>
        <w:r w:rsidR="00633287" w:rsidRPr="00633287">
          <w:rPr>
            <w:rFonts w:ascii="Times New Roman" w:hAnsi="Times New Roman" w:cs="Times New Roman"/>
            <w:noProof/>
            <w:webHidden/>
            <w:sz w:val="24"/>
            <w:szCs w:val="24"/>
          </w:rPr>
          <w:fldChar w:fldCharType="begin"/>
        </w:r>
        <w:r w:rsidR="00633287" w:rsidRPr="00633287">
          <w:rPr>
            <w:rFonts w:ascii="Times New Roman" w:hAnsi="Times New Roman" w:cs="Times New Roman"/>
            <w:noProof/>
            <w:webHidden/>
            <w:sz w:val="24"/>
            <w:szCs w:val="24"/>
          </w:rPr>
          <w:instrText xml:space="preserve"> PAGEREF _Toc39511575 \h </w:instrText>
        </w:r>
        <w:r w:rsidR="00633287" w:rsidRPr="00633287">
          <w:rPr>
            <w:rFonts w:ascii="Times New Roman" w:hAnsi="Times New Roman" w:cs="Times New Roman"/>
            <w:noProof/>
            <w:webHidden/>
            <w:sz w:val="24"/>
            <w:szCs w:val="24"/>
          </w:rPr>
        </w:r>
        <w:r w:rsidR="00633287" w:rsidRPr="00633287">
          <w:rPr>
            <w:rFonts w:ascii="Times New Roman" w:hAnsi="Times New Roman" w:cs="Times New Roman"/>
            <w:noProof/>
            <w:webHidden/>
            <w:sz w:val="24"/>
            <w:szCs w:val="24"/>
          </w:rPr>
          <w:fldChar w:fldCharType="separate"/>
        </w:r>
        <w:r w:rsidR="004C5F87">
          <w:rPr>
            <w:rFonts w:ascii="Times New Roman" w:hAnsi="Times New Roman" w:cs="Times New Roman"/>
            <w:noProof/>
            <w:webHidden/>
            <w:sz w:val="24"/>
            <w:szCs w:val="24"/>
          </w:rPr>
          <w:t>2</w:t>
        </w:r>
        <w:r w:rsidR="00633287" w:rsidRPr="00633287">
          <w:rPr>
            <w:rFonts w:ascii="Times New Roman" w:hAnsi="Times New Roman" w:cs="Times New Roman"/>
            <w:noProof/>
            <w:webHidden/>
            <w:sz w:val="24"/>
            <w:szCs w:val="24"/>
          </w:rPr>
          <w:fldChar w:fldCharType="end"/>
        </w:r>
      </w:hyperlink>
    </w:p>
    <w:p w14:paraId="019FE641" w14:textId="63134ED1" w:rsidR="00633287" w:rsidRPr="00633287" w:rsidRDefault="00555E19" w:rsidP="00633287">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39511583" w:history="1">
        <w:r w:rsidR="00633287" w:rsidRPr="00633287">
          <w:rPr>
            <w:rStyle w:val="Hyperlink"/>
            <w:rFonts w:ascii="Times New Roman" w:hAnsi="Times New Roman" w:cs="Times New Roman"/>
            <w:noProof/>
            <w:sz w:val="24"/>
            <w:szCs w:val="24"/>
          </w:rPr>
          <w:t>b) Critical analysis of other business engaged in global automotive industry regarding long-term investment</w:t>
        </w:r>
        <w:r w:rsidR="00633287" w:rsidRPr="00633287">
          <w:rPr>
            <w:rFonts w:ascii="Times New Roman" w:hAnsi="Times New Roman" w:cs="Times New Roman"/>
            <w:noProof/>
            <w:webHidden/>
            <w:sz w:val="24"/>
            <w:szCs w:val="24"/>
          </w:rPr>
          <w:tab/>
        </w:r>
        <w:r w:rsidR="00633287" w:rsidRPr="00633287">
          <w:rPr>
            <w:rFonts w:ascii="Times New Roman" w:hAnsi="Times New Roman" w:cs="Times New Roman"/>
            <w:noProof/>
            <w:webHidden/>
            <w:sz w:val="24"/>
            <w:szCs w:val="24"/>
          </w:rPr>
          <w:fldChar w:fldCharType="begin"/>
        </w:r>
        <w:r w:rsidR="00633287" w:rsidRPr="00633287">
          <w:rPr>
            <w:rFonts w:ascii="Times New Roman" w:hAnsi="Times New Roman" w:cs="Times New Roman"/>
            <w:noProof/>
            <w:webHidden/>
            <w:sz w:val="24"/>
            <w:szCs w:val="24"/>
          </w:rPr>
          <w:instrText xml:space="preserve"> PAGEREF _Toc39511583 \h </w:instrText>
        </w:r>
        <w:r w:rsidR="00633287" w:rsidRPr="00633287">
          <w:rPr>
            <w:rFonts w:ascii="Times New Roman" w:hAnsi="Times New Roman" w:cs="Times New Roman"/>
            <w:noProof/>
            <w:webHidden/>
            <w:sz w:val="24"/>
            <w:szCs w:val="24"/>
          </w:rPr>
        </w:r>
        <w:r w:rsidR="00633287" w:rsidRPr="00633287">
          <w:rPr>
            <w:rFonts w:ascii="Times New Roman" w:hAnsi="Times New Roman" w:cs="Times New Roman"/>
            <w:noProof/>
            <w:webHidden/>
            <w:sz w:val="24"/>
            <w:szCs w:val="24"/>
          </w:rPr>
          <w:fldChar w:fldCharType="separate"/>
        </w:r>
        <w:r w:rsidR="004C5F87">
          <w:rPr>
            <w:rFonts w:ascii="Times New Roman" w:hAnsi="Times New Roman" w:cs="Times New Roman"/>
            <w:noProof/>
            <w:webHidden/>
            <w:sz w:val="24"/>
            <w:szCs w:val="24"/>
          </w:rPr>
          <w:t>7</w:t>
        </w:r>
        <w:r w:rsidR="00633287" w:rsidRPr="00633287">
          <w:rPr>
            <w:rFonts w:ascii="Times New Roman" w:hAnsi="Times New Roman" w:cs="Times New Roman"/>
            <w:noProof/>
            <w:webHidden/>
            <w:sz w:val="24"/>
            <w:szCs w:val="24"/>
          </w:rPr>
          <w:fldChar w:fldCharType="end"/>
        </w:r>
      </w:hyperlink>
    </w:p>
    <w:p w14:paraId="66A54694" w14:textId="495DFF72" w:rsidR="00633287" w:rsidRPr="00633287" w:rsidRDefault="00555E19" w:rsidP="00633287">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39511588" w:history="1">
        <w:r w:rsidR="00633287" w:rsidRPr="00633287">
          <w:rPr>
            <w:rStyle w:val="Hyperlink"/>
            <w:rFonts w:ascii="Times New Roman" w:hAnsi="Times New Roman" w:cs="Times New Roman"/>
            <w:noProof/>
            <w:sz w:val="24"/>
            <w:szCs w:val="24"/>
          </w:rPr>
          <w:t>Conclusion</w:t>
        </w:r>
        <w:r w:rsidR="00633287" w:rsidRPr="00633287">
          <w:rPr>
            <w:rFonts w:ascii="Times New Roman" w:hAnsi="Times New Roman" w:cs="Times New Roman"/>
            <w:noProof/>
            <w:webHidden/>
            <w:sz w:val="24"/>
            <w:szCs w:val="24"/>
          </w:rPr>
          <w:tab/>
        </w:r>
        <w:r w:rsidR="00633287" w:rsidRPr="00633287">
          <w:rPr>
            <w:rFonts w:ascii="Times New Roman" w:hAnsi="Times New Roman" w:cs="Times New Roman"/>
            <w:noProof/>
            <w:webHidden/>
            <w:sz w:val="24"/>
            <w:szCs w:val="24"/>
          </w:rPr>
          <w:fldChar w:fldCharType="begin"/>
        </w:r>
        <w:r w:rsidR="00633287" w:rsidRPr="00633287">
          <w:rPr>
            <w:rFonts w:ascii="Times New Roman" w:hAnsi="Times New Roman" w:cs="Times New Roman"/>
            <w:noProof/>
            <w:webHidden/>
            <w:sz w:val="24"/>
            <w:szCs w:val="24"/>
          </w:rPr>
          <w:instrText xml:space="preserve"> PAGEREF _Toc39511588 \h </w:instrText>
        </w:r>
        <w:r w:rsidR="00633287" w:rsidRPr="00633287">
          <w:rPr>
            <w:rFonts w:ascii="Times New Roman" w:hAnsi="Times New Roman" w:cs="Times New Roman"/>
            <w:noProof/>
            <w:webHidden/>
            <w:sz w:val="24"/>
            <w:szCs w:val="24"/>
          </w:rPr>
        </w:r>
        <w:r w:rsidR="00633287" w:rsidRPr="00633287">
          <w:rPr>
            <w:rFonts w:ascii="Times New Roman" w:hAnsi="Times New Roman" w:cs="Times New Roman"/>
            <w:noProof/>
            <w:webHidden/>
            <w:sz w:val="24"/>
            <w:szCs w:val="24"/>
          </w:rPr>
          <w:fldChar w:fldCharType="separate"/>
        </w:r>
        <w:r w:rsidR="004C5F87">
          <w:rPr>
            <w:rFonts w:ascii="Times New Roman" w:hAnsi="Times New Roman" w:cs="Times New Roman"/>
            <w:noProof/>
            <w:webHidden/>
            <w:sz w:val="24"/>
            <w:szCs w:val="24"/>
          </w:rPr>
          <w:t>10</w:t>
        </w:r>
        <w:r w:rsidR="00633287" w:rsidRPr="00633287">
          <w:rPr>
            <w:rFonts w:ascii="Times New Roman" w:hAnsi="Times New Roman" w:cs="Times New Roman"/>
            <w:noProof/>
            <w:webHidden/>
            <w:sz w:val="24"/>
            <w:szCs w:val="24"/>
          </w:rPr>
          <w:fldChar w:fldCharType="end"/>
        </w:r>
      </w:hyperlink>
    </w:p>
    <w:p w14:paraId="6D918CFB" w14:textId="29F33D18" w:rsidR="00633287" w:rsidRPr="00633287" w:rsidRDefault="00555E19" w:rsidP="00633287">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39511589" w:history="1">
        <w:r w:rsidR="00633287" w:rsidRPr="00633287">
          <w:rPr>
            <w:rStyle w:val="Hyperlink"/>
            <w:rFonts w:ascii="Times New Roman" w:hAnsi="Times New Roman" w:cs="Times New Roman"/>
            <w:noProof/>
            <w:sz w:val="24"/>
            <w:szCs w:val="24"/>
          </w:rPr>
          <w:t>References</w:t>
        </w:r>
        <w:r w:rsidR="00633287" w:rsidRPr="00633287">
          <w:rPr>
            <w:rFonts w:ascii="Times New Roman" w:hAnsi="Times New Roman" w:cs="Times New Roman"/>
            <w:noProof/>
            <w:webHidden/>
            <w:sz w:val="24"/>
            <w:szCs w:val="24"/>
          </w:rPr>
          <w:tab/>
        </w:r>
        <w:r w:rsidR="00633287" w:rsidRPr="00633287">
          <w:rPr>
            <w:rFonts w:ascii="Times New Roman" w:hAnsi="Times New Roman" w:cs="Times New Roman"/>
            <w:noProof/>
            <w:webHidden/>
            <w:sz w:val="24"/>
            <w:szCs w:val="24"/>
          </w:rPr>
          <w:fldChar w:fldCharType="begin"/>
        </w:r>
        <w:r w:rsidR="00633287" w:rsidRPr="00633287">
          <w:rPr>
            <w:rFonts w:ascii="Times New Roman" w:hAnsi="Times New Roman" w:cs="Times New Roman"/>
            <w:noProof/>
            <w:webHidden/>
            <w:sz w:val="24"/>
            <w:szCs w:val="24"/>
          </w:rPr>
          <w:instrText xml:space="preserve"> PAGEREF _Toc39511589 \h </w:instrText>
        </w:r>
        <w:r w:rsidR="00633287" w:rsidRPr="00633287">
          <w:rPr>
            <w:rFonts w:ascii="Times New Roman" w:hAnsi="Times New Roman" w:cs="Times New Roman"/>
            <w:noProof/>
            <w:webHidden/>
            <w:sz w:val="24"/>
            <w:szCs w:val="24"/>
          </w:rPr>
        </w:r>
        <w:r w:rsidR="00633287" w:rsidRPr="00633287">
          <w:rPr>
            <w:rFonts w:ascii="Times New Roman" w:hAnsi="Times New Roman" w:cs="Times New Roman"/>
            <w:noProof/>
            <w:webHidden/>
            <w:sz w:val="24"/>
            <w:szCs w:val="24"/>
          </w:rPr>
          <w:fldChar w:fldCharType="separate"/>
        </w:r>
        <w:r w:rsidR="004C5F87">
          <w:rPr>
            <w:rFonts w:ascii="Times New Roman" w:hAnsi="Times New Roman" w:cs="Times New Roman"/>
            <w:noProof/>
            <w:webHidden/>
            <w:sz w:val="24"/>
            <w:szCs w:val="24"/>
          </w:rPr>
          <w:t>11</w:t>
        </w:r>
        <w:r w:rsidR="00633287" w:rsidRPr="00633287">
          <w:rPr>
            <w:rFonts w:ascii="Times New Roman" w:hAnsi="Times New Roman" w:cs="Times New Roman"/>
            <w:noProof/>
            <w:webHidden/>
            <w:sz w:val="24"/>
            <w:szCs w:val="24"/>
          </w:rPr>
          <w:fldChar w:fldCharType="end"/>
        </w:r>
      </w:hyperlink>
    </w:p>
    <w:p w14:paraId="03DA64A3" w14:textId="65932B12" w:rsidR="00633287" w:rsidRPr="00633287" w:rsidRDefault="00555E19" w:rsidP="00633287">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39511590" w:history="1">
        <w:r w:rsidR="00633287" w:rsidRPr="00633287">
          <w:rPr>
            <w:rStyle w:val="Hyperlink"/>
            <w:rFonts w:ascii="Times New Roman" w:hAnsi="Times New Roman" w:cs="Times New Roman"/>
            <w:noProof/>
            <w:sz w:val="24"/>
            <w:szCs w:val="24"/>
          </w:rPr>
          <w:t>Appendix</w:t>
        </w:r>
        <w:r w:rsidR="00633287" w:rsidRPr="00633287">
          <w:rPr>
            <w:rFonts w:ascii="Times New Roman" w:hAnsi="Times New Roman" w:cs="Times New Roman"/>
            <w:noProof/>
            <w:webHidden/>
            <w:sz w:val="24"/>
            <w:szCs w:val="24"/>
          </w:rPr>
          <w:tab/>
        </w:r>
        <w:r w:rsidR="00633287" w:rsidRPr="00633287">
          <w:rPr>
            <w:rFonts w:ascii="Times New Roman" w:hAnsi="Times New Roman" w:cs="Times New Roman"/>
            <w:noProof/>
            <w:webHidden/>
            <w:sz w:val="24"/>
            <w:szCs w:val="24"/>
          </w:rPr>
          <w:fldChar w:fldCharType="begin"/>
        </w:r>
        <w:r w:rsidR="00633287" w:rsidRPr="00633287">
          <w:rPr>
            <w:rFonts w:ascii="Times New Roman" w:hAnsi="Times New Roman" w:cs="Times New Roman"/>
            <w:noProof/>
            <w:webHidden/>
            <w:sz w:val="24"/>
            <w:szCs w:val="24"/>
          </w:rPr>
          <w:instrText xml:space="preserve"> PAGEREF _Toc39511590 \h </w:instrText>
        </w:r>
        <w:r w:rsidR="00633287" w:rsidRPr="00633287">
          <w:rPr>
            <w:rFonts w:ascii="Times New Roman" w:hAnsi="Times New Roman" w:cs="Times New Roman"/>
            <w:noProof/>
            <w:webHidden/>
            <w:sz w:val="24"/>
            <w:szCs w:val="24"/>
          </w:rPr>
        </w:r>
        <w:r w:rsidR="00633287" w:rsidRPr="00633287">
          <w:rPr>
            <w:rFonts w:ascii="Times New Roman" w:hAnsi="Times New Roman" w:cs="Times New Roman"/>
            <w:noProof/>
            <w:webHidden/>
            <w:sz w:val="24"/>
            <w:szCs w:val="24"/>
          </w:rPr>
          <w:fldChar w:fldCharType="separate"/>
        </w:r>
        <w:r w:rsidR="004C5F87">
          <w:rPr>
            <w:rFonts w:ascii="Times New Roman" w:hAnsi="Times New Roman" w:cs="Times New Roman"/>
            <w:noProof/>
            <w:webHidden/>
            <w:sz w:val="24"/>
            <w:szCs w:val="24"/>
          </w:rPr>
          <w:t>14</w:t>
        </w:r>
        <w:r w:rsidR="00633287" w:rsidRPr="00633287">
          <w:rPr>
            <w:rFonts w:ascii="Times New Roman" w:hAnsi="Times New Roman" w:cs="Times New Roman"/>
            <w:noProof/>
            <w:webHidden/>
            <w:sz w:val="24"/>
            <w:szCs w:val="24"/>
          </w:rPr>
          <w:fldChar w:fldCharType="end"/>
        </w:r>
      </w:hyperlink>
    </w:p>
    <w:p w14:paraId="4BE258E3" w14:textId="6C53609C" w:rsidR="001D7277" w:rsidRDefault="001D7277" w:rsidP="00633287">
      <w:pPr>
        <w:pStyle w:val="Heading1"/>
      </w:pPr>
      <w:r w:rsidRPr="00633287">
        <w:rPr>
          <w:rFonts w:cs="Times New Roman"/>
          <w:szCs w:val="24"/>
        </w:rPr>
        <w:fldChar w:fldCharType="end"/>
      </w:r>
    </w:p>
    <w:p w14:paraId="5F639F48" w14:textId="77777777" w:rsidR="001D7277" w:rsidRDefault="001D7277">
      <w:pPr>
        <w:rPr>
          <w:rFonts w:ascii="Times New Roman" w:hAnsi="Times New Roman"/>
          <w:b/>
          <w:color w:val="000000" w:themeColor="text1"/>
          <w:sz w:val="24"/>
          <w:szCs w:val="40"/>
        </w:rPr>
      </w:pPr>
      <w:r>
        <w:br w:type="page"/>
      </w:r>
    </w:p>
    <w:p w14:paraId="446581F4" w14:textId="3AFB8D2C" w:rsidR="00AF43C2" w:rsidRPr="00DD22C5" w:rsidRDefault="00BC2748" w:rsidP="00FE2A8B">
      <w:pPr>
        <w:pStyle w:val="Heading1"/>
      </w:pPr>
      <w:bookmarkStart w:id="1" w:name="_Toc39511574"/>
      <w:r w:rsidRPr="00DD22C5">
        <w:lastRenderedPageBreak/>
        <w:t>Introduction</w:t>
      </w:r>
      <w:bookmarkEnd w:id="1"/>
    </w:p>
    <w:p w14:paraId="05373C3F"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color w:val="000000" w:themeColor="text1"/>
          <w:sz w:val="24"/>
          <w:szCs w:val="24"/>
        </w:rPr>
        <w:t xml:space="preserve">Adequate industry analysis can be identified as a crucial aspect for determining new opportunities in terms of business. Evaluation of this aspect would be conducted in this study using the organisation of Volvo Cars are incorporation of Electric Vehicles (EV) in the global market. In-depth assessment would aid in identification of the business opportunities of such vehicles in the global scale. By conducting critical analysis of industry trends on a global basis, the aspects of probability and non-profitability can be understood. This can aid undertaking appropriate decisions through which organisational success can be achieved. </w:t>
      </w:r>
    </w:p>
    <w:p w14:paraId="330EDEC1" w14:textId="77777777" w:rsidR="00AF43C2" w:rsidRPr="00DD22C5" w:rsidRDefault="00BC2748" w:rsidP="00FE2A8B">
      <w:pPr>
        <w:pStyle w:val="Heading1"/>
      </w:pPr>
      <w:bookmarkStart w:id="2" w:name="_Toc39511575"/>
      <w:r w:rsidRPr="00DD22C5">
        <w:t>a) Identification of new business opportunities in the automotive industry focusing of electric cars</w:t>
      </w:r>
      <w:bookmarkEnd w:id="2"/>
      <w:r w:rsidRPr="00DD22C5">
        <w:t xml:space="preserve"> </w:t>
      </w:r>
    </w:p>
    <w:p w14:paraId="5C846FD9" w14:textId="77777777" w:rsidR="00AF43C2" w:rsidRPr="00DD22C5" w:rsidRDefault="00BC2748" w:rsidP="00980409">
      <w:pPr>
        <w:pStyle w:val="Heading1"/>
      </w:pPr>
      <w:bookmarkStart w:id="3" w:name="_Toc39511576"/>
      <w:r w:rsidRPr="00DD22C5">
        <w:t>External business environment</w:t>
      </w:r>
      <w:bookmarkEnd w:id="3"/>
      <w:r w:rsidRPr="00DD22C5">
        <w:t xml:space="preserve"> </w:t>
      </w:r>
    </w:p>
    <w:p w14:paraId="5FC3BA96" w14:textId="77777777" w:rsidR="00AF43C2" w:rsidRPr="00DD22C5" w:rsidRDefault="00BC2748" w:rsidP="00980409">
      <w:pPr>
        <w:pStyle w:val="Heading1"/>
      </w:pPr>
      <w:bookmarkStart w:id="4" w:name="_Toc39511577"/>
      <w:r w:rsidRPr="00DD22C5">
        <w:t>Porter’s Five Forces of Volvo Cars</w:t>
      </w:r>
      <w:bookmarkEnd w:id="4"/>
    </w:p>
    <w:p w14:paraId="357009E8" w14:textId="6B99BA08" w:rsidR="00FE2A8B" w:rsidRPr="00DD22C5" w:rsidRDefault="00FE2A8B">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noProof/>
          <w:color w:val="000000" w:themeColor="text1"/>
          <w:sz w:val="24"/>
          <w:szCs w:val="24"/>
        </w:rPr>
        <w:drawing>
          <wp:inline distT="0" distB="0" distL="0" distR="0" wp14:anchorId="0382B680" wp14:editId="30F25597">
            <wp:extent cx="5648325" cy="4505325"/>
            <wp:effectExtent l="0" t="57150" r="0" b="8572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EB641E9" w14:textId="455A54B2"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Figure 1: Porter’s Five Forces of Volvo Cars</w:t>
      </w:r>
    </w:p>
    <w:p w14:paraId="210B5C17"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lastRenderedPageBreak/>
        <w:t>(Source: Influenced by Huang, 2019)</w:t>
      </w:r>
    </w:p>
    <w:p w14:paraId="4BD8AD08"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Industry rivalry</w:t>
      </w:r>
    </w:p>
    <w:p w14:paraId="5272DB1B"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rate of competition for the organisation of Volvo Cars can be deemed as </w:t>
      </w:r>
      <w:r w:rsidRPr="00DD22C5">
        <w:rPr>
          <w:rFonts w:ascii="Times New Roman" w:eastAsia="Times New Roman" w:hAnsi="Times New Roman" w:cs="Times New Roman"/>
          <w:b/>
          <w:color w:val="000000" w:themeColor="text1"/>
          <w:sz w:val="24"/>
          <w:szCs w:val="24"/>
        </w:rPr>
        <w:t>high</w:t>
      </w:r>
      <w:r w:rsidRPr="00DD22C5">
        <w:rPr>
          <w:rFonts w:ascii="Times New Roman" w:eastAsia="Times New Roman" w:hAnsi="Times New Roman" w:cs="Times New Roman"/>
          <w:color w:val="000000" w:themeColor="text1"/>
          <w:sz w:val="24"/>
          <w:szCs w:val="24"/>
        </w:rPr>
        <w:t xml:space="preserve">. This is because of the existing competition from BMW, Audi and Mercedes Benz. Integration of Electric Automobiles have also increased the scope of rivalry where Volvo Cars have an upper hand because of its use of innovative technology (Forbes.com, 2020). Adequate strategic implementation is necessary for this rate to be maintained and enhanced in the upcoming years. </w:t>
      </w:r>
    </w:p>
    <w:p w14:paraId="1B4C746D"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 xml:space="preserve">Supplier power </w:t>
      </w:r>
    </w:p>
    <w:p w14:paraId="5F1B365D"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supplier power for Volvo Cars can be asserted as </w:t>
      </w:r>
      <w:r w:rsidRPr="00DD22C5">
        <w:rPr>
          <w:rFonts w:ascii="Times New Roman" w:eastAsia="Times New Roman" w:hAnsi="Times New Roman" w:cs="Times New Roman"/>
          <w:b/>
          <w:color w:val="000000" w:themeColor="text1"/>
          <w:sz w:val="24"/>
          <w:szCs w:val="24"/>
        </w:rPr>
        <w:t xml:space="preserve">moderate </w:t>
      </w:r>
      <w:r w:rsidRPr="00DD22C5">
        <w:rPr>
          <w:rFonts w:ascii="Times New Roman" w:eastAsia="Times New Roman" w:hAnsi="Times New Roman" w:cs="Times New Roman"/>
          <w:color w:val="000000" w:themeColor="text1"/>
          <w:sz w:val="24"/>
          <w:szCs w:val="24"/>
        </w:rPr>
        <w:t xml:space="preserve">since the organisation maintains adequate brand loyalty. The organisation has more than one supplier for procuring its electric chargers and other automotive parts through which it maintains its rate of functioning. </w:t>
      </w:r>
    </w:p>
    <w:p w14:paraId="3201738A"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 xml:space="preserve">Customer power </w:t>
      </w:r>
    </w:p>
    <w:p w14:paraId="7CBA423B"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customer power for the organisation of Volvo Cars is deemed to be </w:t>
      </w:r>
      <w:r w:rsidRPr="00DD22C5">
        <w:rPr>
          <w:rFonts w:ascii="Times New Roman" w:eastAsia="Times New Roman" w:hAnsi="Times New Roman" w:cs="Times New Roman"/>
          <w:b/>
          <w:color w:val="000000" w:themeColor="text1"/>
          <w:sz w:val="24"/>
          <w:szCs w:val="24"/>
        </w:rPr>
        <w:t xml:space="preserve">moderate </w:t>
      </w:r>
      <w:r w:rsidRPr="00DD22C5">
        <w:rPr>
          <w:rFonts w:ascii="Times New Roman" w:eastAsia="Times New Roman" w:hAnsi="Times New Roman" w:cs="Times New Roman"/>
          <w:color w:val="000000" w:themeColor="text1"/>
          <w:sz w:val="24"/>
          <w:szCs w:val="24"/>
        </w:rPr>
        <w:t xml:space="preserve">because it is a well-established company. The organisation already has a loyal base of customers and 20-30% of New York and Shanghai have adopted “trendy green technology”. Almost 50% of the customer base has been identified to be in Europe among which large corporates, rental agencies and government are the main stakeholders (Mckinsey.com, 2019). </w:t>
      </w:r>
    </w:p>
    <w:p w14:paraId="108BCE1E"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Threat of substitution</w:t>
      </w:r>
    </w:p>
    <w:p w14:paraId="5E6F11F7"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rate of substitution can be identified as </w:t>
      </w:r>
      <w:r w:rsidRPr="00DD22C5">
        <w:rPr>
          <w:rFonts w:ascii="Times New Roman" w:eastAsia="Times New Roman" w:hAnsi="Times New Roman" w:cs="Times New Roman"/>
          <w:b/>
          <w:color w:val="000000" w:themeColor="text1"/>
          <w:sz w:val="24"/>
          <w:szCs w:val="24"/>
        </w:rPr>
        <w:t xml:space="preserve">moderate </w:t>
      </w:r>
      <w:r w:rsidRPr="00DD22C5">
        <w:rPr>
          <w:rFonts w:ascii="Times New Roman" w:eastAsia="Times New Roman" w:hAnsi="Times New Roman" w:cs="Times New Roman"/>
          <w:color w:val="000000" w:themeColor="text1"/>
          <w:sz w:val="24"/>
          <w:szCs w:val="24"/>
        </w:rPr>
        <w:t xml:space="preserve">because of the various organisations present in the automotive industry. Many of these companies are focusing on establishing a market for electric vehicles due to which Volvo Cars is required to take adequate measurements for remaining at the top of the competitive chain. </w:t>
      </w:r>
    </w:p>
    <w:p w14:paraId="66110BFE"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 xml:space="preserve">Threat of new entrants </w:t>
      </w:r>
    </w:p>
    <w:p w14:paraId="3705F241"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threat of new entrants is </w:t>
      </w:r>
      <w:r w:rsidRPr="00DD22C5">
        <w:rPr>
          <w:rFonts w:ascii="Times New Roman" w:eastAsia="Times New Roman" w:hAnsi="Times New Roman" w:cs="Times New Roman"/>
          <w:b/>
          <w:color w:val="000000" w:themeColor="text1"/>
          <w:sz w:val="24"/>
          <w:szCs w:val="24"/>
        </w:rPr>
        <w:t xml:space="preserve">low </w:t>
      </w:r>
      <w:r w:rsidRPr="00DD22C5">
        <w:rPr>
          <w:rFonts w:ascii="Times New Roman" w:eastAsia="Times New Roman" w:hAnsi="Times New Roman" w:cs="Times New Roman"/>
          <w:color w:val="000000" w:themeColor="text1"/>
          <w:sz w:val="24"/>
          <w:szCs w:val="24"/>
        </w:rPr>
        <w:t xml:space="preserve">in the automotive industry since large capital and expertise is required to enter this industry, Moreover, Volvo Cars is a well-established company, focusing its expansion in the electric vehicle market due to which they face low threat for new companies (Mckinsey.com, 2019). </w:t>
      </w:r>
    </w:p>
    <w:p w14:paraId="7A2B7F6D"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color w:val="000000" w:themeColor="text1"/>
          <w:sz w:val="24"/>
          <w:szCs w:val="24"/>
        </w:rPr>
        <w:t xml:space="preserve">As per Volvo </w:t>
      </w:r>
      <w:proofErr w:type="spellStart"/>
      <w:r w:rsidRPr="00DD22C5">
        <w:rPr>
          <w:rFonts w:ascii="Times New Roman" w:eastAsia="Times New Roman" w:hAnsi="Times New Roman" w:cs="Times New Roman"/>
          <w:color w:val="000000" w:themeColor="text1"/>
          <w:sz w:val="24"/>
          <w:szCs w:val="24"/>
        </w:rPr>
        <w:t>Cars’s</w:t>
      </w:r>
      <w:proofErr w:type="spellEnd"/>
      <w:r w:rsidRPr="00DD22C5">
        <w:rPr>
          <w:rFonts w:ascii="Times New Roman" w:eastAsia="Times New Roman" w:hAnsi="Times New Roman" w:cs="Times New Roman"/>
          <w:color w:val="000000" w:themeColor="text1"/>
          <w:sz w:val="24"/>
          <w:szCs w:val="24"/>
        </w:rPr>
        <w:t xml:space="preserve"> competitive analysis, it can be stated that the organisation has adequate opportunity to expand its business. Through the integration of EV, the organisation can reach new heights which can be thoroughly evaluated as per international market analysis. </w:t>
      </w:r>
    </w:p>
    <w:p w14:paraId="71C4744D" w14:textId="77777777" w:rsidR="00AF43C2" w:rsidRPr="00DD22C5" w:rsidRDefault="00BC2748" w:rsidP="00980409">
      <w:pPr>
        <w:pStyle w:val="Heading1"/>
      </w:pPr>
      <w:bookmarkStart w:id="5" w:name="_Toc39511578"/>
      <w:r w:rsidRPr="00DD22C5">
        <w:t>International PESTLE analysis</w:t>
      </w:r>
      <w:bookmarkEnd w:id="5"/>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7170"/>
      </w:tblGrid>
      <w:tr w:rsidR="00DD22C5" w:rsidRPr="00DD22C5" w14:paraId="2A55A92B" w14:textId="77777777" w:rsidTr="00980409">
        <w:trPr>
          <w:jc w:val="center"/>
        </w:trPr>
        <w:tc>
          <w:tcPr>
            <w:tcW w:w="1830" w:type="dxa"/>
            <w:shd w:val="clear" w:color="auto" w:fill="auto"/>
            <w:tcMar>
              <w:top w:w="100" w:type="dxa"/>
              <w:left w:w="100" w:type="dxa"/>
              <w:bottom w:w="100" w:type="dxa"/>
              <w:right w:w="100" w:type="dxa"/>
            </w:tcMar>
          </w:tcPr>
          <w:p w14:paraId="18AEA9FB" w14:textId="77777777" w:rsidR="00AF43C2" w:rsidRPr="00DD22C5" w:rsidRDefault="00BC2748">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Political</w:t>
            </w:r>
          </w:p>
        </w:tc>
        <w:tc>
          <w:tcPr>
            <w:tcW w:w="7170" w:type="dxa"/>
            <w:shd w:val="clear" w:color="auto" w:fill="auto"/>
            <w:tcMar>
              <w:top w:w="100" w:type="dxa"/>
              <w:left w:w="100" w:type="dxa"/>
              <w:bottom w:w="100" w:type="dxa"/>
              <w:right w:w="100" w:type="dxa"/>
            </w:tcMar>
          </w:tcPr>
          <w:p w14:paraId="7FBBCD55" w14:textId="77777777" w:rsidR="00AF43C2" w:rsidRPr="00DD22C5" w:rsidRDefault="00BC274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European Union (EU) abides by federal legislations leading </w:t>
            </w:r>
            <w:r w:rsidRPr="00DD22C5">
              <w:rPr>
                <w:rFonts w:ascii="Times New Roman" w:eastAsia="Times New Roman" w:hAnsi="Times New Roman" w:cs="Times New Roman"/>
                <w:color w:val="000000" w:themeColor="text1"/>
                <w:sz w:val="24"/>
                <w:szCs w:val="24"/>
              </w:rPr>
              <w:lastRenderedPageBreak/>
              <w:t>to adequate functioning of all business.</w:t>
            </w:r>
          </w:p>
          <w:p w14:paraId="62C13D33" w14:textId="77777777" w:rsidR="00AF43C2" w:rsidRPr="00DD22C5" w:rsidRDefault="00BC274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The decision of the UK's withdrawal from the European Union can result in unstable business functioning from 2021 in both the UK and EU (Ec.europa.eu, 2020).</w:t>
            </w:r>
          </w:p>
        </w:tc>
      </w:tr>
      <w:tr w:rsidR="00DD22C5" w:rsidRPr="00DD22C5" w14:paraId="5F0B34C8" w14:textId="77777777" w:rsidTr="00980409">
        <w:trPr>
          <w:jc w:val="center"/>
        </w:trPr>
        <w:tc>
          <w:tcPr>
            <w:tcW w:w="1830" w:type="dxa"/>
            <w:shd w:val="clear" w:color="auto" w:fill="auto"/>
            <w:tcMar>
              <w:top w:w="100" w:type="dxa"/>
              <w:left w:w="100" w:type="dxa"/>
              <w:bottom w:w="100" w:type="dxa"/>
              <w:right w:w="100" w:type="dxa"/>
            </w:tcMar>
          </w:tcPr>
          <w:p w14:paraId="33478FB8" w14:textId="77777777" w:rsidR="00AF43C2" w:rsidRPr="00DD22C5" w:rsidRDefault="00BC2748">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lastRenderedPageBreak/>
              <w:t>Economical</w:t>
            </w:r>
          </w:p>
        </w:tc>
        <w:tc>
          <w:tcPr>
            <w:tcW w:w="7170" w:type="dxa"/>
            <w:shd w:val="clear" w:color="auto" w:fill="auto"/>
            <w:tcMar>
              <w:top w:w="100" w:type="dxa"/>
              <w:left w:w="100" w:type="dxa"/>
              <w:bottom w:w="100" w:type="dxa"/>
              <w:right w:w="100" w:type="dxa"/>
            </w:tcMar>
          </w:tcPr>
          <w:p w14:paraId="5B61490E" w14:textId="77777777" w:rsidR="00AF43C2" w:rsidRPr="00DD22C5" w:rsidRDefault="00BC274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The GDP of the EU is expected to reach 19700.00 billion USD by the end of 2020.</w:t>
            </w:r>
          </w:p>
          <w:p w14:paraId="3E3C754E" w14:textId="77777777" w:rsidR="00AF43C2" w:rsidRPr="00DD22C5" w:rsidRDefault="00BC274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The EU caters to around 15.77% of the world’s economy which can positively impact Volvo Cars (Tradingeconomics.com, 2019).</w:t>
            </w:r>
          </w:p>
          <w:p w14:paraId="306CF54C" w14:textId="77777777" w:rsidR="00AF43C2" w:rsidRPr="00DD22C5" w:rsidRDefault="00BC274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consistent rate of inflation is 1.57% which does not impact the functioning of Volvo Cars on a massive scale (Statbureau.org, 2019). </w:t>
            </w:r>
          </w:p>
        </w:tc>
      </w:tr>
      <w:tr w:rsidR="00DD22C5" w:rsidRPr="00DD22C5" w14:paraId="2D83E1B1" w14:textId="77777777" w:rsidTr="00980409">
        <w:trPr>
          <w:jc w:val="center"/>
        </w:trPr>
        <w:tc>
          <w:tcPr>
            <w:tcW w:w="1830" w:type="dxa"/>
            <w:shd w:val="clear" w:color="auto" w:fill="auto"/>
            <w:tcMar>
              <w:top w:w="100" w:type="dxa"/>
              <w:left w:w="100" w:type="dxa"/>
              <w:bottom w:w="100" w:type="dxa"/>
              <w:right w:w="100" w:type="dxa"/>
            </w:tcMar>
          </w:tcPr>
          <w:p w14:paraId="4BF4C422" w14:textId="77777777" w:rsidR="00AF43C2" w:rsidRPr="00DD22C5" w:rsidRDefault="00BC2748">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Social</w:t>
            </w:r>
          </w:p>
        </w:tc>
        <w:tc>
          <w:tcPr>
            <w:tcW w:w="7170" w:type="dxa"/>
            <w:shd w:val="clear" w:color="auto" w:fill="auto"/>
            <w:tcMar>
              <w:top w:w="100" w:type="dxa"/>
              <w:left w:w="100" w:type="dxa"/>
              <w:bottom w:w="100" w:type="dxa"/>
              <w:right w:w="100" w:type="dxa"/>
            </w:tcMar>
          </w:tcPr>
          <w:p w14:paraId="08152046" w14:textId="77777777" w:rsidR="00AF43C2" w:rsidRPr="00DD22C5" w:rsidRDefault="00BC274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A diverse population resides in the EU from which an increase in demand of EV has been observed since 2013 (Worldometers.info, 2020).</w:t>
            </w:r>
          </w:p>
        </w:tc>
      </w:tr>
      <w:tr w:rsidR="00DD22C5" w:rsidRPr="00DD22C5" w14:paraId="6FBBA6C2" w14:textId="77777777" w:rsidTr="00980409">
        <w:trPr>
          <w:jc w:val="center"/>
        </w:trPr>
        <w:tc>
          <w:tcPr>
            <w:tcW w:w="1830" w:type="dxa"/>
            <w:shd w:val="clear" w:color="auto" w:fill="auto"/>
            <w:tcMar>
              <w:top w:w="100" w:type="dxa"/>
              <w:left w:w="100" w:type="dxa"/>
              <w:bottom w:w="100" w:type="dxa"/>
              <w:right w:w="100" w:type="dxa"/>
            </w:tcMar>
          </w:tcPr>
          <w:p w14:paraId="377608FC" w14:textId="77777777" w:rsidR="00AF43C2" w:rsidRPr="00DD22C5" w:rsidRDefault="00BC2748">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Technological</w:t>
            </w:r>
          </w:p>
        </w:tc>
        <w:tc>
          <w:tcPr>
            <w:tcW w:w="7170" w:type="dxa"/>
            <w:shd w:val="clear" w:color="auto" w:fill="auto"/>
            <w:tcMar>
              <w:top w:w="100" w:type="dxa"/>
              <w:left w:w="100" w:type="dxa"/>
              <w:bottom w:w="100" w:type="dxa"/>
              <w:right w:w="100" w:type="dxa"/>
            </w:tcMar>
          </w:tcPr>
          <w:p w14:paraId="4643828A" w14:textId="77777777" w:rsidR="00AF43C2" w:rsidRPr="00DD22C5" w:rsidRDefault="00BC274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Incorporations of innovative car charging technologies have been undertaken by the different countries in the EU among which the UK, France and Germany provide the best chargers (Mckinsey.com, 2019). </w:t>
            </w:r>
          </w:p>
          <w:p w14:paraId="26F3BD8E" w14:textId="77777777" w:rsidR="00AF43C2" w:rsidRPr="00DD22C5" w:rsidRDefault="00BC274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New York and Shanghai have been identified to be early adopters of green technology which can prove to be </w:t>
            </w:r>
            <w:proofErr w:type="spellStart"/>
            <w:r w:rsidRPr="00DD22C5">
              <w:rPr>
                <w:rFonts w:ascii="Times New Roman" w:eastAsia="Times New Roman" w:hAnsi="Times New Roman" w:cs="Times New Roman"/>
                <w:color w:val="000000" w:themeColor="text1"/>
                <w:sz w:val="24"/>
                <w:szCs w:val="24"/>
              </w:rPr>
              <w:t>beneficials</w:t>
            </w:r>
            <w:proofErr w:type="spellEnd"/>
            <w:r w:rsidRPr="00DD22C5">
              <w:rPr>
                <w:rFonts w:ascii="Times New Roman" w:eastAsia="Times New Roman" w:hAnsi="Times New Roman" w:cs="Times New Roman"/>
                <w:color w:val="000000" w:themeColor="text1"/>
                <w:sz w:val="24"/>
                <w:szCs w:val="24"/>
              </w:rPr>
              <w:t xml:space="preserve"> for Volvo Cars. </w:t>
            </w:r>
          </w:p>
        </w:tc>
      </w:tr>
      <w:tr w:rsidR="00DD22C5" w:rsidRPr="00DD22C5" w14:paraId="0CF4F6F5" w14:textId="77777777" w:rsidTr="00980409">
        <w:trPr>
          <w:jc w:val="center"/>
        </w:trPr>
        <w:tc>
          <w:tcPr>
            <w:tcW w:w="1830" w:type="dxa"/>
            <w:shd w:val="clear" w:color="auto" w:fill="auto"/>
            <w:tcMar>
              <w:top w:w="100" w:type="dxa"/>
              <w:left w:w="100" w:type="dxa"/>
              <w:bottom w:w="100" w:type="dxa"/>
              <w:right w:w="100" w:type="dxa"/>
            </w:tcMar>
          </w:tcPr>
          <w:p w14:paraId="0CF946D5" w14:textId="77777777" w:rsidR="00AF43C2" w:rsidRPr="00DD22C5" w:rsidRDefault="00BC2748">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Legal</w:t>
            </w:r>
          </w:p>
        </w:tc>
        <w:tc>
          <w:tcPr>
            <w:tcW w:w="7170" w:type="dxa"/>
            <w:shd w:val="clear" w:color="auto" w:fill="auto"/>
            <w:tcMar>
              <w:top w:w="100" w:type="dxa"/>
              <w:left w:w="100" w:type="dxa"/>
              <w:bottom w:w="100" w:type="dxa"/>
              <w:right w:w="100" w:type="dxa"/>
            </w:tcMar>
          </w:tcPr>
          <w:p w14:paraId="521F11A6" w14:textId="77777777" w:rsidR="00AF43C2" w:rsidRPr="00DD22C5" w:rsidRDefault="00BC2748">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A systematic legal system incorporates the EU for maintaining a balance between national and international law.  </w:t>
            </w:r>
          </w:p>
        </w:tc>
      </w:tr>
      <w:tr w:rsidR="00DD22C5" w:rsidRPr="00DD22C5" w14:paraId="22F669C4" w14:textId="77777777" w:rsidTr="00980409">
        <w:trPr>
          <w:jc w:val="center"/>
        </w:trPr>
        <w:tc>
          <w:tcPr>
            <w:tcW w:w="1830" w:type="dxa"/>
            <w:shd w:val="clear" w:color="auto" w:fill="auto"/>
            <w:tcMar>
              <w:top w:w="100" w:type="dxa"/>
              <w:left w:w="100" w:type="dxa"/>
              <w:bottom w:w="100" w:type="dxa"/>
              <w:right w:w="100" w:type="dxa"/>
            </w:tcMar>
          </w:tcPr>
          <w:p w14:paraId="2CB2CCD4" w14:textId="77777777" w:rsidR="00AF43C2" w:rsidRPr="00DD22C5" w:rsidRDefault="00BC2748">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Environmental</w:t>
            </w:r>
          </w:p>
        </w:tc>
        <w:tc>
          <w:tcPr>
            <w:tcW w:w="7170" w:type="dxa"/>
            <w:shd w:val="clear" w:color="auto" w:fill="auto"/>
            <w:tcMar>
              <w:top w:w="100" w:type="dxa"/>
              <w:left w:w="100" w:type="dxa"/>
              <w:bottom w:w="100" w:type="dxa"/>
              <w:right w:w="100" w:type="dxa"/>
            </w:tcMar>
          </w:tcPr>
          <w:p w14:paraId="6268A0DA" w14:textId="77777777" w:rsidR="00AF43C2" w:rsidRPr="00DD22C5" w:rsidRDefault="00BC274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Feasible decisions are required to be undertaken for maintaining long-term sustainability of the EV.</w:t>
            </w:r>
          </w:p>
          <w:p w14:paraId="62EFC21B" w14:textId="77777777" w:rsidR="00AF43C2" w:rsidRPr="00DD22C5" w:rsidRDefault="00BC274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Reduction in carbon emission has been identified to be an integral aspect for the automotive industry in the EU.</w:t>
            </w:r>
          </w:p>
        </w:tc>
      </w:tr>
    </w:tbl>
    <w:p w14:paraId="62444384"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Table 1: PESTLE analysis</w:t>
      </w:r>
    </w:p>
    <w:p w14:paraId="6FDF0B72"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color w:val="000000" w:themeColor="text1"/>
          <w:sz w:val="24"/>
          <w:szCs w:val="24"/>
        </w:rPr>
        <w:t xml:space="preserve">(Source: Influenced by </w:t>
      </w:r>
      <w:proofErr w:type="spellStart"/>
      <w:r w:rsidRPr="00DD22C5">
        <w:rPr>
          <w:rFonts w:ascii="Times New Roman" w:eastAsia="Times New Roman" w:hAnsi="Times New Roman" w:cs="Times New Roman"/>
          <w:color w:val="000000" w:themeColor="text1"/>
          <w:sz w:val="24"/>
          <w:szCs w:val="24"/>
        </w:rPr>
        <w:t>Gholampour</w:t>
      </w:r>
      <w:proofErr w:type="spellEnd"/>
      <w:r w:rsidRPr="00DD22C5">
        <w:rPr>
          <w:rFonts w:ascii="Times New Roman" w:eastAsia="Times New Roman" w:hAnsi="Times New Roman" w:cs="Times New Roman"/>
          <w:color w:val="000000" w:themeColor="text1"/>
          <w:sz w:val="24"/>
          <w:szCs w:val="24"/>
        </w:rPr>
        <w:t xml:space="preserve"> </w:t>
      </w:r>
      <w:r w:rsidRPr="00DD22C5">
        <w:rPr>
          <w:rFonts w:ascii="Times New Roman" w:eastAsia="Times New Roman" w:hAnsi="Times New Roman" w:cs="Times New Roman"/>
          <w:i/>
          <w:color w:val="000000" w:themeColor="text1"/>
          <w:sz w:val="24"/>
          <w:szCs w:val="24"/>
        </w:rPr>
        <w:t>et al.</w:t>
      </w:r>
      <w:r w:rsidRPr="00DD22C5">
        <w:rPr>
          <w:rFonts w:ascii="Times New Roman" w:eastAsia="Times New Roman" w:hAnsi="Times New Roman" w:cs="Times New Roman"/>
          <w:color w:val="000000" w:themeColor="text1"/>
          <w:sz w:val="24"/>
          <w:szCs w:val="24"/>
        </w:rPr>
        <w:t xml:space="preserve"> 2018)</w:t>
      </w:r>
    </w:p>
    <w:p w14:paraId="5AC71537"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color w:val="000000" w:themeColor="text1"/>
          <w:sz w:val="24"/>
          <w:szCs w:val="24"/>
        </w:rPr>
        <w:lastRenderedPageBreak/>
        <w:t xml:space="preserve">As per the international PESTLE analysis, the scope of expansion of Volvo Cars can be adequately understood. It has been identified that countries such as the UK, Norway along with France, Germany and Netherlands are countries where the international expansion for the product of Electric Vehicles (EV) can be conducted. Therefore, through incorporation of adequate strategies, the organisation can establish its stable position in the global business market. </w:t>
      </w:r>
    </w:p>
    <w:p w14:paraId="2285C21D" w14:textId="77777777" w:rsidR="00AF43C2" w:rsidRPr="00DD22C5" w:rsidRDefault="00BC2748" w:rsidP="00980409">
      <w:pPr>
        <w:pStyle w:val="Heading1"/>
      </w:pPr>
      <w:bookmarkStart w:id="6" w:name="_Toc39511579"/>
      <w:r w:rsidRPr="00DD22C5">
        <w:t>Product Life Cycle analysis</w:t>
      </w:r>
      <w:bookmarkEnd w:id="6"/>
    </w:p>
    <w:p w14:paraId="007491EE"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noProof/>
          <w:color w:val="000000" w:themeColor="text1"/>
          <w:sz w:val="24"/>
          <w:szCs w:val="24"/>
        </w:rPr>
        <w:drawing>
          <wp:inline distT="114300" distB="114300" distL="114300" distR="114300" wp14:anchorId="5C361932" wp14:editId="22717E2A">
            <wp:extent cx="4938713" cy="317488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b="4207"/>
                    <a:stretch>
                      <a:fillRect/>
                    </a:stretch>
                  </pic:blipFill>
                  <pic:spPr>
                    <a:xfrm>
                      <a:off x="0" y="0"/>
                      <a:ext cx="4938713" cy="3174887"/>
                    </a:xfrm>
                    <a:prstGeom prst="rect">
                      <a:avLst/>
                    </a:prstGeom>
                    <a:ln/>
                  </pic:spPr>
                </pic:pic>
              </a:graphicData>
            </a:graphic>
          </wp:inline>
        </w:drawing>
      </w:r>
    </w:p>
    <w:p w14:paraId="130EFE34"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Figure 2: Product Life Cycle</w:t>
      </w:r>
    </w:p>
    <w:p w14:paraId="413AC0D9"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(Source: Kfknowledgebank.kaplan.co.uk, 2019)</w:t>
      </w:r>
    </w:p>
    <w:p w14:paraId="06050D67"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product life cycle consists of briefly four stages starting from its launching to its declination phase. As opined by </w:t>
      </w:r>
      <w:proofErr w:type="spellStart"/>
      <w:r w:rsidRPr="00DD22C5">
        <w:rPr>
          <w:rFonts w:ascii="Times New Roman" w:eastAsia="Times New Roman" w:hAnsi="Times New Roman" w:cs="Times New Roman"/>
          <w:color w:val="000000" w:themeColor="text1"/>
          <w:sz w:val="24"/>
          <w:szCs w:val="24"/>
        </w:rPr>
        <w:t>Armengaud</w:t>
      </w:r>
      <w:proofErr w:type="spellEnd"/>
      <w:r w:rsidRPr="00DD22C5">
        <w:rPr>
          <w:rFonts w:ascii="Times New Roman" w:eastAsia="Times New Roman" w:hAnsi="Times New Roman" w:cs="Times New Roman"/>
          <w:color w:val="000000" w:themeColor="text1"/>
          <w:sz w:val="24"/>
          <w:szCs w:val="24"/>
        </w:rPr>
        <w:t xml:space="preserve"> </w:t>
      </w:r>
      <w:r w:rsidRPr="00DD22C5">
        <w:rPr>
          <w:rFonts w:ascii="Times New Roman" w:eastAsia="Times New Roman" w:hAnsi="Times New Roman" w:cs="Times New Roman"/>
          <w:i/>
          <w:color w:val="000000" w:themeColor="text1"/>
          <w:sz w:val="24"/>
          <w:szCs w:val="24"/>
        </w:rPr>
        <w:t>et al.</w:t>
      </w:r>
      <w:r w:rsidRPr="00DD22C5">
        <w:rPr>
          <w:rFonts w:ascii="Times New Roman" w:eastAsia="Times New Roman" w:hAnsi="Times New Roman" w:cs="Times New Roman"/>
          <w:color w:val="000000" w:themeColor="text1"/>
          <w:sz w:val="24"/>
          <w:szCs w:val="24"/>
        </w:rPr>
        <w:t xml:space="preserve"> (2017), product life cycle aids in assessment of a product or service through its life span. In this study, the main focus is on the assessment of Electric Vehicles (EV) by Volvo Cars. It has been identified that the Volvo Cars earned a revenue of £22,289.23 million in 2019 which has been increasing as compared to earlier years (Investors.volvocars.com, 2019). From this assessment, it can be asserted that the organisation is in the maturity phase and is in the ideal condition to launch its EV in the global market. Therefore, incorporation of adequate strategies can aid the organisation in accomplishing this feat. </w:t>
      </w:r>
    </w:p>
    <w:p w14:paraId="0ADFEC02" w14:textId="77777777" w:rsidR="00AF43C2" w:rsidRPr="00DD22C5" w:rsidRDefault="00BC2748" w:rsidP="00980409">
      <w:pPr>
        <w:pStyle w:val="Heading1"/>
      </w:pPr>
      <w:bookmarkStart w:id="7" w:name="_Toc39511580"/>
      <w:r w:rsidRPr="00DD22C5">
        <w:lastRenderedPageBreak/>
        <w:t>Strategic assessment</w:t>
      </w:r>
      <w:bookmarkEnd w:id="7"/>
      <w:r w:rsidRPr="00DD22C5">
        <w:t xml:space="preserve"> </w:t>
      </w:r>
    </w:p>
    <w:p w14:paraId="4B6DB60F" w14:textId="77777777" w:rsidR="00AF43C2" w:rsidRPr="00DD22C5" w:rsidRDefault="00BC2748" w:rsidP="00980409">
      <w:pPr>
        <w:pStyle w:val="Heading1"/>
      </w:pPr>
      <w:bookmarkStart w:id="8" w:name="_Toc39511581"/>
      <w:r w:rsidRPr="00DD22C5">
        <w:t>Porter’s Generic Strategies</w:t>
      </w:r>
      <w:bookmarkEnd w:id="8"/>
    </w:p>
    <w:p w14:paraId="4AEE332B"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noProof/>
          <w:color w:val="000000" w:themeColor="text1"/>
          <w:sz w:val="24"/>
          <w:szCs w:val="24"/>
        </w:rPr>
        <w:drawing>
          <wp:inline distT="114300" distB="114300" distL="114300" distR="114300" wp14:anchorId="7701D36B" wp14:editId="1C1898A0">
            <wp:extent cx="3857625" cy="24384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3857625" cy="2438400"/>
                    </a:xfrm>
                    <a:prstGeom prst="rect">
                      <a:avLst/>
                    </a:prstGeom>
                    <a:ln/>
                  </pic:spPr>
                </pic:pic>
              </a:graphicData>
            </a:graphic>
          </wp:inline>
        </w:drawing>
      </w:r>
    </w:p>
    <w:p w14:paraId="2F2DCAAB"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Figure 3: Porter’s Generic Strategies</w:t>
      </w:r>
    </w:p>
    <w:p w14:paraId="0AC4D7FE"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(Source: Influenced by </w:t>
      </w:r>
      <w:proofErr w:type="spellStart"/>
      <w:r w:rsidRPr="00DD22C5">
        <w:rPr>
          <w:rFonts w:ascii="Times New Roman" w:eastAsia="Times New Roman" w:hAnsi="Times New Roman" w:cs="Times New Roman"/>
          <w:color w:val="000000" w:themeColor="text1"/>
          <w:sz w:val="24"/>
          <w:szCs w:val="24"/>
        </w:rPr>
        <w:t>Lotayif</w:t>
      </w:r>
      <w:proofErr w:type="spellEnd"/>
      <w:r w:rsidRPr="00DD22C5">
        <w:rPr>
          <w:rFonts w:ascii="Times New Roman" w:eastAsia="Times New Roman" w:hAnsi="Times New Roman" w:cs="Times New Roman"/>
          <w:color w:val="000000" w:themeColor="text1"/>
          <w:sz w:val="24"/>
          <w:szCs w:val="24"/>
        </w:rPr>
        <w:t>, 2016)</w:t>
      </w:r>
    </w:p>
    <w:p w14:paraId="3C9EE4E5"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Porter’s Generic Strategies play an integral role in determining the strategic direction required to be taken by a company. As per </w:t>
      </w:r>
      <w:proofErr w:type="spellStart"/>
      <w:r w:rsidRPr="00DD22C5">
        <w:rPr>
          <w:rFonts w:ascii="Times New Roman" w:eastAsia="Times New Roman" w:hAnsi="Times New Roman" w:cs="Times New Roman"/>
          <w:color w:val="000000" w:themeColor="text1"/>
          <w:sz w:val="24"/>
          <w:szCs w:val="24"/>
        </w:rPr>
        <w:t>Lotayif</w:t>
      </w:r>
      <w:proofErr w:type="spellEnd"/>
      <w:r w:rsidRPr="00DD22C5">
        <w:rPr>
          <w:rFonts w:ascii="Times New Roman" w:eastAsia="Times New Roman" w:hAnsi="Times New Roman" w:cs="Times New Roman"/>
          <w:color w:val="000000" w:themeColor="text1"/>
          <w:sz w:val="24"/>
          <w:szCs w:val="24"/>
        </w:rPr>
        <w:t xml:space="preserve"> (2016), Porter’s Generic Strategies consists of four directions which can be undertaken by a business. For the organisation of Volvo Cars, strategic implementation of differentiation leadership can be undertaken. This is because the EV is such a product which has unique features such as less carbon emission along with high battery life. Therefore, incorporation of differentiation leadership strategy can allow the scope for broader market expansion through which high quality products can be delivered with the aid of effective marketing. </w:t>
      </w:r>
    </w:p>
    <w:p w14:paraId="36BFF2D1" w14:textId="77777777" w:rsidR="00AF43C2" w:rsidRPr="00DD22C5" w:rsidRDefault="00BC2748" w:rsidP="00980409">
      <w:pPr>
        <w:pStyle w:val="Heading1"/>
      </w:pPr>
      <w:bookmarkStart w:id="9" w:name="_Toc39511582"/>
      <w:r w:rsidRPr="00DD22C5">
        <w:lastRenderedPageBreak/>
        <w:t>BCG Matrix</w:t>
      </w:r>
      <w:bookmarkEnd w:id="9"/>
    </w:p>
    <w:p w14:paraId="7CD31CA8"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noProof/>
          <w:color w:val="000000" w:themeColor="text1"/>
          <w:sz w:val="24"/>
          <w:szCs w:val="24"/>
        </w:rPr>
        <w:drawing>
          <wp:inline distT="114300" distB="114300" distL="114300" distR="114300" wp14:anchorId="76A3E333" wp14:editId="08501AC2">
            <wp:extent cx="4672013" cy="358140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672013" cy="3581400"/>
                    </a:xfrm>
                    <a:prstGeom prst="rect">
                      <a:avLst/>
                    </a:prstGeom>
                    <a:ln/>
                  </pic:spPr>
                </pic:pic>
              </a:graphicData>
            </a:graphic>
          </wp:inline>
        </w:drawing>
      </w:r>
    </w:p>
    <w:p w14:paraId="49FF45FA"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Figure 4: BCG Matrix</w:t>
      </w:r>
    </w:p>
    <w:p w14:paraId="612C65DB"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color w:val="000000" w:themeColor="text1"/>
          <w:sz w:val="24"/>
          <w:szCs w:val="24"/>
        </w:rPr>
        <w:t>(Source: Bcg.com, 2020)</w:t>
      </w:r>
    </w:p>
    <w:p w14:paraId="7F4C5AD2"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The BCG Matrix consists of four quadrants through which organisations can make effective decisions for investing their products. The organisation of Volvo Cars have been identified to be good business growth. Its decision for launching electric automobiles has been considered to be a sustainable decision through which the organisation can grow in the global market. From this aspect, it can be stated that Volvo Cars falls under the first quadrant known as star. This is because the products of EV have high future potential since the automotive industry has been inclined towards taking “greener” decisions. Therefore, investing in EV can lead to its global expansion through which adequate revenue rate can be achieved by the company.</w:t>
      </w:r>
    </w:p>
    <w:p w14:paraId="2F452972" w14:textId="77777777" w:rsidR="00AF43C2" w:rsidRPr="00DD22C5" w:rsidRDefault="00BC2748" w:rsidP="00980409">
      <w:pPr>
        <w:pStyle w:val="Heading1"/>
      </w:pPr>
      <w:bookmarkStart w:id="10" w:name="_Toc39511583"/>
      <w:r w:rsidRPr="00DD22C5">
        <w:t>b) Critical analysis of other business engaged in global automotive industry regarding long-term investment</w:t>
      </w:r>
      <w:bookmarkEnd w:id="10"/>
    </w:p>
    <w:p w14:paraId="0B53B756" w14:textId="77777777" w:rsidR="00AF43C2" w:rsidRPr="00DD22C5" w:rsidRDefault="00BC2748" w:rsidP="00980409">
      <w:pPr>
        <w:pStyle w:val="Heading1"/>
      </w:pPr>
      <w:bookmarkStart w:id="11" w:name="_Toc39511584"/>
      <w:r w:rsidRPr="00DD22C5">
        <w:t>Critical evaluation of international trading</w:t>
      </w:r>
      <w:bookmarkEnd w:id="11"/>
    </w:p>
    <w:p w14:paraId="25AD0535" w14:textId="7D9F3BB1"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color w:val="000000" w:themeColor="text1"/>
          <w:sz w:val="24"/>
          <w:szCs w:val="24"/>
        </w:rPr>
        <w:t xml:space="preserve">International trading widens the scope of increasing revenue of an organisation along with enhancement in product lifespan. According to </w:t>
      </w:r>
      <w:proofErr w:type="spellStart"/>
      <w:r w:rsidRPr="00DD22C5">
        <w:rPr>
          <w:rFonts w:ascii="Times New Roman" w:eastAsia="Times New Roman" w:hAnsi="Times New Roman" w:cs="Times New Roman"/>
          <w:color w:val="000000" w:themeColor="text1"/>
          <w:sz w:val="24"/>
          <w:szCs w:val="24"/>
        </w:rPr>
        <w:t>Granot</w:t>
      </w:r>
      <w:proofErr w:type="spellEnd"/>
      <w:r w:rsidRPr="00DD22C5">
        <w:rPr>
          <w:rFonts w:ascii="Times New Roman" w:eastAsia="Times New Roman" w:hAnsi="Times New Roman" w:cs="Times New Roman"/>
          <w:color w:val="000000" w:themeColor="text1"/>
          <w:sz w:val="24"/>
          <w:szCs w:val="24"/>
        </w:rPr>
        <w:t xml:space="preserve"> (2018), international tradition helps in bridging the gap of products by </w:t>
      </w:r>
      <w:r w:rsidR="00980409" w:rsidRPr="00DD22C5">
        <w:rPr>
          <w:rFonts w:ascii="Times New Roman" w:eastAsia="Times New Roman" w:hAnsi="Times New Roman" w:cs="Times New Roman"/>
          <w:color w:val="000000" w:themeColor="text1"/>
          <w:sz w:val="24"/>
          <w:szCs w:val="24"/>
        </w:rPr>
        <w:t>trading</w:t>
      </w:r>
      <w:r w:rsidRPr="00DD22C5">
        <w:rPr>
          <w:rFonts w:ascii="Times New Roman" w:eastAsia="Times New Roman" w:hAnsi="Times New Roman" w:cs="Times New Roman"/>
          <w:color w:val="000000" w:themeColor="text1"/>
          <w:sz w:val="24"/>
          <w:szCs w:val="24"/>
        </w:rPr>
        <w:t xml:space="preserve"> the necessary goods in that country. Due to this, by undertaking the process of international trading, the organisation of Volvo Cars can </w:t>
      </w:r>
      <w:r w:rsidR="007A4816" w:rsidRPr="00DD22C5">
        <w:rPr>
          <w:rFonts w:ascii="Times New Roman" w:eastAsia="Times New Roman" w:hAnsi="Times New Roman" w:cs="Times New Roman"/>
          <w:color w:val="000000" w:themeColor="text1"/>
          <w:sz w:val="24"/>
          <w:szCs w:val="24"/>
        </w:rPr>
        <w:t>garner</w:t>
      </w:r>
      <w:r w:rsidRPr="00DD22C5">
        <w:rPr>
          <w:rFonts w:ascii="Times New Roman" w:eastAsia="Times New Roman" w:hAnsi="Times New Roman" w:cs="Times New Roman"/>
          <w:color w:val="000000" w:themeColor="text1"/>
          <w:sz w:val="24"/>
          <w:szCs w:val="24"/>
        </w:rPr>
        <w:t xml:space="preserve"> </w:t>
      </w:r>
      <w:r w:rsidRPr="00DD22C5">
        <w:rPr>
          <w:rFonts w:ascii="Times New Roman" w:eastAsia="Times New Roman" w:hAnsi="Times New Roman" w:cs="Times New Roman"/>
          <w:color w:val="000000" w:themeColor="text1"/>
          <w:sz w:val="24"/>
          <w:szCs w:val="24"/>
        </w:rPr>
        <w:lastRenderedPageBreak/>
        <w:t xml:space="preserve">benefit since it would be providing unique products such as the Electric Vehicle (EV). However, in order to conduct such </w:t>
      </w:r>
      <w:r w:rsidR="00980409" w:rsidRPr="00DD22C5">
        <w:rPr>
          <w:rFonts w:ascii="Times New Roman" w:eastAsia="Times New Roman" w:hAnsi="Times New Roman" w:cs="Times New Roman"/>
          <w:color w:val="000000" w:themeColor="text1"/>
          <w:sz w:val="24"/>
          <w:szCs w:val="24"/>
        </w:rPr>
        <w:t>tracings</w:t>
      </w:r>
      <w:r w:rsidRPr="00DD22C5">
        <w:rPr>
          <w:rFonts w:ascii="Times New Roman" w:eastAsia="Times New Roman" w:hAnsi="Times New Roman" w:cs="Times New Roman"/>
          <w:color w:val="000000" w:themeColor="text1"/>
          <w:sz w:val="24"/>
          <w:szCs w:val="24"/>
        </w:rPr>
        <w:t>, regional traditional agreements are required to be followed which helps in appropriate movement of goods and services across borders (Worldbank.org, 2018). One such agreement can be identified as NAFTA which allows free trade in North America whereas the EU allows trade in the European Union. The CAFTA-DR is another such agreement allowing free trade between Central American-Domi</w:t>
      </w:r>
      <w:r w:rsidR="00980409" w:rsidRPr="00DD22C5">
        <w:rPr>
          <w:rFonts w:ascii="Times New Roman" w:eastAsia="Times New Roman" w:hAnsi="Times New Roman" w:cs="Times New Roman"/>
          <w:color w:val="000000" w:themeColor="text1"/>
          <w:sz w:val="24"/>
          <w:szCs w:val="24"/>
        </w:rPr>
        <w:t>n</w:t>
      </w:r>
      <w:r w:rsidRPr="00DD22C5">
        <w:rPr>
          <w:rFonts w:ascii="Times New Roman" w:eastAsia="Times New Roman" w:hAnsi="Times New Roman" w:cs="Times New Roman"/>
          <w:color w:val="000000" w:themeColor="text1"/>
          <w:sz w:val="24"/>
          <w:szCs w:val="24"/>
        </w:rPr>
        <w:t xml:space="preserve">ance Republic. Most of these trade agreements aid in elimination of non-tariff barriers along with establishments of standards resulting in fair trading. It also aims at improving customs administration along with technical or any other form of barriers (Worldbank.org, 2018). Therefore, Volvo Cars is required to abide by rules and regulations of these regional trading groups for its adequate expansion. </w:t>
      </w:r>
    </w:p>
    <w:p w14:paraId="79AD871C" w14:textId="77777777" w:rsidR="00AF43C2" w:rsidRPr="00DD22C5" w:rsidRDefault="00BC2748" w:rsidP="00474C2F">
      <w:pPr>
        <w:pStyle w:val="Heading1"/>
      </w:pPr>
      <w:bookmarkStart w:id="12" w:name="_Toc39511585"/>
      <w:r w:rsidRPr="00DD22C5">
        <w:t>Trends in global trade and business</w:t>
      </w:r>
      <w:bookmarkEnd w:id="12"/>
    </w:p>
    <w:p w14:paraId="11253A9B"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noProof/>
          <w:color w:val="000000" w:themeColor="text1"/>
          <w:sz w:val="24"/>
          <w:szCs w:val="24"/>
        </w:rPr>
        <w:drawing>
          <wp:inline distT="114300" distB="114300" distL="114300" distR="114300" wp14:anchorId="041F4871" wp14:editId="3F2AC0DC">
            <wp:extent cx="5676900" cy="393382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676900" cy="3933825"/>
                    </a:xfrm>
                    <a:prstGeom prst="rect">
                      <a:avLst/>
                    </a:prstGeom>
                    <a:ln/>
                  </pic:spPr>
                </pic:pic>
              </a:graphicData>
            </a:graphic>
          </wp:inline>
        </w:drawing>
      </w:r>
    </w:p>
    <w:p w14:paraId="5C46027B"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Figure 5: Deployment of electric cars in 2013-2018</w:t>
      </w:r>
    </w:p>
    <w:p w14:paraId="04DA0F0A"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(Source: Iea.org, 2019)</w:t>
      </w:r>
    </w:p>
    <w:p w14:paraId="3C7FAAC1"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Moving towards decisions catering towards sustainable management has been observed to be the biggest trend in the aspect of global trading. In regards to the automotive industry, an increase of 63% has been observed in 2018 as compared to 39% in 2017 in the global market (Iea.org, 2019).</w:t>
      </w:r>
    </w:p>
    <w:p w14:paraId="08C689D4" w14:textId="77777777" w:rsidR="00AF43C2" w:rsidRPr="00DD22C5" w:rsidRDefault="00AF43C2">
      <w:pPr>
        <w:spacing w:line="360" w:lineRule="auto"/>
        <w:jc w:val="both"/>
        <w:rPr>
          <w:rFonts w:ascii="Times New Roman" w:eastAsia="Times New Roman" w:hAnsi="Times New Roman" w:cs="Times New Roman"/>
          <w:b/>
          <w:color w:val="000000" w:themeColor="text1"/>
          <w:sz w:val="24"/>
          <w:szCs w:val="24"/>
        </w:rPr>
      </w:pPr>
    </w:p>
    <w:p w14:paraId="43A24A14"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noProof/>
          <w:color w:val="000000" w:themeColor="text1"/>
          <w:sz w:val="24"/>
          <w:szCs w:val="24"/>
        </w:rPr>
        <w:drawing>
          <wp:inline distT="114300" distB="114300" distL="114300" distR="114300" wp14:anchorId="66359F65" wp14:editId="3230DFFA">
            <wp:extent cx="5457825" cy="202882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l="1827" t="20062" r="2990" b="13166"/>
                    <a:stretch>
                      <a:fillRect/>
                    </a:stretch>
                  </pic:blipFill>
                  <pic:spPr>
                    <a:xfrm>
                      <a:off x="0" y="0"/>
                      <a:ext cx="5457825" cy="2028825"/>
                    </a:xfrm>
                    <a:prstGeom prst="rect">
                      <a:avLst/>
                    </a:prstGeom>
                    <a:ln/>
                  </pic:spPr>
                </pic:pic>
              </a:graphicData>
            </a:graphic>
          </wp:inline>
        </w:drawing>
      </w:r>
    </w:p>
    <w:p w14:paraId="4400C6B8"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Figure 6: Growth in demand of EV</w:t>
      </w:r>
    </w:p>
    <w:p w14:paraId="6CD4586F"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(Source: Euractiv.com, 2018)</w:t>
      </w:r>
    </w:p>
    <w:p w14:paraId="29518121" w14:textId="10F79DE9"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increase in demand for greener technology has been observed in the various countries of the EU. For the market of Electric Vehicles, various trends in terms of its infrastructure have been observed such as battery swapping. Induction or wireless charging is the most opted trend for charging of the </w:t>
      </w:r>
      <w:r w:rsidR="00E91CD8" w:rsidRPr="00DD22C5">
        <w:rPr>
          <w:rFonts w:ascii="Times New Roman" w:eastAsia="Times New Roman" w:hAnsi="Times New Roman" w:cs="Times New Roman"/>
          <w:color w:val="000000" w:themeColor="text1"/>
          <w:sz w:val="24"/>
          <w:szCs w:val="24"/>
        </w:rPr>
        <w:t>ve</w:t>
      </w:r>
      <w:r w:rsidR="00E91CD8">
        <w:rPr>
          <w:rFonts w:ascii="Times New Roman" w:eastAsia="Times New Roman" w:hAnsi="Times New Roman" w:cs="Times New Roman"/>
          <w:color w:val="000000" w:themeColor="text1"/>
          <w:sz w:val="24"/>
          <w:szCs w:val="24"/>
        </w:rPr>
        <w:t>hicles</w:t>
      </w:r>
      <w:r w:rsidRPr="00DD22C5">
        <w:rPr>
          <w:rFonts w:ascii="Times New Roman" w:eastAsia="Times New Roman" w:hAnsi="Times New Roman" w:cs="Times New Roman"/>
          <w:color w:val="000000" w:themeColor="text1"/>
          <w:sz w:val="24"/>
          <w:szCs w:val="24"/>
        </w:rPr>
        <w:t xml:space="preserve"> followed by wired charging (Mckinsey.com, 2019). Therefore, investing in battery swapping may not result in any benefits since this method is already ceasing to exist because of its limited usage. Apart from this trend, the aspect of charging-energy demand to a minimalistic level can aid in adequate sales of the EV by Volvo Cars. Due to this investing in small-format cells might not prove to be beneficial in terms of long-run. By not investing in this trend, Volvo Cars might face initial problems since such batteries are prone to overheating. Although large-format cells are expensive, the organisation is required to identify feasible measures in order to curb the high-cost so that it can be affordable to a wide range of people. </w:t>
      </w:r>
    </w:p>
    <w:p w14:paraId="36D38A8F" w14:textId="77777777" w:rsidR="00AF43C2" w:rsidRPr="00DD22C5" w:rsidRDefault="00BC2748">
      <w:pPr>
        <w:spacing w:line="360" w:lineRule="auto"/>
        <w:jc w:val="both"/>
        <w:rPr>
          <w:rFonts w:ascii="Times New Roman" w:eastAsia="Times New Roman" w:hAnsi="Times New Roman" w:cs="Times New Roman"/>
          <w:b/>
          <w:i/>
          <w:color w:val="000000" w:themeColor="text1"/>
          <w:sz w:val="24"/>
          <w:szCs w:val="24"/>
        </w:rPr>
      </w:pPr>
      <w:r w:rsidRPr="00DD22C5">
        <w:rPr>
          <w:rFonts w:ascii="Times New Roman" w:eastAsia="Times New Roman" w:hAnsi="Times New Roman" w:cs="Times New Roman"/>
          <w:b/>
          <w:i/>
          <w:color w:val="000000" w:themeColor="text1"/>
          <w:sz w:val="24"/>
          <w:szCs w:val="24"/>
        </w:rPr>
        <w:t>(Refer to Appendix 1 and 2)</w:t>
      </w:r>
    </w:p>
    <w:p w14:paraId="6C7752EF" w14:textId="77777777" w:rsidR="00AF43C2" w:rsidRPr="00DD22C5" w:rsidRDefault="00BC2748" w:rsidP="00474C2F">
      <w:pPr>
        <w:pStyle w:val="Heading1"/>
      </w:pPr>
      <w:bookmarkStart w:id="13" w:name="_Toc39511586"/>
      <w:r w:rsidRPr="00DD22C5">
        <w:t>Impact of market structure in firm strategy</w:t>
      </w:r>
      <w:bookmarkEnd w:id="13"/>
    </w:p>
    <w:p w14:paraId="38B58380" w14:textId="77777777" w:rsidR="00AF43C2"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The organisation of Volvo Cars falls under the oligopoly market structure since it provides differentiated goods and is a large well-established company. As per Ara </w:t>
      </w:r>
      <w:r w:rsidRPr="00DD22C5">
        <w:rPr>
          <w:rFonts w:ascii="Times New Roman" w:eastAsia="Times New Roman" w:hAnsi="Times New Roman" w:cs="Times New Roman"/>
          <w:i/>
          <w:color w:val="000000" w:themeColor="text1"/>
          <w:sz w:val="24"/>
          <w:szCs w:val="24"/>
        </w:rPr>
        <w:t>et al.</w:t>
      </w:r>
      <w:r w:rsidRPr="00DD22C5">
        <w:rPr>
          <w:rFonts w:ascii="Times New Roman" w:eastAsia="Times New Roman" w:hAnsi="Times New Roman" w:cs="Times New Roman"/>
          <w:color w:val="000000" w:themeColor="text1"/>
          <w:sz w:val="24"/>
          <w:szCs w:val="24"/>
        </w:rPr>
        <w:t xml:space="preserve"> (2017), since fewer organisations are present in the oligopoly market, the pricing decision is undertaken by the seller. Therefore, it is up to the organisation of Volvo Cars to establish an appropriate price rate in terms of market segmentation and its competition. It can be observed that the investment rate of EV is quite high, ranging more than £1,600 million in 2019 (Euractiv.com, 2018). Therefore, the price structure is required to be established in such a manner so that no losses are incurred by the organisation by keeping the competitive price range in mind. </w:t>
      </w:r>
    </w:p>
    <w:p w14:paraId="268295E6" w14:textId="77777777" w:rsidR="00AF43C2" w:rsidRPr="00DD22C5" w:rsidRDefault="00BC2748">
      <w:pPr>
        <w:spacing w:line="360" w:lineRule="auto"/>
        <w:jc w:val="both"/>
        <w:rPr>
          <w:rFonts w:ascii="Times New Roman" w:eastAsia="Times New Roman" w:hAnsi="Times New Roman" w:cs="Times New Roman"/>
          <w:b/>
          <w:i/>
          <w:color w:val="000000" w:themeColor="text1"/>
          <w:sz w:val="24"/>
          <w:szCs w:val="24"/>
        </w:rPr>
      </w:pPr>
      <w:r w:rsidRPr="00DD22C5">
        <w:rPr>
          <w:rFonts w:ascii="Times New Roman" w:eastAsia="Times New Roman" w:hAnsi="Times New Roman" w:cs="Times New Roman"/>
          <w:b/>
          <w:i/>
          <w:color w:val="000000" w:themeColor="text1"/>
          <w:sz w:val="24"/>
          <w:szCs w:val="24"/>
        </w:rPr>
        <w:lastRenderedPageBreak/>
        <w:t>(Refer to Appendix 3)</w:t>
      </w:r>
    </w:p>
    <w:p w14:paraId="7ABD6E92" w14:textId="77777777" w:rsidR="00AF43C2" w:rsidRPr="00DD22C5" w:rsidRDefault="00BC2748" w:rsidP="00474C2F">
      <w:pPr>
        <w:pStyle w:val="Heading1"/>
      </w:pPr>
      <w:bookmarkStart w:id="14" w:name="_Toc39511587"/>
      <w:r w:rsidRPr="00DD22C5">
        <w:t>Assessment of current international economy</w:t>
      </w:r>
      <w:bookmarkEnd w:id="14"/>
    </w:p>
    <w:p w14:paraId="5047C4F5"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color w:val="000000" w:themeColor="text1"/>
          <w:sz w:val="24"/>
          <w:szCs w:val="24"/>
        </w:rPr>
        <w:t xml:space="preserve">The global economic projection has been observed to be 3.5% in 2019 and is projected to be 3.6% by the end of 2020 (Imf.org, 2020). The automotive industry has catered to a stable position in the current economy due to which Volvo Cars can align in terms of the shifting industry landscape. In terms of supply and demand, the production rate is needed to consist in such a manner for fulfilling the criteria of demand. As opined by </w:t>
      </w:r>
      <w:proofErr w:type="spellStart"/>
      <w:r w:rsidRPr="00DD22C5">
        <w:rPr>
          <w:rFonts w:ascii="Times New Roman" w:eastAsia="Times New Roman" w:hAnsi="Times New Roman" w:cs="Times New Roman"/>
          <w:color w:val="000000" w:themeColor="text1"/>
          <w:sz w:val="24"/>
          <w:szCs w:val="24"/>
        </w:rPr>
        <w:t>Labandeira</w:t>
      </w:r>
      <w:proofErr w:type="spellEnd"/>
      <w:r w:rsidRPr="00DD22C5">
        <w:rPr>
          <w:rFonts w:ascii="Times New Roman" w:eastAsia="Times New Roman" w:hAnsi="Times New Roman" w:cs="Times New Roman"/>
          <w:color w:val="000000" w:themeColor="text1"/>
          <w:sz w:val="24"/>
          <w:szCs w:val="24"/>
        </w:rPr>
        <w:t xml:space="preserve"> </w:t>
      </w:r>
      <w:r w:rsidRPr="00DD22C5">
        <w:rPr>
          <w:rFonts w:ascii="Times New Roman" w:eastAsia="Times New Roman" w:hAnsi="Times New Roman" w:cs="Times New Roman"/>
          <w:i/>
          <w:color w:val="000000" w:themeColor="text1"/>
          <w:sz w:val="24"/>
          <w:szCs w:val="24"/>
        </w:rPr>
        <w:t>et al.</w:t>
      </w:r>
      <w:r w:rsidRPr="00DD22C5">
        <w:rPr>
          <w:rFonts w:ascii="Times New Roman" w:eastAsia="Times New Roman" w:hAnsi="Times New Roman" w:cs="Times New Roman"/>
          <w:color w:val="000000" w:themeColor="text1"/>
          <w:sz w:val="24"/>
          <w:szCs w:val="24"/>
        </w:rPr>
        <w:t xml:space="preserve"> (2019), the aspect of price elasticity is required to be kept in mind as well since a small change in price caters towards high demand. Therefore, by catering towards an affordable price rate, an increase in product demand for Electric Vehicles can be observed. Lastly, by adequate cost analysis, the company can sell its product price at an appropriate rate as compared to its competitors. Abiding by this aspect can aid the company in garnering adequate revenue through which it can maintain its global presence and conduct positive international trading. </w:t>
      </w:r>
    </w:p>
    <w:p w14:paraId="6C5BD6D3" w14:textId="77777777" w:rsidR="00AF43C2" w:rsidRPr="00DD22C5" w:rsidRDefault="00BC2748" w:rsidP="00474C2F">
      <w:pPr>
        <w:pStyle w:val="Heading1"/>
      </w:pPr>
      <w:bookmarkStart w:id="15" w:name="_Toc39511588"/>
      <w:r w:rsidRPr="00DD22C5">
        <w:t>Conclusion</w:t>
      </w:r>
      <w:bookmarkEnd w:id="15"/>
    </w:p>
    <w:p w14:paraId="1A4D451B" w14:textId="7291D5AF" w:rsidR="00474C2F" w:rsidRPr="00DD22C5" w:rsidRDefault="00BC2748">
      <w:pPr>
        <w:spacing w:line="360" w:lineRule="auto"/>
        <w:jc w:val="both"/>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 xml:space="preserve">This study has helped in understanding the new opportunities in regards to Electric Vehicles by the company of Volvo Cars in the global market. Adequate market analysis has catered towards the aspect of various countries such as Norway, Germany and Netherlands are the ideal places for conducting international trading. New business opportunities along with business scope have been adequately evaluated in this study. Moreover, the trends in global business of the automotive industry along with the organisational market structure have helped in understanding the trends to be abided by for earning profitable revenue. </w:t>
      </w:r>
    </w:p>
    <w:p w14:paraId="5FBF8C9D" w14:textId="77777777" w:rsidR="00474C2F" w:rsidRPr="00DD22C5" w:rsidRDefault="00474C2F">
      <w:pP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br w:type="page"/>
      </w:r>
    </w:p>
    <w:p w14:paraId="474D10FF" w14:textId="073C9D16" w:rsidR="00AF43C2" w:rsidRPr="00DD22C5" w:rsidRDefault="00474C2F" w:rsidP="00DD22C5">
      <w:pPr>
        <w:pStyle w:val="Heading1"/>
      </w:pPr>
      <w:bookmarkStart w:id="16" w:name="_Toc39511589"/>
      <w:r w:rsidRPr="00DD22C5">
        <w:lastRenderedPageBreak/>
        <w:t>References</w:t>
      </w:r>
      <w:bookmarkEnd w:id="16"/>
    </w:p>
    <w:p w14:paraId="0F60B026"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shd w:val="clear" w:color="auto" w:fill="FFFFFF"/>
          <w:lang w:val="en-US"/>
        </w:rPr>
        <w:t xml:space="preserve">Ara, T., Ghosh, A. and Zhang, H., (2017). </w:t>
      </w:r>
      <w:r w:rsidRPr="00DD22C5">
        <w:rPr>
          <w:rFonts w:ascii="Times New Roman" w:eastAsia="Times New Roman" w:hAnsi="Times New Roman" w:cs="Times New Roman"/>
          <w:i/>
          <w:iCs/>
          <w:color w:val="000000" w:themeColor="text1"/>
          <w:sz w:val="24"/>
          <w:szCs w:val="24"/>
          <w:shd w:val="clear" w:color="auto" w:fill="FFFFFF"/>
          <w:lang w:val="en-US"/>
        </w:rPr>
        <w:t>Tariffs, vertical oligopoly and market structure</w:t>
      </w:r>
      <w:r w:rsidRPr="00DD22C5">
        <w:rPr>
          <w:rFonts w:ascii="Times New Roman" w:eastAsia="Times New Roman" w:hAnsi="Times New Roman" w:cs="Times New Roman"/>
          <w:color w:val="000000" w:themeColor="text1"/>
          <w:sz w:val="24"/>
          <w:szCs w:val="24"/>
          <w:shd w:val="clear" w:color="auto" w:fill="FFFFFF"/>
          <w:lang w:val="en-US"/>
        </w:rPr>
        <w:t>. RIETI Discussion Paper Series 17-E-025.</w:t>
      </w:r>
    </w:p>
    <w:p w14:paraId="0B525EBA"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DD22C5">
        <w:rPr>
          <w:rFonts w:ascii="Times New Roman" w:eastAsia="Times New Roman" w:hAnsi="Times New Roman" w:cs="Times New Roman"/>
          <w:color w:val="000000" w:themeColor="text1"/>
          <w:sz w:val="24"/>
          <w:szCs w:val="24"/>
          <w:shd w:val="clear" w:color="auto" w:fill="FFFFFF"/>
          <w:lang w:val="en-US"/>
        </w:rPr>
        <w:t>Armengaud</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 E., </w:t>
      </w:r>
      <w:proofErr w:type="spellStart"/>
      <w:r w:rsidRPr="00DD22C5">
        <w:rPr>
          <w:rFonts w:ascii="Times New Roman" w:eastAsia="Times New Roman" w:hAnsi="Times New Roman" w:cs="Times New Roman"/>
          <w:color w:val="000000" w:themeColor="text1"/>
          <w:sz w:val="24"/>
          <w:szCs w:val="24"/>
          <w:shd w:val="clear" w:color="auto" w:fill="FFFFFF"/>
          <w:lang w:val="en-US"/>
        </w:rPr>
        <w:t>Sams</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 C., Von Falck, G., List, G., </w:t>
      </w:r>
      <w:proofErr w:type="spellStart"/>
      <w:r w:rsidRPr="00DD22C5">
        <w:rPr>
          <w:rFonts w:ascii="Times New Roman" w:eastAsia="Times New Roman" w:hAnsi="Times New Roman" w:cs="Times New Roman"/>
          <w:color w:val="000000" w:themeColor="text1"/>
          <w:sz w:val="24"/>
          <w:szCs w:val="24"/>
          <w:shd w:val="clear" w:color="auto" w:fill="FFFFFF"/>
          <w:lang w:val="en-US"/>
        </w:rPr>
        <w:t>Kreiner</w:t>
      </w:r>
      <w:proofErr w:type="spellEnd"/>
      <w:r w:rsidRPr="00DD22C5">
        <w:rPr>
          <w:rFonts w:ascii="Times New Roman" w:eastAsia="Times New Roman" w:hAnsi="Times New Roman" w:cs="Times New Roman"/>
          <w:color w:val="000000" w:themeColor="text1"/>
          <w:sz w:val="24"/>
          <w:szCs w:val="24"/>
          <w:shd w:val="clear" w:color="auto" w:fill="FFFFFF"/>
          <w:lang w:val="en-US"/>
        </w:rPr>
        <w:t>, C., and Riel, A. (2017). Industry 4.0 as digitalization over the entire product lifecycle: Opportunities in the automotive domain. In European Conference on Software Process Improvement</w:t>
      </w:r>
      <w:r w:rsidRPr="00DD22C5">
        <w:rPr>
          <w:rFonts w:ascii="Times New Roman" w:eastAsia="Times New Roman" w:hAnsi="Times New Roman" w:cs="Times New Roman"/>
          <w:i/>
          <w:iCs/>
          <w:color w:val="000000" w:themeColor="text1"/>
          <w:sz w:val="24"/>
          <w:szCs w:val="24"/>
          <w:shd w:val="clear" w:color="auto" w:fill="FFFFFF"/>
          <w:lang w:val="en-US"/>
        </w:rPr>
        <w:t>,</w:t>
      </w:r>
      <w:r w:rsidRPr="00DD22C5">
        <w:rPr>
          <w:rFonts w:ascii="Times New Roman" w:eastAsia="Times New Roman" w:hAnsi="Times New Roman" w:cs="Times New Roman"/>
          <w:color w:val="000000" w:themeColor="text1"/>
          <w:sz w:val="24"/>
          <w:szCs w:val="24"/>
          <w:shd w:val="clear" w:color="auto" w:fill="FFFFFF"/>
          <w:lang w:val="en-US"/>
        </w:rPr>
        <w:t xml:space="preserve"> </w:t>
      </w:r>
      <w:r w:rsidRPr="00DD22C5">
        <w:rPr>
          <w:rFonts w:ascii="Times New Roman" w:eastAsia="Times New Roman" w:hAnsi="Times New Roman" w:cs="Times New Roman"/>
          <w:i/>
          <w:iCs/>
          <w:color w:val="000000" w:themeColor="text1"/>
          <w:sz w:val="24"/>
          <w:szCs w:val="24"/>
          <w:shd w:val="clear" w:color="auto" w:fill="FFFFFF"/>
          <w:lang w:val="en-US"/>
        </w:rPr>
        <w:t>3</w:t>
      </w:r>
      <w:r w:rsidRPr="00DD22C5">
        <w:rPr>
          <w:rFonts w:ascii="Times New Roman" w:eastAsia="Times New Roman" w:hAnsi="Times New Roman" w:cs="Times New Roman"/>
          <w:color w:val="000000" w:themeColor="text1"/>
          <w:sz w:val="24"/>
          <w:szCs w:val="24"/>
          <w:shd w:val="clear" w:color="auto" w:fill="FFFFFF"/>
          <w:lang w:val="en-US"/>
        </w:rPr>
        <w:t>(2),pp.334-351.</w:t>
      </w:r>
    </w:p>
    <w:p w14:paraId="7208AC88"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Bcg.com (2020). </w:t>
      </w:r>
      <w:r w:rsidRPr="00DD22C5">
        <w:rPr>
          <w:rFonts w:ascii="Times New Roman" w:eastAsia="Times New Roman" w:hAnsi="Times New Roman" w:cs="Times New Roman"/>
          <w:i/>
          <w:iCs/>
          <w:color w:val="000000" w:themeColor="text1"/>
          <w:sz w:val="24"/>
          <w:szCs w:val="24"/>
          <w:lang w:val="en-US"/>
        </w:rPr>
        <w:t>What Is the Growth Share Matrix? | BCG</w:t>
      </w:r>
      <w:r w:rsidRPr="00DD22C5">
        <w:rPr>
          <w:rFonts w:ascii="Times New Roman" w:eastAsia="Times New Roman" w:hAnsi="Times New Roman" w:cs="Times New Roman"/>
          <w:color w:val="000000" w:themeColor="text1"/>
          <w:sz w:val="24"/>
          <w:szCs w:val="24"/>
          <w:lang w:val="en-US"/>
        </w:rPr>
        <w:t>. Available at: https://www.bcg.com/en-in/about/our-history/growth-share-matrix.aspx [Accessed on: 29 April 2020]</w:t>
      </w:r>
    </w:p>
    <w:p w14:paraId="51CFC8A1"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Ec.europa.eu (2020). </w:t>
      </w:r>
      <w:r w:rsidRPr="00DD22C5">
        <w:rPr>
          <w:rFonts w:ascii="Times New Roman" w:eastAsia="Times New Roman" w:hAnsi="Times New Roman" w:cs="Times New Roman"/>
          <w:i/>
          <w:iCs/>
          <w:color w:val="000000" w:themeColor="text1"/>
          <w:sz w:val="24"/>
          <w:szCs w:val="24"/>
          <w:lang w:val="en-US"/>
        </w:rPr>
        <w:t>Withdrawal of the United Kingdom from the EU | Taxation and Customs Union</w:t>
      </w:r>
      <w:r w:rsidRPr="00DD22C5">
        <w:rPr>
          <w:rFonts w:ascii="Times New Roman" w:eastAsia="Times New Roman" w:hAnsi="Times New Roman" w:cs="Times New Roman"/>
          <w:color w:val="000000" w:themeColor="text1"/>
          <w:sz w:val="24"/>
          <w:szCs w:val="24"/>
          <w:lang w:val="en-US"/>
        </w:rPr>
        <w:t>. Available at: https://ec.europa.eu/taxation_customs/uk_withdrawal_en [Accessed on: 27 April 2020]</w:t>
      </w:r>
    </w:p>
    <w:p w14:paraId="2B509FA2" w14:textId="379F327D"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Euractiv.com (2018). </w:t>
      </w:r>
      <w:r w:rsidRPr="00DD22C5">
        <w:rPr>
          <w:rFonts w:ascii="Times New Roman" w:eastAsia="Times New Roman" w:hAnsi="Times New Roman" w:cs="Times New Roman"/>
          <w:i/>
          <w:iCs/>
          <w:color w:val="000000" w:themeColor="text1"/>
          <w:sz w:val="24"/>
          <w:szCs w:val="24"/>
          <w:lang w:val="en-US"/>
        </w:rPr>
        <w:t>Roll-out of public EV charging infrastructure in the EU</w:t>
      </w:r>
      <w:r w:rsidRPr="00DD22C5">
        <w:rPr>
          <w:rFonts w:ascii="Times New Roman" w:eastAsia="Times New Roman" w:hAnsi="Times New Roman" w:cs="Times New Roman"/>
          <w:color w:val="000000" w:themeColor="text1"/>
          <w:sz w:val="24"/>
          <w:szCs w:val="24"/>
          <w:lang w:val="en-US"/>
        </w:rPr>
        <w:t>. Available at:</w:t>
      </w:r>
      <w:r w:rsidR="00F53AC1">
        <w:rPr>
          <w:rFonts w:ascii="Times New Roman" w:eastAsia="Times New Roman" w:hAnsi="Times New Roman" w:cs="Times New Roman"/>
          <w:color w:val="000000" w:themeColor="text1"/>
          <w:sz w:val="24"/>
          <w:szCs w:val="24"/>
          <w:lang w:val="en-US"/>
        </w:rPr>
        <w:t xml:space="preserve"> </w:t>
      </w:r>
      <w:r w:rsidRPr="00DD22C5">
        <w:rPr>
          <w:rFonts w:ascii="Times New Roman" w:eastAsia="Times New Roman" w:hAnsi="Times New Roman" w:cs="Times New Roman"/>
          <w:color w:val="000000" w:themeColor="text1"/>
          <w:sz w:val="24"/>
          <w:szCs w:val="24"/>
          <w:lang w:val="en-US"/>
        </w:rPr>
        <w:t>https://www.euractiv.com/wp-content/uploads/sites/2/2018/09/Charging-Infrastructure-Report_September-2018_FINAL.pdf [Accessed on: 27 April 2020]</w:t>
      </w:r>
    </w:p>
    <w:p w14:paraId="4F08C6D8"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Forbes.com (2020). </w:t>
      </w:r>
      <w:r w:rsidRPr="00DD22C5">
        <w:rPr>
          <w:rFonts w:ascii="Times New Roman" w:eastAsia="Times New Roman" w:hAnsi="Times New Roman" w:cs="Times New Roman"/>
          <w:i/>
          <w:iCs/>
          <w:color w:val="000000" w:themeColor="text1"/>
          <w:sz w:val="24"/>
          <w:szCs w:val="24"/>
          <w:lang w:val="en-US"/>
        </w:rPr>
        <w:t>Volvo Set To Challenge Tesla For Electric Car Supremacy</w:t>
      </w:r>
      <w:r w:rsidRPr="00DD22C5">
        <w:rPr>
          <w:rFonts w:ascii="Times New Roman" w:eastAsia="Times New Roman" w:hAnsi="Times New Roman" w:cs="Times New Roman"/>
          <w:color w:val="000000" w:themeColor="text1"/>
          <w:sz w:val="24"/>
          <w:szCs w:val="24"/>
          <w:lang w:val="en-US"/>
        </w:rPr>
        <w:t>. Available at: https://www.forbes.com/sites/jacknerad2/2020/01/22/volvo-set-to-challenge-tesla-for-electric-car-supremacy/#3160dab34011 [Accessed on: 27 April 2020]</w:t>
      </w:r>
    </w:p>
    <w:p w14:paraId="1EC120C4"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DD22C5">
        <w:rPr>
          <w:rFonts w:ascii="Times New Roman" w:eastAsia="Times New Roman" w:hAnsi="Times New Roman" w:cs="Times New Roman"/>
          <w:color w:val="000000" w:themeColor="text1"/>
          <w:sz w:val="24"/>
          <w:szCs w:val="24"/>
          <w:shd w:val="clear" w:color="auto" w:fill="FFFFFF"/>
          <w:lang w:val="en-US"/>
        </w:rPr>
        <w:t>Gholampour</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 G., Abdul RAHIM, A. R. B., and </w:t>
      </w:r>
      <w:proofErr w:type="spellStart"/>
      <w:r w:rsidRPr="00DD22C5">
        <w:rPr>
          <w:rFonts w:ascii="Times New Roman" w:eastAsia="Times New Roman" w:hAnsi="Times New Roman" w:cs="Times New Roman"/>
          <w:color w:val="000000" w:themeColor="text1"/>
          <w:sz w:val="24"/>
          <w:szCs w:val="24"/>
          <w:shd w:val="clear" w:color="auto" w:fill="FFFFFF"/>
          <w:lang w:val="en-US"/>
        </w:rPr>
        <w:t>Gholampour</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 F. (2018). A Qualitative Research on Strategic Performance of Supply Chain-A Case study in Automotive Industry. </w:t>
      </w:r>
      <w:r w:rsidRPr="00DD22C5">
        <w:rPr>
          <w:rFonts w:ascii="Times New Roman" w:eastAsia="Times New Roman" w:hAnsi="Times New Roman" w:cs="Times New Roman"/>
          <w:i/>
          <w:iCs/>
          <w:color w:val="000000" w:themeColor="text1"/>
          <w:sz w:val="24"/>
          <w:szCs w:val="24"/>
          <w:shd w:val="clear" w:color="auto" w:fill="FFFFFF"/>
          <w:lang w:val="en-US"/>
        </w:rPr>
        <w:t>International Journal of Industrial Engineering &amp; Production Research</w:t>
      </w:r>
      <w:r w:rsidRPr="00DD22C5">
        <w:rPr>
          <w:rFonts w:ascii="Times New Roman" w:eastAsia="Times New Roman" w:hAnsi="Times New Roman" w:cs="Times New Roman"/>
          <w:color w:val="000000" w:themeColor="text1"/>
          <w:sz w:val="24"/>
          <w:szCs w:val="24"/>
          <w:shd w:val="clear" w:color="auto" w:fill="FFFFFF"/>
          <w:lang w:val="en-US"/>
        </w:rPr>
        <w:t xml:space="preserve">, </w:t>
      </w:r>
      <w:r w:rsidRPr="00DD22C5">
        <w:rPr>
          <w:rFonts w:ascii="Times New Roman" w:eastAsia="Times New Roman" w:hAnsi="Times New Roman" w:cs="Times New Roman"/>
          <w:i/>
          <w:iCs/>
          <w:color w:val="000000" w:themeColor="text1"/>
          <w:sz w:val="24"/>
          <w:szCs w:val="24"/>
          <w:shd w:val="clear" w:color="auto" w:fill="FFFFFF"/>
          <w:lang w:val="en-US"/>
        </w:rPr>
        <w:t>29</w:t>
      </w:r>
      <w:r w:rsidRPr="00DD22C5">
        <w:rPr>
          <w:rFonts w:ascii="Times New Roman" w:eastAsia="Times New Roman" w:hAnsi="Times New Roman" w:cs="Times New Roman"/>
          <w:color w:val="000000" w:themeColor="text1"/>
          <w:sz w:val="24"/>
          <w:szCs w:val="24"/>
          <w:shd w:val="clear" w:color="auto" w:fill="FFFFFF"/>
          <w:lang w:val="en-US"/>
        </w:rPr>
        <w:t>(4), pp.497-513. </w:t>
      </w:r>
    </w:p>
    <w:p w14:paraId="7212BFF0"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rPr>
      </w:pPr>
      <w:proofErr w:type="spellStart"/>
      <w:r w:rsidRPr="00DD22C5">
        <w:rPr>
          <w:rFonts w:ascii="Times New Roman" w:eastAsia="Times New Roman" w:hAnsi="Times New Roman" w:cs="Times New Roman"/>
          <w:color w:val="000000" w:themeColor="text1"/>
          <w:sz w:val="24"/>
          <w:szCs w:val="24"/>
          <w:shd w:val="clear" w:color="auto" w:fill="FFFFFF"/>
          <w:lang w:val="en-US"/>
        </w:rPr>
        <w:t>Granot</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 E.E., (2018). The Effect of Taxation, Specialization, and Entrepreneurial Activities on International Trading. In </w:t>
      </w:r>
      <w:r w:rsidRPr="00DD22C5">
        <w:rPr>
          <w:rFonts w:ascii="Times New Roman" w:eastAsia="Times New Roman" w:hAnsi="Times New Roman" w:cs="Times New Roman"/>
          <w:i/>
          <w:iCs/>
          <w:color w:val="000000" w:themeColor="text1"/>
          <w:sz w:val="24"/>
          <w:szCs w:val="24"/>
          <w:shd w:val="clear" w:color="auto" w:fill="FFFFFF"/>
          <w:lang w:val="en-US"/>
        </w:rPr>
        <w:t>Trade and Global Market</w:t>
      </w:r>
      <w:r w:rsidRPr="00DD22C5">
        <w:rPr>
          <w:rFonts w:ascii="Times New Roman" w:eastAsia="Times New Roman" w:hAnsi="Times New Roman" w:cs="Times New Roman"/>
          <w:color w:val="000000" w:themeColor="text1"/>
          <w:sz w:val="24"/>
          <w:szCs w:val="24"/>
          <w:shd w:val="clear" w:color="auto" w:fill="FFFFFF"/>
          <w:lang w:val="en-US"/>
        </w:rPr>
        <w:t xml:space="preserve">. Eds. 2. London: </w:t>
      </w:r>
      <w:proofErr w:type="spellStart"/>
      <w:r w:rsidRPr="00DD22C5">
        <w:rPr>
          <w:rFonts w:ascii="Times New Roman" w:eastAsia="Times New Roman" w:hAnsi="Times New Roman" w:cs="Times New Roman"/>
          <w:color w:val="000000" w:themeColor="text1"/>
          <w:sz w:val="24"/>
          <w:szCs w:val="24"/>
          <w:shd w:val="clear" w:color="auto" w:fill="FFFFFF"/>
          <w:lang w:val="en-US"/>
        </w:rPr>
        <w:t>IntechOpen</w:t>
      </w:r>
      <w:proofErr w:type="spellEnd"/>
      <w:r w:rsidRPr="00DD22C5">
        <w:rPr>
          <w:rFonts w:ascii="Times New Roman" w:eastAsia="Times New Roman" w:hAnsi="Times New Roman" w:cs="Times New Roman"/>
          <w:color w:val="000000" w:themeColor="text1"/>
          <w:sz w:val="24"/>
          <w:szCs w:val="24"/>
          <w:shd w:val="clear" w:color="auto" w:fill="FFFFFF"/>
          <w:lang w:val="en-US"/>
        </w:rPr>
        <w:t>.</w:t>
      </w:r>
    </w:p>
    <w:p w14:paraId="545A57FE"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shd w:val="clear" w:color="auto" w:fill="FFFFFF"/>
          <w:lang w:val="en-US"/>
        </w:rPr>
        <w:t xml:space="preserve">Huang, Y. (2019). Strategic Environment Analysis of Logistics Enterprise based on SWOT-PEST-Michael Porter's Five Forces Model--Taking SF Express as an Example. In </w:t>
      </w:r>
      <w:r w:rsidRPr="00DD22C5">
        <w:rPr>
          <w:rFonts w:ascii="Times New Roman" w:eastAsia="Times New Roman" w:hAnsi="Times New Roman" w:cs="Times New Roman"/>
          <w:i/>
          <w:iCs/>
          <w:color w:val="000000" w:themeColor="text1"/>
          <w:sz w:val="24"/>
          <w:szCs w:val="24"/>
          <w:shd w:val="clear" w:color="auto" w:fill="FFFFFF"/>
          <w:lang w:val="en-US"/>
        </w:rPr>
        <w:t>2nd International Symposium on Social Science and Management Innovation (SSMI 2019)</w:t>
      </w:r>
      <w:r w:rsidRPr="00DD22C5">
        <w:rPr>
          <w:rFonts w:ascii="Times New Roman" w:eastAsia="Times New Roman" w:hAnsi="Times New Roman" w:cs="Times New Roman"/>
          <w:color w:val="000000" w:themeColor="text1"/>
          <w:sz w:val="24"/>
          <w:szCs w:val="24"/>
          <w:shd w:val="clear" w:color="auto" w:fill="FFFFFF"/>
          <w:lang w:val="en-US"/>
        </w:rPr>
        <w:t>. Eds. 2. Paris: Atlantis Press. </w:t>
      </w:r>
    </w:p>
    <w:p w14:paraId="28EE8437"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Iea.org (2019). </w:t>
      </w:r>
      <w:r w:rsidRPr="00DD22C5">
        <w:rPr>
          <w:rFonts w:ascii="Times New Roman" w:eastAsia="Times New Roman" w:hAnsi="Times New Roman" w:cs="Times New Roman"/>
          <w:i/>
          <w:iCs/>
          <w:color w:val="000000" w:themeColor="text1"/>
          <w:sz w:val="24"/>
          <w:szCs w:val="24"/>
          <w:lang w:val="en-US"/>
        </w:rPr>
        <w:t>Global EV Outlook 2019 – Analysis</w:t>
      </w:r>
      <w:r w:rsidRPr="00DD22C5">
        <w:rPr>
          <w:rFonts w:ascii="Times New Roman" w:eastAsia="Times New Roman" w:hAnsi="Times New Roman" w:cs="Times New Roman"/>
          <w:color w:val="000000" w:themeColor="text1"/>
          <w:sz w:val="24"/>
          <w:szCs w:val="24"/>
          <w:lang w:val="en-US"/>
        </w:rPr>
        <w:t>. Available at: https://www.iea.org/reports/global-ev-outlook-2019 [Accessed on: 29 April 2020]</w:t>
      </w:r>
    </w:p>
    <w:p w14:paraId="6152FCC2"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lastRenderedPageBreak/>
        <w:t xml:space="preserve">Imf.org (2020). </w:t>
      </w:r>
      <w:r w:rsidRPr="00DD22C5">
        <w:rPr>
          <w:rFonts w:ascii="Times New Roman" w:eastAsia="Times New Roman" w:hAnsi="Times New Roman" w:cs="Times New Roman"/>
          <w:i/>
          <w:iCs/>
          <w:color w:val="000000" w:themeColor="text1"/>
          <w:sz w:val="24"/>
          <w:szCs w:val="24"/>
          <w:lang w:val="en-US"/>
        </w:rPr>
        <w:t>World Economic Outlook Reports</w:t>
      </w:r>
      <w:r w:rsidRPr="00DD22C5">
        <w:rPr>
          <w:rFonts w:ascii="Times New Roman" w:eastAsia="Times New Roman" w:hAnsi="Times New Roman" w:cs="Times New Roman"/>
          <w:color w:val="000000" w:themeColor="text1"/>
          <w:sz w:val="24"/>
          <w:szCs w:val="24"/>
          <w:lang w:val="en-US"/>
        </w:rPr>
        <w:t>. Available at: https://www.imf.org/en/Publications/WEO [Accessed on: 28 April 2020]</w:t>
      </w:r>
    </w:p>
    <w:p w14:paraId="47B782F5"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shd w:val="clear" w:color="auto" w:fill="FFFFFF"/>
          <w:lang w:val="en-US"/>
        </w:rPr>
        <w:t xml:space="preserve">Investors.volvocars.com (2019). </w:t>
      </w:r>
      <w:r w:rsidRPr="00DD22C5">
        <w:rPr>
          <w:rFonts w:ascii="Times New Roman" w:eastAsia="Times New Roman" w:hAnsi="Times New Roman" w:cs="Times New Roman"/>
          <w:i/>
          <w:iCs/>
          <w:color w:val="000000" w:themeColor="text1"/>
          <w:sz w:val="24"/>
          <w:szCs w:val="24"/>
          <w:shd w:val="clear" w:color="auto" w:fill="FFFFFF"/>
          <w:lang w:val="en-US"/>
        </w:rPr>
        <w:t>Key financial data</w:t>
      </w:r>
      <w:r w:rsidRPr="00DD22C5">
        <w:rPr>
          <w:rFonts w:ascii="Times New Roman" w:eastAsia="Times New Roman" w:hAnsi="Times New Roman" w:cs="Times New Roman"/>
          <w:color w:val="000000" w:themeColor="text1"/>
          <w:sz w:val="24"/>
          <w:szCs w:val="24"/>
          <w:shd w:val="clear" w:color="auto" w:fill="FFFFFF"/>
          <w:lang w:val="en-US"/>
        </w:rPr>
        <w:t xml:space="preserve">. </w:t>
      </w:r>
      <w:r w:rsidRPr="00DD22C5">
        <w:rPr>
          <w:rFonts w:ascii="Times New Roman" w:eastAsia="Times New Roman" w:hAnsi="Times New Roman" w:cs="Times New Roman"/>
          <w:color w:val="000000" w:themeColor="text1"/>
          <w:sz w:val="24"/>
          <w:szCs w:val="24"/>
          <w:lang w:val="en-US"/>
        </w:rPr>
        <w:t xml:space="preserve">Available at: </w:t>
      </w:r>
      <w:r w:rsidRPr="00DD22C5">
        <w:rPr>
          <w:rFonts w:ascii="Times New Roman" w:eastAsia="Times New Roman" w:hAnsi="Times New Roman" w:cs="Times New Roman"/>
          <w:color w:val="000000" w:themeColor="text1"/>
          <w:sz w:val="24"/>
          <w:szCs w:val="24"/>
          <w:shd w:val="clear" w:color="auto" w:fill="FFFFFF"/>
          <w:lang w:val="en-US"/>
        </w:rPr>
        <w:t>https://investors.volvocars.com/en/key-financial-data</w:t>
      </w:r>
      <w:r w:rsidRPr="00DD22C5">
        <w:rPr>
          <w:rFonts w:ascii="Times New Roman" w:eastAsia="Times New Roman" w:hAnsi="Times New Roman" w:cs="Times New Roman"/>
          <w:color w:val="000000" w:themeColor="text1"/>
          <w:sz w:val="24"/>
          <w:szCs w:val="24"/>
          <w:lang w:val="en-US"/>
        </w:rPr>
        <w:t xml:space="preserve"> [Accessed on: 29 April 2020]</w:t>
      </w:r>
    </w:p>
    <w:p w14:paraId="6627BABB"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Kfknowledgebank.kaplan.co.uk (2019). </w:t>
      </w:r>
      <w:r w:rsidRPr="00DD22C5">
        <w:rPr>
          <w:rFonts w:ascii="Times New Roman" w:eastAsia="Times New Roman" w:hAnsi="Times New Roman" w:cs="Times New Roman"/>
          <w:i/>
          <w:iCs/>
          <w:color w:val="000000" w:themeColor="text1"/>
          <w:sz w:val="24"/>
          <w:szCs w:val="24"/>
          <w:lang w:val="en-US"/>
        </w:rPr>
        <w:t>Product lifecycle analysis</w:t>
      </w:r>
      <w:r w:rsidRPr="00DD22C5">
        <w:rPr>
          <w:rFonts w:ascii="Times New Roman" w:eastAsia="Times New Roman" w:hAnsi="Times New Roman" w:cs="Times New Roman"/>
          <w:color w:val="000000" w:themeColor="text1"/>
          <w:sz w:val="24"/>
          <w:szCs w:val="24"/>
          <w:lang w:val="en-US"/>
        </w:rPr>
        <w:t>. Available at: https://kfknowledgebank.kaplan.co.uk/business-strategy/strategic-analysis/product-lifecycle-analysis [Accessed on: 29 April 2020]</w:t>
      </w:r>
    </w:p>
    <w:p w14:paraId="1D338DF3"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DD22C5">
        <w:rPr>
          <w:rFonts w:ascii="Times New Roman" w:eastAsia="Times New Roman" w:hAnsi="Times New Roman" w:cs="Times New Roman"/>
          <w:color w:val="000000" w:themeColor="text1"/>
          <w:sz w:val="24"/>
          <w:szCs w:val="24"/>
          <w:shd w:val="clear" w:color="auto" w:fill="FFFFFF"/>
          <w:lang w:val="en-US"/>
        </w:rPr>
        <w:t>Labandeira</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 X., </w:t>
      </w:r>
      <w:proofErr w:type="spellStart"/>
      <w:r w:rsidRPr="00DD22C5">
        <w:rPr>
          <w:rFonts w:ascii="Times New Roman" w:eastAsia="Times New Roman" w:hAnsi="Times New Roman" w:cs="Times New Roman"/>
          <w:color w:val="000000" w:themeColor="text1"/>
          <w:sz w:val="24"/>
          <w:szCs w:val="24"/>
          <w:shd w:val="clear" w:color="auto" w:fill="FFFFFF"/>
          <w:lang w:val="en-US"/>
        </w:rPr>
        <w:t>Labeaga</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 J.M. and </w:t>
      </w:r>
      <w:proofErr w:type="spellStart"/>
      <w:r w:rsidRPr="00DD22C5">
        <w:rPr>
          <w:rFonts w:ascii="Times New Roman" w:eastAsia="Times New Roman" w:hAnsi="Times New Roman" w:cs="Times New Roman"/>
          <w:color w:val="000000" w:themeColor="text1"/>
          <w:sz w:val="24"/>
          <w:szCs w:val="24"/>
          <w:shd w:val="clear" w:color="auto" w:fill="FFFFFF"/>
          <w:lang w:val="en-US"/>
        </w:rPr>
        <w:t>López</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-Otero, X., (2017). A meta-analysis on the price elasticity of energy demand. </w:t>
      </w:r>
      <w:r w:rsidRPr="00DD22C5">
        <w:rPr>
          <w:rFonts w:ascii="Times New Roman" w:eastAsia="Times New Roman" w:hAnsi="Times New Roman" w:cs="Times New Roman"/>
          <w:i/>
          <w:iCs/>
          <w:color w:val="000000" w:themeColor="text1"/>
          <w:sz w:val="24"/>
          <w:szCs w:val="24"/>
          <w:shd w:val="clear" w:color="auto" w:fill="FFFFFF"/>
          <w:lang w:val="en-US"/>
        </w:rPr>
        <w:t>Energy Policy</w:t>
      </w:r>
      <w:r w:rsidRPr="00DD22C5">
        <w:rPr>
          <w:rFonts w:ascii="Times New Roman" w:eastAsia="Times New Roman" w:hAnsi="Times New Roman" w:cs="Times New Roman"/>
          <w:color w:val="000000" w:themeColor="text1"/>
          <w:sz w:val="24"/>
          <w:szCs w:val="24"/>
          <w:shd w:val="clear" w:color="auto" w:fill="FFFFFF"/>
          <w:lang w:val="en-US"/>
        </w:rPr>
        <w:t xml:space="preserve">, </w:t>
      </w:r>
      <w:r w:rsidRPr="00DD22C5">
        <w:rPr>
          <w:rFonts w:ascii="Times New Roman" w:eastAsia="Times New Roman" w:hAnsi="Times New Roman" w:cs="Times New Roman"/>
          <w:i/>
          <w:iCs/>
          <w:color w:val="000000" w:themeColor="text1"/>
          <w:sz w:val="24"/>
          <w:szCs w:val="24"/>
          <w:shd w:val="clear" w:color="auto" w:fill="FFFFFF"/>
          <w:lang w:val="en-US"/>
        </w:rPr>
        <w:t>102</w:t>
      </w:r>
      <w:r w:rsidRPr="00DD22C5">
        <w:rPr>
          <w:rFonts w:ascii="Times New Roman" w:eastAsia="Times New Roman" w:hAnsi="Times New Roman" w:cs="Times New Roman"/>
          <w:color w:val="000000" w:themeColor="text1"/>
          <w:sz w:val="24"/>
          <w:szCs w:val="24"/>
          <w:shd w:val="clear" w:color="auto" w:fill="FFFFFF"/>
          <w:lang w:val="en-US"/>
        </w:rPr>
        <w:t>, pp.549-568.</w:t>
      </w:r>
    </w:p>
    <w:p w14:paraId="5DD959F9"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DD22C5">
        <w:rPr>
          <w:rFonts w:ascii="Times New Roman" w:eastAsia="Times New Roman" w:hAnsi="Times New Roman" w:cs="Times New Roman"/>
          <w:color w:val="000000" w:themeColor="text1"/>
          <w:sz w:val="24"/>
          <w:szCs w:val="24"/>
          <w:shd w:val="clear" w:color="auto" w:fill="FFFFFF"/>
          <w:lang w:val="en-US"/>
        </w:rPr>
        <w:t>Lotayif</w:t>
      </w:r>
      <w:proofErr w:type="spellEnd"/>
      <w:r w:rsidRPr="00DD22C5">
        <w:rPr>
          <w:rFonts w:ascii="Times New Roman" w:eastAsia="Times New Roman" w:hAnsi="Times New Roman" w:cs="Times New Roman"/>
          <w:color w:val="000000" w:themeColor="text1"/>
          <w:sz w:val="24"/>
          <w:szCs w:val="24"/>
          <w:shd w:val="clear" w:color="auto" w:fill="FFFFFF"/>
          <w:lang w:val="en-US"/>
        </w:rPr>
        <w:t xml:space="preserve">, M.S., (2016). Selection factors of market segments and porter's generic marketing strategies: Evidence from an emerging GCC market. </w:t>
      </w:r>
      <w:r w:rsidRPr="00DD22C5">
        <w:rPr>
          <w:rFonts w:ascii="Times New Roman" w:eastAsia="Times New Roman" w:hAnsi="Times New Roman" w:cs="Times New Roman"/>
          <w:i/>
          <w:iCs/>
          <w:color w:val="000000" w:themeColor="text1"/>
          <w:sz w:val="24"/>
          <w:szCs w:val="24"/>
          <w:shd w:val="clear" w:color="auto" w:fill="FFFFFF"/>
          <w:lang w:val="en-US"/>
        </w:rPr>
        <w:t>International Journal of Business and Management</w:t>
      </w:r>
      <w:r w:rsidRPr="00DD22C5">
        <w:rPr>
          <w:rFonts w:ascii="Times New Roman" w:eastAsia="Times New Roman" w:hAnsi="Times New Roman" w:cs="Times New Roman"/>
          <w:color w:val="000000" w:themeColor="text1"/>
          <w:sz w:val="24"/>
          <w:szCs w:val="24"/>
          <w:shd w:val="clear" w:color="auto" w:fill="FFFFFF"/>
          <w:lang w:val="en-US"/>
        </w:rPr>
        <w:t xml:space="preserve">, </w:t>
      </w:r>
      <w:r w:rsidRPr="00DD22C5">
        <w:rPr>
          <w:rFonts w:ascii="Times New Roman" w:eastAsia="Times New Roman" w:hAnsi="Times New Roman" w:cs="Times New Roman"/>
          <w:i/>
          <w:iCs/>
          <w:color w:val="000000" w:themeColor="text1"/>
          <w:sz w:val="24"/>
          <w:szCs w:val="24"/>
          <w:shd w:val="clear" w:color="auto" w:fill="FFFFFF"/>
          <w:lang w:val="en-US"/>
        </w:rPr>
        <w:t>11</w:t>
      </w:r>
      <w:r w:rsidRPr="00DD22C5">
        <w:rPr>
          <w:rFonts w:ascii="Times New Roman" w:eastAsia="Times New Roman" w:hAnsi="Times New Roman" w:cs="Times New Roman"/>
          <w:color w:val="000000" w:themeColor="text1"/>
          <w:sz w:val="24"/>
          <w:szCs w:val="24"/>
          <w:shd w:val="clear" w:color="auto" w:fill="FFFFFF"/>
          <w:lang w:val="en-US"/>
        </w:rPr>
        <w:t>(1), pp.199-211.</w:t>
      </w:r>
    </w:p>
    <w:p w14:paraId="765D9639"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Mckinsey.com (2019). </w:t>
      </w:r>
      <w:r w:rsidRPr="00DD22C5">
        <w:rPr>
          <w:rFonts w:ascii="Times New Roman" w:eastAsia="Times New Roman" w:hAnsi="Times New Roman" w:cs="Times New Roman"/>
          <w:i/>
          <w:iCs/>
          <w:color w:val="000000" w:themeColor="text1"/>
          <w:sz w:val="24"/>
          <w:szCs w:val="24"/>
          <w:lang w:val="en-US"/>
        </w:rPr>
        <w:t>Electric vehicles in Europe</w:t>
      </w:r>
      <w:r w:rsidRPr="00DD22C5">
        <w:rPr>
          <w:rFonts w:ascii="Times New Roman" w:eastAsia="Times New Roman" w:hAnsi="Times New Roman" w:cs="Times New Roman"/>
          <w:color w:val="000000" w:themeColor="text1"/>
          <w:sz w:val="24"/>
          <w:szCs w:val="24"/>
          <w:lang w:val="en-US"/>
        </w:rPr>
        <w:t>. Available at: https://www.mckinsey.com/~/media/mckinsey/locations/europe%20and%20middle%20east/netherlands/our%20insights/electric%20vehicles%20in%20europe%20gearing%20up%20for%20a%20new%20phase/electric%20vehicles%20in%20europe%20gearing%20up%20for%20a%20new%20phase.ashx [Accessed on: 28 April 2020]</w:t>
      </w:r>
    </w:p>
    <w:p w14:paraId="7F58F0B4"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Mckinsey.com (2020). The basics of electric-vehicle charging infrastructure. Available at: https://www.mckinsey.com/industries/automotive-and-assembly/our-insights/charging-ahead-electric-vehicle-infrastructure-demand [Accessed on: 27 April 2020]</w:t>
      </w:r>
    </w:p>
    <w:p w14:paraId="12172E17"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Statbureau.org (2019). </w:t>
      </w:r>
      <w:r w:rsidRPr="00DD22C5">
        <w:rPr>
          <w:rFonts w:ascii="Times New Roman" w:eastAsia="Times New Roman" w:hAnsi="Times New Roman" w:cs="Times New Roman"/>
          <w:i/>
          <w:iCs/>
          <w:color w:val="000000" w:themeColor="text1"/>
          <w:sz w:val="24"/>
          <w:szCs w:val="24"/>
          <w:lang w:val="en-US"/>
        </w:rPr>
        <w:t>Inflation Rate in the European Union, 2019</w:t>
      </w:r>
      <w:r w:rsidRPr="00DD22C5">
        <w:rPr>
          <w:rFonts w:ascii="Times New Roman" w:eastAsia="Times New Roman" w:hAnsi="Times New Roman" w:cs="Times New Roman"/>
          <w:color w:val="000000" w:themeColor="text1"/>
          <w:sz w:val="24"/>
          <w:szCs w:val="24"/>
          <w:lang w:val="en-US"/>
        </w:rPr>
        <w:t>. Available at: https://www.statbureau.org/en/european-union/inflation [Accessed on: 28 April 2020]</w:t>
      </w:r>
    </w:p>
    <w:p w14:paraId="1E4FF635"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Tradingeconomics.com (2019). </w:t>
      </w:r>
      <w:r w:rsidRPr="00DD22C5">
        <w:rPr>
          <w:rFonts w:ascii="Times New Roman" w:eastAsia="Times New Roman" w:hAnsi="Times New Roman" w:cs="Times New Roman"/>
          <w:i/>
          <w:iCs/>
          <w:color w:val="000000" w:themeColor="text1"/>
          <w:sz w:val="24"/>
          <w:szCs w:val="24"/>
          <w:lang w:val="en-US"/>
        </w:rPr>
        <w:t>European Union GDP</w:t>
      </w:r>
      <w:r w:rsidRPr="00DD22C5">
        <w:rPr>
          <w:rFonts w:ascii="Times New Roman" w:eastAsia="Times New Roman" w:hAnsi="Times New Roman" w:cs="Times New Roman"/>
          <w:color w:val="000000" w:themeColor="text1"/>
          <w:sz w:val="24"/>
          <w:szCs w:val="24"/>
          <w:lang w:val="en-US"/>
        </w:rPr>
        <w:t>. Available at: https://tradingeconomics.com/european-union/gdp [Accessed on: 27 April 2020]</w:t>
      </w:r>
    </w:p>
    <w:p w14:paraId="7CA51E86"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t xml:space="preserve">Worldbank.org (2018). </w:t>
      </w:r>
      <w:r w:rsidRPr="00DD22C5">
        <w:rPr>
          <w:rFonts w:ascii="Times New Roman" w:eastAsia="Times New Roman" w:hAnsi="Times New Roman" w:cs="Times New Roman"/>
          <w:i/>
          <w:iCs/>
          <w:color w:val="000000" w:themeColor="text1"/>
          <w:sz w:val="24"/>
          <w:szCs w:val="24"/>
          <w:lang w:val="en-US"/>
        </w:rPr>
        <w:t>Regional Trade Agreements</w:t>
      </w:r>
      <w:r w:rsidRPr="00DD22C5">
        <w:rPr>
          <w:rFonts w:ascii="Times New Roman" w:eastAsia="Times New Roman" w:hAnsi="Times New Roman" w:cs="Times New Roman"/>
          <w:color w:val="000000" w:themeColor="text1"/>
          <w:sz w:val="24"/>
          <w:szCs w:val="24"/>
          <w:lang w:val="en-US"/>
        </w:rPr>
        <w:t>. Available at: https://www.worldbank.org/en/topic/regional-integration/brief/regional-trade-agreements [Accessed on: 29 April 2020]</w:t>
      </w:r>
    </w:p>
    <w:p w14:paraId="659101A0" w14:textId="77777777" w:rsidR="00DD22C5" w:rsidRPr="00DD22C5" w:rsidRDefault="00DD22C5" w:rsidP="00DD22C5">
      <w:pPr>
        <w:spacing w:before="240" w:line="360" w:lineRule="auto"/>
        <w:jc w:val="both"/>
        <w:rPr>
          <w:rFonts w:ascii="Times New Roman" w:eastAsia="Times New Roman" w:hAnsi="Times New Roman" w:cs="Times New Roman"/>
          <w:color w:val="000000" w:themeColor="text1"/>
          <w:sz w:val="24"/>
          <w:szCs w:val="24"/>
          <w:lang w:val="en-US"/>
        </w:rPr>
      </w:pPr>
      <w:r w:rsidRPr="00DD22C5">
        <w:rPr>
          <w:rFonts w:ascii="Times New Roman" w:eastAsia="Times New Roman" w:hAnsi="Times New Roman" w:cs="Times New Roman"/>
          <w:color w:val="000000" w:themeColor="text1"/>
          <w:sz w:val="24"/>
          <w:szCs w:val="24"/>
          <w:lang w:val="en-US"/>
        </w:rPr>
        <w:lastRenderedPageBreak/>
        <w:t xml:space="preserve">Worldometers.info (2020). </w:t>
      </w:r>
      <w:r w:rsidRPr="00DD22C5">
        <w:rPr>
          <w:rFonts w:ascii="Times New Roman" w:eastAsia="Times New Roman" w:hAnsi="Times New Roman" w:cs="Times New Roman"/>
          <w:i/>
          <w:iCs/>
          <w:color w:val="000000" w:themeColor="text1"/>
          <w:sz w:val="24"/>
          <w:szCs w:val="24"/>
          <w:lang w:val="en-US"/>
        </w:rPr>
        <w:t>European Countries by Population (2020)</w:t>
      </w:r>
      <w:r w:rsidRPr="00DD22C5">
        <w:rPr>
          <w:rFonts w:ascii="Times New Roman" w:eastAsia="Times New Roman" w:hAnsi="Times New Roman" w:cs="Times New Roman"/>
          <w:color w:val="000000" w:themeColor="text1"/>
          <w:sz w:val="24"/>
          <w:szCs w:val="24"/>
          <w:lang w:val="en-US"/>
        </w:rPr>
        <w:t>. Available at: https://www.worldometers.info/population/countries-in-europe-by-population/ [Accessed on: 28 April 2020]</w:t>
      </w:r>
    </w:p>
    <w:p w14:paraId="2160D861" w14:textId="77777777" w:rsidR="00AF43C2" w:rsidRPr="00DD22C5" w:rsidRDefault="00BC2748">
      <w:pPr>
        <w:spacing w:line="360" w:lineRule="auto"/>
        <w:jc w:val="both"/>
        <w:rPr>
          <w:rFonts w:ascii="Times New Roman" w:eastAsia="Times New Roman" w:hAnsi="Times New Roman" w:cs="Times New Roman"/>
          <w:color w:val="000000" w:themeColor="text1"/>
          <w:sz w:val="32"/>
          <w:szCs w:val="32"/>
        </w:rPr>
      </w:pPr>
      <w:r w:rsidRPr="00DD22C5">
        <w:rPr>
          <w:color w:val="000000" w:themeColor="text1"/>
        </w:rPr>
        <w:br w:type="page"/>
      </w:r>
    </w:p>
    <w:p w14:paraId="1B59C43A" w14:textId="77777777" w:rsidR="00AF43C2" w:rsidRPr="00DD22C5" w:rsidRDefault="00BC2748" w:rsidP="00DD22C5">
      <w:pPr>
        <w:pStyle w:val="Heading1"/>
      </w:pPr>
      <w:bookmarkStart w:id="17" w:name="_Toc39511590"/>
      <w:r w:rsidRPr="00DD22C5">
        <w:lastRenderedPageBreak/>
        <w:t>Appendix</w:t>
      </w:r>
      <w:bookmarkEnd w:id="17"/>
    </w:p>
    <w:p w14:paraId="5DC9A761" w14:textId="77777777" w:rsidR="00AF43C2" w:rsidRPr="00DD22C5" w:rsidRDefault="00BC2748">
      <w:pPr>
        <w:spacing w:line="360" w:lineRule="auto"/>
        <w:jc w:val="both"/>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t>Appendix 1: Charging-energy demand for EV</w:t>
      </w:r>
    </w:p>
    <w:p w14:paraId="1C272AED" w14:textId="77777777" w:rsidR="00AF43C2" w:rsidRPr="00DD22C5" w:rsidRDefault="00BC2748">
      <w:pPr>
        <w:spacing w:line="360" w:lineRule="auto"/>
        <w:jc w:val="center"/>
        <w:rPr>
          <w:rFonts w:ascii="Times New Roman" w:eastAsia="Times New Roman" w:hAnsi="Times New Roman" w:cs="Times New Roman"/>
          <w:color w:val="000000" w:themeColor="text1"/>
          <w:sz w:val="32"/>
          <w:szCs w:val="32"/>
        </w:rPr>
      </w:pPr>
      <w:r w:rsidRPr="00DD22C5">
        <w:rPr>
          <w:rFonts w:ascii="Times New Roman" w:eastAsia="Times New Roman" w:hAnsi="Times New Roman" w:cs="Times New Roman"/>
          <w:noProof/>
          <w:color w:val="000000" w:themeColor="text1"/>
          <w:sz w:val="32"/>
          <w:szCs w:val="32"/>
        </w:rPr>
        <w:drawing>
          <wp:inline distT="114300" distB="114300" distL="114300" distR="114300" wp14:anchorId="180D3E15" wp14:editId="4F137150">
            <wp:extent cx="4343400" cy="572452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343400" cy="5724525"/>
                    </a:xfrm>
                    <a:prstGeom prst="rect">
                      <a:avLst/>
                    </a:prstGeom>
                    <a:ln/>
                  </pic:spPr>
                </pic:pic>
              </a:graphicData>
            </a:graphic>
          </wp:inline>
        </w:drawing>
      </w:r>
    </w:p>
    <w:p w14:paraId="25A69526"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(Source: Mckinsey.com, 2020)</w:t>
      </w:r>
      <w:r w:rsidRPr="00DD22C5">
        <w:rPr>
          <w:color w:val="000000" w:themeColor="text1"/>
        </w:rPr>
        <w:br w:type="page"/>
      </w:r>
    </w:p>
    <w:p w14:paraId="02B49E7D" w14:textId="77777777" w:rsidR="00AF43C2" w:rsidRPr="00DD22C5" w:rsidRDefault="00BC2748">
      <w:pPr>
        <w:spacing w:line="360" w:lineRule="auto"/>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b/>
          <w:color w:val="000000" w:themeColor="text1"/>
          <w:sz w:val="24"/>
          <w:szCs w:val="24"/>
        </w:rPr>
        <w:lastRenderedPageBreak/>
        <w:t>Appendix 2: Energy-charging gap</w:t>
      </w:r>
    </w:p>
    <w:p w14:paraId="6630C00E" w14:textId="77777777" w:rsidR="00AF43C2" w:rsidRPr="00DD22C5" w:rsidRDefault="00BC2748">
      <w:pPr>
        <w:spacing w:line="360" w:lineRule="auto"/>
        <w:jc w:val="center"/>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noProof/>
          <w:color w:val="000000" w:themeColor="text1"/>
          <w:sz w:val="24"/>
          <w:szCs w:val="24"/>
        </w:rPr>
        <w:drawing>
          <wp:inline distT="114300" distB="114300" distL="114300" distR="114300" wp14:anchorId="37EEE10E" wp14:editId="623CAB81">
            <wp:extent cx="5734050" cy="49530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734050" cy="4953000"/>
                    </a:xfrm>
                    <a:prstGeom prst="rect">
                      <a:avLst/>
                    </a:prstGeom>
                    <a:ln/>
                  </pic:spPr>
                </pic:pic>
              </a:graphicData>
            </a:graphic>
          </wp:inline>
        </w:drawing>
      </w:r>
    </w:p>
    <w:p w14:paraId="7744BE17"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(Source: Mckinsey.com, 2020)</w:t>
      </w:r>
      <w:r w:rsidRPr="00DD22C5">
        <w:rPr>
          <w:color w:val="000000" w:themeColor="text1"/>
        </w:rPr>
        <w:br w:type="page"/>
      </w:r>
    </w:p>
    <w:p w14:paraId="233D6381" w14:textId="77777777" w:rsidR="00AF43C2" w:rsidRPr="00DD22C5" w:rsidRDefault="00BC2748">
      <w:pPr>
        <w:spacing w:line="360" w:lineRule="auto"/>
        <w:rPr>
          <w:rFonts w:ascii="Times New Roman" w:eastAsia="Times New Roman" w:hAnsi="Times New Roman" w:cs="Times New Roman"/>
          <w:b/>
          <w:color w:val="000000" w:themeColor="text1"/>
          <w:sz w:val="24"/>
          <w:szCs w:val="24"/>
        </w:rPr>
      </w:pPr>
      <w:r w:rsidRPr="00DD22C5">
        <w:rPr>
          <w:rFonts w:ascii="Times New Roman" w:eastAsia="Times New Roman" w:hAnsi="Times New Roman" w:cs="Times New Roman"/>
          <w:b/>
          <w:color w:val="000000" w:themeColor="text1"/>
          <w:sz w:val="24"/>
          <w:szCs w:val="24"/>
        </w:rPr>
        <w:lastRenderedPageBreak/>
        <w:t>Appendix 3: Charging cost of EV</w:t>
      </w:r>
    </w:p>
    <w:p w14:paraId="051F1C1E"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noProof/>
          <w:color w:val="000000" w:themeColor="text1"/>
          <w:sz w:val="24"/>
          <w:szCs w:val="24"/>
        </w:rPr>
        <w:drawing>
          <wp:inline distT="114300" distB="114300" distL="114300" distR="114300" wp14:anchorId="4C8C5066" wp14:editId="3DF53F68">
            <wp:extent cx="5210175" cy="340042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210175" cy="3400425"/>
                    </a:xfrm>
                    <a:prstGeom prst="rect">
                      <a:avLst/>
                    </a:prstGeom>
                    <a:ln/>
                  </pic:spPr>
                </pic:pic>
              </a:graphicData>
            </a:graphic>
          </wp:inline>
        </w:drawing>
      </w:r>
    </w:p>
    <w:p w14:paraId="15864C9E" w14:textId="77777777" w:rsidR="00AF43C2" w:rsidRPr="00DD22C5" w:rsidRDefault="00BC2748">
      <w:pPr>
        <w:spacing w:line="360" w:lineRule="auto"/>
        <w:jc w:val="center"/>
        <w:rPr>
          <w:rFonts w:ascii="Times New Roman" w:eastAsia="Times New Roman" w:hAnsi="Times New Roman" w:cs="Times New Roman"/>
          <w:color w:val="000000" w:themeColor="text1"/>
          <w:sz w:val="24"/>
          <w:szCs w:val="24"/>
        </w:rPr>
      </w:pPr>
      <w:r w:rsidRPr="00DD22C5">
        <w:rPr>
          <w:rFonts w:ascii="Times New Roman" w:eastAsia="Times New Roman" w:hAnsi="Times New Roman" w:cs="Times New Roman"/>
          <w:color w:val="000000" w:themeColor="text1"/>
          <w:sz w:val="24"/>
          <w:szCs w:val="24"/>
        </w:rPr>
        <w:t>(Source: Euractiv.com, 2018)</w:t>
      </w:r>
    </w:p>
    <w:sectPr w:rsidR="00AF43C2" w:rsidRPr="00DD22C5" w:rsidSect="004C5F87">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4A6BDC" w14:textId="77777777" w:rsidR="00555E19" w:rsidRDefault="00555E19" w:rsidP="00163F63">
      <w:pPr>
        <w:spacing w:line="240" w:lineRule="auto"/>
      </w:pPr>
      <w:r>
        <w:separator/>
      </w:r>
    </w:p>
  </w:endnote>
  <w:endnote w:type="continuationSeparator" w:id="0">
    <w:p w14:paraId="05818EB1" w14:textId="77777777" w:rsidR="00555E19" w:rsidRDefault="00555E19" w:rsidP="00163F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3664211"/>
      <w:docPartObj>
        <w:docPartGallery w:val="Page Numbers (Bottom of Page)"/>
        <w:docPartUnique/>
      </w:docPartObj>
    </w:sdtPr>
    <w:sdtEndPr>
      <w:rPr>
        <w:noProof/>
      </w:rPr>
    </w:sdtEndPr>
    <w:sdtContent>
      <w:p w14:paraId="3C840FAA" w14:textId="58A6B579" w:rsidR="00163F63" w:rsidRDefault="00163F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679BF7" w14:textId="77777777" w:rsidR="00163F63" w:rsidRDefault="00163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5F3DF3" w14:textId="77777777" w:rsidR="00555E19" w:rsidRDefault="00555E19" w:rsidP="00163F63">
      <w:pPr>
        <w:spacing w:line="240" w:lineRule="auto"/>
      </w:pPr>
      <w:r>
        <w:separator/>
      </w:r>
    </w:p>
  </w:footnote>
  <w:footnote w:type="continuationSeparator" w:id="0">
    <w:p w14:paraId="3B7B27A6" w14:textId="77777777" w:rsidR="00555E19" w:rsidRDefault="00555E19" w:rsidP="00163F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13B8C"/>
    <w:multiLevelType w:val="multilevel"/>
    <w:tmpl w:val="6ADC0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2B0B9D"/>
    <w:multiLevelType w:val="multilevel"/>
    <w:tmpl w:val="761C6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D02ACF"/>
    <w:multiLevelType w:val="multilevel"/>
    <w:tmpl w:val="24C4E8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8D7BF8"/>
    <w:multiLevelType w:val="multilevel"/>
    <w:tmpl w:val="6246A8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2C0730"/>
    <w:multiLevelType w:val="multilevel"/>
    <w:tmpl w:val="F87E8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8B3240"/>
    <w:multiLevelType w:val="multilevel"/>
    <w:tmpl w:val="FEFEDF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5"/>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3C2"/>
    <w:rsid w:val="00163F63"/>
    <w:rsid w:val="001D7277"/>
    <w:rsid w:val="0039292F"/>
    <w:rsid w:val="00411B24"/>
    <w:rsid w:val="00461FFB"/>
    <w:rsid w:val="00474C2F"/>
    <w:rsid w:val="004C5F87"/>
    <w:rsid w:val="00523AFC"/>
    <w:rsid w:val="00555E19"/>
    <w:rsid w:val="00567C22"/>
    <w:rsid w:val="00633287"/>
    <w:rsid w:val="007804AD"/>
    <w:rsid w:val="007A4816"/>
    <w:rsid w:val="008B0BDD"/>
    <w:rsid w:val="008D3E3D"/>
    <w:rsid w:val="008F3866"/>
    <w:rsid w:val="00980409"/>
    <w:rsid w:val="00AF43C2"/>
    <w:rsid w:val="00BC2748"/>
    <w:rsid w:val="00DD1EF0"/>
    <w:rsid w:val="00DD22C5"/>
    <w:rsid w:val="00E91CD8"/>
    <w:rsid w:val="00F53AC1"/>
    <w:rsid w:val="00FA3D89"/>
    <w:rsid w:val="00FE2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6A76A"/>
  <w15:docId w15:val="{3A6B9F49-454C-4B62-AC7F-82BC4047B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E2A8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DD22C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163F63"/>
    <w:pPr>
      <w:tabs>
        <w:tab w:val="center" w:pos="4680"/>
        <w:tab w:val="right" w:pos="9360"/>
      </w:tabs>
      <w:spacing w:line="240" w:lineRule="auto"/>
    </w:pPr>
  </w:style>
  <w:style w:type="character" w:customStyle="1" w:styleId="HeaderChar">
    <w:name w:val="Header Char"/>
    <w:basedOn w:val="DefaultParagraphFont"/>
    <w:link w:val="Header"/>
    <w:uiPriority w:val="99"/>
    <w:rsid w:val="00163F63"/>
  </w:style>
  <w:style w:type="paragraph" w:styleId="Footer">
    <w:name w:val="footer"/>
    <w:basedOn w:val="Normal"/>
    <w:link w:val="FooterChar"/>
    <w:uiPriority w:val="99"/>
    <w:unhideWhenUsed/>
    <w:rsid w:val="00163F63"/>
    <w:pPr>
      <w:tabs>
        <w:tab w:val="center" w:pos="4680"/>
        <w:tab w:val="right" w:pos="9360"/>
      </w:tabs>
      <w:spacing w:line="240" w:lineRule="auto"/>
    </w:pPr>
  </w:style>
  <w:style w:type="character" w:customStyle="1" w:styleId="FooterChar">
    <w:name w:val="Footer Char"/>
    <w:basedOn w:val="DefaultParagraphFont"/>
    <w:link w:val="Footer"/>
    <w:uiPriority w:val="99"/>
    <w:rsid w:val="00163F63"/>
  </w:style>
  <w:style w:type="paragraph" w:styleId="TableofFigures">
    <w:name w:val="table of figures"/>
    <w:basedOn w:val="Normal"/>
    <w:next w:val="Normal"/>
    <w:uiPriority w:val="99"/>
    <w:unhideWhenUsed/>
    <w:rsid w:val="001D7277"/>
  </w:style>
  <w:style w:type="character" w:styleId="Hyperlink">
    <w:name w:val="Hyperlink"/>
    <w:basedOn w:val="DefaultParagraphFont"/>
    <w:uiPriority w:val="99"/>
    <w:unhideWhenUsed/>
    <w:rsid w:val="001D72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80572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1.png" /><Relationship Id="rId18" Type="http://schemas.openxmlformats.org/officeDocument/2006/relationships/image" Target="media/image6.pn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image" Target="media/image4.png" /><Relationship Id="rId20" Type="http://schemas.openxmlformats.org/officeDocument/2006/relationships/image" Target="media/image8.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image" Target="media/image3.png" /><Relationship Id="rId23" Type="http://schemas.openxmlformats.org/officeDocument/2006/relationships/theme" Target="theme/theme1.xml" /><Relationship Id="rId10" Type="http://schemas.openxmlformats.org/officeDocument/2006/relationships/diagramQuickStyle" Target="diagrams/quickStyle1.xml" /><Relationship Id="rId19" Type="http://schemas.openxmlformats.org/officeDocument/2006/relationships/image" Target="media/image7.png"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image" Target="media/image2.png" /><Relationship Id="rId22"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59349F-783E-4CE3-9DD9-027B94159307}" type="doc">
      <dgm:prSet loTypeId="urn:microsoft.com/office/officeart/2005/8/layout/radial5" loCatId="cycle" qsTypeId="urn:microsoft.com/office/officeart/2005/8/quickstyle/simple2" qsCatId="simple" csTypeId="urn:microsoft.com/office/officeart/2005/8/colors/colorful4" csCatId="colorful" phldr="1"/>
      <dgm:spPr/>
      <dgm:t>
        <a:bodyPr/>
        <a:lstStyle/>
        <a:p>
          <a:endParaRPr lang="en-US"/>
        </a:p>
      </dgm:t>
    </dgm:pt>
    <dgm:pt modelId="{9071AFA9-6459-4A38-97D9-80A64F0FF98F}">
      <dgm:prSet phldrT="[Text]"/>
      <dgm:spPr/>
      <dgm:t>
        <a:bodyPr/>
        <a:lstStyle/>
        <a:p>
          <a:r>
            <a:rPr lang="en-GB" b="0"/>
            <a:t>Industry rivalry</a:t>
          </a:r>
        </a:p>
        <a:p>
          <a:r>
            <a:rPr lang="en-GB" b="0"/>
            <a:t>(High)</a:t>
          </a:r>
          <a:endParaRPr lang="en-US" b="0"/>
        </a:p>
      </dgm:t>
    </dgm:pt>
    <dgm:pt modelId="{6D2BAF5C-6DE8-4806-9472-B4ACDE5B95DD}" type="parTrans" cxnId="{500EE07C-5404-40F7-8CBF-098EC8654E3A}">
      <dgm:prSet/>
      <dgm:spPr/>
      <dgm:t>
        <a:bodyPr/>
        <a:lstStyle/>
        <a:p>
          <a:endParaRPr lang="en-US" b="0"/>
        </a:p>
      </dgm:t>
    </dgm:pt>
    <dgm:pt modelId="{FEDFBC7B-A4BA-48B1-8D63-26DF0C92E3FB}" type="sibTrans" cxnId="{500EE07C-5404-40F7-8CBF-098EC8654E3A}">
      <dgm:prSet/>
      <dgm:spPr/>
      <dgm:t>
        <a:bodyPr/>
        <a:lstStyle/>
        <a:p>
          <a:endParaRPr lang="en-US" b="0"/>
        </a:p>
      </dgm:t>
    </dgm:pt>
    <dgm:pt modelId="{3F72057C-037B-4F98-8D2F-245584DC3618}">
      <dgm:prSet phldrT="[Text]"/>
      <dgm:spPr/>
      <dgm:t>
        <a:bodyPr/>
        <a:lstStyle/>
        <a:p>
          <a:r>
            <a:rPr lang="en-GB" b="0"/>
            <a:t>Threat of new entrants</a:t>
          </a:r>
        </a:p>
        <a:p>
          <a:r>
            <a:rPr lang="en-GB" b="0"/>
            <a:t>(Low) </a:t>
          </a:r>
          <a:endParaRPr lang="en-US" b="0"/>
        </a:p>
      </dgm:t>
    </dgm:pt>
    <dgm:pt modelId="{1851CBA4-42D8-4C9F-9B21-D31406C558A1}" type="parTrans" cxnId="{961570CB-11D5-4EF9-A35E-7FCC9332CF4E}">
      <dgm:prSet/>
      <dgm:spPr/>
      <dgm:t>
        <a:bodyPr/>
        <a:lstStyle/>
        <a:p>
          <a:endParaRPr lang="en-US" b="0"/>
        </a:p>
      </dgm:t>
    </dgm:pt>
    <dgm:pt modelId="{EB35039C-2A03-4CBA-A360-5D0CE8A74EF8}" type="sibTrans" cxnId="{961570CB-11D5-4EF9-A35E-7FCC9332CF4E}">
      <dgm:prSet/>
      <dgm:spPr/>
      <dgm:t>
        <a:bodyPr/>
        <a:lstStyle/>
        <a:p>
          <a:endParaRPr lang="en-US" b="0"/>
        </a:p>
      </dgm:t>
    </dgm:pt>
    <dgm:pt modelId="{9A6726CA-F3C0-4A24-99F2-3C36EE07DE6D}">
      <dgm:prSet phldrT="[Text]"/>
      <dgm:spPr/>
      <dgm:t>
        <a:bodyPr/>
        <a:lstStyle/>
        <a:p>
          <a:r>
            <a:rPr lang="en-GB" b="0"/>
            <a:t>Customer power </a:t>
          </a:r>
        </a:p>
        <a:p>
          <a:r>
            <a:rPr lang="en-GB" b="0"/>
            <a:t>(Moderate)</a:t>
          </a:r>
          <a:endParaRPr lang="en-US" b="0"/>
        </a:p>
      </dgm:t>
    </dgm:pt>
    <dgm:pt modelId="{99FA889F-72F8-4564-9F59-05EA21897C6E}" type="parTrans" cxnId="{CF309975-0741-47A2-8319-E602C7FA1E6A}">
      <dgm:prSet/>
      <dgm:spPr/>
      <dgm:t>
        <a:bodyPr/>
        <a:lstStyle/>
        <a:p>
          <a:endParaRPr lang="en-US" b="0"/>
        </a:p>
      </dgm:t>
    </dgm:pt>
    <dgm:pt modelId="{3F9E767B-471F-412A-9857-827182295BEF}" type="sibTrans" cxnId="{CF309975-0741-47A2-8319-E602C7FA1E6A}">
      <dgm:prSet/>
      <dgm:spPr/>
      <dgm:t>
        <a:bodyPr/>
        <a:lstStyle/>
        <a:p>
          <a:endParaRPr lang="en-US" b="0"/>
        </a:p>
      </dgm:t>
    </dgm:pt>
    <dgm:pt modelId="{9A6BFEB2-0130-49EA-89E1-530DB4F991DF}">
      <dgm:prSet phldrT="[Text]"/>
      <dgm:spPr/>
      <dgm:t>
        <a:bodyPr/>
        <a:lstStyle/>
        <a:p>
          <a:r>
            <a:rPr lang="en-GB" b="0"/>
            <a:t>Threat of substitution</a:t>
          </a:r>
        </a:p>
        <a:p>
          <a:r>
            <a:rPr lang="en-GB" b="0"/>
            <a:t>(Moderate)</a:t>
          </a:r>
          <a:endParaRPr lang="en-US" b="0"/>
        </a:p>
      </dgm:t>
    </dgm:pt>
    <dgm:pt modelId="{6F523820-0139-4A77-9DF2-804729D46EB7}" type="parTrans" cxnId="{0A87832E-ACE0-43F1-A5C9-8DE54F337896}">
      <dgm:prSet/>
      <dgm:spPr/>
      <dgm:t>
        <a:bodyPr/>
        <a:lstStyle/>
        <a:p>
          <a:endParaRPr lang="en-US" b="0"/>
        </a:p>
      </dgm:t>
    </dgm:pt>
    <dgm:pt modelId="{199F23F9-8693-4A60-BF4E-0D0EEEE9E7E3}" type="sibTrans" cxnId="{0A87832E-ACE0-43F1-A5C9-8DE54F337896}">
      <dgm:prSet/>
      <dgm:spPr/>
      <dgm:t>
        <a:bodyPr/>
        <a:lstStyle/>
        <a:p>
          <a:endParaRPr lang="en-US" b="0"/>
        </a:p>
      </dgm:t>
    </dgm:pt>
    <dgm:pt modelId="{5B4C68CB-E7D1-4557-96C7-9571CBE0EB9A}">
      <dgm:prSet phldrT="[Text]"/>
      <dgm:spPr/>
      <dgm:t>
        <a:bodyPr/>
        <a:lstStyle/>
        <a:p>
          <a:r>
            <a:rPr lang="en-GB" b="0"/>
            <a:t>Supplier power </a:t>
          </a:r>
        </a:p>
        <a:p>
          <a:r>
            <a:rPr lang="en-GB" b="0"/>
            <a:t>(Moderate)</a:t>
          </a:r>
          <a:endParaRPr lang="en-US" b="0"/>
        </a:p>
      </dgm:t>
    </dgm:pt>
    <dgm:pt modelId="{FC06882B-1894-4A01-9FF3-5937E3EC9F91}" type="parTrans" cxnId="{9BF699D9-C1B9-48A5-BC47-39D2417503C7}">
      <dgm:prSet/>
      <dgm:spPr/>
      <dgm:t>
        <a:bodyPr/>
        <a:lstStyle/>
        <a:p>
          <a:endParaRPr lang="en-US" b="0"/>
        </a:p>
      </dgm:t>
    </dgm:pt>
    <dgm:pt modelId="{91744BAD-FE69-4FB4-96A8-5804E8D111AB}" type="sibTrans" cxnId="{9BF699D9-C1B9-48A5-BC47-39D2417503C7}">
      <dgm:prSet/>
      <dgm:spPr/>
      <dgm:t>
        <a:bodyPr/>
        <a:lstStyle/>
        <a:p>
          <a:endParaRPr lang="en-US" b="0"/>
        </a:p>
      </dgm:t>
    </dgm:pt>
    <dgm:pt modelId="{DD548632-C781-46AB-A0FE-6487F0BF00C6}" type="pres">
      <dgm:prSet presAssocID="{D059349F-783E-4CE3-9DD9-027B94159307}" presName="Name0" presStyleCnt="0">
        <dgm:presLayoutVars>
          <dgm:chMax val="1"/>
          <dgm:dir/>
          <dgm:animLvl val="ctr"/>
          <dgm:resizeHandles val="exact"/>
        </dgm:presLayoutVars>
      </dgm:prSet>
      <dgm:spPr/>
    </dgm:pt>
    <dgm:pt modelId="{3D59600C-7758-4396-B289-F32CB82F7981}" type="pres">
      <dgm:prSet presAssocID="{9071AFA9-6459-4A38-97D9-80A64F0FF98F}" presName="centerShape" presStyleLbl="node0" presStyleIdx="0" presStyleCnt="1" custScaleX="113812" custScaleY="106528"/>
      <dgm:spPr/>
    </dgm:pt>
    <dgm:pt modelId="{5083D4E3-E58E-4102-9511-EE3B2C086C7E}" type="pres">
      <dgm:prSet presAssocID="{1851CBA4-42D8-4C9F-9B21-D31406C558A1}" presName="parTrans" presStyleLbl="sibTrans2D1" presStyleIdx="0" presStyleCnt="4"/>
      <dgm:spPr/>
    </dgm:pt>
    <dgm:pt modelId="{69DA15F7-59C9-41DB-9642-F0EF2DCA54ED}" type="pres">
      <dgm:prSet presAssocID="{1851CBA4-42D8-4C9F-9B21-D31406C558A1}" presName="connectorText" presStyleLbl="sibTrans2D1" presStyleIdx="0" presStyleCnt="4"/>
      <dgm:spPr/>
    </dgm:pt>
    <dgm:pt modelId="{D192712C-A75C-4715-9013-5AE8A096E290}" type="pres">
      <dgm:prSet presAssocID="{3F72057C-037B-4F98-8D2F-245584DC3618}" presName="node" presStyleLbl="node1" presStyleIdx="0" presStyleCnt="4">
        <dgm:presLayoutVars>
          <dgm:bulletEnabled val="1"/>
        </dgm:presLayoutVars>
      </dgm:prSet>
      <dgm:spPr/>
    </dgm:pt>
    <dgm:pt modelId="{58D616BC-1C24-4F69-9AF6-93BBB5A0BBD2}" type="pres">
      <dgm:prSet presAssocID="{99FA889F-72F8-4564-9F59-05EA21897C6E}" presName="parTrans" presStyleLbl="sibTrans2D1" presStyleIdx="1" presStyleCnt="4"/>
      <dgm:spPr/>
    </dgm:pt>
    <dgm:pt modelId="{FD4A0E4B-C35D-4199-AA16-16FE9BED8D09}" type="pres">
      <dgm:prSet presAssocID="{99FA889F-72F8-4564-9F59-05EA21897C6E}" presName="connectorText" presStyleLbl="sibTrans2D1" presStyleIdx="1" presStyleCnt="4"/>
      <dgm:spPr/>
    </dgm:pt>
    <dgm:pt modelId="{84B13063-64DE-497F-B433-B790C72B385A}" type="pres">
      <dgm:prSet presAssocID="{9A6726CA-F3C0-4A24-99F2-3C36EE07DE6D}" presName="node" presStyleLbl="node1" presStyleIdx="1" presStyleCnt="4" custRadScaleRad="125086">
        <dgm:presLayoutVars>
          <dgm:bulletEnabled val="1"/>
        </dgm:presLayoutVars>
      </dgm:prSet>
      <dgm:spPr/>
    </dgm:pt>
    <dgm:pt modelId="{CE95C1D7-4CFF-4D4E-B947-AE5981472845}" type="pres">
      <dgm:prSet presAssocID="{6F523820-0139-4A77-9DF2-804729D46EB7}" presName="parTrans" presStyleLbl="sibTrans2D1" presStyleIdx="2" presStyleCnt="4"/>
      <dgm:spPr/>
    </dgm:pt>
    <dgm:pt modelId="{C6D2301A-D727-4764-858E-E6B050873E95}" type="pres">
      <dgm:prSet presAssocID="{6F523820-0139-4A77-9DF2-804729D46EB7}" presName="connectorText" presStyleLbl="sibTrans2D1" presStyleIdx="2" presStyleCnt="4"/>
      <dgm:spPr/>
    </dgm:pt>
    <dgm:pt modelId="{52A62B47-E36A-4FBA-8ACB-18218F8A0542}" type="pres">
      <dgm:prSet presAssocID="{9A6BFEB2-0130-49EA-89E1-530DB4F991DF}" presName="node" presStyleLbl="node1" presStyleIdx="2" presStyleCnt="4" custRadScaleRad="110849" custRadScaleInc="-685">
        <dgm:presLayoutVars>
          <dgm:bulletEnabled val="1"/>
        </dgm:presLayoutVars>
      </dgm:prSet>
      <dgm:spPr/>
    </dgm:pt>
    <dgm:pt modelId="{0F996201-018B-4CE8-B355-30CB8250B5C1}" type="pres">
      <dgm:prSet presAssocID="{FC06882B-1894-4A01-9FF3-5937E3EC9F91}" presName="parTrans" presStyleLbl="sibTrans2D1" presStyleIdx="3" presStyleCnt="4"/>
      <dgm:spPr/>
    </dgm:pt>
    <dgm:pt modelId="{7FA36E29-4A6C-4A51-803F-F5F55E09349E}" type="pres">
      <dgm:prSet presAssocID="{FC06882B-1894-4A01-9FF3-5937E3EC9F91}" presName="connectorText" presStyleLbl="sibTrans2D1" presStyleIdx="3" presStyleCnt="4"/>
      <dgm:spPr/>
    </dgm:pt>
    <dgm:pt modelId="{901606EF-7606-4E50-8EF9-3CD8A7BAC43B}" type="pres">
      <dgm:prSet presAssocID="{5B4C68CB-E7D1-4557-96C7-9571CBE0EB9A}" presName="node" presStyleLbl="node1" presStyleIdx="3" presStyleCnt="4" custRadScaleRad="116081">
        <dgm:presLayoutVars>
          <dgm:bulletEnabled val="1"/>
        </dgm:presLayoutVars>
      </dgm:prSet>
      <dgm:spPr/>
    </dgm:pt>
  </dgm:ptLst>
  <dgm:cxnLst>
    <dgm:cxn modelId="{0A87832E-ACE0-43F1-A5C9-8DE54F337896}" srcId="{9071AFA9-6459-4A38-97D9-80A64F0FF98F}" destId="{9A6BFEB2-0130-49EA-89E1-530DB4F991DF}" srcOrd="2" destOrd="0" parTransId="{6F523820-0139-4A77-9DF2-804729D46EB7}" sibTransId="{199F23F9-8693-4A60-BF4E-0D0EEEE9E7E3}"/>
    <dgm:cxn modelId="{B4DFBE5C-BD34-411F-805A-B51A7DCDD0F9}" type="presOf" srcId="{1851CBA4-42D8-4C9F-9B21-D31406C558A1}" destId="{5083D4E3-E58E-4102-9511-EE3B2C086C7E}" srcOrd="0" destOrd="0" presId="urn:microsoft.com/office/officeart/2005/8/layout/radial5"/>
    <dgm:cxn modelId="{0F4C3C6B-0E1C-4FFB-BD99-F761A7FBF019}" type="presOf" srcId="{FC06882B-1894-4A01-9FF3-5937E3EC9F91}" destId="{0F996201-018B-4CE8-B355-30CB8250B5C1}" srcOrd="0" destOrd="0" presId="urn:microsoft.com/office/officeart/2005/8/layout/radial5"/>
    <dgm:cxn modelId="{1DF89F6B-C6FC-4C01-B462-C82CFE0C4EEE}" type="presOf" srcId="{99FA889F-72F8-4564-9F59-05EA21897C6E}" destId="{FD4A0E4B-C35D-4199-AA16-16FE9BED8D09}" srcOrd="1" destOrd="0" presId="urn:microsoft.com/office/officeart/2005/8/layout/radial5"/>
    <dgm:cxn modelId="{25626672-E1D9-45E6-B769-B0E520BF7FB5}" type="presOf" srcId="{5B4C68CB-E7D1-4557-96C7-9571CBE0EB9A}" destId="{901606EF-7606-4E50-8EF9-3CD8A7BAC43B}" srcOrd="0" destOrd="0" presId="urn:microsoft.com/office/officeart/2005/8/layout/radial5"/>
    <dgm:cxn modelId="{B5B4A572-EDE0-4998-A0C3-8EE95DC14F49}" type="presOf" srcId="{6F523820-0139-4A77-9DF2-804729D46EB7}" destId="{CE95C1D7-4CFF-4D4E-B947-AE5981472845}" srcOrd="0" destOrd="0" presId="urn:microsoft.com/office/officeart/2005/8/layout/radial5"/>
    <dgm:cxn modelId="{CF309975-0741-47A2-8319-E602C7FA1E6A}" srcId="{9071AFA9-6459-4A38-97D9-80A64F0FF98F}" destId="{9A6726CA-F3C0-4A24-99F2-3C36EE07DE6D}" srcOrd="1" destOrd="0" parTransId="{99FA889F-72F8-4564-9F59-05EA21897C6E}" sibTransId="{3F9E767B-471F-412A-9857-827182295BEF}"/>
    <dgm:cxn modelId="{EA67BF56-7DAB-43D8-BD9A-07B228FCC568}" type="presOf" srcId="{D059349F-783E-4CE3-9DD9-027B94159307}" destId="{DD548632-C781-46AB-A0FE-6487F0BF00C6}" srcOrd="0" destOrd="0" presId="urn:microsoft.com/office/officeart/2005/8/layout/radial5"/>
    <dgm:cxn modelId="{69BFE858-0E51-47A1-AD14-9413499CF86E}" type="presOf" srcId="{99FA889F-72F8-4564-9F59-05EA21897C6E}" destId="{58D616BC-1C24-4F69-9AF6-93BBB5A0BBD2}" srcOrd="0" destOrd="0" presId="urn:microsoft.com/office/officeart/2005/8/layout/radial5"/>
    <dgm:cxn modelId="{500EE07C-5404-40F7-8CBF-098EC8654E3A}" srcId="{D059349F-783E-4CE3-9DD9-027B94159307}" destId="{9071AFA9-6459-4A38-97D9-80A64F0FF98F}" srcOrd="0" destOrd="0" parTransId="{6D2BAF5C-6DE8-4806-9472-B4ACDE5B95DD}" sibTransId="{FEDFBC7B-A4BA-48B1-8D63-26DF0C92E3FB}"/>
    <dgm:cxn modelId="{941905A5-01C9-498B-8EF6-F204B9C9E0B3}" type="presOf" srcId="{6F523820-0139-4A77-9DF2-804729D46EB7}" destId="{C6D2301A-D727-4764-858E-E6B050873E95}" srcOrd="1" destOrd="0" presId="urn:microsoft.com/office/officeart/2005/8/layout/radial5"/>
    <dgm:cxn modelId="{76E035AC-05E8-4728-8FEC-08B0806943ED}" type="presOf" srcId="{FC06882B-1894-4A01-9FF3-5937E3EC9F91}" destId="{7FA36E29-4A6C-4A51-803F-F5F55E09349E}" srcOrd="1" destOrd="0" presId="urn:microsoft.com/office/officeart/2005/8/layout/radial5"/>
    <dgm:cxn modelId="{76795AAF-685D-4C54-96E6-DD098427C194}" type="presOf" srcId="{9A6726CA-F3C0-4A24-99F2-3C36EE07DE6D}" destId="{84B13063-64DE-497F-B433-B790C72B385A}" srcOrd="0" destOrd="0" presId="urn:microsoft.com/office/officeart/2005/8/layout/radial5"/>
    <dgm:cxn modelId="{961570CB-11D5-4EF9-A35E-7FCC9332CF4E}" srcId="{9071AFA9-6459-4A38-97D9-80A64F0FF98F}" destId="{3F72057C-037B-4F98-8D2F-245584DC3618}" srcOrd="0" destOrd="0" parTransId="{1851CBA4-42D8-4C9F-9B21-D31406C558A1}" sibTransId="{EB35039C-2A03-4CBA-A360-5D0CE8A74EF8}"/>
    <dgm:cxn modelId="{49BEC7D3-5F95-4409-95F2-6F6A74622C73}" type="presOf" srcId="{9071AFA9-6459-4A38-97D9-80A64F0FF98F}" destId="{3D59600C-7758-4396-B289-F32CB82F7981}" srcOrd="0" destOrd="0" presId="urn:microsoft.com/office/officeart/2005/8/layout/radial5"/>
    <dgm:cxn modelId="{C01703D8-424F-4B01-8269-BC3B50B1F56E}" type="presOf" srcId="{1851CBA4-42D8-4C9F-9B21-D31406C558A1}" destId="{69DA15F7-59C9-41DB-9642-F0EF2DCA54ED}" srcOrd="1" destOrd="0" presId="urn:microsoft.com/office/officeart/2005/8/layout/radial5"/>
    <dgm:cxn modelId="{9BF699D9-C1B9-48A5-BC47-39D2417503C7}" srcId="{9071AFA9-6459-4A38-97D9-80A64F0FF98F}" destId="{5B4C68CB-E7D1-4557-96C7-9571CBE0EB9A}" srcOrd="3" destOrd="0" parTransId="{FC06882B-1894-4A01-9FF3-5937E3EC9F91}" sibTransId="{91744BAD-FE69-4FB4-96A8-5804E8D111AB}"/>
    <dgm:cxn modelId="{1CE4A5F1-C849-4BA3-BFB3-A06FE979FFBF}" type="presOf" srcId="{9A6BFEB2-0130-49EA-89E1-530DB4F991DF}" destId="{52A62B47-E36A-4FBA-8ACB-18218F8A0542}" srcOrd="0" destOrd="0" presId="urn:microsoft.com/office/officeart/2005/8/layout/radial5"/>
    <dgm:cxn modelId="{FBA169F4-D3ED-44B3-B8D3-18ACEB79221E}" type="presOf" srcId="{3F72057C-037B-4F98-8D2F-245584DC3618}" destId="{D192712C-A75C-4715-9013-5AE8A096E290}" srcOrd="0" destOrd="0" presId="urn:microsoft.com/office/officeart/2005/8/layout/radial5"/>
    <dgm:cxn modelId="{94E1868C-2AD0-4C54-9772-FFE815E3F26F}" type="presParOf" srcId="{DD548632-C781-46AB-A0FE-6487F0BF00C6}" destId="{3D59600C-7758-4396-B289-F32CB82F7981}" srcOrd="0" destOrd="0" presId="urn:microsoft.com/office/officeart/2005/8/layout/radial5"/>
    <dgm:cxn modelId="{8002D8E5-1896-4CA8-969B-A612703CA2A6}" type="presParOf" srcId="{DD548632-C781-46AB-A0FE-6487F0BF00C6}" destId="{5083D4E3-E58E-4102-9511-EE3B2C086C7E}" srcOrd="1" destOrd="0" presId="urn:microsoft.com/office/officeart/2005/8/layout/radial5"/>
    <dgm:cxn modelId="{DBF72704-FB80-4277-82EC-8BCA5EE6703B}" type="presParOf" srcId="{5083D4E3-E58E-4102-9511-EE3B2C086C7E}" destId="{69DA15F7-59C9-41DB-9642-F0EF2DCA54ED}" srcOrd="0" destOrd="0" presId="urn:microsoft.com/office/officeart/2005/8/layout/radial5"/>
    <dgm:cxn modelId="{8E286C7D-5C10-456A-9A66-127C68BB85D0}" type="presParOf" srcId="{DD548632-C781-46AB-A0FE-6487F0BF00C6}" destId="{D192712C-A75C-4715-9013-5AE8A096E290}" srcOrd="2" destOrd="0" presId="urn:microsoft.com/office/officeart/2005/8/layout/radial5"/>
    <dgm:cxn modelId="{FAE84897-AE00-43C5-98CB-4A9BA2179629}" type="presParOf" srcId="{DD548632-C781-46AB-A0FE-6487F0BF00C6}" destId="{58D616BC-1C24-4F69-9AF6-93BBB5A0BBD2}" srcOrd="3" destOrd="0" presId="urn:microsoft.com/office/officeart/2005/8/layout/radial5"/>
    <dgm:cxn modelId="{1BB33662-8374-49EB-91CE-663A43F1214E}" type="presParOf" srcId="{58D616BC-1C24-4F69-9AF6-93BBB5A0BBD2}" destId="{FD4A0E4B-C35D-4199-AA16-16FE9BED8D09}" srcOrd="0" destOrd="0" presId="urn:microsoft.com/office/officeart/2005/8/layout/radial5"/>
    <dgm:cxn modelId="{672F9656-F1DC-4A1E-AD15-BFE87BE16435}" type="presParOf" srcId="{DD548632-C781-46AB-A0FE-6487F0BF00C6}" destId="{84B13063-64DE-497F-B433-B790C72B385A}" srcOrd="4" destOrd="0" presId="urn:microsoft.com/office/officeart/2005/8/layout/radial5"/>
    <dgm:cxn modelId="{CE0E9429-CED4-41BE-A99A-FD3269F7A6DB}" type="presParOf" srcId="{DD548632-C781-46AB-A0FE-6487F0BF00C6}" destId="{CE95C1D7-4CFF-4D4E-B947-AE5981472845}" srcOrd="5" destOrd="0" presId="urn:microsoft.com/office/officeart/2005/8/layout/radial5"/>
    <dgm:cxn modelId="{96AE7F40-7A7F-4236-9CD0-57092A7D9394}" type="presParOf" srcId="{CE95C1D7-4CFF-4D4E-B947-AE5981472845}" destId="{C6D2301A-D727-4764-858E-E6B050873E95}" srcOrd="0" destOrd="0" presId="urn:microsoft.com/office/officeart/2005/8/layout/radial5"/>
    <dgm:cxn modelId="{BC8325A4-00CF-4D51-A8C0-114645300C2D}" type="presParOf" srcId="{DD548632-C781-46AB-A0FE-6487F0BF00C6}" destId="{52A62B47-E36A-4FBA-8ACB-18218F8A0542}" srcOrd="6" destOrd="0" presId="urn:microsoft.com/office/officeart/2005/8/layout/radial5"/>
    <dgm:cxn modelId="{EC0D3113-E486-4CF0-87E3-8ACA0E9C6F8F}" type="presParOf" srcId="{DD548632-C781-46AB-A0FE-6487F0BF00C6}" destId="{0F996201-018B-4CE8-B355-30CB8250B5C1}" srcOrd="7" destOrd="0" presId="urn:microsoft.com/office/officeart/2005/8/layout/radial5"/>
    <dgm:cxn modelId="{9138CF9C-94E9-4A69-83A5-9CEDD7A732A9}" type="presParOf" srcId="{0F996201-018B-4CE8-B355-30CB8250B5C1}" destId="{7FA36E29-4A6C-4A51-803F-F5F55E09349E}" srcOrd="0" destOrd="0" presId="urn:microsoft.com/office/officeart/2005/8/layout/radial5"/>
    <dgm:cxn modelId="{84DF7687-941A-47B3-9740-07348858CCDE}" type="presParOf" srcId="{DD548632-C781-46AB-A0FE-6487F0BF00C6}" destId="{901606EF-7606-4E50-8EF9-3CD8A7BAC43B}" srcOrd="8"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59600C-7758-4396-B289-F32CB82F7981}">
      <dsp:nvSpPr>
        <dsp:cNvPr id="0" name=""/>
        <dsp:cNvSpPr/>
      </dsp:nvSpPr>
      <dsp:spPr>
        <a:xfrm>
          <a:off x="2228850" y="1695450"/>
          <a:ext cx="1190624" cy="1114424"/>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0" kern="1200"/>
            <a:t>Industry rivalry</a:t>
          </a:r>
        </a:p>
        <a:p>
          <a:pPr marL="0" lvl="0" indent="0" algn="ctr" defTabSz="666750">
            <a:lnSpc>
              <a:spcPct val="90000"/>
            </a:lnSpc>
            <a:spcBef>
              <a:spcPct val="0"/>
            </a:spcBef>
            <a:spcAft>
              <a:spcPct val="35000"/>
            </a:spcAft>
            <a:buNone/>
          </a:pPr>
          <a:r>
            <a:rPr lang="en-GB" sz="1500" b="0" kern="1200"/>
            <a:t>(High)</a:t>
          </a:r>
          <a:endParaRPr lang="en-US" sz="1500" b="0" kern="1200"/>
        </a:p>
      </dsp:txBody>
      <dsp:txXfrm>
        <a:off x="2403213" y="1858654"/>
        <a:ext cx="841898" cy="788016"/>
      </dsp:txXfrm>
    </dsp:sp>
    <dsp:sp modelId="{5083D4E3-E58E-4102-9511-EE3B2C086C7E}">
      <dsp:nvSpPr>
        <dsp:cNvPr id="0" name=""/>
        <dsp:cNvSpPr/>
      </dsp:nvSpPr>
      <dsp:spPr>
        <a:xfrm rot="16200000">
          <a:off x="2721872" y="1330398"/>
          <a:ext cx="204579" cy="355685"/>
        </a:xfrm>
        <a:prstGeom prst="rightArrow">
          <a:avLst>
            <a:gd name="adj1" fmla="val 60000"/>
            <a:gd name="adj2" fmla="val 50000"/>
          </a:avLst>
        </a:prstGeom>
        <a:solidFill>
          <a:schemeClr val="accent4">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0" kern="1200"/>
        </a:p>
      </dsp:txBody>
      <dsp:txXfrm>
        <a:off x="2752559" y="1432222"/>
        <a:ext cx="143205" cy="213411"/>
      </dsp:txXfrm>
    </dsp:sp>
    <dsp:sp modelId="{D192712C-A75C-4715-9013-5AE8A096E290}">
      <dsp:nvSpPr>
        <dsp:cNvPr id="0" name=""/>
        <dsp:cNvSpPr/>
      </dsp:nvSpPr>
      <dsp:spPr>
        <a:xfrm>
          <a:off x="2170329" y="1785"/>
          <a:ext cx="1307666" cy="1307666"/>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0" kern="1200"/>
            <a:t>Threat of new entrants</a:t>
          </a:r>
        </a:p>
        <a:p>
          <a:pPr marL="0" lvl="0" indent="0" algn="ctr" defTabSz="577850">
            <a:lnSpc>
              <a:spcPct val="90000"/>
            </a:lnSpc>
            <a:spcBef>
              <a:spcPct val="0"/>
            </a:spcBef>
            <a:spcAft>
              <a:spcPct val="35000"/>
            </a:spcAft>
            <a:buNone/>
          </a:pPr>
          <a:r>
            <a:rPr lang="en-GB" sz="1300" b="0" kern="1200"/>
            <a:t>(Low) </a:t>
          </a:r>
          <a:endParaRPr lang="en-US" sz="1300" b="0" kern="1200"/>
        </a:p>
      </dsp:txBody>
      <dsp:txXfrm>
        <a:off x="2361832" y="193288"/>
        <a:ext cx="924660" cy="924660"/>
      </dsp:txXfrm>
    </dsp:sp>
    <dsp:sp modelId="{58D616BC-1C24-4F69-9AF6-93BBB5A0BBD2}">
      <dsp:nvSpPr>
        <dsp:cNvPr id="0" name=""/>
        <dsp:cNvSpPr/>
      </dsp:nvSpPr>
      <dsp:spPr>
        <a:xfrm>
          <a:off x="3584152" y="2074819"/>
          <a:ext cx="396722" cy="355685"/>
        </a:xfrm>
        <a:prstGeom prst="rightArrow">
          <a:avLst>
            <a:gd name="adj1" fmla="val 60000"/>
            <a:gd name="adj2" fmla="val 50000"/>
          </a:avLst>
        </a:prstGeom>
        <a:solidFill>
          <a:schemeClr val="accent4">
            <a:hueOff val="-1488257"/>
            <a:satOff val="8966"/>
            <a:lumOff val="719"/>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0" kern="1200"/>
        </a:p>
      </dsp:txBody>
      <dsp:txXfrm>
        <a:off x="3584152" y="2145956"/>
        <a:ext cx="290017" cy="213411"/>
      </dsp:txXfrm>
    </dsp:sp>
    <dsp:sp modelId="{84B13063-64DE-497F-B433-B790C72B385A}">
      <dsp:nvSpPr>
        <dsp:cNvPr id="0" name=""/>
        <dsp:cNvSpPr/>
      </dsp:nvSpPr>
      <dsp:spPr>
        <a:xfrm>
          <a:off x="4168007" y="1598829"/>
          <a:ext cx="1307666" cy="1307666"/>
        </a:xfrm>
        <a:prstGeom prst="ellipse">
          <a:avLst/>
        </a:prstGeom>
        <a:solidFill>
          <a:schemeClr val="accent4">
            <a:hueOff val="-1488257"/>
            <a:satOff val="8966"/>
            <a:lumOff val="71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0" kern="1200"/>
            <a:t>Customer power </a:t>
          </a:r>
        </a:p>
        <a:p>
          <a:pPr marL="0" lvl="0" indent="0" algn="ctr" defTabSz="577850">
            <a:lnSpc>
              <a:spcPct val="90000"/>
            </a:lnSpc>
            <a:spcBef>
              <a:spcPct val="0"/>
            </a:spcBef>
            <a:spcAft>
              <a:spcPct val="35000"/>
            </a:spcAft>
            <a:buNone/>
          </a:pPr>
          <a:r>
            <a:rPr lang="en-GB" sz="1300" b="0" kern="1200"/>
            <a:t>(Moderate)</a:t>
          </a:r>
          <a:endParaRPr lang="en-US" sz="1300" b="0" kern="1200"/>
        </a:p>
      </dsp:txBody>
      <dsp:txXfrm>
        <a:off x="4359510" y="1790332"/>
        <a:ext cx="924660" cy="924660"/>
      </dsp:txXfrm>
    </dsp:sp>
    <dsp:sp modelId="{CE95C1D7-4CFF-4D4E-B947-AE5981472845}">
      <dsp:nvSpPr>
        <dsp:cNvPr id="0" name=""/>
        <dsp:cNvSpPr/>
      </dsp:nvSpPr>
      <dsp:spPr>
        <a:xfrm rot="5379522">
          <a:off x="2725832" y="2820108"/>
          <a:ext cx="205539" cy="355685"/>
        </a:xfrm>
        <a:prstGeom prst="rightArrow">
          <a:avLst>
            <a:gd name="adj1" fmla="val 60000"/>
            <a:gd name="adj2" fmla="val 50000"/>
          </a:avLst>
        </a:prstGeom>
        <a:solidFill>
          <a:schemeClr val="accent4">
            <a:hueOff val="-2976514"/>
            <a:satOff val="17933"/>
            <a:lumOff val="1437"/>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0" kern="1200"/>
        </a:p>
      </dsp:txBody>
      <dsp:txXfrm>
        <a:off x="2756479" y="2860415"/>
        <a:ext cx="143877" cy="213411"/>
      </dsp:txXfrm>
    </dsp:sp>
    <dsp:sp modelId="{52A62B47-E36A-4FBA-8ACB-18218F8A0542}">
      <dsp:nvSpPr>
        <dsp:cNvPr id="0" name=""/>
        <dsp:cNvSpPr/>
      </dsp:nvSpPr>
      <dsp:spPr>
        <a:xfrm>
          <a:off x="2179853" y="3197658"/>
          <a:ext cx="1307666" cy="1307666"/>
        </a:xfrm>
        <a:prstGeom prst="ellipse">
          <a:avLst/>
        </a:prstGeom>
        <a:solidFill>
          <a:schemeClr val="accent4">
            <a:hueOff val="-2976514"/>
            <a:satOff val="17933"/>
            <a:lumOff val="1437"/>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0" kern="1200"/>
            <a:t>Threat of substitution</a:t>
          </a:r>
        </a:p>
        <a:p>
          <a:pPr marL="0" lvl="0" indent="0" algn="ctr" defTabSz="577850">
            <a:lnSpc>
              <a:spcPct val="90000"/>
            </a:lnSpc>
            <a:spcBef>
              <a:spcPct val="0"/>
            </a:spcBef>
            <a:spcAft>
              <a:spcPct val="35000"/>
            </a:spcAft>
            <a:buNone/>
          </a:pPr>
          <a:r>
            <a:rPr lang="en-GB" sz="1300" b="0" kern="1200"/>
            <a:t>(Moderate)</a:t>
          </a:r>
          <a:endParaRPr lang="en-US" sz="1300" b="0" kern="1200"/>
        </a:p>
      </dsp:txBody>
      <dsp:txXfrm>
        <a:off x="2371356" y="3389161"/>
        <a:ext cx="924660" cy="924660"/>
      </dsp:txXfrm>
    </dsp:sp>
    <dsp:sp modelId="{0F996201-018B-4CE8-B355-30CB8250B5C1}">
      <dsp:nvSpPr>
        <dsp:cNvPr id="0" name=""/>
        <dsp:cNvSpPr/>
      </dsp:nvSpPr>
      <dsp:spPr>
        <a:xfrm rot="10800000">
          <a:off x="1775310" y="2074819"/>
          <a:ext cx="320501" cy="355685"/>
        </a:xfrm>
        <a:prstGeom prst="rightArrow">
          <a:avLst>
            <a:gd name="adj1" fmla="val 60000"/>
            <a:gd name="adj2" fmla="val 50000"/>
          </a:avLst>
        </a:prstGeom>
        <a:solidFill>
          <a:schemeClr val="accent4">
            <a:hueOff val="-4464771"/>
            <a:satOff val="26899"/>
            <a:lumOff val="215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0" kern="1200"/>
        </a:p>
      </dsp:txBody>
      <dsp:txXfrm rot="10800000">
        <a:off x="1871460" y="2145956"/>
        <a:ext cx="224351" cy="213411"/>
      </dsp:txXfrm>
    </dsp:sp>
    <dsp:sp modelId="{901606EF-7606-4E50-8EF9-3CD8A7BAC43B}">
      <dsp:nvSpPr>
        <dsp:cNvPr id="0" name=""/>
        <dsp:cNvSpPr/>
      </dsp:nvSpPr>
      <dsp:spPr>
        <a:xfrm>
          <a:off x="316465" y="1598829"/>
          <a:ext cx="1307666" cy="1307666"/>
        </a:xfrm>
        <a:prstGeom prst="ellipse">
          <a:avLst/>
        </a:prstGeom>
        <a:solidFill>
          <a:schemeClr val="accent4">
            <a:hueOff val="-4464771"/>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0" kern="1200"/>
            <a:t>Supplier power </a:t>
          </a:r>
        </a:p>
        <a:p>
          <a:pPr marL="0" lvl="0" indent="0" algn="ctr" defTabSz="577850">
            <a:lnSpc>
              <a:spcPct val="90000"/>
            </a:lnSpc>
            <a:spcBef>
              <a:spcPct val="0"/>
            </a:spcBef>
            <a:spcAft>
              <a:spcPct val="35000"/>
            </a:spcAft>
            <a:buNone/>
          </a:pPr>
          <a:r>
            <a:rPr lang="en-GB" sz="1300" b="0" kern="1200"/>
            <a:t>(Moderate)</a:t>
          </a:r>
          <a:endParaRPr lang="en-US" sz="1300" b="0" kern="1200"/>
        </a:p>
      </dsp:txBody>
      <dsp:txXfrm>
        <a:off x="507968" y="1790332"/>
        <a:ext cx="924660" cy="9246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0D291B-EEA5-FB48-8732-E49745A89C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17</Pages>
  <Words>2742</Words>
  <Characters>15634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20045925</dc:creator>
  <cp:lastModifiedBy>viktoriqadalbertova85@gmail.com</cp:lastModifiedBy>
  <cp:revision>9</cp:revision>
  <dcterms:created xsi:type="dcterms:W3CDTF">2020-08-24T17:51:00Z</dcterms:created>
  <dcterms:modified xsi:type="dcterms:W3CDTF">2020-09-02T15:37:00Z</dcterms:modified>
</cp:coreProperties>
</file>