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B6EED" w14:textId="77777777" w:rsidR="00DE462F" w:rsidRPr="00DE462F" w:rsidRDefault="00DE462F" w:rsidP="00DE462F">
      <w:pPr>
        <w:spacing w:before="100" w:beforeAutospacing="1" w:after="100" w:afterAutospacing="1" w:line="360" w:lineRule="auto"/>
        <w:jc w:val="both"/>
        <w:outlineLvl w:val="0"/>
        <w:rPr>
          <w:rFonts w:asciiTheme="majorHAnsi" w:eastAsia="Times New Roman" w:hAnsiTheme="majorHAnsi" w:cs="Times New Roman"/>
          <w:b/>
          <w:bCs/>
          <w:color w:val="000000"/>
          <w:kern w:val="36"/>
          <w:sz w:val="48"/>
          <w:szCs w:val="48"/>
          <w:lang w:eastAsia="en-GB"/>
          <w14:ligatures w14:val="none"/>
        </w:rPr>
      </w:pPr>
      <w:r w:rsidRPr="00DE462F">
        <w:rPr>
          <w:rFonts w:asciiTheme="majorHAnsi" w:eastAsia="Times New Roman" w:hAnsiTheme="majorHAnsi" w:cs="Times New Roman"/>
          <w:b/>
          <w:bCs/>
          <w:color w:val="000000"/>
          <w:kern w:val="36"/>
          <w:sz w:val="28"/>
          <w:szCs w:val="28"/>
          <w:lang w:eastAsia="en-GB"/>
          <w14:ligatures w14:val="none"/>
        </w:rPr>
        <w:t>Digital support for grassroots football development: A review of literature informing the design of a performance support website for Sandfields football club</w:t>
      </w:r>
      <w:r w:rsidRPr="00DE462F">
        <w:rPr>
          <w:rFonts w:asciiTheme="majorHAnsi" w:eastAsia="Times New Roman" w:hAnsiTheme="majorHAnsi" w:cs="Times New Roman"/>
          <w:b/>
          <w:bCs/>
          <w:color w:val="000000"/>
          <w:kern w:val="36"/>
          <w:sz w:val="48"/>
          <w:szCs w:val="48"/>
          <w:lang w:eastAsia="en-GB"/>
          <w14:ligatures w14:val="none"/>
        </w:rPr>
        <w:t>.</w:t>
      </w:r>
    </w:p>
    <w:p w14:paraId="4FFB72E2" w14:textId="186D3C36"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p w14:paraId="7C731A72" w14:textId="77777777" w:rsidR="00DE462F" w:rsidRPr="00DE462F" w:rsidRDefault="00DE462F" w:rsidP="00DE462F">
      <w:pPr>
        <w:spacing w:before="100" w:beforeAutospacing="1" w:after="100" w:afterAutospacing="1" w:line="360" w:lineRule="auto"/>
        <w:jc w:val="both"/>
        <w:outlineLvl w:val="1"/>
        <w:rPr>
          <w:rFonts w:asciiTheme="majorHAnsi" w:eastAsia="Times New Roman" w:hAnsiTheme="majorHAnsi" w:cs="Times New Roman"/>
          <w:b/>
          <w:bCs/>
          <w:color w:val="000000"/>
          <w:kern w:val="0"/>
          <w:sz w:val="36"/>
          <w:szCs w:val="36"/>
          <w:lang w:eastAsia="en-GB"/>
          <w14:ligatures w14:val="none"/>
        </w:rPr>
      </w:pPr>
      <w:r w:rsidRPr="00DE462F">
        <w:rPr>
          <w:rFonts w:asciiTheme="majorHAnsi" w:eastAsia="Times New Roman" w:hAnsiTheme="majorHAnsi" w:cs="Times New Roman"/>
          <w:b/>
          <w:bCs/>
          <w:color w:val="000000"/>
          <w:kern w:val="0"/>
          <w:sz w:val="36"/>
          <w:szCs w:val="36"/>
          <w:lang w:eastAsia="en-GB"/>
          <w14:ligatures w14:val="none"/>
        </w:rPr>
        <w:t>Aim of the project</w:t>
      </w:r>
    </w:p>
    <w:p w14:paraId="66CA7927"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The aim of this project is to design and then develop a website that will support both the players and coaches at Sandfields football club in Swansea by providing them with access to digital resources that will enhance their skill development and performance outcomes (</w:t>
      </w:r>
      <w:proofErr w:type="spellStart"/>
      <w:r w:rsidRPr="00DE462F">
        <w:rPr>
          <w:rFonts w:asciiTheme="majorHAnsi" w:eastAsia="Times New Roman" w:hAnsiTheme="majorHAnsi" w:cs="Times New Roman"/>
          <w:b/>
          <w:bCs/>
          <w:color w:val="000000"/>
          <w:kern w:val="0"/>
          <w:lang w:eastAsia="en-GB"/>
          <w14:ligatures w14:val="none"/>
        </w:rPr>
        <w:t>Côté</w:t>
      </w:r>
      <w:proofErr w:type="spellEnd"/>
      <w:r w:rsidRPr="00DE462F">
        <w:rPr>
          <w:rFonts w:asciiTheme="majorHAnsi" w:eastAsia="Times New Roman" w:hAnsiTheme="majorHAnsi" w:cs="Times New Roman"/>
          <w:b/>
          <w:bCs/>
          <w:color w:val="000000"/>
          <w:kern w:val="0"/>
          <w:lang w:eastAsia="en-GB"/>
          <w14:ligatures w14:val="none"/>
        </w:rPr>
        <w:t xml:space="preserve"> and Gilbert, 2009; Anderson, 2019). The project seeks to integrate a variety of principles ranging from sports coaching theories, digital learning and a user-centred web design that will address all the developmental needs of grassroot football environments (Groom, Cushion and Nelson, 2019; Reeves and Reeves, 2015). Research indicates that in community football clubs there is a lack of structured digital platforms that can provide players and coaches with the necessary tools to better themselves and their abelites outside of the traditional settings such as training sessions and matchdays, which is what this project aims to address (Bailey et al., 2010; Cushion, Armour and Jones, 2012). The intention of the website is to function and act as a supplementary performance tool that aligns with coaching practices backed up by evidence-based learning approaches (Anderson, 2019; Horton, 2011). By establishing the website with the design of existing academic literature, the project aims to ensure both theoretical validity and practical relevance.</w:t>
      </w:r>
    </w:p>
    <w:p w14:paraId="0096C309" w14:textId="174A6387"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p w14:paraId="32C4D908" w14:textId="77777777" w:rsidR="00DE462F" w:rsidRPr="00DE462F" w:rsidRDefault="00DE462F" w:rsidP="00DE462F">
      <w:pPr>
        <w:spacing w:before="100" w:beforeAutospacing="1" w:after="100" w:afterAutospacing="1" w:line="360" w:lineRule="auto"/>
        <w:jc w:val="both"/>
        <w:outlineLvl w:val="1"/>
        <w:rPr>
          <w:rFonts w:asciiTheme="majorHAnsi" w:eastAsia="Times New Roman" w:hAnsiTheme="majorHAnsi" w:cs="Times New Roman"/>
          <w:b/>
          <w:bCs/>
          <w:color w:val="000000"/>
          <w:kern w:val="0"/>
          <w:sz w:val="36"/>
          <w:szCs w:val="36"/>
          <w:lang w:eastAsia="en-GB"/>
          <w14:ligatures w14:val="none"/>
        </w:rPr>
      </w:pPr>
      <w:r w:rsidRPr="00DE462F">
        <w:rPr>
          <w:rFonts w:asciiTheme="majorHAnsi" w:eastAsia="Times New Roman" w:hAnsiTheme="majorHAnsi" w:cs="Times New Roman"/>
          <w:b/>
          <w:bCs/>
          <w:color w:val="000000"/>
          <w:kern w:val="0"/>
          <w:sz w:val="36"/>
          <w:szCs w:val="36"/>
          <w:lang w:eastAsia="en-GB"/>
          <w14:ligatures w14:val="none"/>
        </w:rPr>
        <w:t>Introduction</w:t>
      </w:r>
    </w:p>
    <w:p w14:paraId="44C6DA8E"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As the use of digital technology has advanced significantly within the sporting world over the past two decades, it has become imperative to athlete and coach performance and growth that technology is utilised (Selwyn, 2016; Anderson, 2019). It has influenced coaching methods, athlete development and performance analysis across multiple levels of participation (Carling, Williams and Reilly, 2014; Hughes and Franks, 2015). Web-based platforms have been used heavily in recent years due to their accessibility, scalability and the ability that these platforms </w:t>
      </w:r>
      <w:proofErr w:type="gramStart"/>
      <w:r w:rsidRPr="00DE462F">
        <w:rPr>
          <w:rFonts w:asciiTheme="majorHAnsi" w:eastAsia="Times New Roman" w:hAnsiTheme="majorHAnsi" w:cs="Times New Roman"/>
          <w:b/>
          <w:bCs/>
          <w:color w:val="000000"/>
          <w:kern w:val="0"/>
          <w:lang w:eastAsia="en-GB"/>
          <w14:ligatures w14:val="none"/>
        </w:rPr>
        <w:t>have to</w:t>
      </w:r>
      <w:proofErr w:type="gramEnd"/>
      <w:r w:rsidRPr="00DE462F">
        <w:rPr>
          <w:rFonts w:asciiTheme="majorHAnsi" w:eastAsia="Times New Roman" w:hAnsiTheme="majorHAnsi" w:cs="Times New Roman"/>
          <w:b/>
          <w:bCs/>
          <w:color w:val="000000"/>
          <w:kern w:val="0"/>
          <w:lang w:eastAsia="en-GB"/>
          <w14:ligatures w14:val="none"/>
        </w:rPr>
        <w:t xml:space="preserve"> deliver a structured method of learning (Horton, 2011; Salmon, 2013).</w:t>
      </w:r>
    </w:p>
    <w:p w14:paraId="1BBB45FA"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Within football digital resources are being used increasingly </w:t>
      </w:r>
      <w:proofErr w:type="gramStart"/>
      <w:r w:rsidRPr="00DE462F">
        <w:rPr>
          <w:rFonts w:asciiTheme="majorHAnsi" w:eastAsia="Times New Roman" w:hAnsiTheme="majorHAnsi" w:cs="Times New Roman"/>
          <w:b/>
          <w:bCs/>
          <w:color w:val="000000"/>
          <w:kern w:val="0"/>
          <w:lang w:eastAsia="en-GB"/>
          <w14:ligatures w14:val="none"/>
        </w:rPr>
        <w:t>in order to</w:t>
      </w:r>
      <w:proofErr w:type="gramEnd"/>
      <w:r w:rsidRPr="00DE462F">
        <w:rPr>
          <w:rFonts w:asciiTheme="majorHAnsi" w:eastAsia="Times New Roman" w:hAnsiTheme="majorHAnsi" w:cs="Times New Roman"/>
          <w:b/>
          <w:bCs/>
          <w:color w:val="000000"/>
          <w:kern w:val="0"/>
          <w:lang w:eastAsia="en-GB"/>
          <w14:ligatures w14:val="none"/>
        </w:rPr>
        <w:t xml:space="preserve"> support all aspects of development and performance ranging from tactical understanding to technical skill acquisition to reflective practices amongst both players and coaches (Williams and Hodges, 2005; Light, 2013). Despite the level of growth seen in this area of sport, much of the existing research has heavy focus on elite and professional sporting environments which leaves the grassroots community far behind and unrepresented in the literature (Bailey et al., 2010; Collins, Abraham and Collins, 2012). Grassroots football clubs such as Sandfields football club have typically operated with limited financial and human resources, relying heavily on volunteer coaches with lack of training and experience (Cushion, Armour and Jones, 2012; Potrac, Jones and Armour, 2002). This therefore creates challenges in delivering consistent and high-quality coaching support beyond the training sessions and games.</w:t>
      </w:r>
    </w:p>
    <w:p w14:paraId="7A785585"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Digital platforms can offer a potential solution to this problem by providing these clubs with a centralised platform of key information and support for player learning outside of the physical sessions and environments (Horton, 2011; Salmon, 2013). Learning theories suggest that athletes benefit from extended repeated exposure to instructional material, reflective opportunities and environments where they can have self-directed learning, all of which can be provide through a well-designed website that they have access to (Kolb, 1984; Zimmerman, 2002). Furthermore, coach development literature highlights the level of importance of an accessible platform of education that coaches can access to help support reflective practices and long-term skill acquisition (Gilbert and </w:t>
      </w:r>
      <w:proofErr w:type="spellStart"/>
      <w:r w:rsidRPr="00DE462F">
        <w:rPr>
          <w:rFonts w:asciiTheme="majorHAnsi" w:eastAsia="Times New Roman" w:hAnsiTheme="majorHAnsi" w:cs="Times New Roman"/>
          <w:b/>
          <w:bCs/>
          <w:color w:val="000000"/>
          <w:kern w:val="0"/>
          <w:lang w:eastAsia="en-GB"/>
          <w14:ligatures w14:val="none"/>
        </w:rPr>
        <w:t>Trudel</w:t>
      </w:r>
      <w:proofErr w:type="spellEnd"/>
      <w:r w:rsidRPr="00DE462F">
        <w:rPr>
          <w:rFonts w:asciiTheme="majorHAnsi" w:eastAsia="Times New Roman" w:hAnsiTheme="majorHAnsi" w:cs="Times New Roman"/>
          <w:b/>
          <w:bCs/>
          <w:color w:val="000000"/>
          <w:kern w:val="0"/>
          <w:lang w:eastAsia="en-GB"/>
          <w14:ligatures w14:val="none"/>
        </w:rPr>
        <w:t xml:space="preserve">, 2001; </w:t>
      </w:r>
      <w:proofErr w:type="spellStart"/>
      <w:r w:rsidRPr="00DE462F">
        <w:rPr>
          <w:rFonts w:asciiTheme="majorHAnsi" w:eastAsia="Times New Roman" w:hAnsiTheme="majorHAnsi" w:cs="Times New Roman"/>
          <w:b/>
          <w:bCs/>
          <w:color w:val="000000"/>
          <w:kern w:val="0"/>
          <w:lang w:eastAsia="en-GB"/>
          <w14:ligatures w14:val="none"/>
        </w:rPr>
        <w:t>Grecic</w:t>
      </w:r>
      <w:proofErr w:type="spellEnd"/>
      <w:r w:rsidRPr="00DE462F">
        <w:rPr>
          <w:rFonts w:asciiTheme="majorHAnsi" w:eastAsia="Times New Roman" w:hAnsiTheme="majorHAnsi" w:cs="Times New Roman"/>
          <w:b/>
          <w:bCs/>
          <w:color w:val="000000"/>
          <w:kern w:val="0"/>
          <w:lang w:eastAsia="en-GB"/>
          <w14:ligatures w14:val="none"/>
        </w:rPr>
        <w:t xml:space="preserve"> and Collins, 2013). Reviewing literature related to digital learning in sport, user experience design, coaching theory and grassroots development in this area is essential to justify the development of a website for Sandfields football club. This literature review critically examines the key academic sources in this area to inform the design and implementation of a digital support platform that is tailored to the needs of both the coaches and players within a community football setting.</w:t>
      </w:r>
    </w:p>
    <w:p w14:paraId="7575B704" w14:textId="0F9E0904"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p w14:paraId="3FFAFD47" w14:textId="77777777" w:rsidR="00DE462F" w:rsidRPr="00DE462F" w:rsidRDefault="00DE462F" w:rsidP="00DE462F">
      <w:pPr>
        <w:spacing w:before="100" w:beforeAutospacing="1" w:after="100" w:afterAutospacing="1" w:line="360" w:lineRule="auto"/>
        <w:jc w:val="both"/>
        <w:outlineLvl w:val="1"/>
        <w:rPr>
          <w:rFonts w:asciiTheme="majorHAnsi" w:eastAsia="Times New Roman" w:hAnsiTheme="majorHAnsi" w:cs="Times New Roman"/>
          <w:b/>
          <w:bCs/>
          <w:color w:val="000000"/>
          <w:kern w:val="0"/>
          <w:sz w:val="36"/>
          <w:szCs w:val="36"/>
          <w:lang w:eastAsia="en-GB"/>
          <w14:ligatures w14:val="none"/>
        </w:rPr>
      </w:pPr>
      <w:r w:rsidRPr="00DE462F">
        <w:rPr>
          <w:rFonts w:asciiTheme="majorHAnsi" w:eastAsia="Times New Roman" w:hAnsiTheme="majorHAnsi" w:cs="Times New Roman"/>
          <w:b/>
          <w:bCs/>
          <w:color w:val="000000"/>
          <w:kern w:val="0"/>
          <w:sz w:val="36"/>
          <w:szCs w:val="36"/>
          <w:lang w:eastAsia="en-GB"/>
          <w14:ligatures w14:val="none"/>
        </w:rPr>
        <w:t>Literature review</w:t>
      </w:r>
    </w:p>
    <w:p w14:paraId="1AD36B21"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The use of digital technologies has become integral to contemporary sport performance environments, enabling enhanced communication, learning opportunities and analysis (Hughes and Franks, 2015; Anderson, 2019). Web-based platforms allow the storage and dissemination of multimedia content, including diagrams, videos and instructional text which are effective for skill acquisition and athlete development in football (Mayer, 2009; Carling, Williams and Reilly, 2014). Research suggests that the use of visual learning tools can improve players understanding of tactical and practical concepts whilst improving their decision-making processes (Williams and Hodges, 2005; Light, 2013). Web-based platforms provide asynchronous learning opportunities that allow athletes to engage with performance-related content at times that suit their individual schedules, which is extremely valuable in the community football settings (Horton, 2011; Salmon, 2013).</w:t>
      </w:r>
    </w:p>
    <w:p w14:paraId="3BC19EC4"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In football, where technical and tactical understanding develops progressively, the ability to revisit extensive learning content has been identified as a huge selling point and key advantage of digital platforms (Zimmerman, 2002; Shute, 2008). Digital platforms also enable coaches to supplement physical training sessions with theoretical explanations, reinforcing the learning aspect of the sport, this is especially valuable as within the grassroots environment games and sessions can get called oof regularly and this would allow coaches and players to continue their development </w:t>
      </w:r>
      <w:proofErr w:type="gramStart"/>
      <w:r w:rsidRPr="00DE462F">
        <w:rPr>
          <w:rFonts w:asciiTheme="majorHAnsi" w:eastAsia="Times New Roman" w:hAnsiTheme="majorHAnsi" w:cs="Times New Roman"/>
          <w:b/>
          <w:bCs/>
          <w:color w:val="000000"/>
          <w:kern w:val="0"/>
          <w:lang w:eastAsia="en-GB"/>
          <w14:ligatures w14:val="none"/>
        </w:rPr>
        <w:t>if and when</w:t>
      </w:r>
      <w:proofErr w:type="gramEnd"/>
      <w:r w:rsidRPr="00DE462F">
        <w:rPr>
          <w:rFonts w:asciiTheme="majorHAnsi" w:eastAsia="Times New Roman" w:hAnsiTheme="majorHAnsi" w:cs="Times New Roman"/>
          <w:b/>
          <w:bCs/>
          <w:color w:val="000000"/>
          <w:kern w:val="0"/>
          <w:lang w:eastAsia="en-GB"/>
          <w14:ligatures w14:val="none"/>
        </w:rPr>
        <w:t xml:space="preserve"> this happens (Selwyn, 2016). Research support systems have also been proven to reduce cognitive overload by presenting information in both structured and manageable formats (Mayer, 2009).</w:t>
      </w:r>
    </w:p>
    <w:p w14:paraId="0DF48D83"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This becomes particularly relevant within youth environments and amateur players who may struggle to process a variety of complex information during tactical training sessions (Davies, Button and Bennett, 2008). Websites with the ability to organise content by age group, position or skill level can further the personalised feel of the digital content and would also enhance engagement and understanding (Reeves and Reeves, 2015). Online platforms have also been known to enable athletes to revisit learning material on multiple occasions which support a deeper level of cognitive processing and knowledge retention of information (Zimmerman, 2002).</w:t>
      </w:r>
    </w:p>
    <w:p w14:paraId="79E598ED"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From the perspective of coaches, digital tools can provide them with the opportunity to standardise coaching messages and ensure consistency across training sessions and matchdays (Ford, Yates and Williams, 2010). Studies completed have shown that digital support platforms can enhance coach-athlete communication by providing structured feedback outside of physical environments (Shute, 2008). In grassroots settings, where contact time is often limited for these clubs the use of digital platforms may play a critical role in extending learning beyond the pitch (Bailey et al., 2010). However, the effectiveness of digital tools is influenced by usability and relevance to its user’s context, highlighting the importance of a tailored design for the website (Nielsen, 1994; Norman, 2013).</w:t>
      </w:r>
    </w:p>
    <w:p w14:paraId="7828C118" w14:textId="15D5DF5F"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p w14:paraId="4E849F71" w14:textId="77777777" w:rsidR="00DE462F" w:rsidRPr="00DE462F" w:rsidRDefault="00DE462F" w:rsidP="00DE462F">
      <w:pPr>
        <w:spacing w:before="100" w:beforeAutospacing="1" w:after="100" w:afterAutospacing="1" w:line="360" w:lineRule="auto"/>
        <w:jc w:val="both"/>
        <w:outlineLvl w:val="2"/>
        <w:rPr>
          <w:rFonts w:asciiTheme="majorHAnsi" w:eastAsia="Times New Roman" w:hAnsiTheme="majorHAnsi" w:cs="Times New Roman"/>
          <w:b/>
          <w:bCs/>
          <w:color w:val="000000"/>
          <w:kern w:val="0"/>
          <w:sz w:val="27"/>
          <w:szCs w:val="27"/>
          <w:lang w:eastAsia="en-GB"/>
          <w14:ligatures w14:val="none"/>
        </w:rPr>
      </w:pPr>
      <w:r w:rsidRPr="00DE462F">
        <w:rPr>
          <w:rFonts w:asciiTheme="majorHAnsi" w:eastAsia="Times New Roman" w:hAnsiTheme="majorHAnsi" w:cs="Times New Roman"/>
          <w:b/>
          <w:bCs/>
          <w:color w:val="000000"/>
          <w:kern w:val="0"/>
          <w:sz w:val="27"/>
          <w:szCs w:val="27"/>
          <w:lang w:eastAsia="en-GB"/>
          <w14:ligatures w14:val="none"/>
        </w:rPr>
        <w:t>Skill acquisition and learning theory</w:t>
      </w:r>
    </w:p>
    <w:p w14:paraId="50E59747"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Skill acquisition within football is underpinned by establishing learning theories that emphasise feedback, practice and reflection (Ericsson, </w:t>
      </w:r>
      <w:proofErr w:type="spellStart"/>
      <w:r w:rsidRPr="00DE462F">
        <w:rPr>
          <w:rFonts w:asciiTheme="majorHAnsi" w:eastAsia="Times New Roman" w:hAnsiTheme="majorHAnsi" w:cs="Times New Roman"/>
          <w:b/>
          <w:bCs/>
          <w:color w:val="000000"/>
          <w:kern w:val="0"/>
          <w:lang w:eastAsia="en-GB"/>
          <w14:ligatures w14:val="none"/>
        </w:rPr>
        <w:t>Krampe</w:t>
      </w:r>
      <w:proofErr w:type="spellEnd"/>
      <w:r w:rsidRPr="00DE462F">
        <w:rPr>
          <w:rFonts w:asciiTheme="majorHAnsi" w:eastAsia="Times New Roman" w:hAnsiTheme="majorHAnsi" w:cs="Times New Roman"/>
          <w:b/>
          <w:bCs/>
          <w:color w:val="000000"/>
          <w:kern w:val="0"/>
          <w:lang w:eastAsia="en-GB"/>
          <w14:ligatures w14:val="none"/>
        </w:rPr>
        <w:t xml:space="preserve"> and </w:t>
      </w:r>
      <w:proofErr w:type="spellStart"/>
      <w:r w:rsidRPr="00DE462F">
        <w:rPr>
          <w:rFonts w:asciiTheme="majorHAnsi" w:eastAsia="Times New Roman" w:hAnsiTheme="majorHAnsi" w:cs="Times New Roman"/>
          <w:b/>
          <w:bCs/>
          <w:color w:val="000000"/>
          <w:kern w:val="0"/>
          <w:lang w:eastAsia="en-GB"/>
          <w14:ligatures w14:val="none"/>
        </w:rPr>
        <w:t>Tesch-Römer</w:t>
      </w:r>
      <w:proofErr w:type="spellEnd"/>
      <w:r w:rsidRPr="00DE462F">
        <w:rPr>
          <w:rFonts w:asciiTheme="majorHAnsi" w:eastAsia="Times New Roman" w:hAnsiTheme="majorHAnsi" w:cs="Times New Roman"/>
          <w:b/>
          <w:bCs/>
          <w:color w:val="000000"/>
          <w:kern w:val="0"/>
          <w:lang w:eastAsia="en-GB"/>
          <w14:ligatures w14:val="none"/>
        </w:rPr>
        <w:t>, 1993; Williams and Hodges, 2005). Behaviourist approaches highlight the importance of reinforcement and repetition, which can be encouraged through instructional drills hosted on digital platforms (Anderson, J.R., 1982). Cognitive learning theories emphasise understanding, problem-solving and decision-making, which are all critical components of football performance (Williams and Hodges, 2005).</w:t>
      </w:r>
    </w:p>
    <w:p w14:paraId="12E967D8"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Digital platforms can help support behaviourist principles by providing drill libraries and practice guidance that both players and coaches can access on a regular basis. However, behaviourist approaches alone are an insufficient way to explain complex decision-making processes that are required within the football setting (Davies, Button and Bennett, 2008). Cognitive learning theory has also highlighted the massive importance of players and coaches understanding mental representation and having the necessary problem-solving skills to further develop their game. Web-based instructional content can allow players to develop mental models of the game and in-game situations which can support and develop tactical awareness (Light, 2013).</w:t>
      </w:r>
    </w:p>
    <w:p w14:paraId="1F419646"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Constructivist perspectives suggest that learners can actively construct knowledge through reflection and experiences, reinforcing the value that self-directed digital learning tools can have on the sporting environment (</w:t>
      </w:r>
      <w:proofErr w:type="spellStart"/>
      <w:r w:rsidRPr="00DE462F">
        <w:rPr>
          <w:rFonts w:asciiTheme="majorHAnsi" w:eastAsia="Times New Roman" w:hAnsiTheme="majorHAnsi" w:cs="Times New Roman"/>
          <w:b/>
          <w:bCs/>
          <w:color w:val="000000"/>
          <w:kern w:val="0"/>
          <w:lang w:eastAsia="en-GB"/>
          <w14:ligatures w14:val="none"/>
        </w:rPr>
        <w:t>Boud</w:t>
      </w:r>
      <w:proofErr w:type="spellEnd"/>
      <w:r w:rsidRPr="00DE462F">
        <w:rPr>
          <w:rFonts w:asciiTheme="majorHAnsi" w:eastAsia="Times New Roman" w:hAnsiTheme="majorHAnsi" w:cs="Times New Roman"/>
          <w:b/>
          <w:bCs/>
          <w:color w:val="000000"/>
          <w:kern w:val="0"/>
          <w:lang w:eastAsia="en-GB"/>
          <w14:ligatures w14:val="none"/>
        </w:rPr>
        <w:t>, Keogh and Walker, 1985; Kirk and Macdonald, 1998). Kolb’s experiential learning cycle proposes that effective learning occurs through a process of experience, reflection and experimentation which can be facilitated through the development of online resources and websites (Kolb, 1984).</w:t>
      </w:r>
    </w:p>
    <w:p w14:paraId="322EB5E0"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The use of digital platforms allows players to reflect on a performance by reviewing instructional content and then applying the concepts in subsequent training sessions (Gibbs, 1988). A website can provide this cycle by providing reflective prompts, explanatory resources and many practical suggestions that can enhance development. Coach education literature emphasises that learning is most effective when resources are contextualised and relevant to the </w:t>
      </w:r>
      <w:proofErr w:type="gramStart"/>
      <w:r w:rsidRPr="00DE462F">
        <w:rPr>
          <w:rFonts w:asciiTheme="majorHAnsi" w:eastAsia="Times New Roman" w:hAnsiTheme="majorHAnsi" w:cs="Times New Roman"/>
          <w:b/>
          <w:bCs/>
          <w:color w:val="000000"/>
          <w:kern w:val="0"/>
          <w:lang w:eastAsia="en-GB"/>
          <w14:ligatures w14:val="none"/>
        </w:rPr>
        <w:t>learners</w:t>
      </w:r>
      <w:proofErr w:type="gramEnd"/>
      <w:r w:rsidRPr="00DE462F">
        <w:rPr>
          <w:rFonts w:asciiTheme="majorHAnsi" w:eastAsia="Times New Roman" w:hAnsiTheme="majorHAnsi" w:cs="Times New Roman"/>
          <w:b/>
          <w:bCs/>
          <w:color w:val="000000"/>
          <w:kern w:val="0"/>
          <w:lang w:eastAsia="en-GB"/>
          <w14:ligatures w14:val="none"/>
        </w:rPr>
        <w:t xml:space="preserve"> environment (</w:t>
      </w:r>
      <w:proofErr w:type="spellStart"/>
      <w:r w:rsidRPr="00DE462F">
        <w:rPr>
          <w:rFonts w:asciiTheme="majorHAnsi" w:eastAsia="Times New Roman" w:hAnsiTheme="majorHAnsi" w:cs="Times New Roman"/>
          <w:b/>
          <w:bCs/>
          <w:color w:val="000000"/>
          <w:kern w:val="0"/>
          <w:lang w:eastAsia="en-GB"/>
          <w14:ligatures w14:val="none"/>
        </w:rPr>
        <w:t>Côté</w:t>
      </w:r>
      <w:proofErr w:type="spellEnd"/>
      <w:r w:rsidRPr="00DE462F">
        <w:rPr>
          <w:rFonts w:asciiTheme="majorHAnsi" w:eastAsia="Times New Roman" w:hAnsiTheme="majorHAnsi" w:cs="Times New Roman"/>
          <w:b/>
          <w:bCs/>
          <w:color w:val="000000"/>
          <w:kern w:val="0"/>
          <w:lang w:eastAsia="en-GB"/>
          <w14:ligatures w14:val="none"/>
        </w:rPr>
        <w:t xml:space="preserve"> and Gilbert, 2009). Autonomy-supportive environments that both players and coaches can learn in are extremely important for youth and amateur sports contexts where intrinsic motivation is utilised in participation (Deci and Ryan, 2000; Biddle et al., 2003). Therefore, a website designed for Sandfields football club should align with the learners needs and be tailored to their experiences and the realities of grassroots football participation.</w:t>
      </w:r>
    </w:p>
    <w:p w14:paraId="45041FED" w14:textId="73DA9D03"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p w14:paraId="4A49A0DD" w14:textId="77777777" w:rsidR="00DE462F" w:rsidRPr="00DE462F" w:rsidRDefault="00DE462F" w:rsidP="00DE462F">
      <w:pPr>
        <w:spacing w:before="100" w:beforeAutospacing="1" w:after="100" w:afterAutospacing="1" w:line="360" w:lineRule="auto"/>
        <w:jc w:val="both"/>
        <w:outlineLvl w:val="2"/>
        <w:rPr>
          <w:rFonts w:asciiTheme="majorHAnsi" w:eastAsia="Times New Roman" w:hAnsiTheme="majorHAnsi" w:cs="Times New Roman"/>
          <w:b/>
          <w:bCs/>
          <w:color w:val="000000"/>
          <w:kern w:val="0"/>
          <w:sz w:val="27"/>
          <w:szCs w:val="27"/>
          <w:lang w:eastAsia="en-GB"/>
          <w14:ligatures w14:val="none"/>
        </w:rPr>
      </w:pPr>
      <w:r w:rsidRPr="00DE462F">
        <w:rPr>
          <w:rFonts w:asciiTheme="majorHAnsi" w:eastAsia="Times New Roman" w:hAnsiTheme="majorHAnsi" w:cs="Times New Roman"/>
          <w:b/>
          <w:bCs/>
          <w:color w:val="000000"/>
          <w:kern w:val="0"/>
          <w:sz w:val="27"/>
          <w:szCs w:val="27"/>
          <w:lang w:eastAsia="en-GB"/>
          <w14:ligatures w14:val="none"/>
        </w:rPr>
        <w:t xml:space="preserve">Coach </w:t>
      </w:r>
      <w:proofErr w:type="gramStart"/>
      <w:r w:rsidRPr="00DE462F">
        <w:rPr>
          <w:rFonts w:asciiTheme="majorHAnsi" w:eastAsia="Times New Roman" w:hAnsiTheme="majorHAnsi" w:cs="Times New Roman"/>
          <w:b/>
          <w:bCs/>
          <w:color w:val="000000"/>
          <w:kern w:val="0"/>
          <w:sz w:val="27"/>
          <w:szCs w:val="27"/>
          <w:lang w:eastAsia="en-GB"/>
          <w14:ligatures w14:val="none"/>
        </w:rPr>
        <w:t>development</w:t>
      </w:r>
      <w:proofErr w:type="gramEnd"/>
    </w:p>
    <w:p w14:paraId="05AD08FE"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Coaches play a central role in player development, </w:t>
      </w:r>
      <w:proofErr w:type="gramStart"/>
      <w:r w:rsidRPr="00DE462F">
        <w:rPr>
          <w:rFonts w:asciiTheme="majorHAnsi" w:eastAsia="Times New Roman" w:hAnsiTheme="majorHAnsi" w:cs="Times New Roman"/>
          <w:b/>
          <w:bCs/>
          <w:color w:val="000000"/>
          <w:kern w:val="0"/>
          <w:lang w:eastAsia="en-GB"/>
          <w14:ligatures w14:val="none"/>
        </w:rPr>
        <w:t>in particular within</w:t>
      </w:r>
      <w:proofErr w:type="gramEnd"/>
      <w:r w:rsidRPr="00DE462F">
        <w:rPr>
          <w:rFonts w:asciiTheme="majorHAnsi" w:eastAsia="Times New Roman" w:hAnsiTheme="majorHAnsi" w:cs="Times New Roman"/>
          <w:b/>
          <w:bCs/>
          <w:color w:val="000000"/>
          <w:kern w:val="0"/>
          <w:lang w:eastAsia="en-GB"/>
          <w14:ligatures w14:val="none"/>
        </w:rPr>
        <w:t xml:space="preserve"> the football setting where a formal education pathway can be limited (Cushion, Armour and Jones, 2012). Research suggests that many coaches within this sport setting have a lack of access to the formal coaching education routes. Research indicates that many grassroots coaches rely on an informal learning setting such as peer interactions and personal experiences rather than a structured education programme (Gilbert and </w:t>
      </w:r>
      <w:proofErr w:type="spellStart"/>
      <w:r w:rsidRPr="00DE462F">
        <w:rPr>
          <w:rFonts w:asciiTheme="majorHAnsi" w:eastAsia="Times New Roman" w:hAnsiTheme="majorHAnsi" w:cs="Times New Roman"/>
          <w:b/>
          <w:bCs/>
          <w:color w:val="000000"/>
          <w:kern w:val="0"/>
          <w:lang w:eastAsia="en-GB"/>
          <w14:ligatures w14:val="none"/>
        </w:rPr>
        <w:t>Trudel</w:t>
      </w:r>
      <w:proofErr w:type="spellEnd"/>
      <w:r w:rsidRPr="00DE462F">
        <w:rPr>
          <w:rFonts w:asciiTheme="majorHAnsi" w:eastAsia="Times New Roman" w:hAnsiTheme="majorHAnsi" w:cs="Times New Roman"/>
          <w:b/>
          <w:bCs/>
          <w:color w:val="000000"/>
          <w:kern w:val="0"/>
          <w:lang w:eastAsia="en-GB"/>
          <w14:ligatures w14:val="none"/>
        </w:rPr>
        <w:t>, 2001; Jones and Wallace, 2005).</w:t>
      </w:r>
    </w:p>
    <w:p w14:paraId="5A3EAF6B"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Whilst much research does suggest that informal learning can be beneficial to coach development the lack of formal learning can lead to inconsistent coaching practice and a very limited exposure to evidence-based methods (Potrac, Jones and Armour, 2002). A website could help bridge the gap for coaches in the community footballing world. Digital platforms can support development by providing them with access to evidence-based resources and reflective tools (</w:t>
      </w:r>
      <w:proofErr w:type="spellStart"/>
      <w:r w:rsidRPr="00DE462F">
        <w:rPr>
          <w:rFonts w:asciiTheme="majorHAnsi" w:eastAsia="Times New Roman" w:hAnsiTheme="majorHAnsi" w:cs="Times New Roman"/>
          <w:b/>
          <w:bCs/>
          <w:color w:val="000000"/>
          <w:kern w:val="0"/>
          <w:lang w:eastAsia="en-GB"/>
          <w14:ligatures w14:val="none"/>
        </w:rPr>
        <w:t>Grecic</w:t>
      </w:r>
      <w:proofErr w:type="spellEnd"/>
      <w:r w:rsidRPr="00DE462F">
        <w:rPr>
          <w:rFonts w:asciiTheme="majorHAnsi" w:eastAsia="Times New Roman" w:hAnsiTheme="majorHAnsi" w:cs="Times New Roman"/>
          <w:b/>
          <w:bCs/>
          <w:color w:val="000000"/>
          <w:kern w:val="0"/>
          <w:lang w:eastAsia="en-GB"/>
          <w14:ligatures w14:val="none"/>
        </w:rPr>
        <w:t xml:space="preserve"> and Collins, 2013).</w:t>
      </w:r>
    </w:p>
    <w:p w14:paraId="31DC9016"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Online learning environments can enable coaches to engage in continuous professional development at their own paces, addressing time constraints common in volunteer roles (Horton, 2011). Websites that can integrate coaching frameworks and session planning tools have been proven to enhance coaching competence and confidence leading to overall development and progression (Ford, Yates and Williams, 2010). Additionally, digital resources can promote reflective practices, which has been widely recognised as a key component of effective coaching and development (Gilbert and </w:t>
      </w:r>
      <w:proofErr w:type="spellStart"/>
      <w:r w:rsidRPr="00DE462F">
        <w:rPr>
          <w:rFonts w:asciiTheme="majorHAnsi" w:eastAsia="Times New Roman" w:hAnsiTheme="majorHAnsi" w:cs="Times New Roman"/>
          <w:b/>
          <w:bCs/>
          <w:color w:val="000000"/>
          <w:kern w:val="0"/>
          <w:lang w:eastAsia="en-GB"/>
          <w14:ligatures w14:val="none"/>
        </w:rPr>
        <w:t>Trudel</w:t>
      </w:r>
      <w:proofErr w:type="spellEnd"/>
      <w:r w:rsidRPr="00DE462F">
        <w:rPr>
          <w:rFonts w:asciiTheme="majorHAnsi" w:eastAsia="Times New Roman" w:hAnsiTheme="majorHAnsi" w:cs="Times New Roman"/>
          <w:b/>
          <w:bCs/>
          <w:color w:val="000000"/>
          <w:kern w:val="0"/>
          <w:lang w:eastAsia="en-GB"/>
          <w14:ligatures w14:val="none"/>
        </w:rPr>
        <w:t>, 2001).</w:t>
      </w:r>
    </w:p>
    <w:p w14:paraId="75906B43"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Websites that can provide coaches with new and fresh session plans can improve the quality of their sessions and effect how enjoyable they are leading to the players retaining more information and being more focused whilst being more likely to retain information (Cushion, 2013). Digital platforms can also facilitate knowledge sharing between clubs, promoting a shared coaching identity and philosophy (Bailey et al., 2010). Within community football settings, this combined and shared understanding can improve player development pathways and retention whilst help the growth and sustainability of grassroots football. By supporting coaches learning needs, digital platforms indirectly contribute to improved player experiences and long-term performance outcomes. Literature supports the development of a website that provides players and coaches with structured and tailored support for a club like Sandfields.</w:t>
      </w:r>
    </w:p>
    <w:p w14:paraId="406FF049" w14:textId="628C9E30"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p w14:paraId="2161FF9B" w14:textId="77777777" w:rsidR="00DE462F" w:rsidRPr="00DE462F" w:rsidRDefault="00DE462F" w:rsidP="00DE462F">
      <w:pPr>
        <w:spacing w:before="100" w:beforeAutospacing="1" w:after="100" w:afterAutospacing="1" w:line="360" w:lineRule="auto"/>
        <w:jc w:val="both"/>
        <w:outlineLvl w:val="2"/>
        <w:rPr>
          <w:rFonts w:asciiTheme="majorHAnsi" w:eastAsia="Times New Roman" w:hAnsiTheme="majorHAnsi" w:cs="Times New Roman"/>
          <w:b/>
          <w:bCs/>
          <w:color w:val="000000"/>
          <w:kern w:val="0"/>
          <w:sz w:val="27"/>
          <w:szCs w:val="27"/>
          <w:lang w:eastAsia="en-GB"/>
          <w14:ligatures w14:val="none"/>
        </w:rPr>
      </w:pPr>
      <w:r w:rsidRPr="00DE462F">
        <w:rPr>
          <w:rFonts w:asciiTheme="majorHAnsi" w:eastAsia="Times New Roman" w:hAnsiTheme="majorHAnsi" w:cs="Times New Roman"/>
          <w:b/>
          <w:bCs/>
          <w:color w:val="000000"/>
          <w:kern w:val="0"/>
          <w:sz w:val="27"/>
          <w:szCs w:val="27"/>
          <w:lang w:eastAsia="en-GB"/>
          <w14:ligatures w14:val="none"/>
        </w:rPr>
        <w:t>User experience design</w:t>
      </w:r>
    </w:p>
    <w:p w14:paraId="4797A40A"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User experience design is a critical factor in the effectiveness of digital learning platforms (Nielsen, 1994; Norman, 2013). Research suggests that a poorly designed website can reduce user engagement and limit the educational benefit of the digital resources provided. Due to the range of </w:t>
      </w:r>
      <w:proofErr w:type="gramStart"/>
      <w:r w:rsidRPr="00DE462F">
        <w:rPr>
          <w:rFonts w:asciiTheme="majorHAnsi" w:eastAsia="Times New Roman" w:hAnsiTheme="majorHAnsi" w:cs="Times New Roman"/>
          <w:b/>
          <w:bCs/>
          <w:color w:val="000000"/>
          <w:kern w:val="0"/>
          <w:lang w:eastAsia="en-GB"/>
          <w14:ligatures w14:val="none"/>
        </w:rPr>
        <w:t>users</w:t>
      </w:r>
      <w:proofErr w:type="gramEnd"/>
      <w:r w:rsidRPr="00DE462F">
        <w:rPr>
          <w:rFonts w:asciiTheme="majorHAnsi" w:eastAsia="Times New Roman" w:hAnsiTheme="majorHAnsi" w:cs="Times New Roman"/>
          <w:b/>
          <w:bCs/>
          <w:color w:val="000000"/>
          <w:kern w:val="0"/>
          <w:lang w:eastAsia="en-GB"/>
          <w14:ligatures w14:val="none"/>
        </w:rPr>
        <w:t xml:space="preserve"> digital literacy skills and the literacy levels of the individuals, general accessibility is extremely important and this should be heavily focused on in the design of the website (ISO, 2018). Responsive design will ensure that content is accessible across devices, enhancing both usability and engagement for its users (Selwyn, 2016).</w:t>
      </w:r>
    </w:p>
    <w:p w14:paraId="1F7CFF75"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Usability principles emphasises simplicity, clarity and accessibility partnered with a well-structured layout which is important for users with a variety of digital literacy levels (Nielsen, 1994). In sport context, users will often access digital content </w:t>
      </w:r>
      <w:proofErr w:type="gramStart"/>
      <w:r w:rsidRPr="00DE462F">
        <w:rPr>
          <w:rFonts w:asciiTheme="majorHAnsi" w:eastAsia="Times New Roman" w:hAnsiTheme="majorHAnsi" w:cs="Times New Roman"/>
          <w:b/>
          <w:bCs/>
          <w:color w:val="000000"/>
          <w:kern w:val="0"/>
          <w:lang w:eastAsia="en-GB"/>
          <w14:ligatures w14:val="none"/>
        </w:rPr>
        <w:t>through the use of</w:t>
      </w:r>
      <w:proofErr w:type="gramEnd"/>
      <w:r w:rsidRPr="00DE462F">
        <w:rPr>
          <w:rFonts w:asciiTheme="majorHAnsi" w:eastAsia="Times New Roman" w:hAnsiTheme="majorHAnsi" w:cs="Times New Roman"/>
          <w:b/>
          <w:bCs/>
          <w:color w:val="000000"/>
          <w:kern w:val="0"/>
          <w:lang w:eastAsia="en-GB"/>
          <w14:ligatures w14:val="none"/>
        </w:rPr>
        <w:t xml:space="preserve"> their mobile devices which highlights the importance of responsive design (Selwyn, 2016). Another way of ensuring that the digital information is used effectively and in the desired ways is by providing its users with the option to track and save their progress whilst using the website (Zimmerman, 2002).</w:t>
      </w:r>
    </w:p>
    <w:p w14:paraId="1960ED98"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In the grassroots football settings, accessibility for its users when regarding to the website is also heavily influenced by time constraints and competing commitments making it essential for users to have the digital information provided in the most efficient and simplistic way possible. Engagement can be enhanced when content is visually appealing, is easy to navigate and is directly relevant to its </w:t>
      </w:r>
      <w:proofErr w:type="gramStart"/>
      <w:r w:rsidRPr="00DE462F">
        <w:rPr>
          <w:rFonts w:asciiTheme="majorHAnsi" w:eastAsia="Times New Roman" w:hAnsiTheme="majorHAnsi" w:cs="Times New Roman"/>
          <w:b/>
          <w:bCs/>
          <w:color w:val="000000"/>
          <w:kern w:val="0"/>
          <w:lang w:eastAsia="en-GB"/>
          <w14:ligatures w14:val="none"/>
        </w:rPr>
        <w:t>users</w:t>
      </w:r>
      <w:proofErr w:type="gramEnd"/>
      <w:r w:rsidRPr="00DE462F">
        <w:rPr>
          <w:rFonts w:asciiTheme="majorHAnsi" w:eastAsia="Times New Roman" w:hAnsiTheme="majorHAnsi" w:cs="Times New Roman"/>
          <w:b/>
          <w:bCs/>
          <w:color w:val="000000"/>
          <w:kern w:val="0"/>
          <w:lang w:eastAsia="en-GB"/>
          <w14:ligatures w14:val="none"/>
        </w:rPr>
        <w:t xml:space="preserve"> goals (Norman, 2013). Motivational design theories suggest that autonomy, competence and relatedness can increase user engagement which can also be supported via interactive website features (Deci and Ryan, 2000). For grassroots football clubs a user centred design ensures that digital platforms remain both sustainable and practical for its users (Reeves and Reeves, 2015). Therefore, a website developed for Sandfields football club must prioritise usability and engagement to maximise its desired impact.</w:t>
      </w:r>
    </w:p>
    <w:p w14:paraId="36879BA3" w14:textId="07D2FD6E"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p w14:paraId="0B6A97A2" w14:textId="77777777" w:rsidR="00DE462F" w:rsidRPr="00DE462F" w:rsidRDefault="00DE462F" w:rsidP="00DE462F">
      <w:pPr>
        <w:spacing w:before="100" w:beforeAutospacing="1" w:after="100" w:afterAutospacing="1" w:line="360" w:lineRule="auto"/>
        <w:jc w:val="both"/>
        <w:outlineLvl w:val="2"/>
        <w:rPr>
          <w:rFonts w:asciiTheme="majorHAnsi" w:eastAsia="Times New Roman" w:hAnsiTheme="majorHAnsi" w:cs="Times New Roman"/>
          <w:b/>
          <w:bCs/>
          <w:color w:val="000000"/>
          <w:kern w:val="0"/>
          <w:sz w:val="27"/>
          <w:szCs w:val="27"/>
          <w:lang w:eastAsia="en-GB"/>
          <w14:ligatures w14:val="none"/>
        </w:rPr>
      </w:pPr>
      <w:r w:rsidRPr="00DE462F">
        <w:rPr>
          <w:rFonts w:asciiTheme="majorHAnsi" w:eastAsia="Times New Roman" w:hAnsiTheme="majorHAnsi" w:cs="Times New Roman"/>
          <w:b/>
          <w:bCs/>
          <w:color w:val="000000"/>
          <w:kern w:val="0"/>
          <w:sz w:val="27"/>
          <w:szCs w:val="27"/>
          <w:lang w:eastAsia="en-GB"/>
          <w14:ligatures w14:val="none"/>
        </w:rPr>
        <w:t xml:space="preserve">Research </w:t>
      </w:r>
      <w:proofErr w:type="gramStart"/>
      <w:r w:rsidRPr="00DE462F">
        <w:rPr>
          <w:rFonts w:asciiTheme="majorHAnsi" w:eastAsia="Times New Roman" w:hAnsiTheme="majorHAnsi" w:cs="Times New Roman"/>
          <w:b/>
          <w:bCs/>
          <w:color w:val="000000"/>
          <w:kern w:val="0"/>
          <w:sz w:val="27"/>
          <w:szCs w:val="27"/>
          <w:lang w:eastAsia="en-GB"/>
          <w14:ligatures w14:val="none"/>
        </w:rPr>
        <w:t>gaps</w:t>
      </w:r>
      <w:proofErr w:type="gramEnd"/>
    </w:p>
    <w:p w14:paraId="1347C60C"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Whilst extensive research exists on digital technology in the elite sporting environments, limited attention has been focused on community-based sporting settings (Bailey et al., 2010; Collins, Abraham and Collins, 2012). Few studies explore the development of club-specific websites that are designed to support both coaches and players simultaneously. Additionally, the literature lacks practical implementation of digital platforms in community football environments.</w:t>
      </w:r>
    </w:p>
    <w:p w14:paraId="43856392"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Within community settings, enhanced levels of communication </w:t>
      </w:r>
      <w:proofErr w:type="gramStart"/>
      <w:r w:rsidRPr="00DE462F">
        <w:rPr>
          <w:rFonts w:asciiTheme="majorHAnsi" w:eastAsia="Times New Roman" w:hAnsiTheme="majorHAnsi" w:cs="Times New Roman"/>
          <w:b/>
          <w:bCs/>
          <w:color w:val="000000"/>
          <w:kern w:val="0"/>
          <w:lang w:eastAsia="en-GB"/>
          <w14:ligatures w14:val="none"/>
        </w:rPr>
        <w:t>has</w:t>
      </w:r>
      <w:proofErr w:type="gramEnd"/>
      <w:r w:rsidRPr="00DE462F">
        <w:rPr>
          <w:rFonts w:asciiTheme="majorHAnsi" w:eastAsia="Times New Roman" w:hAnsiTheme="majorHAnsi" w:cs="Times New Roman"/>
          <w:b/>
          <w:bCs/>
          <w:color w:val="000000"/>
          <w:kern w:val="0"/>
          <w:lang w:eastAsia="en-GB"/>
          <w14:ligatures w14:val="none"/>
        </w:rPr>
        <w:t xml:space="preserve"> been linked to both coach and player overall satisfaction. With all the research indicating that there are many inconsistencies in coaching quality within the grassroots environment due to the many variations in coaching education and experiences (Cushion, Armour and Jones, 2012). Despite these potential benefits, the literature reveals a lack of empirical research that examines digital interventions in the grassroots football context.</w:t>
      </w:r>
    </w:p>
    <w:p w14:paraId="6F49AE21"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With </w:t>
      </w:r>
      <w:proofErr w:type="gramStart"/>
      <w:r w:rsidRPr="00DE462F">
        <w:rPr>
          <w:rFonts w:asciiTheme="majorHAnsi" w:eastAsia="Times New Roman" w:hAnsiTheme="majorHAnsi" w:cs="Times New Roman"/>
          <w:b/>
          <w:bCs/>
          <w:color w:val="000000"/>
          <w:kern w:val="0"/>
          <w:lang w:eastAsia="en-GB"/>
          <w14:ligatures w14:val="none"/>
        </w:rPr>
        <w:t>the majority of</w:t>
      </w:r>
      <w:proofErr w:type="gramEnd"/>
      <w:r w:rsidRPr="00DE462F">
        <w:rPr>
          <w:rFonts w:asciiTheme="majorHAnsi" w:eastAsia="Times New Roman" w:hAnsiTheme="majorHAnsi" w:cs="Times New Roman"/>
          <w:b/>
          <w:bCs/>
          <w:color w:val="000000"/>
          <w:kern w:val="0"/>
          <w:lang w:eastAsia="en-GB"/>
          <w14:ligatures w14:val="none"/>
        </w:rPr>
        <w:t xml:space="preserve"> existing research suggesting that academies and elite sporting environments being the only people to have access to such resources it can hinder athlete and coach development at a community level. This gap highlights the need for applied projects in grassroots sport that can translate theory into practice (Kirk and Macdonald, 1998; Renshaw et al., 2019). Developing a website for Sandfields football club provides an opportunity to address this gap and contribute to applied sport technology research.</w:t>
      </w:r>
    </w:p>
    <w:p w14:paraId="78AA1CE0" w14:textId="50F49B54"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p w14:paraId="3122A501" w14:textId="77777777" w:rsidR="00DE462F" w:rsidRPr="00DE462F" w:rsidRDefault="00DE462F" w:rsidP="00DE462F">
      <w:pPr>
        <w:spacing w:before="100" w:beforeAutospacing="1" w:after="100" w:afterAutospacing="1" w:line="360" w:lineRule="auto"/>
        <w:jc w:val="both"/>
        <w:outlineLvl w:val="2"/>
        <w:rPr>
          <w:rFonts w:asciiTheme="majorHAnsi" w:eastAsia="Times New Roman" w:hAnsiTheme="majorHAnsi" w:cs="Times New Roman"/>
          <w:b/>
          <w:bCs/>
          <w:color w:val="000000"/>
          <w:kern w:val="0"/>
          <w:sz w:val="27"/>
          <w:szCs w:val="27"/>
          <w:lang w:eastAsia="en-GB"/>
          <w14:ligatures w14:val="none"/>
        </w:rPr>
      </w:pPr>
      <w:r w:rsidRPr="00DE462F">
        <w:rPr>
          <w:rFonts w:asciiTheme="majorHAnsi" w:eastAsia="Times New Roman" w:hAnsiTheme="majorHAnsi" w:cs="Times New Roman"/>
          <w:b/>
          <w:bCs/>
          <w:color w:val="000000"/>
          <w:kern w:val="0"/>
          <w:sz w:val="27"/>
          <w:szCs w:val="27"/>
          <w:lang w:eastAsia="en-GB"/>
          <w14:ligatures w14:val="none"/>
        </w:rPr>
        <w:t>Justification for applied development</w:t>
      </w:r>
    </w:p>
    <w:p w14:paraId="1920D2EF"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The literature consistently highlights the vast potential of digital platforms and their ability to enhance learning and performance in the footballing world (Anderson, 2019). However, there is limited research examining how these tools have been or can be implemented within the current grassroots environment (Bailey et al., 2010). There are few studies that explore the design and evaluation of club-specific websites that can support both coaches and players simultaneously.</w:t>
      </w:r>
    </w:p>
    <w:p w14:paraId="1B48DDD0"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Additionally, the existing research often lacks contextual detail, making it difficult for many community clubs to apply the findings in practice and utilise any tools that may already be available. Applied development projects have provided opportunities to test theoretical principles in the current real-world settings (</w:t>
      </w:r>
      <w:proofErr w:type="spellStart"/>
      <w:r w:rsidRPr="00DE462F">
        <w:rPr>
          <w:rFonts w:asciiTheme="majorHAnsi" w:eastAsia="Times New Roman" w:hAnsiTheme="majorHAnsi" w:cs="Times New Roman"/>
          <w:b/>
          <w:bCs/>
          <w:color w:val="000000"/>
          <w:kern w:val="0"/>
          <w:lang w:eastAsia="en-GB"/>
          <w14:ligatures w14:val="none"/>
        </w:rPr>
        <w:t>Grecic</w:t>
      </w:r>
      <w:proofErr w:type="spellEnd"/>
      <w:r w:rsidRPr="00DE462F">
        <w:rPr>
          <w:rFonts w:asciiTheme="majorHAnsi" w:eastAsia="Times New Roman" w:hAnsiTheme="majorHAnsi" w:cs="Times New Roman"/>
          <w:b/>
          <w:bCs/>
          <w:color w:val="000000"/>
          <w:kern w:val="0"/>
          <w:lang w:eastAsia="en-GB"/>
          <w14:ligatures w14:val="none"/>
        </w:rPr>
        <w:t xml:space="preserve"> and Collins, 2013). The proposed website for Sandfields football club offers a practical means to translate any of the necessary academic theory and information into some actionable solutions to the current problem.</w:t>
      </w:r>
    </w:p>
    <w:p w14:paraId="557236E0"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This approach aligns with calls for practice-informed research within the sports coaching literature (Kirk and Macdonald, 1998). Research on user experience and player engagement further reinforces the level of importance of contextually appropriate design for the website (Nielsen, 1994). Whilst in general, usability principles have been well established, their application within the grassroots football websites remain under-researched and analysed.</w:t>
      </w:r>
    </w:p>
    <w:p w14:paraId="19AFFFB3"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Community football clubs in many cases often serve a diverse user base, including the coaches, players, parents and administrators who each have distinct needs and levels of digital literacy </w:t>
      </w:r>
      <w:proofErr w:type="gramStart"/>
      <w:r w:rsidRPr="00DE462F">
        <w:rPr>
          <w:rFonts w:asciiTheme="majorHAnsi" w:eastAsia="Times New Roman" w:hAnsiTheme="majorHAnsi" w:cs="Times New Roman"/>
          <w:b/>
          <w:bCs/>
          <w:color w:val="000000"/>
          <w:kern w:val="0"/>
          <w:lang w:eastAsia="en-GB"/>
          <w14:ligatures w14:val="none"/>
        </w:rPr>
        <w:t>in order to</w:t>
      </w:r>
      <w:proofErr w:type="gramEnd"/>
      <w:r w:rsidRPr="00DE462F">
        <w:rPr>
          <w:rFonts w:asciiTheme="majorHAnsi" w:eastAsia="Times New Roman" w:hAnsiTheme="majorHAnsi" w:cs="Times New Roman"/>
          <w:b/>
          <w:bCs/>
          <w:color w:val="000000"/>
          <w:kern w:val="0"/>
          <w:lang w:eastAsia="en-GB"/>
          <w14:ligatures w14:val="none"/>
        </w:rPr>
        <w:t xml:space="preserve"> perform in their roles. The literature on hand lacks any detailed case studies examining how digital platforms can affectively accommodate these varied stakeholders within a single system.</w:t>
      </w:r>
    </w:p>
    <w:p w14:paraId="0FF14514"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This absence of applied evidence highlights the value of practical website development projects informed by academic theory. Looking at it from a broader perspective, sport coaching research has increasingly called for practice-based inquiry that bridges the gap between both theory and application (Renshaw et al., 2019). Any use of applied projects can enable researchers and practitioners to test theoretical frameworks in authentic environments, generating contextually relevant insights to look at and use.</w:t>
      </w:r>
    </w:p>
    <w:p w14:paraId="35F3DBF2"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The development of a website for Sandfields football club responds directly to the call by operationalising learning theories, coaching frameworks, and usability principles within the real-world grassroots setting. This approach aligns with the contemporary research paradigms that value situated learning and reflective practices (Kirk and Macdonald, 1998).</w:t>
      </w:r>
    </w:p>
    <w:p w14:paraId="674997EC"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The justification for applied digital development is further strengthened by the community role of a grassroots football club in the UK. Clubs such as Sandfields football club serve not only as sporting organisations but also as a social hub and an education environment. The use of digital platforms can enhance this role by supporting communication, inclusion and long-term participation (Bailey et al., 2010). However, without applied research examining implementation at club level, these potential benefits remain largely theoretical.</w:t>
      </w:r>
    </w:p>
    <w:p w14:paraId="0D561DBE"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The development of a website like this can provide an opportunity to evaluate how digital learning principles can be adapted to grassroots football constraints. It can also enable the examination of how coaches and players engage with digital resources within the community sport context. By addressing these gaps, the project contributes to both academic understanding and practical innovation in football development for both coaches and players at the desired level.</w:t>
      </w:r>
    </w:p>
    <w:p w14:paraId="3BBFAFCE"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This </w:t>
      </w:r>
      <w:proofErr w:type="gramStart"/>
      <w:r w:rsidRPr="00DE462F">
        <w:rPr>
          <w:rFonts w:asciiTheme="majorHAnsi" w:eastAsia="Times New Roman" w:hAnsiTheme="majorHAnsi" w:cs="Times New Roman"/>
          <w:b/>
          <w:bCs/>
          <w:color w:val="000000"/>
          <w:kern w:val="0"/>
          <w:lang w:eastAsia="en-GB"/>
          <w14:ligatures w14:val="none"/>
        </w:rPr>
        <w:t>particular analysis</w:t>
      </w:r>
      <w:proofErr w:type="gramEnd"/>
      <w:r w:rsidRPr="00DE462F">
        <w:rPr>
          <w:rFonts w:asciiTheme="majorHAnsi" w:eastAsia="Times New Roman" w:hAnsiTheme="majorHAnsi" w:cs="Times New Roman"/>
          <w:b/>
          <w:bCs/>
          <w:color w:val="000000"/>
          <w:kern w:val="0"/>
          <w:lang w:eastAsia="en-GB"/>
          <w14:ligatures w14:val="none"/>
        </w:rPr>
        <w:t xml:space="preserve"> directly justifies progression to element 3, which focuses on the applied design, development, and evolution of the proposed website. Element 3 will operationalise the theoretical insights identified within this literature review, therefore translating them into a functional digital platform tailored to Sandfields football club. The completion of element 3 is therefore essential to demonstrate both the practicality and sustainability of the website.</w:t>
      </w:r>
    </w:p>
    <w:p w14:paraId="43C84B00" w14:textId="13F85A40"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p w14:paraId="75F21EAE" w14:textId="77777777" w:rsidR="00DE462F" w:rsidRPr="00DE462F" w:rsidRDefault="00DE462F" w:rsidP="00DE462F">
      <w:pPr>
        <w:spacing w:before="100" w:beforeAutospacing="1" w:after="100" w:afterAutospacing="1" w:line="360" w:lineRule="auto"/>
        <w:jc w:val="both"/>
        <w:outlineLvl w:val="1"/>
        <w:rPr>
          <w:rFonts w:asciiTheme="majorHAnsi" w:eastAsia="Times New Roman" w:hAnsiTheme="majorHAnsi" w:cs="Times New Roman"/>
          <w:b/>
          <w:bCs/>
          <w:color w:val="000000"/>
          <w:kern w:val="0"/>
          <w:sz w:val="36"/>
          <w:szCs w:val="36"/>
          <w:lang w:eastAsia="en-GB"/>
          <w14:ligatures w14:val="none"/>
        </w:rPr>
      </w:pPr>
      <w:r w:rsidRPr="00DE462F">
        <w:rPr>
          <w:rFonts w:asciiTheme="majorHAnsi" w:eastAsia="Times New Roman" w:hAnsiTheme="majorHAnsi" w:cs="Times New Roman"/>
          <w:b/>
          <w:bCs/>
          <w:color w:val="000000"/>
          <w:kern w:val="0"/>
          <w:sz w:val="36"/>
          <w:szCs w:val="36"/>
          <w:lang w:eastAsia="en-GB"/>
          <w14:ligatures w14:val="none"/>
        </w:rPr>
        <w:t>Conclusion</w:t>
      </w:r>
    </w:p>
    <w:p w14:paraId="648FF7B0"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This literature review has demonstrated that digital platforms have the significant potential to support skill development and performance within football environments (Anderson, 2019). Theoretical frameworks from learning science and coaching research support the development and use of web-based resources to enhance both player and coach development (Kolb, 1984; </w:t>
      </w:r>
      <w:proofErr w:type="spellStart"/>
      <w:r w:rsidRPr="00DE462F">
        <w:rPr>
          <w:rFonts w:asciiTheme="majorHAnsi" w:eastAsia="Times New Roman" w:hAnsiTheme="majorHAnsi" w:cs="Times New Roman"/>
          <w:b/>
          <w:bCs/>
          <w:color w:val="000000"/>
          <w:kern w:val="0"/>
          <w:lang w:eastAsia="en-GB"/>
          <w14:ligatures w14:val="none"/>
        </w:rPr>
        <w:t>Côté</w:t>
      </w:r>
      <w:proofErr w:type="spellEnd"/>
      <w:r w:rsidRPr="00DE462F">
        <w:rPr>
          <w:rFonts w:asciiTheme="majorHAnsi" w:eastAsia="Times New Roman" w:hAnsiTheme="majorHAnsi" w:cs="Times New Roman"/>
          <w:b/>
          <w:bCs/>
          <w:color w:val="000000"/>
          <w:kern w:val="0"/>
          <w:lang w:eastAsia="en-GB"/>
          <w14:ligatures w14:val="none"/>
        </w:rPr>
        <w:t xml:space="preserve"> and Gilbert, 2009). User experience literature emphasises the necessity and importance of an accessible and engaging design, particularly in the grassroots contexts (Nielsen, 1994; ISO, 2018).</w:t>
      </w:r>
    </w:p>
    <w:p w14:paraId="021E0C29"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Despite this, existing research levels have a lack of applied digital solutions tailored to community football clubs (Bailey et al., 2010). The proposed website for Sandfields football club is therefore justified as a practical response to the identified gaps in the literature. Element 3 will build upon this review by applying theoretical insights to the design, development and evaluation of a functional digital </w:t>
      </w:r>
      <w:proofErr w:type="spellStart"/>
      <w:r w:rsidRPr="00DE462F">
        <w:rPr>
          <w:rFonts w:asciiTheme="majorHAnsi" w:eastAsia="Times New Roman" w:hAnsiTheme="majorHAnsi" w:cs="Times New Roman"/>
          <w:b/>
          <w:bCs/>
          <w:color w:val="000000"/>
          <w:kern w:val="0"/>
          <w:lang w:eastAsia="en-GB"/>
          <w14:ligatures w14:val="none"/>
        </w:rPr>
        <w:t>platfrom</w:t>
      </w:r>
      <w:proofErr w:type="spellEnd"/>
      <w:r w:rsidRPr="00DE462F">
        <w:rPr>
          <w:rFonts w:asciiTheme="majorHAnsi" w:eastAsia="Times New Roman" w:hAnsiTheme="majorHAnsi" w:cs="Times New Roman"/>
          <w:b/>
          <w:bCs/>
          <w:color w:val="000000"/>
          <w:kern w:val="0"/>
          <w:lang w:eastAsia="en-GB"/>
          <w14:ligatures w14:val="none"/>
        </w:rPr>
        <w:t>.</w:t>
      </w:r>
    </w:p>
    <w:p w14:paraId="55C51F9D"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Completing element 3 is essential to demonstrate how academic theory can inform real-world solutions that enhance coaching practice and player development within grassroots football. The reviewed literature demonstrates that digital platforms are becoming increasingly recognised as effective tools for enhancing learning, communication and performance in football environments. However, it is evident that much of the existing research has focused more on the elite sporting environments and professional football settings, which limits its direct applicability to grassroots football clubs (Bailey et al., 2010).</w:t>
      </w:r>
    </w:p>
    <w:p w14:paraId="065AB603"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This imbalance highlights a clear need for context-specific digital solutions that align with the realities of community-based football organisations. The literature on skill acquisition and learning theory emphasises that effective player development requires opportunities for repetition, reflection and conceptual understanding (Ericsson, </w:t>
      </w:r>
      <w:proofErr w:type="spellStart"/>
      <w:r w:rsidRPr="00DE462F">
        <w:rPr>
          <w:rFonts w:asciiTheme="majorHAnsi" w:eastAsia="Times New Roman" w:hAnsiTheme="majorHAnsi" w:cs="Times New Roman"/>
          <w:b/>
          <w:bCs/>
          <w:color w:val="000000"/>
          <w:kern w:val="0"/>
          <w:lang w:eastAsia="en-GB"/>
          <w14:ligatures w14:val="none"/>
        </w:rPr>
        <w:t>Krampe</w:t>
      </w:r>
      <w:proofErr w:type="spellEnd"/>
      <w:r w:rsidRPr="00DE462F">
        <w:rPr>
          <w:rFonts w:asciiTheme="majorHAnsi" w:eastAsia="Times New Roman" w:hAnsiTheme="majorHAnsi" w:cs="Times New Roman"/>
          <w:b/>
          <w:bCs/>
          <w:color w:val="000000"/>
          <w:kern w:val="0"/>
          <w:lang w:eastAsia="en-GB"/>
          <w14:ligatures w14:val="none"/>
        </w:rPr>
        <w:t xml:space="preserve"> and </w:t>
      </w:r>
      <w:proofErr w:type="spellStart"/>
      <w:r w:rsidRPr="00DE462F">
        <w:rPr>
          <w:rFonts w:asciiTheme="majorHAnsi" w:eastAsia="Times New Roman" w:hAnsiTheme="majorHAnsi" w:cs="Times New Roman"/>
          <w:b/>
          <w:bCs/>
          <w:color w:val="000000"/>
          <w:kern w:val="0"/>
          <w:lang w:eastAsia="en-GB"/>
          <w14:ligatures w14:val="none"/>
        </w:rPr>
        <w:t>Tesch-Römer</w:t>
      </w:r>
      <w:proofErr w:type="spellEnd"/>
      <w:r w:rsidRPr="00DE462F">
        <w:rPr>
          <w:rFonts w:asciiTheme="majorHAnsi" w:eastAsia="Times New Roman" w:hAnsiTheme="majorHAnsi" w:cs="Times New Roman"/>
          <w:b/>
          <w:bCs/>
          <w:color w:val="000000"/>
          <w:kern w:val="0"/>
          <w:lang w:eastAsia="en-GB"/>
          <w14:ligatures w14:val="none"/>
        </w:rPr>
        <w:t>, 1993; Kolb, 1984). Digital platforms are well suited to support these processes by enabling players to access instructional resources beyond formal training sessions.</w:t>
      </w:r>
    </w:p>
    <w:p w14:paraId="610551C0" w14:textId="77777777" w:rsidR="00DE462F" w:rsidRP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 xml:space="preserve">Research also suggests that self-directed and autonomy-supportive learning environments enhance motivation and engagement for both players and coaches particularly in youth and amateur sport contexts (Deci and Ryan, 2000; Biddle et al., 2003). Despite </w:t>
      </w:r>
      <w:proofErr w:type="gramStart"/>
      <w:r w:rsidRPr="00DE462F">
        <w:rPr>
          <w:rFonts w:asciiTheme="majorHAnsi" w:eastAsia="Times New Roman" w:hAnsiTheme="majorHAnsi" w:cs="Times New Roman"/>
          <w:b/>
          <w:bCs/>
          <w:color w:val="000000"/>
          <w:kern w:val="0"/>
          <w:lang w:eastAsia="en-GB"/>
          <w14:ligatures w14:val="none"/>
        </w:rPr>
        <w:t>all of</w:t>
      </w:r>
      <w:proofErr w:type="gramEnd"/>
      <w:r w:rsidRPr="00DE462F">
        <w:rPr>
          <w:rFonts w:asciiTheme="majorHAnsi" w:eastAsia="Times New Roman" w:hAnsiTheme="majorHAnsi" w:cs="Times New Roman"/>
          <w:b/>
          <w:bCs/>
          <w:color w:val="000000"/>
          <w:kern w:val="0"/>
          <w:lang w:eastAsia="en-GB"/>
          <w14:ligatures w14:val="none"/>
        </w:rPr>
        <w:t xml:space="preserve"> this there is limited guidance on how digital learning principles can and should be operationalised within grassroots football clubs. This major gap reinforces the importance of applied projects that translate theoretical learning frameworks into practical tools for community clubs.</w:t>
      </w:r>
    </w:p>
    <w:p w14:paraId="241E2997" w14:textId="77777777" w:rsidR="00DE462F" w:rsidRDefault="00DE462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r w:rsidRPr="00DE462F">
        <w:rPr>
          <w:rFonts w:asciiTheme="majorHAnsi" w:eastAsia="Times New Roman" w:hAnsiTheme="majorHAnsi" w:cs="Times New Roman"/>
          <w:b/>
          <w:bCs/>
          <w:color w:val="000000"/>
          <w:kern w:val="0"/>
          <w:lang w:eastAsia="en-GB"/>
          <w14:ligatures w14:val="none"/>
        </w:rPr>
        <w:t>Overall, this literature review has highlighted the importance of the use of digital tools to the development of both the development of players and coaches, it also highlights the massive gaps between grassroots and elite sporting environments that needs to be closed.</w:t>
      </w:r>
    </w:p>
    <w:p w14:paraId="143DCB0A" w14:textId="77777777" w:rsidR="00317D6F" w:rsidRPr="00317D6F" w:rsidRDefault="00317D6F" w:rsidP="00317D6F">
      <w:pPr>
        <w:spacing w:before="100" w:beforeAutospacing="1" w:after="100" w:afterAutospacing="1"/>
        <w:outlineLvl w:val="1"/>
        <w:rPr>
          <w:rFonts w:asciiTheme="majorHAnsi" w:eastAsia="Times New Roman" w:hAnsiTheme="majorHAnsi" w:cs="Times New Roman"/>
          <w:b/>
          <w:bCs/>
          <w:color w:val="000000"/>
          <w:kern w:val="0"/>
          <w:sz w:val="36"/>
          <w:szCs w:val="36"/>
          <w:lang w:eastAsia="en-GB"/>
          <w14:ligatures w14:val="none"/>
        </w:rPr>
      </w:pPr>
      <w:r w:rsidRPr="00317D6F">
        <w:rPr>
          <w:rFonts w:asciiTheme="majorHAnsi" w:eastAsia="Times New Roman" w:hAnsiTheme="majorHAnsi" w:cs="Times New Roman"/>
          <w:b/>
          <w:bCs/>
          <w:color w:val="000000"/>
          <w:kern w:val="0"/>
          <w:sz w:val="36"/>
          <w:szCs w:val="36"/>
          <w:lang w:eastAsia="en-GB"/>
          <w14:ligatures w14:val="none"/>
        </w:rPr>
        <w:t>Reference List</w:t>
      </w:r>
    </w:p>
    <w:p w14:paraId="21A301EC"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Anderson, G. (2019). </w:t>
      </w:r>
      <w:r w:rsidRPr="00317D6F">
        <w:rPr>
          <w:rFonts w:asciiTheme="majorHAnsi" w:eastAsia="Times New Roman" w:hAnsiTheme="majorHAnsi" w:cs="Times New Roman"/>
          <w:i/>
          <w:iCs/>
          <w:color w:val="000000"/>
          <w:kern w:val="0"/>
          <w:lang w:eastAsia="en-GB"/>
          <w14:ligatures w14:val="none"/>
        </w:rPr>
        <w:t>Digital learning in sport</w:t>
      </w:r>
      <w:r w:rsidRPr="00317D6F">
        <w:rPr>
          <w:rFonts w:asciiTheme="majorHAnsi" w:eastAsia="Times New Roman" w:hAnsiTheme="majorHAnsi" w:cs="Times New Roman"/>
          <w:color w:val="000000"/>
          <w:kern w:val="0"/>
          <w:lang w:eastAsia="en-GB"/>
          <w14:ligatures w14:val="none"/>
        </w:rPr>
        <w:t>. Abingdon: Routledge.</w:t>
      </w:r>
    </w:p>
    <w:p w14:paraId="058D728F"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Anderson, J.R. (1982). Acquisition of cognitive skill. </w:t>
      </w:r>
      <w:r w:rsidRPr="00317D6F">
        <w:rPr>
          <w:rFonts w:asciiTheme="majorHAnsi" w:eastAsia="Times New Roman" w:hAnsiTheme="majorHAnsi" w:cs="Times New Roman"/>
          <w:i/>
          <w:iCs/>
          <w:color w:val="000000"/>
          <w:kern w:val="0"/>
          <w:lang w:eastAsia="en-GB"/>
          <w14:ligatures w14:val="none"/>
        </w:rPr>
        <w:t>Psychological Review</w:t>
      </w:r>
      <w:r w:rsidRPr="00317D6F">
        <w:rPr>
          <w:rFonts w:asciiTheme="majorHAnsi" w:eastAsia="Times New Roman" w:hAnsiTheme="majorHAnsi" w:cs="Times New Roman"/>
          <w:color w:val="000000"/>
          <w:kern w:val="0"/>
          <w:lang w:eastAsia="en-GB"/>
          <w14:ligatures w14:val="none"/>
        </w:rPr>
        <w:t>, 89(4), pp.369–406.</w:t>
      </w:r>
    </w:p>
    <w:p w14:paraId="1E7097CA"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 xml:space="preserve">Bailey, R., Collins, D., Ford, P., </w:t>
      </w:r>
      <w:proofErr w:type="spellStart"/>
      <w:r w:rsidRPr="00317D6F">
        <w:rPr>
          <w:rFonts w:asciiTheme="majorHAnsi" w:eastAsia="Times New Roman" w:hAnsiTheme="majorHAnsi" w:cs="Times New Roman"/>
          <w:color w:val="000000"/>
          <w:kern w:val="0"/>
          <w:lang w:eastAsia="en-GB"/>
          <w14:ligatures w14:val="none"/>
        </w:rPr>
        <w:t>MacNamara</w:t>
      </w:r>
      <w:proofErr w:type="spellEnd"/>
      <w:r w:rsidRPr="00317D6F">
        <w:rPr>
          <w:rFonts w:asciiTheme="majorHAnsi" w:eastAsia="Times New Roman" w:hAnsiTheme="majorHAnsi" w:cs="Times New Roman"/>
          <w:color w:val="000000"/>
          <w:kern w:val="0"/>
          <w:lang w:eastAsia="en-GB"/>
          <w14:ligatures w14:val="none"/>
        </w:rPr>
        <w:t>, Á., Toms, M. and Pearce, G. (2010). </w:t>
      </w:r>
      <w:r w:rsidRPr="00317D6F">
        <w:rPr>
          <w:rFonts w:asciiTheme="majorHAnsi" w:eastAsia="Times New Roman" w:hAnsiTheme="majorHAnsi" w:cs="Times New Roman"/>
          <w:i/>
          <w:iCs/>
          <w:color w:val="000000"/>
          <w:kern w:val="0"/>
          <w:lang w:eastAsia="en-GB"/>
          <w14:ligatures w14:val="none"/>
        </w:rPr>
        <w:t>Participant development in sport: An academic review</w:t>
      </w:r>
      <w:r w:rsidRPr="00317D6F">
        <w:rPr>
          <w:rFonts w:asciiTheme="majorHAnsi" w:eastAsia="Times New Roman" w:hAnsiTheme="majorHAnsi" w:cs="Times New Roman"/>
          <w:color w:val="000000"/>
          <w:kern w:val="0"/>
          <w:lang w:eastAsia="en-GB"/>
          <w14:ligatures w14:val="none"/>
        </w:rPr>
        <w:t>. Leeds: Sports Coach UK.</w:t>
      </w:r>
    </w:p>
    <w:p w14:paraId="607BF0EE"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Barron, A. and Darling-Hammond, L. (2008). Teaching for meaningful learning. </w:t>
      </w:r>
      <w:r w:rsidRPr="00317D6F">
        <w:rPr>
          <w:rFonts w:asciiTheme="majorHAnsi" w:eastAsia="Times New Roman" w:hAnsiTheme="majorHAnsi" w:cs="Times New Roman"/>
          <w:i/>
          <w:iCs/>
          <w:color w:val="000000"/>
          <w:kern w:val="0"/>
          <w:lang w:eastAsia="en-GB"/>
          <w14:ligatures w14:val="none"/>
        </w:rPr>
        <w:t>Powerful Learning</w:t>
      </w:r>
      <w:r w:rsidRPr="00317D6F">
        <w:rPr>
          <w:rFonts w:asciiTheme="majorHAnsi" w:eastAsia="Times New Roman" w:hAnsiTheme="majorHAnsi" w:cs="Times New Roman"/>
          <w:color w:val="000000"/>
          <w:kern w:val="0"/>
          <w:lang w:eastAsia="en-GB"/>
          <w14:ligatures w14:val="none"/>
        </w:rPr>
        <w:t>, 1(1), pp.11–70.</w:t>
      </w:r>
    </w:p>
    <w:p w14:paraId="0DD6BE6B"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 xml:space="preserve">Biddle, S.J.H., Wang, C.K.J., </w:t>
      </w:r>
      <w:proofErr w:type="spellStart"/>
      <w:r w:rsidRPr="00317D6F">
        <w:rPr>
          <w:rFonts w:asciiTheme="majorHAnsi" w:eastAsia="Times New Roman" w:hAnsiTheme="majorHAnsi" w:cs="Times New Roman"/>
          <w:color w:val="000000"/>
          <w:kern w:val="0"/>
          <w:lang w:eastAsia="en-GB"/>
          <w14:ligatures w14:val="none"/>
        </w:rPr>
        <w:t>Kavussanu</w:t>
      </w:r>
      <w:proofErr w:type="spellEnd"/>
      <w:r w:rsidRPr="00317D6F">
        <w:rPr>
          <w:rFonts w:asciiTheme="majorHAnsi" w:eastAsia="Times New Roman" w:hAnsiTheme="majorHAnsi" w:cs="Times New Roman"/>
          <w:color w:val="000000"/>
          <w:kern w:val="0"/>
          <w:lang w:eastAsia="en-GB"/>
          <w14:ligatures w14:val="none"/>
        </w:rPr>
        <w:t>, M. and Spray, C.M. (2003). Correlates of achievement goal orientations in physical activity. </w:t>
      </w:r>
      <w:r w:rsidRPr="00317D6F">
        <w:rPr>
          <w:rFonts w:asciiTheme="majorHAnsi" w:eastAsia="Times New Roman" w:hAnsiTheme="majorHAnsi" w:cs="Times New Roman"/>
          <w:i/>
          <w:iCs/>
          <w:color w:val="000000"/>
          <w:kern w:val="0"/>
          <w:lang w:eastAsia="en-GB"/>
          <w14:ligatures w14:val="none"/>
        </w:rPr>
        <w:t>Journal of Sports Sciences</w:t>
      </w:r>
      <w:r w:rsidRPr="00317D6F">
        <w:rPr>
          <w:rFonts w:asciiTheme="majorHAnsi" w:eastAsia="Times New Roman" w:hAnsiTheme="majorHAnsi" w:cs="Times New Roman"/>
          <w:color w:val="000000"/>
          <w:kern w:val="0"/>
          <w:lang w:eastAsia="en-GB"/>
          <w14:ligatures w14:val="none"/>
        </w:rPr>
        <w:t>, 21(11), pp.829–841.</w:t>
      </w:r>
    </w:p>
    <w:p w14:paraId="0253CE31"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proofErr w:type="spellStart"/>
      <w:r w:rsidRPr="00317D6F">
        <w:rPr>
          <w:rFonts w:asciiTheme="majorHAnsi" w:eastAsia="Times New Roman" w:hAnsiTheme="majorHAnsi" w:cs="Times New Roman"/>
          <w:color w:val="000000"/>
          <w:kern w:val="0"/>
          <w:lang w:eastAsia="en-GB"/>
          <w14:ligatures w14:val="none"/>
        </w:rPr>
        <w:t>Boud</w:t>
      </w:r>
      <w:proofErr w:type="spellEnd"/>
      <w:r w:rsidRPr="00317D6F">
        <w:rPr>
          <w:rFonts w:asciiTheme="majorHAnsi" w:eastAsia="Times New Roman" w:hAnsiTheme="majorHAnsi" w:cs="Times New Roman"/>
          <w:color w:val="000000"/>
          <w:kern w:val="0"/>
          <w:lang w:eastAsia="en-GB"/>
          <w14:ligatures w14:val="none"/>
        </w:rPr>
        <w:t>, D., Keogh, R. and Walker, D. (1985). </w:t>
      </w:r>
      <w:r w:rsidRPr="00317D6F">
        <w:rPr>
          <w:rFonts w:asciiTheme="majorHAnsi" w:eastAsia="Times New Roman" w:hAnsiTheme="majorHAnsi" w:cs="Times New Roman"/>
          <w:i/>
          <w:iCs/>
          <w:color w:val="000000"/>
          <w:kern w:val="0"/>
          <w:lang w:eastAsia="en-GB"/>
          <w14:ligatures w14:val="none"/>
        </w:rPr>
        <w:t>Reflection: Turning experience into learning</w:t>
      </w:r>
      <w:r w:rsidRPr="00317D6F">
        <w:rPr>
          <w:rFonts w:asciiTheme="majorHAnsi" w:eastAsia="Times New Roman" w:hAnsiTheme="majorHAnsi" w:cs="Times New Roman"/>
          <w:color w:val="000000"/>
          <w:kern w:val="0"/>
          <w:lang w:eastAsia="en-GB"/>
          <w14:ligatures w14:val="none"/>
        </w:rPr>
        <w:t>. London: Kogan Page.</w:t>
      </w:r>
    </w:p>
    <w:p w14:paraId="6419CD92"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Brewer, C. and Jones, R.L. (2002). A five-stage process for establishing contextually valid systematic observation instruments. </w:t>
      </w:r>
      <w:r w:rsidRPr="00317D6F">
        <w:rPr>
          <w:rFonts w:asciiTheme="majorHAnsi" w:eastAsia="Times New Roman" w:hAnsiTheme="majorHAnsi" w:cs="Times New Roman"/>
          <w:i/>
          <w:iCs/>
          <w:color w:val="000000"/>
          <w:kern w:val="0"/>
          <w:lang w:eastAsia="en-GB"/>
          <w14:ligatures w14:val="none"/>
        </w:rPr>
        <w:t>The Sport Psychologist</w:t>
      </w:r>
      <w:r w:rsidRPr="00317D6F">
        <w:rPr>
          <w:rFonts w:asciiTheme="majorHAnsi" w:eastAsia="Times New Roman" w:hAnsiTheme="majorHAnsi" w:cs="Times New Roman"/>
          <w:color w:val="000000"/>
          <w:kern w:val="0"/>
          <w:lang w:eastAsia="en-GB"/>
          <w14:ligatures w14:val="none"/>
        </w:rPr>
        <w:t>, 16(2), pp.138–159.</w:t>
      </w:r>
    </w:p>
    <w:p w14:paraId="4CF0347B"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Carling, C., Williams, A.M. and Reilly, T. (2014). </w:t>
      </w:r>
      <w:r w:rsidRPr="00317D6F">
        <w:rPr>
          <w:rFonts w:asciiTheme="majorHAnsi" w:eastAsia="Times New Roman" w:hAnsiTheme="majorHAnsi" w:cs="Times New Roman"/>
          <w:i/>
          <w:iCs/>
          <w:color w:val="000000"/>
          <w:kern w:val="0"/>
          <w:lang w:eastAsia="en-GB"/>
          <w14:ligatures w14:val="none"/>
        </w:rPr>
        <w:t>Handbook of soccer match analysis: A systematic approach to improving performance</w:t>
      </w:r>
      <w:r w:rsidRPr="00317D6F">
        <w:rPr>
          <w:rFonts w:asciiTheme="majorHAnsi" w:eastAsia="Times New Roman" w:hAnsiTheme="majorHAnsi" w:cs="Times New Roman"/>
          <w:color w:val="000000"/>
          <w:kern w:val="0"/>
          <w:lang w:eastAsia="en-GB"/>
          <w14:ligatures w14:val="none"/>
        </w:rPr>
        <w:t>. Abingdon: Routledge.</w:t>
      </w:r>
    </w:p>
    <w:p w14:paraId="361A2661"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Collins, D., Abraham, A. and Collins, R. (2012). On vampires and wolves: Exposure to complexity in the development of expertise. </w:t>
      </w:r>
      <w:r w:rsidRPr="00317D6F">
        <w:rPr>
          <w:rFonts w:asciiTheme="majorHAnsi" w:eastAsia="Times New Roman" w:hAnsiTheme="majorHAnsi" w:cs="Times New Roman"/>
          <w:i/>
          <w:iCs/>
          <w:color w:val="000000"/>
          <w:kern w:val="0"/>
          <w:lang w:eastAsia="en-GB"/>
          <w14:ligatures w14:val="none"/>
        </w:rPr>
        <w:t>Educational Philosophy and Theory</w:t>
      </w:r>
      <w:r w:rsidRPr="00317D6F">
        <w:rPr>
          <w:rFonts w:asciiTheme="majorHAnsi" w:eastAsia="Times New Roman" w:hAnsiTheme="majorHAnsi" w:cs="Times New Roman"/>
          <w:color w:val="000000"/>
          <w:kern w:val="0"/>
          <w:lang w:eastAsia="en-GB"/>
          <w14:ligatures w14:val="none"/>
        </w:rPr>
        <w:t>, 44(9), pp.907–924.</w:t>
      </w:r>
    </w:p>
    <w:p w14:paraId="243F2CF5"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proofErr w:type="spellStart"/>
      <w:r w:rsidRPr="00317D6F">
        <w:rPr>
          <w:rFonts w:asciiTheme="majorHAnsi" w:eastAsia="Times New Roman" w:hAnsiTheme="majorHAnsi" w:cs="Times New Roman"/>
          <w:color w:val="000000"/>
          <w:kern w:val="0"/>
          <w:lang w:eastAsia="en-GB"/>
          <w14:ligatures w14:val="none"/>
        </w:rPr>
        <w:t>Côté</w:t>
      </w:r>
      <w:proofErr w:type="spellEnd"/>
      <w:r w:rsidRPr="00317D6F">
        <w:rPr>
          <w:rFonts w:asciiTheme="majorHAnsi" w:eastAsia="Times New Roman" w:hAnsiTheme="majorHAnsi" w:cs="Times New Roman"/>
          <w:color w:val="000000"/>
          <w:kern w:val="0"/>
          <w:lang w:eastAsia="en-GB"/>
          <w14:ligatures w14:val="none"/>
        </w:rPr>
        <w:t>, J. and Gilbert, W. (2009). An integrative definition of coaching effectiveness and expertise. </w:t>
      </w:r>
      <w:r w:rsidRPr="00317D6F">
        <w:rPr>
          <w:rFonts w:asciiTheme="majorHAnsi" w:eastAsia="Times New Roman" w:hAnsiTheme="majorHAnsi" w:cs="Times New Roman"/>
          <w:i/>
          <w:iCs/>
          <w:color w:val="000000"/>
          <w:kern w:val="0"/>
          <w:lang w:eastAsia="en-GB"/>
          <w14:ligatures w14:val="none"/>
        </w:rPr>
        <w:t>International Journal of Sports Science &amp; Coaching</w:t>
      </w:r>
      <w:r w:rsidRPr="00317D6F">
        <w:rPr>
          <w:rFonts w:asciiTheme="majorHAnsi" w:eastAsia="Times New Roman" w:hAnsiTheme="majorHAnsi" w:cs="Times New Roman"/>
          <w:color w:val="000000"/>
          <w:kern w:val="0"/>
          <w:lang w:eastAsia="en-GB"/>
          <w14:ligatures w14:val="none"/>
        </w:rPr>
        <w:t>, 4(3), pp.307–323.</w:t>
      </w:r>
    </w:p>
    <w:p w14:paraId="26AC850D"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Cushion, C.J. (2013). Applying game-centred approaches in coaching: A critical analysis. </w:t>
      </w:r>
      <w:r w:rsidRPr="00317D6F">
        <w:rPr>
          <w:rFonts w:asciiTheme="majorHAnsi" w:eastAsia="Times New Roman" w:hAnsiTheme="majorHAnsi" w:cs="Times New Roman"/>
          <w:i/>
          <w:iCs/>
          <w:color w:val="000000"/>
          <w:kern w:val="0"/>
          <w:lang w:eastAsia="en-GB"/>
          <w14:ligatures w14:val="none"/>
        </w:rPr>
        <w:t>International Journal of Sports Science &amp; Coaching</w:t>
      </w:r>
      <w:r w:rsidRPr="00317D6F">
        <w:rPr>
          <w:rFonts w:asciiTheme="majorHAnsi" w:eastAsia="Times New Roman" w:hAnsiTheme="majorHAnsi" w:cs="Times New Roman"/>
          <w:color w:val="000000"/>
          <w:kern w:val="0"/>
          <w:lang w:eastAsia="en-GB"/>
          <w14:ligatures w14:val="none"/>
        </w:rPr>
        <w:t>, 8(1), pp.77–90.</w:t>
      </w:r>
    </w:p>
    <w:p w14:paraId="43791997"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Cushion, C.J., Armour, K.M. and Jones, R.L. (2012). Coach education and coaching practice: A critical review. </w:t>
      </w:r>
      <w:r w:rsidRPr="00317D6F">
        <w:rPr>
          <w:rFonts w:asciiTheme="majorHAnsi" w:eastAsia="Times New Roman" w:hAnsiTheme="majorHAnsi" w:cs="Times New Roman"/>
          <w:i/>
          <w:iCs/>
          <w:color w:val="000000"/>
          <w:kern w:val="0"/>
          <w:lang w:eastAsia="en-GB"/>
          <w14:ligatures w14:val="none"/>
        </w:rPr>
        <w:t>Quest</w:t>
      </w:r>
      <w:r w:rsidRPr="00317D6F">
        <w:rPr>
          <w:rFonts w:asciiTheme="majorHAnsi" w:eastAsia="Times New Roman" w:hAnsiTheme="majorHAnsi" w:cs="Times New Roman"/>
          <w:color w:val="000000"/>
          <w:kern w:val="0"/>
          <w:lang w:eastAsia="en-GB"/>
          <w14:ligatures w14:val="none"/>
        </w:rPr>
        <w:t>, 55(3), pp.215–234.</w:t>
      </w:r>
    </w:p>
    <w:p w14:paraId="17D795D7"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Cushion, C.J. and Jones, R.L. (2006). Power, discourse, and symbolic violence in professional youth soccer: The case of Albion Football Club. </w:t>
      </w:r>
      <w:r w:rsidRPr="00317D6F">
        <w:rPr>
          <w:rFonts w:asciiTheme="majorHAnsi" w:eastAsia="Times New Roman" w:hAnsiTheme="majorHAnsi" w:cs="Times New Roman"/>
          <w:i/>
          <w:iCs/>
          <w:color w:val="000000"/>
          <w:kern w:val="0"/>
          <w:lang w:eastAsia="en-GB"/>
          <w14:ligatures w14:val="none"/>
        </w:rPr>
        <w:t>Sociology of Sport Journal</w:t>
      </w:r>
      <w:r w:rsidRPr="00317D6F">
        <w:rPr>
          <w:rFonts w:asciiTheme="majorHAnsi" w:eastAsia="Times New Roman" w:hAnsiTheme="majorHAnsi" w:cs="Times New Roman"/>
          <w:color w:val="000000"/>
          <w:kern w:val="0"/>
          <w:lang w:eastAsia="en-GB"/>
          <w14:ligatures w14:val="none"/>
        </w:rPr>
        <w:t>, 23(2), pp.142–161.</w:t>
      </w:r>
    </w:p>
    <w:p w14:paraId="449C26BB"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Davies, G., Button, C. and Bennett, S. (2008). </w:t>
      </w:r>
      <w:r w:rsidRPr="00317D6F">
        <w:rPr>
          <w:rFonts w:asciiTheme="majorHAnsi" w:eastAsia="Times New Roman" w:hAnsiTheme="majorHAnsi" w:cs="Times New Roman"/>
          <w:i/>
          <w:iCs/>
          <w:color w:val="000000"/>
          <w:kern w:val="0"/>
          <w:lang w:eastAsia="en-GB"/>
          <w14:ligatures w14:val="none"/>
        </w:rPr>
        <w:t>Dynamics of skill acquisition: A constraints-led approach</w:t>
      </w:r>
      <w:r w:rsidRPr="00317D6F">
        <w:rPr>
          <w:rFonts w:asciiTheme="majorHAnsi" w:eastAsia="Times New Roman" w:hAnsiTheme="majorHAnsi" w:cs="Times New Roman"/>
          <w:color w:val="000000"/>
          <w:kern w:val="0"/>
          <w:lang w:eastAsia="en-GB"/>
          <w14:ligatures w14:val="none"/>
        </w:rPr>
        <w:t>. Champaign, IL: Human Kinetics.</w:t>
      </w:r>
    </w:p>
    <w:p w14:paraId="3586B4AB"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 xml:space="preserve">Deci, E.L. and Ryan, R.M. (2000). The “what” and “why” of goal pursuits: Human needs and the self-determination of </w:t>
      </w:r>
      <w:proofErr w:type="spellStart"/>
      <w:r w:rsidRPr="00317D6F">
        <w:rPr>
          <w:rFonts w:asciiTheme="majorHAnsi" w:eastAsia="Times New Roman" w:hAnsiTheme="majorHAnsi" w:cs="Times New Roman"/>
          <w:color w:val="000000"/>
          <w:kern w:val="0"/>
          <w:lang w:eastAsia="en-GB"/>
          <w14:ligatures w14:val="none"/>
        </w:rPr>
        <w:t>behavior</w:t>
      </w:r>
      <w:proofErr w:type="spellEnd"/>
      <w:r w:rsidRPr="00317D6F">
        <w:rPr>
          <w:rFonts w:asciiTheme="majorHAnsi" w:eastAsia="Times New Roman" w:hAnsiTheme="majorHAnsi" w:cs="Times New Roman"/>
          <w:color w:val="000000"/>
          <w:kern w:val="0"/>
          <w:lang w:eastAsia="en-GB"/>
          <w14:ligatures w14:val="none"/>
        </w:rPr>
        <w:t>. </w:t>
      </w:r>
      <w:r w:rsidRPr="00317D6F">
        <w:rPr>
          <w:rFonts w:asciiTheme="majorHAnsi" w:eastAsia="Times New Roman" w:hAnsiTheme="majorHAnsi" w:cs="Times New Roman"/>
          <w:i/>
          <w:iCs/>
          <w:color w:val="000000"/>
          <w:kern w:val="0"/>
          <w:lang w:eastAsia="en-GB"/>
          <w14:ligatures w14:val="none"/>
        </w:rPr>
        <w:t>Psychological Inquiry</w:t>
      </w:r>
      <w:r w:rsidRPr="00317D6F">
        <w:rPr>
          <w:rFonts w:asciiTheme="majorHAnsi" w:eastAsia="Times New Roman" w:hAnsiTheme="majorHAnsi" w:cs="Times New Roman"/>
          <w:color w:val="000000"/>
          <w:kern w:val="0"/>
          <w:lang w:eastAsia="en-GB"/>
          <w14:ligatures w14:val="none"/>
        </w:rPr>
        <w:t>, 11(4), pp.227–268.</w:t>
      </w:r>
    </w:p>
    <w:p w14:paraId="0BCDCAB5"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 xml:space="preserve">Ericsson, K.A., </w:t>
      </w:r>
      <w:proofErr w:type="spellStart"/>
      <w:r w:rsidRPr="00317D6F">
        <w:rPr>
          <w:rFonts w:asciiTheme="majorHAnsi" w:eastAsia="Times New Roman" w:hAnsiTheme="majorHAnsi" w:cs="Times New Roman"/>
          <w:color w:val="000000"/>
          <w:kern w:val="0"/>
          <w:lang w:eastAsia="en-GB"/>
          <w14:ligatures w14:val="none"/>
        </w:rPr>
        <w:t>Krampe</w:t>
      </w:r>
      <w:proofErr w:type="spellEnd"/>
      <w:r w:rsidRPr="00317D6F">
        <w:rPr>
          <w:rFonts w:asciiTheme="majorHAnsi" w:eastAsia="Times New Roman" w:hAnsiTheme="majorHAnsi" w:cs="Times New Roman"/>
          <w:color w:val="000000"/>
          <w:kern w:val="0"/>
          <w:lang w:eastAsia="en-GB"/>
          <w14:ligatures w14:val="none"/>
        </w:rPr>
        <w:t xml:space="preserve">, R.T. and </w:t>
      </w:r>
      <w:proofErr w:type="spellStart"/>
      <w:r w:rsidRPr="00317D6F">
        <w:rPr>
          <w:rFonts w:asciiTheme="majorHAnsi" w:eastAsia="Times New Roman" w:hAnsiTheme="majorHAnsi" w:cs="Times New Roman"/>
          <w:color w:val="000000"/>
          <w:kern w:val="0"/>
          <w:lang w:eastAsia="en-GB"/>
          <w14:ligatures w14:val="none"/>
        </w:rPr>
        <w:t>Tesch-Römer</w:t>
      </w:r>
      <w:proofErr w:type="spellEnd"/>
      <w:r w:rsidRPr="00317D6F">
        <w:rPr>
          <w:rFonts w:asciiTheme="majorHAnsi" w:eastAsia="Times New Roman" w:hAnsiTheme="majorHAnsi" w:cs="Times New Roman"/>
          <w:color w:val="000000"/>
          <w:kern w:val="0"/>
          <w:lang w:eastAsia="en-GB"/>
          <w14:ligatures w14:val="none"/>
        </w:rPr>
        <w:t>, C. (1993). The role of deliberate practice in the acquisition of expert performance. </w:t>
      </w:r>
      <w:r w:rsidRPr="00317D6F">
        <w:rPr>
          <w:rFonts w:asciiTheme="majorHAnsi" w:eastAsia="Times New Roman" w:hAnsiTheme="majorHAnsi" w:cs="Times New Roman"/>
          <w:i/>
          <w:iCs/>
          <w:color w:val="000000"/>
          <w:kern w:val="0"/>
          <w:lang w:eastAsia="en-GB"/>
          <w14:ligatures w14:val="none"/>
        </w:rPr>
        <w:t>Psychological Review</w:t>
      </w:r>
      <w:r w:rsidRPr="00317D6F">
        <w:rPr>
          <w:rFonts w:asciiTheme="majorHAnsi" w:eastAsia="Times New Roman" w:hAnsiTheme="majorHAnsi" w:cs="Times New Roman"/>
          <w:color w:val="000000"/>
          <w:kern w:val="0"/>
          <w:lang w:eastAsia="en-GB"/>
          <w14:ligatures w14:val="none"/>
        </w:rPr>
        <w:t>, 100(3), pp.363–406.</w:t>
      </w:r>
    </w:p>
    <w:p w14:paraId="70E63946"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proofErr w:type="spellStart"/>
      <w:r w:rsidRPr="00317D6F">
        <w:rPr>
          <w:rFonts w:asciiTheme="majorHAnsi" w:eastAsia="Times New Roman" w:hAnsiTheme="majorHAnsi" w:cs="Times New Roman"/>
          <w:color w:val="000000"/>
          <w:kern w:val="0"/>
          <w:lang w:eastAsia="en-GB"/>
          <w14:ligatures w14:val="none"/>
        </w:rPr>
        <w:t>Faude</w:t>
      </w:r>
      <w:proofErr w:type="spellEnd"/>
      <w:r w:rsidRPr="00317D6F">
        <w:rPr>
          <w:rFonts w:asciiTheme="majorHAnsi" w:eastAsia="Times New Roman" w:hAnsiTheme="majorHAnsi" w:cs="Times New Roman"/>
          <w:color w:val="000000"/>
          <w:kern w:val="0"/>
          <w:lang w:eastAsia="en-GB"/>
          <w14:ligatures w14:val="none"/>
        </w:rPr>
        <w:t>, O., Koch, T. and Meyer, T. (2012). Straight sprinting is the most frequent action in goal situations in professional football. </w:t>
      </w:r>
      <w:r w:rsidRPr="00317D6F">
        <w:rPr>
          <w:rFonts w:asciiTheme="majorHAnsi" w:eastAsia="Times New Roman" w:hAnsiTheme="majorHAnsi" w:cs="Times New Roman"/>
          <w:i/>
          <w:iCs/>
          <w:color w:val="000000"/>
          <w:kern w:val="0"/>
          <w:lang w:eastAsia="en-GB"/>
          <w14:ligatures w14:val="none"/>
        </w:rPr>
        <w:t>Journal of Sports Sciences</w:t>
      </w:r>
      <w:r w:rsidRPr="00317D6F">
        <w:rPr>
          <w:rFonts w:asciiTheme="majorHAnsi" w:eastAsia="Times New Roman" w:hAnsiTheme="majorHAnsi" w:cs="Times New Roman"/>
          <w:color w:val="000000"/>
          <w:kern w:val="0"/>
          <w:lang w:eastAsia="en-GB"/>
          <w14:ligatures w14:val="none"/>
        </w:rPr>
        <w:t>, 30(7), pp.625–631.</w:t>
      </w:r>
    </w:p>
    <w:p w14:paraId="4B30231F"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Ford, P.R., Yates, I. and Williams, A.M. (2010). An analysis of practice activities and instructional behaviours in youth soccer. </w:t>
      </w:r>
      <w:r w:rsidRPr="00317D6F">
        <w:rPr>
          <w:rFonts w:asciiTheme="majorHAnsi" w:eastAsia="Times New Roman" w:hAnsiTheme="majorHAnsi" w:cs="Times New Roman"/>
          <w:i/>
          <w:iCs/>
          <w:color w:val="000000"/>
          <w:kern w:val="0"/>
          <w:lang w:eastAsia="en-GB"/>
          <w14:ligatures w14:val="none"/>
        </w:rPr>
        <w:t>Journal of Sports Sciences</w:t>
      </w:r>
      <w:r w:rsidRPr="00317D6F">
        <w:rPr>
          <w:rFonts w:asciiTheme="majorHAnsi" w:eastAsia="Times New Roman" w:hAnsiTheme="majorHAnsi" w:cs="Times New Roman"/>
          <w:color w:val="000000"/>
          <w:kern w:val="0"/>
          <w:lang w:eastAsia="en-GB"/>
          <w14:ligatures w14:val="none"/>
        </w:rPr>
        <w:t>, 28(5), pp.483–495.</w:t>
      </w:r>
    </w:p>
    <w:p w14:paraId="10C03D4C"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Gibbs, G. (1988). </w:t>
      </w:r>
      <w:r w:rsidRPr="00317D6F">
        <w:rPr>
          <w:rFonts w:asciiTheme="majorHAnsi" w:eastAsia="Times New Roman" w:hAnsiTheme="majorHAnsi" w:cs="Times New Roman"/>
          <w:i/>
          <w:iCs/>
          <w:color w:val="000000"/>
          <w:kern w:val="0"/>
          <w:lang w:eastAsia="en-GB"/>
          <w14:ligatures w14:val="none"/>
        </w:rPr>
        <w:t>Learning by doing: A guide to teaching and learning methods</w:t>
      </w:r>
      <w:r w:rsidRPr="00317D6F">
        <w:rPr>
          <w:rFonts w:asciiTheme="majorHAnsi" w:eastAsia="Times New Roman" w:hAnsiTheme="majorHAnsi" w:cs="Times New Roman"/>
          <w:color w:val="000000"/>
          <w:kern w:val="0"/>
          <w:lang w:eastAsia="en-GB"/>
          <w14:ligatures w14:val="none"/>
        </w:rPr>
        <w:t>. Oxford: Oxford Polytechnic.</w:t>
      </w:r>
    </w:p>
    <w:p w14:paraId="39FC48B4"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 xml:space="preserve">Gilbert, W.D. and </w:t>
      </w:r>
      <w:proofErr w:type="spellStart"/>
      <w:r w:rsidRPr="00317D6F">
        <w:rPr>
          <w:rFonts w:asciiTheme="majorHAnsi" w:eastAsia="Times New Roman" w:hAnsiTheme="majorHAnsi" w:cs="Times New Roman"/>
          <w:color w:val="000000"/>
          <w:kern w:val="0"/>
          <w:lang w:eastAsia="en-GB"/>
          <w14:ligatures w14:val="none"/>
        </w:rPr>
        <w:t>Trudel</w:t>
      </w:r>
      <w:proofErr w:type="spellEnd"/>
      <w:r w:rsidRPr="00317D6F">
        <w:rPr>
          <w:rFonts w:asciiTheme="majorHAnsi" w:eastAsia="Times New Roman" w:hAnsiTheme="majorHAnsi" w:cs="Times New Roman"/>
          <w:color w:val="000000"/>
          <w:kern w:val="0"/>
          <w:lang w:eastAsia="en-GB"/>
          <w14:ligatures w14:val="none"/>
        </w:rPr>
        <w:t>, P. (2001). Learning to coach through experience: Reflection in model youth sport coaches. </w:t>
      </w:r>
      <w:r w:rsidRPr="00317D6F">
        <w:rPr>
          <w:rFonts w:asciiTheme="majorHAnsi" w:eastAsia="Times New Roman" w:hAnsiTheme="majorHAnsi" w:cs="Times New Roman"/>
          <w:i/>
          <w:iCs/>
          <w:color w:val="000000"/>
          <w:kern w:val="0"/>
          <w:lang w:eastAsia="en-GB"/>
          <w14:ligatures w14:val="none"/>
        </w:rPr>
        <w:t>Journal of Teaching in Physical Education</w:t>
      </w:r>
      <w:r w:rsidRPr="00317D6F">
        <w:rPr>
          <w:rFonts w:asciiTheme="majorHAnsi" w:eastAsia="Times New Roman" w:hAnsiTheme="majorHAnsi" w:cs="Times New Roman"/>
          <w:color w:val="000000"/>
          <w:kern w:val="0"/>
          <w:lang w:eastAsia="en-GB"/>
          <w14:ligatures w14:val="none"/>
        </w:rPr>
        <w:t>, 21(1), pp.16–34.</w:t>
      </w:r>
    </w:p>
    <w:p w14:paraId="1E7DEECB"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Gould, D., Collins, K., Lauer, L. and Chung, Y. (2007). Coaching life skills through football. </w:t>
      </w:r>
      <w:r w:rsidRPr="00317D6F">
        <w:rPr>
          <w:rFonts w:asciiTheme="majorHAnsi" w:eastAsia="Times New Roman" w:hAnsiTheme="majorHAnsi" w:cs="Times New Roman"/>
          <w:i/>
          <w:iCs/>
          <w:color w:val="000000"/>
          <w:kern w:val="0"/>
          <w:lang w:eastAsia="en-GB"/>
          <w14:ligatures w14:val="none"/>
        </w:rPr>
        <w:t>Journal of Applied Sport Psychology</w:t>
      </w:r>
      <w:r w:rsidRPr="00317D6F">
        <w:rPr>
          <w:rFonts w:asciiTheme="majorHAnsi" w:eastAsia="Times New Roman" w:hAnsiTheme="majorHAnsi" w:cs="Times New Roman"/>
          <w:color w:val="000000"/>
          <w:kern w:val="0"/>
          <w:lang w:eastAsia="en-GB"/>
          <w14:ligatures w14:val="none"/>
        </w:rPr>
        <w:t>, 19(1), pp.16–37.</w:t>
      </w:r>
    </w:p>
    <w:p w14:paraId="603EAD92"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proofErr w:type="spellStart"/>
      <w:r w:rsidRPr="00317D6F">
        <w:rPr>
          <w:rFonts w:asciiTheme="majorHAnsi" w:eastAsia="Times New Roman" w:hAnsiTheme="majorHAnsi" w:cs="Times New Roman"/>
          <w:color w:val="000000"/>
          <w:kern w:val="0"/>
          <w:lang w:eastAsia="en-GB"/>
          <w14:ligatures w14:val="none"/>
        </w:rPr>
        <w:t>Grecic</w:t>
      </w:r>
      <w:proofErr w:type="spellEnd"/>
      <w:r w:rsidRPr="00317D6F">
        <w:rPr>
          <w:rFonts w:asciiTheme="majorHAnsi" w:eastAsia="Times New Roman" w:hAnsiTheme="majorHAnsi" w:cs="Times New Roman"/>
          <w:color w:val="000000"/>
          <w:kern w:val="0"/>
          <w:lang w:eastAsia="en-GB"/>
          <w14:ligatures w14:val="none"/>
        </w:rPr>
        <w:t>, D. and Collins, D. (2013). The epistemological chain: Practical applications in sports. </w:t>
      </w:r>
      <w:r w:rsidRPr="00317D6F">
        <w:rPr>
          <w:rFonts w:asciiTheme="majorHAnsi" w:eastAsia="Times New Roman" w:hAnsiTheme="majorHAnsi" w:cs="Times New Roman"/>
          <w:i/>
          <w:iCs/>
          <w:color w:val="000000"/>
          <w:kern w:val="0"/>
          <w:lang w:eastAsia="en-GB"/>
          <w14:ligatures w14:val="none"/>
        </w:rPr>
        <w:t>Quest</w:t>
      </w:r>
      <w:r w:rsidRPr="00317D6F">
        <w:rPr>
          <w:rFonts w:asciiTheme="majorHAnsi" w:eastAsia="Times New Roman" w:hAnsiTheme="majorHAnsi" w:cs="Times New Roman"/>
          <w:color w:val="000000"/>
          <w:kern w:val="0"/>
          <w:lang w:eastAsia="en-GB"/>
          <w14:ligatures w14:val="none"/>
        </w:rPr>
        <w:t>, 65(2), pp.151–168.</w:t>
      </w:r>
    </w:p>
    <w:p w14:paraId="5F95B359"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Groom, R., Cushion, C. and Nelson, L. (2019). </w:t>
      </w:r>
      <w:r w:rsidRPr="00317D6F">
        <w:rPr>
          <w:rFonts w:asciiTheme="majorHAnsi" w:eastAsia="Times New Roman" w:hAnsiTheme="majorHAnsi" w:cs="Times New Roman"/>
          <w:i/>
          <w:iCs/>
          <w:color w:val="000000"/>
          <w:kern w:val="0"/>
          <w:lang w:eastAsia="en-GB"/>
          <w14:ligatures w14:val="none"/>
        </w:rPr>
        <w:t>Sports coaching: Professionalisation and practice</w:t>
      </w:r>
      <w:r w:rsidRPr="00317D6F">
        <w:rPr>
          <w:rFonts w:asciiTheme="majorHAnsi" w:eastAsia="Times New Roman" w:hAnsiTheme="majorHAnsi" w:cs="Times New Roman"/>
          <w:color w:val="000000"/>
          <w:kern w:val="0"/>
          <w:lang w:eastAsia="en-GB"/>
          <w14:ligatures w14:val="none"/>
        </w:rPr>
        <w:t>. Oxford: Elsevier.</w:t>
      </w:r>
    </w:p>
    <w:p w14:paraId="0D0E3A19"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Horton, W. (2011). </w:t>
      </w:r>
      <w:r w:rsidRPr="00317D6F">
        <w:rPr>
          <w:rFonts w:asciiTheme="majorHAnsi" w:eastAsia="Times New Roman" w:hAnsiTheme="majorHAnsi" w:cs="Times New Roman"/>
          <w:i/>
          <w:iCs/>
          <w:color w:val="000000"/>
          <w:kern w:val="0"/>
          <w:lang w:eastAsia="en-GB"/>
          <w14:ligatures w14:val="none"/>
        </w:rPr>
        <w:t>E-learning by design</w:t>
      </w:r>
      <w:r w:rsidRPr="00317D6F">
        <w:rPr>
          <w:rFonts w:asciiTheme="majorHAnsi" w:eastAsia="Times New Roman" w:hAnsiTheme="majorHAnsi" w:cs="Times New Roman"/>
          <w:color w:val="000000"/>
          <w:kern w:val="0"/>
          <w:lang w:eastAsia="en-GB"/>
          <w14:ligatures w14:val="none"/>
        </w:rPr>
        <w:t>. San Francisco: Pfeiffer.</w:t>
      </w:r>
    </w:p>
    <w:p w14:paraId="75D77F9C"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Hughes, M. and Franks, I.M. (2015). </w:t>
      </w:r>
      <w:r w:rsidRPr="00317D6F">
        <w:rPr>
          <w:rFonts w:asciiTheme="majorHAnsi" w:eastAsia="Times New Roman" w:hAnsiTheme="majorHAnsi" w:cs="Times New Roman"/>
          <w:i/>
          <w:iCs/>
          <w:color w:val="000000"/>
          <w:kern w:val="0"/>
          <w:lang w:eastAsia="en-GB"/>
          <w14:ligatures w14:val="none"/>
        </w:rPr>
        <w:t>Essentials of performance analysis in sport</w:t>
      </w:r>
      <w:r w:rsidRPr="00317D6F">
        <w:rPr>
          <w:rFonts w:asciiTheme="majorHAnsi" w:eastAsia="Times New Roman" w:hAnsiTheme="majorHAnsi" w:cs="Times New Roman"/>
          <w:color w:val="000000"/>
          <w:kern w:val="0"/>
          <w:lang w:eastAsia="en-GB"/>
          <w14:ligatures w14:val="none"/>
        </w:rPr>
        <w:t>. Abingdon: Routledge.</w:t>
      </w:r>
    </w:p>
    <w:p w14:paraId="67477C28"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International Organization for Standardization (ISO). (2018). </w:t>
      </w:r>
      <w:r w:rsidRPr="00317D6F">
        <w:rPr>
          <w:rFonts w:asciiTheme="majorHAnsi" w:eastAsia="Times New Roman" w:hAnsiTheme="majorHAnsi" w:cs="Times New Roman"/>
          <w:i/>
          <w:iCs/>
          <w:color w:val="000000"/>
          <w:kern w:val="0"/>
          <w:lang w:eastAsia="en-GB"/>
          <w14:ligatures w14:val="none"/>
        </w:rPr>
        <w:t>ISO 9241-210: Ergonomics of human-system interaction — Human-centred design for interactive systems</w:t>
      </w:r>
      <w:r w:rsidRPr="00317D6F">
        <w:rPr>
          <w:rFonts w:asciiTheme="majorHAnsi" w:eastAsia="Times New Roman" w:hAnsiTheme="majorHAnsi" w:cs="Times New Roman"/>
          <w:color w:val="000000"/>
          <w:kern w:val="0"/>
          <w:lang w:eastAsia="en-GB"/>
          <w14:ligatures w14:val="none"/>
        </w:rPr>
        <w:t>. Geneva: ISO.</w:t>
      </w:r>
    </w:p>
    <w:p w14:paraId="3C72E75E"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Jones, R.L. and Wallace, M. (2005). Another bad day at the training ground: Coping with ambiguity in the coaching context. </w:t>
      </w:r>
      <w:r w:rsidRPr="00317D6F">
        <w:rPr>
          <w:rFonts w:asciiTheme="majorHAnsi" w:eastAsia="Times New Roman" w:hAnsiTheme="majorHAnsi" w:cs="Times New Roman"/>
          <w:i/>
          <w:iCs/>
          <w:color w:val="000000"/>
          <w:kern w:val="0"/>
          <w:lang w:eastAsia="en-GB"/>
          <w14:ligatures w14:val="none"/>
        </w:rPr>
        <w:t>Sport, Education and Society</w:t>
      </w:r>
      <w:r w:rsidRPr="00317D6F">
        <w:rPr>
          <w:rFonts w:asciiTheme="majorHAnsi" w:eastAsia="Times New Roman" w:hAnsiTheme="majorHAnsi" w:cs="Times New Roman"/>
          <w:color w:val="000000"/>
          <w:kern w:val="0"/>
          <w:lang w:eastAsia="en-GB"/>
          <w14:ligatures w14:val="none"/>
        </w:rPr>
        <w:t>, 10(1), pp.119–134.</w:t>
      </w:r>
    </w:p>
    <w:p w14:paraId="1F22DD03"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Kirk, D. and Macdonald, D. (1998). Situated learning in physical education. </w:t>
      </w:r>
      <w:r w:rsidRPr="00317D6F">
        <w:rPr>
          <w:rFonts w:asciiTheme="majorHAnsi" w:eastAsia="Times New Roman" w:hAnsiTheme="majorHAnsi" w:cs="Times New Roman"/>
          <w:i/>
          <w:iCs/>
          <w:color w:val="000000"/>
          <w:kern w:val="0"/>
          <w:lang w:eastAsia="en-GB"/>
          <w14:ligatures w14:val="none"/>
        </w:rPr>
        <w:t>Journal of Teaching in Physical Education</w:t>
      </w:r>
      <w:r w:rsidRPr="00317D6F">
        <w:rPr>
          <w:rFonts w:asciiTheme="majorHAnsi" w:eastAsia="Times New Roman" w:hAnsiTheme="majorHAnsi" w:cs="Times New Roman"/>
          <w:color w:val="000000"/>
          <w:kern w:val="0"/>
          <w:lang w:eastAsia="en-GB"/>
          <w14:ligatures w14:val="none"/>
        </w:rPr>
        <w:t>, 17(3), pp.376–387.</w:t>
      </w:r>
    </w:p>
    <w:p w14:paraId="17858A18"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Kolb, D.A. (1984). </w:t>
      </w:r>
      <w:r w:rsidRPr="00317D6F">
        <w:rPr>
          <w:rFonts w:asciiTheme="majorHAnsi" w:eastAsia="Times New Roman" w:hAnsiTheme="majorHAnsi" w:cs="Times New Roman"/>
          <w:i/>
          <w:iCs/>
          <w:color w:val="000000"/>
          <w:kern w:val="0"/>
          <w:lang w:eastAsia="en-GB"/>
          <w14:ligatures w14:val="none"/>
        </w:rPr>
        <w:t>Experiential learning: Experience as the source of learning and development</w:t>
      </w:r>
      <w:r w:rsidRPr="00317D6F">
        <w:rPr>
          <w:rFonts w:asciiTheme="majorHAnsi" w:eastAsia="Times New Roman" w:hAnsiTheme="majorHAnsi" w:cs="Times New Roman"/>
          <w:color w:val="000000"/>
          <w:kern w:val="0"/>
          <w:lang w:eastAsia="en-GB"/>
          <w14:ligatures w14:val="none"/>
        </w:rPr>
        <w:t>. Englewood Cliffs, NJ: Prentice Hall.</w:t>
      </w:r>
    </w:p>
    <w:p w14:paraId="790F7190"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Light, R.L. (2013). </w:t>
      </w:r>
      <w:r w:rsidRPr="00317D6F">
        <w:rPr>
          <w:rFonts w:asciiTheme="majorHAnsi" w:eastAsia="Times New Roman" w:hAnsiTheme="majorHAnsi" w:cs="Times New Roman"/>
          <w:i/>
          <w:iCs/>
          <w:color w:val="000000"/>
          <w:kern w:val="0"/>
          <w:lang w:eastAsia="en-GB"/>
          <w14:ligatures w14:val="none"/>
        </w:rPr>
        <w:t>Game sense: Pedagogy for performance, participation and enjoyment</w:t>
      </w:r>
      <w:r w:rsidRPr="00317D6F">
        <w:rPr>
          <w:rFonts w:asciiTheme="majorHAnsi" w:eastAsia="Times New Roman" w:hAnsiTheme="majorHAnsi" w:cs="Times New Roman"/>
          <w:color w:val="000000"/>
          <w:kern w:val="0"/>
          <w:lang w:eastAsia="en-GB"/>
          <w14:ligatures w14:val="none"/>
        </w:rPr>
        <w:t>. Abingdon: Routledge.</w:t>
      </w:r>
    </w:p>
    <w:p w14:paraId="6084A004"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Mayer, R.E. (2009). </w:t>
      </w:r>
      <w:r w:rsidRPr="00317D6F">
        <w:rPr>
          <w:rFonts w:asciiTheme="majorHAnsi" w:eastAsia="Times New Roman" w:hAnsiTheme="majorHAnsi" w:cs="Times New Roman"/>
          <w:i/>
          <w:iCs/>
          <w:color w:val="000000"/>
          <w:kern w:val="0"/>
          <w:lang w:eastAsia="en-GB"/>
          <w14:ligatures w14:val="none"/>
        </w:rPr>
        <w:t>Multimedia learning</w:t>
      </w:r>
      <w:r w:rsidRPr="00317D6F">
        <w:rPr>
          <w:rFonts w:asciiTheme="majorHAnsi" w:eastAsia="Times New Roman" w:hAnsiTheme="majorHAnsi" w:cs="Times New Roman"/>
          <w:color w:val="000000"/>
          <w:kern w:val="0"/>
          <w:lang w:eastAsia="en-GB"/>
          <w14:ligatures w14:val="none"/>
        </w:rPr>
        <w:t>. 2nd ed. Cambridge: Cambridge University Press.</w:t>
      </w:r>
    </w:p>
    <w:p w14:paraId="5AFB9949"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Nielsen, J. (1994). </w:t>
      </w:r>
      <w:r w:rsidRPr="00317D6F">
        <w:rPr>
          <w:rFonts w:asciiTheme="majorHAnsi" w:eastAsia="Times New Roman" w:hAnsiTheme="majorHAnsi" w:cs="Times New Roman"/>
          <w:i/>
          <w:iCs/>
          <w:color w:val="000000"/>
          <w:kern w:val="0"/>
          <w:lang w:eastAsia="en-GB"/>
          <w14:ligatures w14:val="none"/>
        </w:rPr>
        <w:t>Usability engineering</w:t>
      </w:r>
      <w:r w:rsidRPr="00317D6F">
        <w:rPr>
          <w:rFonts w:asciiTheme="majorHAnsi" w:eastAsia="Times New Roman" w:hAnsiTheme="majorHAnsi" w:cs="Times New Roman"/>
          <w:color w:val="000000"/>
          <w:kern w:val="0"/>
          <w:lang w:eastAsia="en-GB"/>
          <w14:ligatures w14:val="none"/>
        </w:rPr>
        <w:t>. San Diego: Academic Press.</w:t>
      </w:r>
    </w:p>
    <w:p w14:paraId="01346B93"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Norman, D.A. (2013). </w:t>
      </w:r>
      <w:r w:rsidRPr="00317D6F">
        <w:rPr>
          <w:rFonts w:asciiTheme="majorHAnsi" w:eastAsia="Times New Roman" w:hAnsiTheme="majorHAnsi" w:cs="Times New Roman"/>
          <w:i/>
          <w:iCs/>
          <w:color w:val="000000"/>
          <w:kern w:val="0"/>
          <w:lang w:eastAsia="en-GB"/>
          <w14:ligatures w14:val="none"/>
        </w:rPr>
        <w:t>The design of everyday things</w:t>
      </w:r>
      <w:r w:rsidRPr="00317D6F">
        <w:rPr>
          <w:rFonts w:asciiTheme="majorHAnsi" w:eastAsia="Times New Roman" w:hAnsiTheme="majorHAnsi" w:cs="Times New Roman"/>
          <w:color w:val="000000"/>
          <w:kern w:val="0"/>
          <w:lang w:eastAsia="en-GB"/>
          <w14:ligatures w14:val="none"/>
        </w:rPr>
        <w:t>. Revised ed. New York: Basic Books.</w:t>
      </w:r>
    </w:p>
    <w:p w14:paraId="530FA903"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Potrac, P., Jones, R.L. and Armour, K. (2002). ‘It’s all about getting respect’: The coaching behaviours of an expert English soccer coach. </w:t>
      </w:r>
      <w:r w:rsidRPr="00317D6F">
        <w:rPr>
          <w:rFonts w:asciiTheme="majorHAnsi" w:eastAsia="Times New Roman" w:hAnsiTheme="majorHAnsi" w:cs="Times New Roman"/>
          <w:i/>
          <w:iCs/>
          <w:color w:val="000000"/>
          <w:kern w:val="0"/>
          <w:lang w:eastAsia="en-GB"/>
          <w14:ligatures w14:val="none"/>
        </w:rPr>
        <w:t>Sport, Education and Society</w:t>
      </w:r>
      <w:r w:rsidRPr="00317D6F">
        <w:rPr>
          <w:rFonts w:asciiTheme="majorHAnsi" w:eastAsia="Times New Roman" w:hAnsiTheme="majorHAnsi" w:cs="Times New Roman"/>
          <w:color w:val="000000"/>
          <w:kern w:val="0"/>
          <w:lang w:eastAsia="en-GB"/>
          <w14:ligatures w14:val="none"/>
        </w:rPr>
        <w:t>, 7(2), pp.183–202.</w:t>
      </w:r>
    </w:p>
    <w:p w14:paraId="1AD3C44A"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Reeves, T.C. and Reeves, P.M. (2015). Learning design for digital platforms. </w:t>
      </w:r>
      <w:r w:rsidRPr="00317D6F">
        <w:rPr>
          <w:rFonts w:asciiTheme="majorHAnsi" w:eastAsia="Times New Roman" w:hAnsiTheme="majorHAnsi" w:cs="Times New Roman"/>
          <w:i/>
          <w:iCs/>
          <w:color w:val="000000"/>
          <w:kern w:val="0"/>
          <w:lang w:eastAsia="en-GB"/>
          <w14:ligatures w14:val="none"/>
        </w:rPr>
        <w:t>Educational Technology Research and Development</w:t>
      </w:r>
      <w:r w:rsidRPr="00317D6F">
        <w:rPr>
          <w:rFonts w:asciiTheme="majorHAnsi" w:eastAsia="Times New Roman" w:hAnsiTheme="majorHAnsi" w:cs="Times New Roman"/>
          <w:color w:val="000000"/>
          <w:kern w:val="0"/>
          <w:lang w:eastAsia="en-GB"/>
          <w14:ligatures w14:val="none"/>
        </w:rPr>
        <w:t>, 63(1), pp.1–18.</w:t>
      </w:r>
    </w:p>
    <w:p w14:paraId="491E14E9"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 xml:space="preserve">Renshaw, I., </w:t>
      </w:r>
      <w:proofErr w:type="spellStart"/>
      <w:r w:rsidRPr="00317D6F">
        <w:rPr>
          <w:rFonts w:asciiTheme="majorHAnsi" w:eastAsia="Times New Roman" w:hAnsiTheme="majorHAnsi" w:cs="Times New Roman"/>
          <w:color w:val="000000"/>
          <w:kern w:val="0"/>
          <w:lang w:eastAsia="en-GB"/>
          <w14:ligatures w14:val="none"/>
        </w:rPr>
        <w:t>Davids</w:t>
      </w:r>
      <w:proofErr w:type="spellEnd"/>
      <w:r w:rsidRPr="00317D6F">
        <w:rPr>
          <w:rFonts w:asciiTheme="majorHAnsi" w:eastAsia="Times New Roman" w:hAnsiTheme="majorHAnsi" w:cs="Times New Roman"/>
          <w:color w:val="000000"/>
          <w:kern w:val="0"/>
          <w:lang w:eastAsia="en-GB"/>
          <w14:ligatures w14:val="none"/>
        </w:rPr>
        <w:t>, K., Newcombe, D. and Roberts, W. (2019). </w:t>
      </w:r>
      <w:r w:rsidRPr="00317D6F">
        <w:rPr>
          <w:rFonts w:asciiTheme="majorHAnsi" w:eastAsia="Times New Roman" w:hAnsiTheme="majorHAnsi" w:cs="Times New Roman"/>
          <w:i/>
          <w:iCs/>
          <w:color w:val="000000"/>
          <w:kern w:val="0"/>
          <w:lang w:eastAsia="en-GB"/>
          <w14:ligatures w14:val="none"/>
        </w:rPr>
        <w:t>The constraints-led approach: Principles for sports coaching and practice design</w:t>
      </w:r>
      <w:r w:rsidRPr="00317D6F">
        <w:rPr>
          <w:rFonts w:asciiTheme="majorHAnsi" w:eastAsia="Times New Roman" w:hAnsiTheme="majorHAnsi" w:cs="Times New Roman"/>
          <w:color w:val="000000"/>
          <w:kern w:val="0"/>
          <w:lang w:eastAsia="en-GB"/>
          <w14:ligatures w14:val="none"/>
        </w:rPr>
        <w:t>. Abingdon: Routledge.</w:t>
      </w:r>
    </w:p>
    <w:p w14:paraId="22151A2B"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Salmon, G. (2013). </w:t>
      </w:r>
      <w:r w:rsidRPr="00317D6F">
        <w:rPr>
          <w:rFonts w:asciiTheme="majorHAnsi" w:eastAsia="Times New Roman" w:hAnsiTheme="majorHAnsi" w:cs="Times New Roman"/>
          <w:i/>
          <w:iCs/>
          <w:color w:val="000000"/>
          <w:kern w:val="0"/>
          <w:lang w:eastAsia="en-GB"/>
          <w14:ligatures w14:val="none"/>
        </w:rPr>
        <w:t>E-</w:t>
      </w:r>
      <w:proofErr w:type="spellStart"/>
      <w:r w:rsidRPr="00317D6F">
        <w:rPr>
          <w:rFonts w:asciiTheme="majorHAnsi" w:eastAsia="Times New Roman" w:hAnsiTheme="majorHAnsi" w:cs="Times New Roman"/>
          <w:i/>
          <w:iCs/>
          <w:color w:val="000000"/>
          <w:kern w:val="0"/>
          <w:lang w:eastAsia="en-GB"/>
          <w14:ligatures w14:val="none"/>
        </w:rPr>
        <w:t>tivities</w:t>
      </w:r>
      <w:proofErr w:type="spellEnd"/>
      <w:r w:rsidRPr="00317D6F">
        <w:rPr>
          <w:rFonts w:asciiTheme="majorHAnsi" w:eastAsia="Times New Roman" w:hAnsiTheme="majorHAnsi" w:cs="Times New Roman"/>
          <w:i/>
          <w:iCs/>
          <w:color w:val="000000"/>
          <w:kern w:val="0"/>
          <w:lang w:eastAsia="en-GB"/>
          <w14:ligatures w14:val="none"/>
        </w:rPr>
        <w:t>: The key to active online learning</w:t>
      </w:r>
      <w:r w:rsidRPr="00317D6F">
        <w:rPr>
          <w:rFonts w:asciiTheme="majorHAnsi" w:eastAsia="Times New Roman" w:hAnsiTheme="majorHAnsi" w:cs="Times New Roman"/>
          <w:color w:val="000000"/>
          <w:kern w:val="0"/>
          <w:lang w:eastAsia="en-GB"/>
          <w14:ligatures w14:val="none"/>
        </w:rPr>
        <w:t>. Abingdon: Routledge.</w:t>
      </w:r>
    </w:p>
    <w:p w14:paraId="1E99B033"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Selwyn, N. (2016). </w:t>
      </w:r>
      <w:r w:rsidRPr="00317D6F">
        <w:rPr>
          <w:rFonts w:asciiTheme="majorHAnsi" w:eastAsia="Times New Roman" w:hAnsiTheme="majorHAnsi" w:cs="Times New Roman"/>
          <w:i/>
          <w:iCs/>
          <w:color w:val="000000"/>
          <w:kern w:val="0"/>
          <w:lang w:eastAsia="en-GB"/>
          <w14:ligatures w14:val="none"/>
        </w:rPr>
        <w:t>Education and technology: Key issues and debates</w:t>
      </w:r>
      <w:r w:rsidRPr="00317D6F">
        <w:rPr>
          <w:rFonts w:asciiTheme="majorHAnsi" w:eastAsia="Times New Roman" w:hAnsiTheme="majorHAnsi" w:cs="Times New Roman"/>
          <w:color w:val="000000"/>
          <w:kern w:val="0"/>
          <w:lang w:eastAsia="en-GB"/>
          <w14:ligatures w14:val="none"/>
        </w:rPr>
        <w:t>. London: Bloomsbury.</w:t>
      </w:r>
    </w:p>
    <w:p w14:paraId="0909606F"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Shute, V.J. (2008). Focus on formative feedback. </w:t>
      </w:r>
      <w:r w:rsidRPr="00317D6F">
        <w:rPr>
          <w:rFonts w:asciiTheme="majorHAnsi" w:eastAsia="Times New Roman" w:hAnsiTheme="majorHAnsi" w:cs="Times New Roman"/>
          <w:i/>
          <w:iCs/>
          <w:color w:val="000000"/>
          <w:kern w:val="0"/>
          <w:lang w:eastAsia="en-GB"/>
          <w14:ligatures w14:val="none"/>
        </w:rPr>
        <w:t>Review of Educational Research</w:t>
      </w:r>
      <w:r w:rsidRPr="00317D6F">
        <w:rPr>
          <w:rFonts w:asciiTheme="majorHAnsi" w:eastAsia="Times New Roman" w:hAnsiTheme="majorHAnsi" w:cs="Times New Roman"/>
          <w:color w:val="000000"/>
          <w:kern w:val="0"/>
          <w:lang w:eastAsia="en-GB"/>
          <w14:ligatures w14:val="none"/>
        </w:rPr>
        <w:t>, 78(1), pp.153–189.</w:t>
      </w:r>
    </w:p>
    <w:p w14:paraId="47C535E0"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Williams, A.M. and Hodges, N.J. (2005). Practice, instruction and skill acquisition in soccer. </w:t>
      </w:r>
      <w:r w:rsidRPr="00317D6F">
        <w:rPr>
          <w:rFonts w:asciiTheme="majorHAnsi" w:eastAsia="Times New Roman" w:hAnsiTheme="majorHAnsi" w:cs="Times New Roman"/>
          <w:i/>
          <w:iCs/>
          <w:color w:val="000000"/>
          <w:kern w:val="0"/>
          <w:lang w:eastAsia="en-GB"/>
          <w14:ligatures w14:val="none"/>
        </w:rPr>
        <w:t>Journal of Sports Sciences</w:t>
      </w:r>
      <w:r w:rsidRPr="00317D6F">
        <w:rPr>
          <w:rFonts w:asciiTheme="majorHAnsi" w:eastAsia="Times New Roman" w:hAnsiTheme="majorHAnsi" w:cs="Times New Roman"/>
          <w:color w:val="000000"/>
          <w:kern w:val="0"/>
          <w:lang w:eastAsia="en-GB"/>
          <w14:ligatures w14:val="none"/>
        </w:rPr>
        <w:t>, 23(6), pp.637–650.</w:t>
      </w:r>
    </w:p>
    <w:p w14:paraId="73B0AB03" w14:textId="77777777" w:rsidR="00317D6F" w:rsidRPr="00317D6F" w:rsidRDefault="00317D6F" w:rsidP="00317D6F">
      <w:pPr>
        <w:spacing w:before="100" w:beforeAutospacing="1" w:after="100" w:afterAutospacing="1"/>
        <w:rPr>
          <w:rFonts w:asciiTheme="majorHAnsi" w:eastAsia="Times New Roman" w:hAnsiTheme="majorHAnsi" w:cs="Times New Roman"/>
          <w:color w:val="000000"/>
          <w:kern w:val="0"/>
          <w:lang w:eastAsia="en-GB"/>
          <w14:ligatures w14:val="none"/>
        </w:rPr>
      </w:pPr>
      <w:r w:rsidRPr="00317D6F">
        <w:rPr>
          <w:rFonts w:asciiTheme="majorHAnsi" w:eastAsia="Times New Roman" w:hAnsiTheme="majorHAnsi" w:cs="Times New Roman"/>
          <w:color w:val="000000"/>
          <w:kern w:val="0"/>
          <w:lang w:eastAsia="en-GB"/>
          <w14:ligatures w14:val="none"/>
        </w:rPr>
        <w:t>Zimmerman, B.J. (2002). Becoming a self-regulated learner: An overview. </w:t>
      </w:r>
      <w:r w:rsidRPr="00317D6F">
        <w:rPr>
          <w:rFonts w:asciiTheme="majorHAnsi" w:eastAsia="Times New Roman" w:hAnsiTheme="majorHAnsi" w:cs="Times New Roman"/>
          <w:i/>
          <w:iCs/>
          <w:color w:val="000000"/>
          <w:kern w:val="0"/>
          <w:lang w:eastAsia="en-GB"/>
          <w14:ligatures w14:val="none"/>
        </w:rPr>
        <w:t>Theory Into Practice</w:t>
      </w:r>
      <w:r w:rsidRPr="00317D6F">
        <w:rPr>
          <w:rFonts w:asciiTheme="majorHAnsi" w:eastAsia="Times New Roman" w:hAnsiTheme="majorHAnsi" w:cs="Times New Roman"/>
          <w:color w:val="000000"/>
          <w:kern w:val="0"/>
          <w:lang w:eastAsia="en-GB"/>
          <w14:ligatures w14:val="none"/>
        </w:rPr>
        <w:t>, 41(2), pp.64–70.</w:t>
      </w:r>
    </w:p>
    <w:p w14:paraId="33F3016D" w14:textId="77777777" w:rsidR="00317D6F" w:rsidRPr="00DE462F" w:rsidRDefault="00317D6F" w:rsidP="00DE462F">
      <w:pPr>
        <w:spacing w:before="100" w:beforeAutospacing="1" w:after="100" w:afterAutospacing="1" w:line="360" w:lineRule="auto"/>
        <w:jc w:val="both"/>
        <w:rPr>
          <w:rFonts w:asciiTheme="majorHAnsi" w:eastAsia="Times New Roman" w:hAnsiTheme="majorHAnsi" w:cs="Times New Roman"/>
          <w:b/>
          <w:bCs/>
          <w:color w:val="000000"/>
          <w:kern w:val="0"/>
          <w:lang w:eastAsia="en-GB"/>
          <w14:ligatures w14:val="none"/>
        </w:rPr>
      </w:pPr>
    </w:p>
    <w:p w14:paraId="1A73018C" w14:textId="45E7F5CF" w:rsidR="00DE462F" w:rsidRPr="00DE462F" w:rsidRDefault="00DE462F" w:rsidP="00DE462F">
      <w:pPr>
        <w:spacing w:line="360" w:lineRule="auto"/>
        <w:jc w:val="both"/>
        <w:rPr>
          <w:rFonts w:asciiTheme="majorHAnsi" w:eastAsia="Times New Roman" w:hAnsiTheme="majorHAnsi" w:cs="Times New Roman"/>
          <w:b/>
          <w:bCs/>
          <w:kern w:val="0"/>
          <w:lang w:eastAsia="en-GB"/>
          <w14:ligatures w14:val="none"/>
        </w:rPr>
      </w:pPr>
    </w:p>
    <w:sectPr w:rsidR="00DE462F" w:rsidRPr="00DE46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142B16"/>
    <w:multiLevelType w:val="multilevel"/>
    <w:tmpl w:val="5FB04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4265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D42"/>
    <w:rsid w:val="000122FF"/>
    <w:rsid w:val="001165B6"/>
    <w:rsid w:val="001D40C1"/>
    <w:rsid w:val="002D5506"/>
    <w:rsid w:val="00317D6F"/>
    <w:rsid w:val="00323D42"/>
    <w:rsid w:val="003256F2"/>
    <w:rsid w:val="003548A5"/>
    <w:rsid w:val="003F51CF"/>
    <w:rsid w:val="004C3A56"/>
    <w:rsid w:val="005C2E01"/>
    <w:rsid w:val="00652A98"/>
    <w:rsid w:val="006D4E3D"/>
    <w:rsid w:val="008A3370"/>
    <w:rsid w:val="00904744"/>
    <w:rsid w:val="00926F2A"/>
    <w:rsid w:val="0098580D"/>
    <w:rsid w:val="00993604"/>
    <w:rsid w:val="009D7D94"/>
    <w:rsid w:val="00A17F47"/>
    <w:rsid w:val="00BE1C26"/>
    <w:rsid w:val="00C2767B"/>
    <w:rsid w:val="00C63DE7"/>
    <w:rsid w:val="00DE462F"/>
    <w:rsid w:val="00E27F17"/>
    <w:rsid w:val="00E545D6"/>
    <w:rsid w:val="00F35155"/>
    <w:rsid w:val="00F80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13DFB"/>
  <w15:chartTrackingRefBased/>
  <w15:docId w15:val="{CE31E2D4-ED44-2149-BBC0-34A3F2931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D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3D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3D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D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D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D4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D4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D4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D4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D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3D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3D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D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D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D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D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D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D42"/>
    <w:rPr>
      <w:rFonts w:eastAsiaTheme="majorEastAsia" w:cstheme="majorBidi"/>
      <w:color w:val="272727" w:themeColor="text1" w:themeTint="D8"/>
    </w:rPr>
  </w:style>
  <w:style w:type="paragraph" w:styleId="Title">
    <w:name w:val="Title"/>
    <w:basedOn w:val="Normal"/>
    <w:next w:val="Normal"/>
    <w:link w:val="TitleChar"/>
    <w:uiPriority w:val="10"/>
    <w:qFormat/>
    <w:rsid w:val="00323D4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D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D4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D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D4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3D42"/>
    <w:rPr>
      <w:i/>
      <w:iCs/>
      <w:color w:val="404040" w:themeColor="text1" w:themeTint="BF"/>
    </w:rPr>
  </w:style>
  <w:style w:type="paragraph" w:styleId="ListParagraph">
    <w:name w:val="List Paragraph"/>
    <w:basedOn w:val="Normal"/>
    <w:uiPriority w:val="34"/>
    <w:qFormat/>
    <w:rsid w:val="00323D42"/>
    <w:pPr>
      <w:ind w:left="720"/>
      <w:contextualSpacing/>
    </w:pPr>
  </w:style>
  <w:style w:type="character" w:styleId="IntenseEmphasis">
    <w:name w:val="Intense Emphasis"/>
    <w:basedOn w:val="DefaultParagraphFont"/>
    <w:uiPriority w:val="21"/>
    <w:qFormat/>
    <w:rsid w:val="00323D42"/>
    <w:rPr>
      <w:i/>
      <w:iCs/>
      <w:color w:val="0F4761" w:themeColor="accent1" w:themeShade="BF"/>
    </w:rPr>
  </w:style>
  <w:style w:type="paragraph" w:styleId="IntenseQuote">
    <w:name w:val="Intense Quote"/>
    <w:basedOn w:val="Normal"/>
    <w:next w:val="Normal"/>
    <w:link w:val="IntenseQuoteChar"/>
    <w:uiPriority w:val="30"/>
    <w:qFormat/>
    <w:rsid w:val="00323D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D42"/>
    <w:rPr>
      <w:i/>
      <w:iCs/>
      <w:color w:val="0F4761" w:themeColor="accent1" w:themeShade="BF"/>
    </w:rPr>
  </w:style>
  <w:style w:type="character" w:styleId="IntenseReference">
    <w:name w:val="Intense Reference"/>
    <w:basedOn w:val="DefaultParagraphFont"/>
    <w:uiPriority w:val="32"/>
    <w:qFormat/>
    <w:rsid w:val="00323D42"/>
    <w:rPr>
      <w:b/>
      <w:bCs/>
      <w:smallCaps/>
      <w:color w:val="0F4761" w:themeColor="accent1" w:themeShade="BF"/>
      <w:spacing w:val="5"/>
    </w:rPr>
  </w:style>
  <w:style w:type="paragraph" w:customStyle="1" w:styleId="paragraph">
    <w:name w:val="paragraph"/>
    <w:basedOn w:val="Normal"/>
    <w:rsid w:val="00652A9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652A98"/>
  </w:style>
  <w:style w:type="character" w:customStyle="1" w:styleId="scxw171735308">
    <w:name w:val="scxw171735308"/>
    <w:basedOn w:val="DefaultParagraphFont"/>
    <w:rsid w:val="00652A98"/>
  </w:style>
  <w:style w:type="character" w:customStyle="1" w:styleId="apple-converted-space">
    <w:name w:val="apple-converted-space"/>
    <w:basedOn w:val="DefaultParagraphFont"/>
    <w:rsid w:val="00652A98"/>
  </w:style>
  <w:style w:type="character" w:customStyle="1" w:styleId="eop">
    <w:name w:val="eop"/>
    <w:basedOn w:val="DefaultParagraphFont"/>
    <w:rsid w:val="00652A98"/>
  </w:style>
  <w:style w:type="paragraph" w:styleId="NormalWeb">
    <w:name w:val="Normal (Web)"/>
    <w:basedOn w:val="Normal"/>
    <w:uiPriority w:val="99"/>
    <w:semiHidden/>
    <w:unhideWhenUsed/>
    <w:rsid w:val="00DE462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E462F"/>
    <w:rPr>
      <w:b/>
      <w:bCs/>
    </w:rPr>
  </w:style>
  <w:style w:type="character" w:styleId="Emphasis">
    <w:name w:val="Emphasis"/>
    <w:basedOn w:val="DefaultParagraphFont"/>
    <w:uiPriority w:val="20"/>
    <w:qFormat/>
    <w:rsid w:val="00317D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281078">
      <w:bodyDiv w:val="1"/>
      <w:marLeft w:val="0"/>
      <w:marRight w:val="0"/>
      <w:marTop w:val="0"/>
      <w:marBottom w:val="0"/>
      <w:divBdr>
        <w:top w:val="none" w:sz="0" w:space="0" w:color="auto"/>
        <w:left w:val="none" w:sz="0" w:space="0" w:color="auto"/>
        <w:bottom w:val="none" w:sz="0" w:space="0" w:color="auto"/>
        <w:right w:val="none" w:sz="0" w:space="0" w:color="auto"/>
      </w:divBdr>
    </w:div>
    <w:div w:id="540018547">
      <w:bodyDiv w:val="1"/>
      <w:marLeft w:val="0"/>
      <w:marRight w:val="0"/>
      <w:marTop w:val="0"/>
      <w:marBottom w:val="0"/>
      <w:divBdr>
        <w:top w:val="none" w:sz="0" w:space="0" w:color="auto"/>
        <w:left w:val="none" w:sz="0" w:space="0" w:color="auto"/>
        <w:bottom w:val="none" w:sz="0" w:space="0" w:color="auto"/>
        <w:right w:val="none" w:sz="0" w:space="0" w:color="auto"/>
      </w:divBdr>
    </w:div>
    <w:div w:id="952591891">
      <w:bodyDiv w:val="1"/>
      <w:marLeft w:val="0"/>
      <w:marRight w:val="0"/>
      <w:marTop w:val="0"/>
      <w:marBottom w:val="0"/>
      <w:divBdr>
        <w:top w:val="none" w:sz="0" w:space="0" w:color="auto"/>
        <w:left w:val="none" w:sz="0" w:space="0" w:color="auto"/>
        <w:bottom w:val="none" w:sz="0" w:space="0" w:color="auto"/>
        <w:right w:val="none" w:sz="0" w:space="0" w:color="auto"/>
      </w:divBdr>
    </w:div>
    <w:div w:id="1021200272">
      <w:bodyDiv w:val="1"/>
      <w:marLeft w:val="0"/>
      <w:marRight w:val="0"/>
      <w:marTop w:val="0"/>
      <w:marBottom w:val="0"/>
      <w:divBdr>
        <w:top w:val="none" w:sz="0" w:space="0" w:color="auto"/>
        <w:left w:val="none" w:sz="0" w:space="0" w:color="auto"/>
        <w:bottom w:val="none" w:sz="0" w:space="0" w:color="auto"/>
        <w:right w:val="none" w:sz="0" w:space="0" w:color="auto"/>
      </w:divBdr>
    </w:div>
    <w:div w:id="1269846609">
      <w:bodyDiv w:val="1"/>
      <w:marLeft w:val="0"/>
      <w:marRight w:val="0"/>
      <w:marTop w:val="0"/>
      <w:marBottom w:val="0"/>
      <w:divBdr>
        <w:top w:val="none" w:sz="0" w:space="0" w:color="auto"/>
        <w:left w:val="none" w:sz="0" w:space="0" w:color="auto"/>
        <w:bottom w:val="none" w:sz="0" w:space="0" w:color="auto"/>
        <w:right w:val="none" w:sz="0" w:space="0" w:color="auto"/>
      </w:divBdr>
      <w:divsChild>
        <w:div w:id="861626935">
          <w:marLeft w:val="0"/>
          <w:marRight w:val="0"/>
          <w:marTop w:val="0"/>
          <w:marBottom w:val="0"/>
          <w:divBdr>
            <w:top w:val="none" w:sz="0" w:space="0" w:color="auto"/>
            <w:left w:val="none" w:sz="0" w:space="0" w:color="auto"/>
            <w:bottom w:val="none" w:sz="0" w:space="0" w:color="auto"/>
            <w:right w:val="none" w:sz="0" w:space="0" w:color="auto"/>
          </w:divBdr>
        </w:div>
        <w:div w:id="233122443">
          <w:marLeft w:val="0"/>
          <w:marRight w:val="0"/>
          <w:marTop w:val="0"/>
          <w:marBottom w:val="0"/>
          <w:divBdr>
            <w:top w:val="none" w:sz="0" w:space="0" w:color="auto"/>
            <w:left w:val="none" w:sz="0" w:space="0" w:color="auto"/>
            <w:bottom w:val="none" w:sz="0" w:space="0" w:color="auto"/>
            <w:right w:val="none" w:sz="0" w:space="0" w:color="auto"/>
          </w:divBdr>
        </w:div>
        <w:div w:id="802036703">
          <w:marLeft w:val="0"/>
          <w:marRight w:val="0"/>
          <w:marTop w:val="0"/>
          <w:marBottom w:val="0"/>
          <w:divBdr>
            <w:top w:val="none" w:sz="0" w:space="0" w:color="auto"/>
            <w:left w:val="none" w:sz="0" w:space="0" w:color="auto"/>
            <w:bottom w:val="none" w:sz="0" w:space="0" w:color="auto"/>
            <w:right w:val="none" w:sz="0" w:space="0" w:color="auto"/>
          </w:divBdr>
        </w:div>
        <w:div w:id="1255045595">
          <w:marLeft w:val="0"/>
          <w:marRight w:val="0"/>
          <w:marTop w:val="0"/>
          <w:marBottom w:val="0"/>
          <w:divBdr>
            <w:top w:val="none" w:sz="0" w:space="0" w:color="auto"/>
            <w:left w:val="none" w:sz="0" w:space="0" w:color="auto"/>
            <w:bottom w:val="none" w:sz="0" w:space="0" w:color="auto"/>
            <w:right w:val="none" w:sz="0" w:space="0" w:color="auto"/>
          </w:divBdr>
        </w:div>
        <w:div w:id="1945337655">
          <w:marLeft w:val="0"/>
          <w:marRight w:val="0"/>
          <w:marTop w:val="0"/>
          <w:marBottom w:val="0"/>
          <w:divBdr>
            <w:top w:val="none" w:sz="0" w:space="0" w:color="auto"/>
            <w:left w:val="none" w:sz="0" w:space="0" w:color="auto"/>
            <w:bottom w:val="none" w:sz="0" w:space="0" w:color="auto"/>
            <w:right w:val="none" w:sz="0" w:space="0" w:color="auto"/>
          </w:divBdr>
        </w:div>
        <w:div w:id="110828093">
          <w:marLeft w:val="0"/>
          <w:marRight w:val="0"/>
          <w:marTop w:val="0"/>
          <w:marBottom w:val="0"/>
          <w:divBdr>
            <w:top w:val="none" w:sz="0" w:space="0" w:color="auto"/>
            <w:left w:val="none" w:sz="0" w:space="0" w:color="auto"/>
            <w:bottom w:val="none" w:sz="0" w:space="0" w:color="auto"/>
            <w:right w:val="none" w:sz="0" w:space="0" w:color="auto"/>
          </w:divBdr>
        </w:div>
        <w:div w:id="706220962">
          <w:marLeft w:val="0"/>
          <w:marRight w:val="0"/>
          <w:marTop w:val="0"/>
          <w:marBottom w:val="0"/>
          <w:divBdr>
            <w:top w:val="none" w:sz="0" w:space="0" w:color="auto"/>
            <w:left w:val="none" w:sz="0" w:space="0" w:color="auto"/>
            <w:bottom w:val="none" w:sz="0" w:space="0" w:color="auto"/>
            <w:right w:val="none" w:sz="0" w:space="0" w:color="auto"/>
          </w:divBdr>
        </w:div>
        <w:div w:id="1002852755">
          <w:marLeft w:val="0"/>
          <w:marRight w:val="0"/>
          <w:marTop w:val="0"/>
          <w:marBottom w:val="0"/>
          <w:divBdr>
            <w:top w:val="none" w:sz="0" w:space="0" w:color="auto"/>
            <w:left w:val="none" w:sz="0" w:space="0" w:color="auto"/>
            <w:bottom w:val="none" w:sz="0" w:space="0" w:color="auto"/>
            <w:right w:val="none" w:sz="0" w:space="0" w:color="auto"/>
          </w:divBdr>
        </w:div>
        <w:div w:id="141242937">
          <w:marLeft w:val="0"/>
          <w:marRight w:val="0"/>
          <w:marTop w:val="0"/>
          <w:marBottom w:val="0"/>
          <w:divBdr>
            <w:top w:val="none" w:sz="0" w:space="0" w:color="auto"/>
            <w:left w:val="none" w:sz="0" w:space="0" w:color="auto"/>
            <w:bottom w:val="none" w:sz="0" w:space="0" w:color="auto"/>
            <w:right w:val="none" w:sz="0" w:space="0" w:color="auto"/>
          </w:divBdr>
        </w:div>
        <w:div w:id="1037050099">
          <w:marLeft w:val="0"/>
          <w:marRight w:val="0"/>
          <w:marTop w:val="0"/>
          <w:marBottom w:val="0"/>
          <w:divBdr>
            <w:top w:val="none" w:sz="0" w:space="0" w:color="auto"/>
            <w:left w:val="none" w:sz="0" w:space="0" w:color="auto"/>
            <w:bottom w:val="none" w:sz="0" w:space="0" w:color="auto"/>
            <w:right w:val="none" w:sz="0" w:space="0" w:color="auto"/>
          </w:divBdr>
        </w:div>
        <w:div w:id="298531419">
          <w:marLeft w:val="0"/>
          <w:marRight w:val="0"/>
          <w:marTop w:val="0"/>
          <w:marBottom w:val="0"/>
          <w:divBdr>
            <w:top w:val="none" w:sz="0" w:space="0" w:color="auto"/>
            <w:left w:val="none" w:sz="0" w:space="0" w:color="auto"/>
            <w:bottom w:val="none" w:sz="0" w:space="0" w:color="auto"/>
            <w:right w:val="none" w:sz="0" w:space="0" w:color="auto"/>
          </w:divBdr>
        </w:div>
        <w:div w:id="11157548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216</TotalTime>
  <Pages>1</Pages>
  <Words>4396</Words>
  <Characters>25063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Richards (2319131)</dc:creator>
  <cp:keywords/>
  <dc:description/>
  <cp:lastModifiedBy/>
  <cp:revision>1</cp:revision>
  <dcterms:created xsi:type="dcterms:W3CDTF">2026-01-02T11:40:00Z</dcterms:created>
</cp:coreProperties>
</file>