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2C8A0B" w14:textId="77777777" w:rsidR="00BD68BB" w:rsidRPr="00BD68BB" w:rsidRDefault="00BD68BB" w:rsidP="00BD68BB">
      <w:pPr>
        <w:spacing w:line="360" w:lineRule="auto"/>
        <w:jc w:val="center"/>
        <w:rPr>
          <w:rFonts w:ascii="Times New Roman" w:hAnsi="Times New Roman" w:cs="Arial"/>
          <w:color w:val="000000" w:themeColor="text1"/>
          <w:u w:val="single"/>
        </w:rPr>
      </w:pPr>
      <w:r w:rsidRPr="00BD68BB">
        <w:rPr>
          <w:rFonts w:ascii="Times New Roman" w:hAnsi="Times New Roman" w:cs="Arial"/>
          <w:color w:val="000000" w:themeColor="text1"/>
          <w:u w:val="single"/>
        </w:rPr>
        <w:t>Supporting pupil progress: a detailed analysis of one child’s holistic development, with justification for the next steps in learning.</w:t>
      </w:r>
    </w:p>
    <w:p w14:paraId="6EB8BB9C" w14:textId="77777777" w:rsidR="00BD68BB" w:rsidRPr="00BD68BB" w:rsidRDefault="00BD68BB" w:rsidP="00BD68BB">
      <w:pPr>
        <w:spacing w:line="360" w:lineRule="auto"/>
        <w:jc w:val="center"/>
        <w:rPr>
          <w:rFonts w:ascii="Times New Roman" w:hAnsi="Times New Roman" w:cs="Arial"/>
          <w:color w:val="000000" w:themeColor="text1"/>
          <w:u w:val="single"/>
        </w:rPr>
      </w:pPr>
    </w:p>
    <w:p w14:paraId="400233ED" w14:textId="77777777" w:rsidR="00BD68BB" w:rsidRPr="00BD68BB" w:rsidRDefault="00BD68BB" w:rsidP="00BD68BB">
      <w:pPr>
        <w:spacing w:line="360" w:lineRule="auto"/>
        <w:rPr>
          <w:rFonts w:ascii="Times New Roman" w:hAnsi="Times New Roman" w:cs="Arial"/>
          <w:color w:val="000000" w:themeColor="text1"/>
          <w:u w:val="single"/>
        </w:rPr>
      </w:pPr>
      <w:r w:rsidRPr="00BD68BB">
        <w:rPr>
          <w:rFonts w:ascii="Times New Roman" w:hAnsi="Times New Roman" w:cs="Arial"/>
          <w:color w:val="000000" w:themeColor="text1"/>
          <w:u w:val="single"/>
        </w:rPr>
        <w:t>Introduction</w:t>
      </w:r>
    </w:p>
    <w:p w14:paraId="2F8EE670" w14:textId="77777777" w:rsidR="00BD68BB" w:rsidRPr="00BD68BB" w:rsidRDefault="00BD68BB" w:rsidP="00BD68BB">
      <w:pPr>
        <w:spacing w:line="360" w:lineRule="auto"/>
        <w:rPr>
          <w:rFonts w:ascii="Times New Roman" w:hAnsi="Times New Roman" w:cs="Arial"/>
          <w:color w:val="000000" w:themeColor="text1"/>
          <w:u w:val="single"/>
        </w:rPr>
      </w:pPr>
    </w:p>
    <w:p w14:paraId="182B1A47"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This analysis draws upon unique elements of different sources which piece together to gain a complete picture of a learners’ own perspectives, rather than the adults. The pupil analysed in this study is a female, reception aged pupil who is part of a Church of Wales Voluntary controlled primary school in a rural area of West Wales. The school is currently in the Green category for support. There are 224 pupils on roll at the school, with 7.2% of these pupils receiving free school meals, which is significantly lower than the Welsh average of 17% (my local school, 2018). The focused learner is in a mixed year group class consisting of twenty-six reception pupils and eight nursery pupils, the adults in the class consist of the class teacher and two Learning Support Assistants. The organisation of the class works in mixed ability groups for all Areas of Learning Experiences (AoLE). Although not a pioneer school, the school is endeavouring to incorporate the new Welsh curriculum (Donaldson, 2014) throughout the school environment, teaching and its ethos, largely focusing on the development in the Key Stage Two phase. The learner works in the higher ability group across all AoLE’s, this group is the largest out of the four groups within the class, consisting of ten pupils. A quarter of the class are female. The research participant here has some Speech, Language and Communication Needs (SLCN) and has a current Individual Development Plan (IDP) for this need. It is not the purpose of this study to diagnose abilities or assess the learner’s academic achievements against curriculum attainments, but rather to focus on the strategies that can be implemented to support and maintain the development of the learner holistically. </w:t>
      </w:r>
    </w:p>
    <w:p w14:paraId="489BC320" w14:textId="77777777" w:rsidR="00BD68BB" w:rsidRPr="00BD68BB" w:rsidRDefault="00BD68BB" w:rsidP="00BD68BB">
      <w:pPr>
        <w:spacing w:line="360" w:lineRule="auto"/>
        <w:rPr>
          <w:rFonts w:ascii="Times New Roman" w:hAnsi="Times New Roman" w:cs="Arial"/>
          <w:color w:val="000000" w:themeColor="text1"/>
        </w:rPr>
      </w:pPr>
    </w:p>
    <w:p w14:paraId="1A997858" w14:textId="77777777" w:rsidR="00BD68BB" w:rsidRPr="00BD68BB" w:rsidRDefault="00BD68BB" w:rsidP="00BD68BB">
      <w:pPr>
        <w:spacing w:line="360" w:lineRule="auto"/>
        <w:rPr>
          <w:rFonts w:ascii="Times New Roman" w:hAnsi="Times New Roman" w:cs="Arial"/>
          <w:color w:val="000000" w:themeColor="text1"/>
          <w:u w:val="single"/>
        </w:rPr>
      </w:pPr>
      <w:r w:rsidRPr="00BD68BB">
        <w:rPr>
          <w:rFonts w:ascii="Times New Roman" w:hAnsi="Times New Roman" w:cs="Arial"/>
          <w:color w:val="000000" w:themeColor="text1"/>
          <w:u w:val="single"/>
        </w:rPr>
        <w:t>Data collection</w:t>
      </w:r>
    </w:p>
    <w:p w14:paraId="0CAA9A05" w14:textId="77777777" w:rsidR="00BD68BB" w:rsidRPr="00BD68BB" w:rsidRDefault="00BD68BB" w:rsidP="00BD68BB">
      <w:pPr>
        <w:spacing w:line="360" w:lineRule="auto"/>
        <w:rPr>
          <w:rFonts w:ascii="Times New Roman" w:hAnsi="Times New Roman" w:cs="Arial"/>
          <w:color w:val="000000" w:themeColor="text1"/>
        </w:rPr>
      </w:pPr>
    </w:p>
    <w:p w14:paraId="07E36153"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All ethical considerations were taken into account during the study. The University of Wales Trinity Saint David’s (UWTSD) </w:t>
      </w:r>
      <w:r w:rsidRPr="00BD68BB">
        <w:rPr>
          <w:rFonts w:ascii="Times New Roman" w:hAnsi="Times New Roman" w:cs="Arial"/>
          <w:i/>
          <w:iCs/>
          <w:color w:val="000000" w:themeColor="text1"/>
        </w:rPr>
        <w:t xml:space="preserve">Research Ethics and Integrity Code of Practice </w:t>
      </w:r>
      <w:r w:rsidRPr="00BD68BB">
        <w:rPr>
          <w:rFonts w:ascii="Times New Roman" w:hAnsi="Times New Roman" w:cs="Arial"/>
          <w:color w:val="000000" w:themeColor="text1"/>
        </w:rPr>
        <w:t>(2017</w:t>
      </w:r>
      <w:r w:rsidRPr="00BD68BB">
        <w:rPr>
          <w:rFonts w:ascii="Times New Roman" w:hAnsi="Times New Roman" w:cs="Arial"/>
          <w:i/>
          <w:iCs/>
          <w:color w:val="000000" w:themeColor="text1"/>
        </w:rPr>
        <w:t xml:space="preserve">) </w:t>
      </w:r>
      <w:r w:rsidRPr="00BD68BB">
        <w:rPr>
          <w:rFonts w:ascii="Times New Roman" w:hAnsi="Times New Roman" w:cs="Arial"/>
          <w:color w:val="000000" w:themeColor="text1"/>
        </w:rPr>
        <w:t xml:space="preserve">was followed, alongside The British Educational Research Association (BERA) and their </w:t>
      </w:r>
      <w:r w:rsidRPr="00BD68BB">
        <w:rPr>
          <w:rFonts w:ascii="Times New Roman" w:hAnsi="Times New Roman" w:cs="Arial"/>
          <w:i/>
          <w:iCs/>
          <w:color w:val="000000" w:themeColor="text1"/>
        </w:rPr>
        <w:t xml:space="preserve">Ethical Guidelines for Education Research </w:t>
      </w:r>
      <w:r w:rsidRPr="00BD68BB">
        <w:rPr>
          <w:rFonts w:ascii="Times New Roman" w:hAnsi="Times New Roman" w:cs="Arial"/>
          <w:color w:val="000000" w:themeColor="text1"/>
        </w:rPr>
        <w:t xml:space="preserve">(2019). Verbal consent by the learner, class teacher and learner’s mother were given to be involved (appendix 1). The implications of the observations, such as bias and mis-representation, to both the researcher, and the learner were </w:t>
      </w:r>
      <w:r w:rsidRPr="00BD68BB">
        <w:rPr>
          <w:rFonts w:ascii="Times New Roman" w:hAnsi="Times New Roman" w:cs="Arial"/>
          <w:color w:val="000000" w:themeColor="text1"/>
        </w:rPr>
        <w:lastRenderedPageBreak/>
        <w:t xml:space="preserve">considered prior to the research proceeding. In regard to personal details concerning the school, its staff and the pupil being analysed, all information will remain confidential throughout this analysis. To avoid judgement or bias, initial observations were captured of the child during the first observational week of the professional teaching experience, this was prior to any teacher-pupil relationship being developed. </w:t>
      </w:r>
    </w:p>
    <w:p w14:paraId="391966C6" w14:textId="77777777" w:rsidR="00BD68BB" w:rsidRPr="00BD68BB" w:rsidRDefault="00BD68BB" w:rsidP="00BD68BB">
      <w:pPr>
        <w:spacing w:line="360" w:lineRule="auto"/>
        <w:rPr>
          <w:rFonts w:ascii="Times New Roman" w:hAnsi="Times New Roman" w:cs="Arial"/>
          <w:color w:val="000000" w:themeColor="text1"/>
        </w:rPr>
      </w:pPr>
    </w:p>
    <w:p w14:paraId="1E88878F"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Article 12 of the United Nations Convention on the Rights of the Child (UNCRC) (1989) states that throughout all aspects of the child’s life they have the right to voice their opinions, views and feelings on matters and decisions that directly affect them as a child, they also have the right for these views to be taken seriously and considered by others. Schools have an obligation to respect these rights and must develop the child’s personality, talents and abilities to the full (Article 29, UNCRC, 1989). Therefore, it can be said that education and teaching professionals have a duty to develop the child holistically, rather than purely academically. </w:t>
      </w:r>
    </w:p>
    <w:p w14:paraId="76C53351" w14:textId="77777777" w:rsidR="00BD68BB" w:rsidRPr="00BD68BB" w:rsidRDefault="00BD68BB" w:rsidP="00BD68BB">
      <w:pPr>
        <w:spacing w:line="360" w:lineRule="auto"/>
        <w:rPr>
          <w:rFonts w:ascii="Times New Roman" w:hAnsi="Times New Roman" w:cs="Arial"/>
          <w:color w:val="000000" w:themeColor="text1"/>
        </w:rPr>
      </w:pPr>
    </w:p>
    <w:p w14:paraId="064E9760"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The Mosaic approach, devised by Clark and Moss (2001) was the principal data collection method used within this analysis, whereby children are participatory researchers. The framework involved a triangulation of data methods which “plays to the children’s strengths rather than the adults” (Clark, 2007). The qualities of this approach enable’s the researcher or practitioner to listen to the learner and their meanings of the environments around them leading to a greater understanding of the factors which can have an influence on the development of the learner (Clark, 2007). It is the child’s perspective on their daily life which becomes the research findings, rather than simply the adult’s perspective. The framework combines participatory methods such as child-conferencing, photo-taking and map-making/child-led tours with traditional methods such as interviewing and observation. It can be argued that limitations of participatory research is the possibility of bias from the research subjects level of involvement, however Baumfield et al (2013) would suggest that limitations such as this would depend on the intent of the research enquiry and the type of questions to be asked. Piaget (1959) became the first psychologist to adopt a mixed method approach to his observations by interviewing each child to secure the accuracy of his observations (Harcourt et al, 2011). This developed from his interests to understand the cognitive development of a child and how they learn, rather than what they learn (Grigg, 2010). As the particular research taking place within this analysis proposes to study the child and their </w:t>
      </w:r>
      <w:r w:rsidRPr="00BD68BB">
        <w:rPr>
          <w:rFonts w:ascii="Times New Roman" w:hAnsi="Times New Roman" w:cs="Arial"/>
          <w:color w:val="000000" w:themeColor="text1"/>
        </w:rPr>
        <w:lastRenderedPageBreak/>
        <w:t xml:space="preserve">development holistically with the intent centred on improving learning then Baumfield et al (2013) support that participatory approaches may be regarded a sensible approach. </w:t>
      </w:r>
    </w:p>
    <w:p w14:paraId="1011F58D" w14:textId="77777777" w:rsidR="00BD68BB" w:rsidRPr="00BD68BB" w:rsidRDefault="00BD68BB" w:rsidP="00BD68BB">
      <w:pPr>
        <w:spacing w:line="360" w:lineRule="auto"/>
        <w:rPr>
          <w:rFonts w:ascii="Times New Roman" w:hAnsi="Times New Roman" w:cs="Arial"/>
          <w:color w:val="000000" w:themeColor="text1"/>
        </w:rPr>
      </w:pPr>
    </w:p>
    <w:p w14:paraId="1C05D421"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The various qualitative research methods of the mosaic approach combine both visual and verbal together to build a co-constructed perspective of the learning and its environment, the approach “listens to the learner” across several mediums not just that of spoken word. (Clark and Moss, 2011) It can be argued that the barriers to using the Mosaic approach is the acceptance of the quality of the child’s perspectives (Clark and Moss, 2011). Clark (2011) states that if children are to be listened to effectively within their early childhood then it is more likely that healthy relationships and communities will be built where adults and children respect one another. </w:t>
      </w:r>
    </w:p>
    <w:p w14:paraId="26A7A86B" w14:textId="77777777" w:rsidR="00BD68BB" w:rsidRPr="00BD68BB" w:rsidRDefault="00BD68BB" w:rsidP="00BD68BB">
      <w:pPr>
        <w:spacing w:line="360" w:lineRule="auto"/>
        <w:rPr>
          <w:rFonts w:ascii="Times New Roman" w:hAnsi="Times New Roman" w:cs="Arial"/>
          <w:color w:val="000000" w:themeColor="text1"/>
        </w:rPr>
      </w:pPr>
    </w:p>
    <w:p w14:paraId="08F4CDB7"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Vygotsky argued that social interaction, cultural and ecological context plays a central role in the child’s cognitive development (cited in Grigg, 2010). The notable work of Bronfenbrenner (cited in Gray and MacBlain, 2012) on the social learning theory asserts the importance of the wider environment and influences being taken into consideration when exploring the development of a child. A child has their most direct communication with those that sit within the microsystem layer which surrounds the child, it will be this microsystem that the Mosaic approach will explore (Gray and MacBlain, 2012). Some comparisons may be explored between the child’s microsystem and mesosystem as the relationship between school and their peers are observed. It can be argued that unlike the significant work of another social-learning theorist Bandura (cited in Gray and MacBlain, 2012), Bronfenbrenner (cited in Gray and MacBlain, 2012) does not consider the child’s cognitive development. </w:t>
      </w:r>
    </w:p>
    <w:p w14:paraId="3284ABD7" w14:textId="77777777" w:rsidR="00BD68BB" w:rsidRPr="00BD68BB" w:rsidRDefault="00BD68BB" w:rsidP="00BD68BB">
      <w:pPr>
        <w:spacing w:line="360" w:lineRule="auto"/>
        <w:rPr>
          <w:rFonts w:ascii="Times New Roman" w:hAnsi="Times New Roman" w:cs="Arial"/>
          <w:color w:val="000000" w:themeColor="text1"/>
        </w:rPr>
      </w:pPr>
    </w:p>
    <w:p w14:paraId="26C12016"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This analysis utilises the ASK model (Nottingham, 2013) when reflecting on the learner holistically, which concentrates on the Attitudes, Skills and Knowledge of the child, and how these three fields combine to craft the individual (Nottingham, 2013).</w:t>
      </w:r>
    </w:p>
    <w:p w14:paraId="59F8C2AF" w14:textId="77777777" w:rsidR="00BD68BB" w:rsidRPr="00BD68BB" w:rsidRDefault="00BD68BB" w:rsidP="00BD68BB">
      <w:pPr>
        <w:spacing w:line="360" w:lineRule="auto"/>
        <w:rPr>
          <w:rFonts w:ascii="Times New Roman" w:hAnsi="Times New Roman" w:cs="Arial"/>
          <w:color w:val="000000" w:themeColor="text1"/>
        </w:rPr>
      </w:pPr>
    </w:p>
    <w:p w14:paraId="3751937C" w14:textId="77777777" w:rsidR="00BD68BB" w:rsidRPr="00BD68BB" w:rsidRDefault="00BD68BB" w:rsidP="00BD68BB">
      <w:pPr>
        <w:spacing w:line="360" w:lineRule="auto"/>
        <w:rPr>
          <w:rFonts w:ascii="Times New Roman" w:hAnsi="Times New Roman" w:cs="Arial"/>
          <w:color w:val="000000" w:themeColor="text1"/>
          <w:u w:val="single"/>
        </w:rPr>
      </w:pPr>
      <w:r w:rsidRPr="00BD68BB">
        <w:rPr>
          <w:rFonts w:ascii="Times New Roman" w:hAnsi="Times New Roman" w:cs="Arial"/>
          <w:color w:val="000000" w:themeColor="text1"/>
          <w:u w:val="single"/>
        </w:rPr>
        <w:t>Analysis of learner</w:t>
      </w:r>
    </w:p>
    <w:p w14:paraId="4F93C2B4" w14:textId="77777777" w:rsidR="00BD68BB" w:rsidRPr="00BD68BB" w:rsidRDefault="00BD68BB" w:rsidP="00BD68BB">
      <w:pPr>
        <w:spacing w:line="360" w:lineRule="auto"/>
        <w:rPr>
          <w:rFonts w:ascii="Times New Roman" w:hAnsi="Times New Roman" w:cs="Arial"/>
          <w:color w:val="000000" w:themeColor="text1"/>
          <w:u w:val="single"/>
        </w:rPr>
      </w:pPr>
    </w:p>
    <w:p w14:paraId="72A1583E"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The research participant has been a pupil at the school for just under two years, first joining the school as a nursery pupil. The learner has some SLCN difficulties and for this she is visited regularly throughout the term by an external Speech and Language therapist (SALT). Currently, the learner is supported by the school through the use of in-class support, and with </w:t>
      </w:r>
      <w:r w:rsidRPr="00BD68BB">
        <w:rPr>
          <w:rFonts w:ascii="Times New Roman" w:hAnsi="Times New Roman" w:cs="Arial"/>
          <w:color w:val="000000" w:themeColor="text1"/>
        </w:rPr>
        <w:lastRenderedPageBreak/>
        <w:t xml:space="preserve">the guidance of targets from the SALT the learner currently has an IDP which includes two current targets to support her SCLN’s (appendix 18). The SALT identifies Pupil’s areas of concern to be speech and language and aural sound formation, she also identifies her areas of strength to be very good numeracy skills. </w:t>
      </w:r>
    </w:p>
    <w:p w14:paraId="32C32F18" w14:textId="77777777" w:rsidR="00BD68BB" w:rsidRPr="00BD68BB" w:rsidRDefault="00BD68BB" w:rsidP="00BD68BB">
      <w:pPr>
        <w:spacing w:line="360" w:lineRule="auto"/>
        <w:rPr>
          <w:rFonts w:ascii="Times New Roman" w:hAnsi="Times New Roman" w:cs="Arial"/>
          <w:color w:val="000000" w:themeColor="text1"/>
        </w:rPr>
      </w:pPr>
    </w:p>
    <w:p w14:paraId="04F28D34"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It can be said that allowing the child to use a camera to record aspects of the environment and their learning experiences encourages a mode of communication beyond that of the written or oral word (Harcourt et al, 2011). Although the learner can hold a fluent conversation with the adult, she was able to record her most enjoyable and supportive AoLE’s without the apprehension of searching for the correct vocabulary. Piaget’s (cited in Grigg, 2010) influence on cognitive development is evident within the Foundation Phase classroom with the growing use of continuous and enhanced provision areas, where learners are provided with areas and resources to construct their learning for themselves (Grigg, 2010). It can be seen in appendices 2 to 10 that many of the photos taken by the learner consisted of the continuous and enhanced areas of the classroom. </w:t>
      </w:r>
    </w:p>
    <w:p w14:paraId="681FC36D" w14:textId="77777777" w:rsidR="00BD68BB" w:rsidRPr="00BD68BB" w:rsidRDefault="00BD68BB" w:rsidP="00BD68BB">
      <w:pPr>
        <w:spacing w:line="360" w:lineRule="auto"/>
        <w:rPr>
          <w:rFonts w:ascii="Times New Roman" w:hAnsi="Times New Roman" w:cs="Arial"/>
          <w:color w:val="000000" w:themeColor="text1"/>
        </w:rPr>
      </w:pPr>
    </w:p>
    <w:p w14:paraId="25992E00"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Nottingham (2013) argues that more reserved learners can often be confused for reflective children due to both these types of learners demonstrating strong characteristics of self-control. Pupil A demonstrated effective reflection skills over her own learning, she regularly reflects on what she can and cannot do, comparing herself to Pupil B’s abilities. She is a member of a busy reception class which also includes children of nursery age, the range of young ages within the class means that the attitudes (ASK, 2013) towards self-control are still being developed within the class. The pupils dialogue recorded in appendix 7 highlights the pupil’s own recognition of her self-control, discussing the reward she received for her behaviour during the “statues” game. She refers to the other children in the game as “whiney” and this is the reason why she won, implying that she herself is not “whiney” when involved in competitive games. It can be said that she has made a clear link between self-control and self-discipline and the rewards that can be achieved from this. </w:t>
      </w:r>
    </w:p>
    <w:p w14:paraId="00868414" w14:textId="77777777" w:rsidR="00BD68BB" w:rsidRPr="00BD68BB" w:rsidRDefault="00BD68BB" w:rsidP="00BD68BB">
      <w:pPr>
        <w:spacing w:line="360" w:lineRule="auto"/>
        <w:rPr>
          <w:rFonts w:ascii="Times New Roman" w:hAnsi="Times New Roman" w:cs="Arial"/>
          <w:color w:val="000000" w:themeColor="text1"/>
          <w:u w:val="single"/>
        </w:rPr>
      </w:pPr>
    </w:p>
    <w:p w14:paraId="4385B115"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It can be argued from the evidence of observations in appendix 11 that the SLCN’s of the learner does not hinder her ability in Language, Literacy and Communication (LLC) or other AoLE’s. Pupil A has been placed in the higher ability group for LLC and Knowledge and Understanding of the World and when asked, performs co-operatively however mainly independently in this group. It was observed (appendix 11) that Pupil A strives to succeed in </w:t>
      </w:r>
      <w:r w:rsidRPr="00BD68BB">
        <w:rPr>
          <w:rFonts w:ascii="Times New Roman" w:hAnsi="Times New Roman" w:cs="Arial"/>
          <w:color w:val="000000" w:themeColor="text1"/>
        </w:rPr>
        <w:lastRenderedPageBreak/>
        <w:t>all challenges that are presented to her and demonstrates a mindset of perseverance. It has been explored by motivation theorists how motivation can stimulate a learner’s choices, persistence and performance in their actions of an activity (Wigfield and Eccles, 2000). To expand, it can be said that the level of effort which the learner puts in is influenced directly by how much they want to achieve the learning outcome, and how much they believe that they can achieve (Eccles cited in Nottingham, 2013). An occasion where such perseverance was observed was when writing a letter of persuasion (appendix 17), she wrote the letter over the course of two sessions, frequently using key word mats to support her writing and was reluctant to ask for adult support. Pupil A was able to hold a sentence in her head but struggled to find the correct sounds to put this sentence down on paper, it was during this incident where Pupil A’s SLCN’s were slightly prevalent. The National Health Service (NHS) (2015) defines SLCN as an extensive range of needs related to all aspects of communication within children. The needs range from understanding others to forming sounds, words and sentences to expressing ideas and emotions and using language socially (NHS, 2015). It is evident in appendix 17 that Pupil A is able to identify in self-reflection that she found the level of challenge difficult and is honest in her own self-assessment of her work. A more detailed annotation of this activity can be found in appendix 17.</w:t>
      </w:r>
    </w:p>
    <w:p w14:paraId="7AE746D9" w14:textId="77777777" w:rsidR="00BD68BB" w:rsidRPr="00BD68BB" w:rsidRDefault="00BD68BB" w:rsidP="00BD68BB">
      <w:pPr>
        <w:spacing w:line="360" w:lineRule="auto"/>
        <w:rPr>
          <w:rFonts w:ascii="Times New Roman" w:hAnsi="Times New Roman" w:cs="Arial"/>
          <w:color w:val="000000" w:themeColor="text1"/>
        </w:rPr>
      </w:pPr>
    </w:p>
    <w:p w14:paraId="1595DE6F"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It cannot be disagreed that Pupil A is a capable higher ability pupil who often does not rely on support from a peer or a supporting adult, however, within class and group discussions she was often reluctant to voice her opinions and ideas on the topic of discussion. If questioned by an adult under these circumstances, Pupil A regularly showed a sound understanding of the learning at hand although the dialogue would often be less fluent than when engaging in a one-to-one conversation with an adult or peer. When speaking in a larger group situation in front of her peers, there is a significant change in the volume and tone of her voice. Listening to the oracy evidence in appendix 16, it cannot be disregarded that Pupil A was confident to recall prior experiences and knowledge to explain instructions on how to plant a bean using the success criteria which was to include time connectives, whilst speaking clear and audibly to deliver four-step instructions. This oracy activity was performed independently with Pupil B and no other pupils involved, demonstrating Pupil A’s natural abilities to speak clearly and with confidence around individuals she is comfortable with. The SALT discusses Pupil A’s current progress to be working on saying consonant clusters at the beginning of words, it could be reasoned that due to her current difficulties with initial clusters, this is having an </w:t>
      </w:r>
      <w:r w:rsidRPr="00BD68BB">
        <w:rPr>
          <w:rFonts w:ascii="Times New Roman" w:hAnsi="Times New Roman" w:cs="Arial"/>
          <w:color w:val="000000" w:themeColor="text1"/>
        </w:rPr>
        <w:lastRenderedPageBreak/>
        <w:t xml:space="preserve">impact on Pupil A’s reluctancy to voice her opinions and ideas in front of larger groups as she finds it difficult to find the initial sounds in words and use her vocabulary. </w:t>
      </w:r>
    </w:p>
    <w:p w14:paraId="3182F582" w14:textId="77777777" w:rsidR="00BD68BB" w:rsidRPr="00BD68BB" w:rsidRDefault="00BD68BB" w:rsidP="00BD68BB">
      <w:pPr>
        <w:spacing w:line="360" w:lineRule="auto"/>
        <w:rPr>
          <w:rFonts w:ascii="Times New Roman" w:hAnsi="Times New Roman" w:cs="Arial"/>
          <w:color w:val="000000" w:themeColor="text1"/>
        </w:rPr>
      </w:pPr>
    </w:p>
    <w:p w14:paraId="08114403"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A study by Lindsay and Dockrell (2000) identified that children with SLCN are considered likely to have a negative self-perception of themselves academically and socially, this is not a behaviour that Pupil A has demonstrated. On the other hand, Lindsay and Dockrell (2000) continue to explore the concept that these negative self-perceptions are influenced by the behaviour of others towards their performance due to the SLCN difficulties. Having observed Pupil A surrounded by her peers, there has been no evidence that Pupil A is treated otherwise due to her mild SLCN difficulties. Furthermore, though generally Pupil A does not present a negative self-perception of herself, she does lack the confidence in her own abilities on occasions and she often needs reassurance from an adult. </w:t>
      </w:r>
    </w:p>
    <w:p w14:paraId="196ADB05" w14:textId="77777777" w:rsidR="00BD68BB" w:rsidRPr="00BD68BB" w:rsidRDefault="00BD68BB" w:rsidP="00BD68BB">
      <w:pPr>
        <w:spacing w:line="360" w:lineRule="auto"/>
        <w:rPr>
          <w:rFonts w:ascii="Times New Roman" w:hAnsi="Times New Roman" w:cs="Arial"/>
          <w:color w:val="000000" w:themeColor="text1"/>
        </w:rPr>
      </w:pPr>
    </w:p>
    <w:p w14:paraId="3360FD93"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Constructivist Bruner (cited in Gray and MacBlain, 2012) explored the belief that the cognitive development of children who engaged themselves with both reading and writing were typically those children who would engage themselves with talking with others (Gray and MacBlain, 2012). Although it can be said that Pupil A was an able pupil in both Literacy and Mathematics, when engaging with the continuous provision of the classroom (appendices 2 to 11), there was no occasion where it was observed that she would choose to independently and unreservedly engage herself within the Mathematics and Literacy areas. Whilst Pupil A takes pride and attention in her writing during focus group tasks led by the teacher or LSA, she does not choose to develop these skills further within other opportunities in the classroom. </w:t>
      </w:r>
    </w:p>
    <w:p w14:paraId="2AECB111" w14:textId="77777777" w:rsidR="00BD68BB" w:rsidRPr="00BD68BB" w:rsidRDefault="00BD68BB" w:rsidP="00BD68BB">
      <w:pPr>
        <w:spacing w:line="360" w:lineRule="auto"/>
        <w:rPr>
          <w:rFonts w:ascii="Times New Roman" w:hAnsi="Times New Roman" w:cs="Arial"/>
          <w:color w:val="000000" w:themeColor="text1"/>
        </w:rPr>
      </w:pPr>
    </w:p>
    <w:p w14:paraId="5551A9A6"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In response to Nottingham’s (2013) suggestion that involving pupils in the planning of topics can motivate and prepare pupils for the learning, a pupil voice session was delivered by the class teacher which encouraged the class to have their own input and discussions to what they would like to see enhanced into the continuous provision areas for the forthcoming topic “pirates”. This was carried out in a carpet led discussion with learners using the “think, pair, share” approach and then feeding ideas back to the remainder of the class. Learners were incredibly engaged and came up with planning ideas for the majority of the areas within the class, however, Pupil A did not provide any input into the discussion or share her own ideas. </w:t>
      </w:r>
    </w:p>
    <w:p w14:paraId="38E6224B" w14:textId="77777777" w:rsidR="00BD68BB" w:rsidRPr="00BD68BB" w:rsidRDefault="00BD68BB" w:rsidP="00BD68BB">
      <w:pPr>
        <w:spacing w:line="360" w:lineRule="auto"/>
        <w:rPr>
          <w:rFonts w:ascii="Times New Roman" w:hAnsi="Times New Roman" w:cs="Arial"/>
          <w:color w:val="000000" w:themeColor="text1"/>
        </w:rPr>
      </w:pPr>
    </w:p>
    <w:p w14:paraId="6FBE5AAE"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lastRenderedPageBreak/>
        <w:t xml:space="preserve">Observations of Pupil A’s social behaviours (appendix 11) would suggest that she is working towards elements of outcome four within the Personal and Social Development, Well-being and Cultural Diversity AoLE, she has demonstrated abilities of self-control and waiting for her needs to be met. To contrast, a conversation with her class teacher (appendix 13) revealed some behaviours that she had displayed prior to the research study which exhibited actions for attention. The class teacher linked these behaviours to the introduction of the Nursery pupils into the class. Bruner (cited in Gray and MacBlain, 2012) explored the view that the development of a child’s thinking and learning can be a subsequent result from the level and manner of support which the learner receives from an adult. It could be argued that Pupil A’s behaviour differed when the structure of pupils changed in the classroom because she felt that she was not receiving the typical level of support she was once used to, from the class teacher.  </w:t>
      </w:r>
    </w:p>
    <w:p w14:paraId="74A9B154" w14:textId="77777777" w:rsidR="00BD68BB" w:rsidRPr="00BD68BB" w:rsidRDefault="00BD68BB" w:rsidP="00BD68BB">
      <w:pPr>
        <w:spacing w:line="360" w:lineRule="auto"/>
        <w:rPr>
          <w:rFonts w:ascii="Times New Roman" w:hAnsi="Times New Roman" w:cs="Arial"/>
          <w:color w:val="000000" w:themeColor="text1"/>
          <w:u w:val="single"/>
        </w:rPr>
      </w:pPr>
    </w:p>
    <w:p w14:paraId="2D04E7EA"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Pupil A has been identified as being a more able and talented (MAT) pupil in Mathematical development. Welsh Government (p.g. 6, 2008) define MAT pupils as those who require </w:t>
      </w:r>
      <w:r w:rsidRPr="00BD68BB">
        <w:rPr>
          <w:rFonts w:ascii="Times New Roman" w:hAnsi="Times New Roman" w:cs="Arial"/>
          <w:i/>
          <w:iCs/>
          <w:color w:val="000000" w:themeColor="text1"/>
        </w:rPr>
        <w:t>enriched and extended opportunities across the curriculum in order to develop their abilities in one or more areas.</w:t>
      </w:r>
      <w:r w:rsidRPr="00BD68BB">
        <w:rPr>
          <w:rFonts w:ascii="Times New Roman" w:hAnsi="Times New Roman" w:cs="Arial"/>
          <w:color w:val="000000" w:themeColor="text1"/>
        </w:rPr>
        <w:t xml:space="preserve"> It argues that research has shown that by schools supporting their MAT pupils, this will consequently raise the standards of achievement for all pupils. </w:t>
      </w:r>
    </w:p>
    <w:p w14:paraId="3041D459" w14:textId="77777777" w:rsidR="00BD68BB" w:rsidRPr="00BD68BB" w:rsidRDefault="00BD68BB" w:rsidP="00BD68BB">
      <w:pPr>
        <w:spacing w:line="360" w:lineRule="auto"/>
        <w:rPr>
          <w:rFonts w:ascii="Times New Roman" w:hAnsi="Times New Roman" w:cs="Arial"/>
          <w:color w:val="000000" w:themeColor="text1"/>
        </w:rPr>
      </w:pPr>
    </w:p>
    <w:p w14:paraId="687C3A17"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Within Mathematical development, Pupil A is currently showing strong evidence of working towards elements of outcome 4 (appendix 15), an outcome above the expected attainment by a reception aged pupil. </w:t>
      </w:r>
    </w:p>
    <w:p w14:paraId="00CD6372" w14:textId="77777777" w:rsidR="00BD68BB" w:rsidRPr="00BD68BB" w:rsidRDefault="00BD68BB" w:rsidP="00BD68BB">
      <w:pPr>
        <w:spacing w:line="360" w:lineRule="auto"/>
        <w:rPr>
          <w:rFonts w:ascii="Times New Roman" w:hAnsi="Times New Roman" w:cs="Arial"/>
          <w:color w:val="000000" w:themeColor="text1"/>
        </w:rPr>
      </w:pPr>
    </w:p>
    <w:p w14:paraId="626CACC8"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Pupil A, and the rest of her peers, were introduced to a new Assessment for Learning (AfL) strategy being integrated into the classroom. This strategy was developed by the researcher and known as the “Lego challenge” (appendix 19) and provided the learners with skilled challenges that learners would need to achieve within the focus-activity, when they had demonstrated the particular skill, they would receive a Lego block. Pupil A was significantly engaged with this method of AfL and relied on it largely as her learning goal. Within group plenaries she was able to independently reflect the skills she was challenged with in order to achieve the Lego block. By setting three levels of challenge this was beneficial in supporting the learners in moving forward in their learning as they had a clear individual step of where the learning needed to move next. The Lego challenge provides an opportunity for all learners to successfully achieve something during the focus task at the level of challenge, </w:t>
      </w:r>
      <w:r w:rsidRPr="00BD68BB">
        <w:rPr>
          <w:rFonts w:ascii="Times New Roman" w:hAnsi="Times New Roman" w:cs="Arial"/>
          <w:color w:val="000000" w:themeColor="text1"/>
        </w:rPr>
        <w:lastRenderedPageBreak/>
        <w:t xml:space="preserve">which is most appropriate to them, regardless of where their peers are. Pupil A was able to use these challenges when reflecting on her own learning, this can be established in appendix 14 where she completed a “hot and cold” task in building a 2D and 3D shape castle. Estyn (2018) suggests that MAT pupils often reflect on their own learning robustly and are able to identify what they need to do in order to improve their own work. She spent an initial lesson building the shape castle with no adult support or examples of a successful shape castle. During the hot task she chose to work with Pupil B and was able to discuss the improvements she wished to make through following the success criteria. It can be said that during the focus activity she made no interaction with the rest of the group or looking at others’ models to support her own learning, nor did she share her ideas with the rest of the group. Donaldson (2014) discusses the importance of metacognition to play a significant role in learners taking ownership and control of their own learning. It could be debated whether the structure of the Lego challenge had a positive impact on Pupil A being a capable learner who could observe her own learning and identify the ways forward. Reflecting on Eccles’ (cited in Nottingham, 2013) expectancy value theory, it can also be debated that using the Lego blocks as a challenge, benchmarked the expected outcome that was anticipated from her, this motivated the level of effort that she put into completing the challenge. </w:t>
      </w:r>
    </w:p>
    <w:p w14:paraId="7E2D607A" w14:textId="77777777" w:rsidR="00BD68BB" w:rsidRPr="00BD68BB" w:rsidRDefault="00BD68BB" w:rsidP="00BD68BB">
      <w:pPr>
        <w:spacing w:line="360" w:lineRule="auto"/>
        <w:rPr>
          <w:rFonts w:ascii="Times New Roman" w:hAnsi="Times New Roman" w:cs="Arial"/>
          <w:color w:val="000000" w:themeColor="text1"/>
        </w:rPr>
      </w:pPr>
    </w:p>
    <w:p w14:paraId="2DDB1C3C"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An impromptu conversation with Pupil A led to reveal her enthusiasm for the use of Information Communication Technology (ICT) (appendix 12). She demonstrated a good recall and understanding of the functions and features that JIT provides. It can be said that she is demonstrating a strong Digital Competence for her age, she can log onto HWB confidently and independently and is able to recall and find any previous work that she has completed on the computer. Again, this conversation reinforced the relationship she has with Pupil B, making reference to the fact that he would know how to use ‘chart’. Interestingly, she was able to refer to other AoLE’s in reference to particular features of JIT (appendix 12). This demonstrates that she is making connections between her learning and the valuableness of cross-curricular opportunities. It can be said that appendix 12 demonstrates that her oracy strengths lie in AoLE’s that she is most comfortable with. </w:t>
      </w:r>
    </w:p>
    <w:p w14:paraId="49D703A3" w14:textId="77777777" w:rsidR="00BD68BB" w:rsidRPr="00BD68BB" w:rsidRDefault="00BD68BB" w:rsidP="00BD68BB">
      <w:pPr>
        <w:spacing w:line="360" w:lineRule="auto"/>
        <w:rPr>
          <w:rFonts w:ascii="Times New Roman" w:hAnsi="Times New Roman" w:cs="Arial"/>
          <w:color w:val="000000" w:themeColor="text1"/>
        </w:rPr>
      </w:pPr>
    </w:p>
    <w:p w14:paraId="58B355E3"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It can be concluded from the analysis that Pupil A is a highly able and motivated learner who lacks in communicating with the majority of her peers, both socially and academically. Bandura (cited in Gray and MacBlain, 2012) places emphasis on self-efficacy within children. Pupil A has demonstrated strong self-efficacy, that is the self-belief in her </w:t>
      </w:r>
      <w:r w:rsidRPr="00BD68BB">
        <w:rPr>
          <w:rFonts w:ascii="Times New Roman" w:hAnsi="Times New Roman" w:cs="Arial"/>
          <w:color w:val="000000" w:themeColor="text1"/>
        </w:rPr>
        <w:lastRenderedPageBreak/>
        <w:t>competence (Akhtar, 2008), within the role of independent work, however her self-efficacy can be seen to be poorer when working with other children.</w:t>
      </w:r>
    </w:p>
    <w:p w14:paraId="72F2BEDA" w14:textId="77777777" w:rsidR="00BD68BB" w:rsidRPr="00BD68BB" w:rsidRDefault="00BD68BB" w:rsidP="00BD68BB">
      <w:pPr>
        <w:spacing w:line="360" w:lineRule="auto"/>
        <w:rPr>
          <w:rFonts w:ascii="Times New Roman" w:hAnsi="Times New Roman" w:cs="Arial"/>
          <w:color w:val="000000" w:themeColor="text1"/>
        </w:rPr>
      </w:pPr>
    </w:p>
    <w:p w14:paraId="6590A5C8" w14:textId="77777777" w:rsidR="00BD68BB" w:rsidRPr="00BD68BB" w:rsidRDefault="00BD68BB" w:rsidP="00BD68BB">
      <w:pPr>
        <w:spacing w:line="360" w:lineRule="auto"/>
        <w:rPr>
          <w:rFonts w:ascii="Times New Roman" w:hAnsi="Times New Roman" w:cs="Arial"/>
          <w:color w:val="000000" w:themeColor="text1"/>
          <w:u w:val="single"/>
        </w:rPr>
      </w:pPr>
      <w:r w:rsidRPr="00BD68BB">
        <w:rPr>
          <w:rFonts w:ascii="Times New Roman" w:hAnsi="Times New Roman" w:cs="Arial"/>
          <w:color w:val="000000" w:themeColor="text1"/>
          <w:u w:val="single"/>
        </w:rPr>
        <w:t>Next steps</w:t>
      </w:r>
    </w:p>
    <w:p w14:paraId="7934DBC5" w14:textId="77777777" w:rsidR="00BD68BB" w:rsidRPr="00BD68BB" w:rsidRDefault="00BD68BB" w:rsidP="00BD68BB">
      <w:pPr>
        <w:spacing w:line="360" w:lineRule="auto"/>
        <w:rPr>
          <w:rFonts w:ascii="Times New Roman" w:hAnsi="Times New Roman" w:cs="Arial"/>
          <w:color w:val="000000" w:themeColor="text1"/>
        </w:rPr>
      </w:pPr>
    </w:p>
    <w:p w14:paraId="7BE006E7"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Estyn (2018) reports that in around a third of schools in Wales, MAT pupils do not use their skills which match their ability almost as much as they could be. The ASK model (Nottingham, 2013) encourages education professionals to enhance the skills and attitudes of learners and a combination of these skills can be used by learners to support their fellow peers. Nottingham (2013) fosters the notion that a teacher’s role should be to enhance attitudes and skills as well as their knowledge, this involves constant thinking and looking for ways forward to enhance these skills within the classroom. </w:t>
      </w:r>
    </w:p>
    <w:p w14:paraId="5C75D350" w14:textId="77777777" w:rsidR="00BD68BB" w:rsidRPr="00BD68BB" w:rsidRDefault="00BD68BB" w:rsidP="00BD68BB">
      <w:pPr>
        <w:spacing w:line="360" w:lineRule="auto"/>
        <w:rPr>
          <w:rFonts w:ascii="Times New Roman" w:hAnsi="Times New Roman" w:cs="Arial"/>
          <w:color w:val="000000" w:themeColor="text1"/>
        </w:rPr>
      </w:pPr>
    </w:p>
    <w:p w14:paraId="2F388698"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Taking into consideration the development of Pupil A within Mathematics, Language, Literacy and Communication, Information and Communication Technology (ICT), and Personal and Social, Well-being and development there are a number of interventions and strategies which could be integrated to support the development of the learner’s oracy skills and abilities across all AoLE’s. These were found to be;</w:t>
      </w:r>
    </w:p>
    <w:p w14:paraId="26904997" w14:textId="77777777" w:rsidR="00BD68BB" w:rsidRPr="00BD68BB" w:rsidRDefault="00BD68BB" w:rsidP="00BD68BB">
      <w:pPr>
        <w:spacing w:line="360" w:lineRule="auto"/>
        <w:rPr>
          <w:rFonts w:ascii="Times New Roman" w:hAnsi="Times New Roman" w:cs="Arial"/>
          <w:color w:val="000000" w:themeColor="text1"/>
        </w:rPr>
      </w:pPr>
    </w:p>
    <w:p w14:paraId="0863ED91" w14:textId="77777777" w:rsidR="00BD68BB" w:rsidRPr="00BD68BB" w:rsidRDefault="00BD68BB" w:rsidP="00BD68BB">
      <w:pPr>
        <w:pStyle w:val="ListParagraph"/>
        <w:numPr>
          <w:ilvl w:val="0"/>
          <w:numId w:val="4"/>
        </w:numPr>
        <w:spacing w:line="360" w:lineRule="auto"/>
        <w:rPr>
          <w:rFonts w:ascii="Times New Roman" w:hAnsi="Times New Roman" w:cs="Arial"/>
          <w:color w:val="000000" w:themeColor="text1"/>
        </w:rPr>
      </w:pPr>
      <w:r w:rsidRPr="00BD68BB">
        <w:rPr>
          <w:rFonts w:ascii="Times New Roman" w:hAnsi="Times New Roman" w:cs="Arial"/>
          <w:color w:val="000000" w:themeColor="text1"/>
        </w:rPr>
        <w:t>Metacognition and self-regulation;</w:t>
      </w:r>
    </w:p>
    <w:p w14:paraId="7C9D80A1" w14:textId="77777777" w:rsidR="00BD68BB" w:rsidRPr="00BD68BB" w:rsidRDefault="00BD68BB" w:rsidP="00BD68BB">
      <w:pPr>
        <w:pStyle w:val="ListParagraph"/>
        <w:numPr>
          <w:ilvl w:val="0"/>
          <w:numId w:val="4"/>
        </w:numPr>
        <w:spacing w:line="360" w:lineRule="auto"/>
        <w:rPr>
          <w:rFonts w:ascii="Times New Roman" w:hAnsi="Times New Roman" w:cs="Arial"/>
          <w:color w:val="000000" w:themeColor="text1"/>
        </w:rPr>
      </w:pPr>
      <w:r w:rsidRPr="00BD68BB">
        <w:rPr>
          <w:rFonts w:ascii="Times New Roman" w:hAnsi="Times New Roman" w:cs="Arial"/>
          <w:color w:val="000000" w:themeColor="text1"/>
        </w:rPr>
        <w:t>Mastery learning and;</w:t>
      </w:r>
    </w:p>
    <w:p w14:paraId="415CA017" w14:textId="77777777" w:rsidR="00BD68BB" w:rsidRPr="00BD68BB" w:rsidRDefault="00BD68BB" w:rsidP="00BD68BB">
      <w:pPr>
        <w:pStyle w:val="ListParagraph"/>
        <w:numPr>
          <w:ilvl w:val="0"/>
          <w:numId w:val="4"/>
        </w:numPr>
        <w:spacing w:line="360" w:lineRule="auto"/>
        <w:rPr>
          <w:rFonts w:ascii="Times New Roman" w:hAnsi="Times New Roman" w:cs="Arial"/>
          <w:color w:val="000000" w:themeColor="text1"/>
        </w:rPr>
      </w:pPr>
      <w:r w:rsidRPr="00BD68BB">
        <w:rPr>
          <w:rFonts w:ascii="Times New Roman" w:hAnsi="Times New Roman" w:cs="Arial"/>
          <w:color w:val="000000" w:themeColor="text1"/>
        </w:rPr>
        <w:t>Collaborative learning (Education Endowment Foundation (EEF), 2019).</w:t>
      </w:r>
    </w:p>
    <w:p w14:paraId="19767916" w14:textId="77777777" w:rsidR="00BD68BB" w:rsidRPr="00BD68BB" w:rsidRDefault="00BD68BB" w:rsidP="00BD68BB">
      <w:pPr>
        <w:spacing w:line="360" w:lineRule="auto"/>
        <w:rPr>
          <w:rFonts w:ascii="Times New Roman" w:hAnsi="Times New Roman" w:cs="Arial"/>
          <w:color w:val="000000" w:themeColor="text1"/>
        </w:rPr>
      </w:pPr>
    </w:p>
    <w:p w14:paraId="710FF597"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EEF (2019) recommend that these strategies can be intertwined within one another. </w:t>
      </w:r>
    </w:p>
    <w:p w14:paraId="0C4D8F54" w14:textId="77777777" w:rsidR="00BD68BB" w:rsidRPr="00BD68BB" w:rsidRDefault="00BD68BB" w:rsidP="00BD68BB">
      <w:pPr>
        <w:spacing w:line="360" w:lineRule="auto"/>
        <w:rPr>
          <w:rFonts w:ascii="Times New Roman" w:hAnsi="Times New Roman" w:cs="Arial"/>
          <w:color w:val="000000" w:themeColor="text1"/>
        </w:rPr>
      </w:pPr>
    </w:p>
    <w:p w14:paraId="16804B88"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Doherty and Hughes (2009) explain that teachers can understand the children in their class more holistically if they recognise some of the temperament traits, understanding the temperament traits of a child can help in</w:t>
      </w:r>
      <w:bookmarkStart w:id="0" w:name="_GoBack"/>
      <w:bookmarkEnd w:id="0"/>
      <w:r w:rsidRPr="00BD68BB">
        <w:rPr>
          <w:rFonts w:ascii="Times New Roman" w:hAnsi="Times New Roman" w:cs="Arial"/>
          <w:color w:val="000000" w:themeColor="text1"/>
        </w:rPr>
        <w:t xml:space="preserve">terpret the behaviours of children. Nottingham (2013) explores skills for learning within the ASK model. A component of these set of skills are social skills that children need in order to effectively learn. It can be said that in the observations made (appendix 11) Pupil A rarely interacts with other pupils in her class, aside from Pupil B. Although she respects other people’s viewpoints, she is yet to have demonstrated the ability to encourage and influence others within her peer group (Nottingham, 2013). As Pupil A is an able pupil who exhibits many of the intellectual social </w:t>
      </w:r>
      <w:r w:rsidRPr="00BD68BB">
        <w:rPr>
          <w:rFonts w:ascii="Times New Roman" w:hAnsi="Times New Roman" w:cs="Arial"/>
          <w:color w:val="000000" w:themeColor="text1"/>
        </w:rPr>
        <w:lastRenderedPageBreak/>
        <w:t xml:space="preserve">skills which Nottingham (2013) discusses, she has the potential to share these intellectual skills with her less able peers, however it can be said that she currently chooses not to interact with her peers in this means. </w:t>
      </w:r>
    </w:p>
    <w:p w14:paraId="52DE54DB" w14:textId="77777777" w:rsidR="00BD68BB" w:rsidRPr="00BD68BB" w:rsidRDefault="00BD68BB" w:rsidP="00BD68BB">
      <w:pPr>
        <w:spacing w:line="360" w:lineRule="auto"/>
        <w:rPr>
          <w:rFonts w:ascii="Times New Roman" w:hAnsi="Times New Roman" w:cs="Arial"/>
          <w:color w:val="000000" w:themeColor="text1"/>
        </w:rPr>
      </w:pPr>
    </w:p>
    <w:p w14:paraId="366A3518"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It has been identified that although Pupil A has been observed using appropriate language skills with Pupil B and adults, she lacks confidence or is reluctant to speak in front of a larger group of her peers. Donaldson (2014) recommends that successful learning will develop through collaboration, he also supports the belief that collaboration can develop metacognitive skills. Doherty and Hughes (2009) define collaborative tasks that take place within the classroom as co-operative learning, whereby children of different levels of ability bring their strengths together to work on a common goal as a small group. This approach would be beneficial to Pupil A as it enables a broader scope on Vygotsky’s (McLeod, 2019) Zone of Proximal Development to occur, her strengths and expertise in Mathematics, LLC and ICT can provide a scaffolding to her less able peers. It can be said that this strategy may in turn have an influential effect in her SLCN’s, as co-operative learning will engage her in developing her language and social skills with peers she otherwise may have not interacted with. Effective co-operative learning provides each child in the group with an individual personal role, having her own role will encourage Pupil A to have to compel with her peers in order for her role to contribute the intended learning outcome. In support of this strategy, the EEF (2019) found collaborative learning to have a low cost with a moderate impact, with learners making an improvement of at least five months. </w:t>
      </w:r>
    </w:p>
    <w:p w14:paraId="2383A3E6" w14:textId="77777777" w:rsidR="00BD68BB" w:rsidRPr="00BD68BB" w:rsidRDefault="00BD68BB" w:rsidP="00BD68BB">
      <w:pPr>
        <w:spacing w:line="360" w:lineRule="auto"/>
        <w:rPr>
          <w:rFonts w:ascii="Times New Roman" w:hAnsi="Times New Roman" w:cs="Arial"/>
          <w:color w:val="000000" w:themeColor="text1"/>
        </w:rPr>
      </w:pPr>
    </w:p>
    <w:p w14:paraId="0C3381A7"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It must be taken into consideration that the implications of co-operative learning are that, in order for it to be effective, children will need to skilled in operating co-operatively, requiring teachers to hold the relevant training (Doherty and Hughes, 2009). The EEF (2019) identified that collaborative learning can lead to competitiveness between peer groups resulting in the focus becoming on a competition rather than the learning. However, if structured appropriately and exercised with attention to promoting talk and interaction between peers (EEF, 2019) then collaborative learning can have a positive impact on the development of the learners. With hands on learning taking a predominant role in the Foundation Phase, it can be said that there are more opportunities for co-operative learning structured activities to take place. </w:t>
      </w:r>
    </w:p>
    <w:p w14:paraId="2F01A801" w14:textId="77777777" w:rsidR="00BD68BB" w:rsidRPr="00BD68BB" w:rsidRDefault="00BD68BB" w:rsidP="00BD68BB">
      <w:pPr>
        <w:spacing w:line="360" w:lineRule="auto"/>
        <w:rPr>
          <w:rFonts w:ascii="Times New Roman" w:hAnsi="Times New Roman" w:cs="Arial"/>
          <w:color w:val="000000" w:themeColor="text1"/>
        </w:rPr>
      </w:pPr>
    </w:p>
    <w:p w14:paraId="6D96FB03"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lastRenderedPageBreak/>
        <w:t xml:space="preserve">Fostering on from Vygotsky’s (cited in Mercer, 2005) sociocultural approach whereby language influences individual learning and cognitive development (Mercer, 2005), a co-operative learning approach which promotes learners not only to talk together but to ‘interthink’, is the Thinking Together (Dawes et al, 2004) approach, a programme which increases the use of exploratory talk between learners. A report by Mercer (2005) found that working in such a manner develops the reasoning skills of the learner and are listening to each other rather than just hearing their peers. An approach such as Thinking Together (Dawes, et al, 2004) may support the development of Pupil A communicating more often and more effectively with her peers. </w:t>
      </w:r>
    </w:p>
    <w:p w14:paraId="54289B53" w14:textId="77777777" w:rsidR="00BD68BB" w:rsidRPr="00BD68BB" w:rsidRDefault="00BD68BB" w:rsidP="00BD68BB">
      <w:pPr>
        <w:spacing w:line="360" w:lineRule="auto"/>
        <w:rPr>
          <w:rFonts w:ascii="Times New Roman" w:hAnsi="Times New Roman" w:cs="Arial"/>
          <w:color w:val="000000" w:themeColor="text1"/>
        </w:rPr>
      </w:pPr>
    </w:p>
    <w:p w14:paraId="34DB9519"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The EEF (2019) also suggest that collaborative learning can have a positive impact on other approaches such as mastery learning and digital technologies. Arguments would suggest that Pupil A’s competencies in ICT could be used to support her peers in mastering digital competency skills. Cornist Park Community Primary School (Estyn, cited 2019) discovered that by introducing pupils as digital leaders who supported peers and staff in developing digital competence skills, standards have increased for all pupils due to experiences across the curriculum being enhanced through ICT. </w:t>
      </w:r>
    </w:p>
    <w:p w14:paraId="66F3A0AB" w14:textId="77777777" w:rsidR="00BD68BB" w:rsidRPr="00BD68BB" w:rsidRDefault="00BD68BB" w:rsidP="00BD68BB">
      <w:pPr>
        <w:spacing w:line="360" w:lineRule="auto"/>
        <w:rPr>
          <w:rFonts w:ascii="Times New Roman" w:hAnsi="Times New Roman" w:cs="Arial"/>
          <w:color w:val="000000" w:themeColor="text1"/>
        </w:rPr>
      </w:pPr>
    </w:p>
    <w:p w14:paraId="2B67AFFE"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A further strategy which has one of the greatest impacts on pupil development, by an increase of seven months, is that of metacognition and self-regulation, which makes talk about learning explicit in the classroom (EEF, 2019). These approaches are also said to be more effective when working collectively with collaborative learning. In saying this, it can be said that metacognition and self-regulation are most effective to low attaining learners and older pupils (EEF, 2019), with Pupil A engaging with neither of these factors it is questionable how effective this approach would be on the pupil as she is already relatively pro-active in her efforts to learn. </w:t>
      </w:r>
    </w:p>
    <w:p w14:paraId="43D75E04" w14:textId="77777777" w:rsidR="00BD68BB" w:rsidRPr="00BD68BB" w:rsidRDefault="00BD68BB" w:rsidP="00BD68BB">
      <w:pPr>
        <w:spacing w:line="360" w:lineRule="auto"/>
        <w:rPr>
          <w:rFonts w:ascii="Times New Roman" w:hAnsi="Times New Roman" w:cs="Arial"/>
          <w:color w:val="000000" w:themeColor="text1"/>
        </w:rPr>
      </w:pPr>
    </w:p>
    <w:p w14:paraId="383EA8E1"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Doherty and Hughes (2009) illustrate conscientiousness as one of the Big Five personality traits of children and adults, to put it more simply, a child with the conscientious personality type possesses the ability to control impulses. Given this, they go on to consider that a child with such a personality type would act responsibly whilst in the classroom and that conscientious children approach school life and their work seriously (Doherty and Hughes, 2009). In many elements of her school life and work, Pupil A has demonstrated this trait. In consideration of this, a more pro-active role should be taken in enhancing Pupil A’s abilities </w:t>
      </w:r>
      <w:r w:rsidRPr="00BD68BB">
        <w:rPr>
          <w:rFonts w:ascii="Times New Roman" w:hAnsi="Times New Roman" w:cs="Arial"/>
          <w:color w:val="000000" w:themeColor="text1"/>
        </w:rPr>
        <w:lastRenderedPageBreak/>
        <w:t>and conscientiousness traits as a MAT pupil in Mathematics. Watson (2017) states that activities which incorporate planning, monitoring and evaluating develop the metacognitive skills of pupils. Pupil A’s metacognition and self-regulation in Mathematics could be enhanced through the employment of the “Lego challenges” (appendix 16) specifically tailored to her Mathematical needs and abilities, such an approach would encourage her to consciously plan, monitor and evaluate her own learning independently through concrete rewards such as the lego blocks (EEF, 2019). Stripp (2014) deliberates that extension activities in Mathematics for the more able pupils can often result in ‘superficial learning’ and that for progress to be made, a deeper learning must be developed. These challenges could be skills that Pupil A is already familiar with which would employ the mastery learning approach ensuring that she has a solid, concreate understanding of the subject knowledge and skills and providing her with a range of situations to apply these knowledge and skills to. A strategy such as mastery compliments her current personal learning approaches as she has demonstrated a formidable attribute to the Growth Mindset (Dweck, 2006), Pupil A has demonstrated perseverance and recognition that achievement is associated with effort in previous learning activities. Bandura (cited in Gray and MacBlain, 2012) identifies mastery learning as a key influence in developing a stronger sense of self-efficacy and declares it to be the early-years practitioners’ role to provide learners with mastery learning opportunities.</w:t>
      </w:r>
    </w:p>
    <w:p w14:paraId="56E18904" w14:textId="77777777" w:rsidR="00BD68BB" w:rsidRPr="00BD68BB" w:rsidRDefault="00BD68BB" w:rsidP="00BD68BB">
      <w:pPr>
        <w:spacing w:line="360" w:lineRule="auto"/>
        <w:rPr>
          <w:rFonts w:ascii="Times New Roman" w:hAnsi="Times New Roman" w:cs="Arial"/>
          <w:color w:val="000000" w:themeColor="text1"/>
        </w:rPr>
      </w:pPr>
    </w:p>
    <w:p w14:paraId="25525105" w14:textId="77777777" w:rsidR="00BD68BB" w:rsidRPr="00BD68BB" w:rsidRDefault="00BD68BB" w:rsidP="00BD68BB">
      <w:pPr>
        <w:spacing w:line="360" w:lineRule="auto"/>
        <w:rPr>
          <w:rFonts w:ascii="Times New Roman" w:hAnsi="Times New Roman" w:cs="Arial"/>
          <w:color w:val="000000" w:themeColor="text1"/>
          <w:u w:val="single"/>
        </w:rPr>
      </w:pPr>
      <w:r w:rsidRPr="00BD68BB">
        <w:rPr>
          <w:rFonts w:ascii="Times New Roman" w:hAnsi="Times New Roman" w:cs="Arial"/>
          <w:color w:val="000000" w:themeColor="text1"/>
          <w:u w:val="single"/>
        </w:rPr>
        <w:t>Conclusion</w:t>
      </w:r>
    </w:p>
    <w:p w14:paraId="61FAFC3D" w14:textId="77777777" w:rsidR="00BD68BB" w:rsidRPr="00BD68BB" w:rsidRDefault="00BD68BB" w:rsidP="00BD68BB">
      <w:pPr>
        <w:spacing w:line="360" w:lineRule="auto"/>
        <w:rPr>
          <w:rFonts w:ascii="Times New Roman" w:hAnsi="Times New Roman" w:cs="Arial"/>
          <w:color w:val="000000" w:themeColor="text1"/>
        </w:rPr>
      </w:pPr>
    </w:p>
    <w:p w14:paraId="74AB9EAD" w14:textId="77777777" w:rsidR="00BD68BB" w:rsidRPr="00BD68BB" w:rsidRDefault="00BD68BB" w:rsidP="00BD68BB">
      <w:pPr>
        <w:spacing w:line="360" w:lineRule="auto"/>
        <w:rPr>
          <w:rFonts w:ascii="Times New Roman" w:hAnsi="Times New Roman" w:cs="Arial"/>
          <w:color w:val="000000" w:themeColor="text1"/>
          <w:u w:val="single"/>
        </w:rPr>
      </w:pPr>
      <w:r w:rsidRPr="00BD68BB">
        <w:rPr>
          <w:rFonts w:ascii="Times New Roman" w:hAnsi="Times New Roman" w:cs="Arial"/>
          <w:color w:val="000000" w:themeColor="text1"/>
        </w:rPr>
        <w:t xml:space="preserve">In particular, the multi-method process of the mosaic approach is a creative form that enables those who are pre-verbal, or with Speech, Language and Communication difficulties to share their opinions and ideas through processes other than conversation. This was a successful method in gathering information alongside Pupil A as the digital competency skills she possesses are strong and in particular she enjoyed using the iPad to take photos of her learning environment. </w:t>
      </w:r>
    </w:p>
    <w:p w14:paraId="76F34FFA" w14:textId="77777777" w:rsidR="00BD68BB" w:rsidRPr="00BD68BB" w:rsidRDefault="00BD68BB" w:rsidP="00BD68BB">
      <w:pPr>
        <w:spacing w:line="360" w:lineRule="auto"/>
        <w:rPr>
          <w:rFonts w:ascii="Times New Roman" w:hAnsi="Times New Roman" w:cs="Arial"/>
          <w:color w:val="000000" w:themeColor="text1"/>
        </w:rPr>
      </w:pPr>
    </w:p>
    <w:p w14:paraId="6F5010D8" w14:textId="77777777" w:rsidR="00BD68BB" w:rsidRPr="00BD68BB" w:rsidRDefault="00BD68BB" w:rsidP="00BD68BB">
      <w:pPr>
        <w:spacing w:line="360" w:lineRule="auto"/>
        <w:rPr>
          <w:rFonts w:ascii="Times New Roman" w:hAnsi="Times New Roman" w:cs="Arial"/>
          <w:color w:val="000000" w:themeColor="text1"/>
        </w:rPr>
      </w:pPr>
      <w:r w:rsidRPr="00BD68BB">
        <w:rPr>
          <w:rFonts w:ascii="Times New Roman" w:hAnsi="Times New Roman" w:cs="Arial"/>
          <w:color w:val="000000" w:themeColor="text1"/>
        </w:rPr>
        <w:t xml:space="preserve">Moving forward with using the mosaic approach, it may have been effective to have had a child-teacher conference where the participant, the class teacher and the researcher came together to discuss behaviours and events that had been observed. In doing this it may have narrowed the gap of understanding between behaviours and the causes for them. </w:t>
      </w:r>
    </w:p>
    <w:p w14:paraId="6DA32561" w14:textId="77777777" w:rsidR="00BD68BB" w:rsidRPr="00BD68BB" w:rsidRDefault="00BD68BB" w:rsidP="00BD68BB">
      <w:pPr>
        <w:spacing w:line="360" w:lineRule="auto"/>
        <w:rPr>
          <w:rFonts w:ascii="Times New Roman" w:hAnsi="Times New Roman" w:cs="Arial"/>
          <w:color w:val="000000" w:themeColor="text1"/>
        </w:rPr>
      </w:pPr>
    </w:p>
    <w:p w14:paraId="232FCBD1" w14:textId="77777777" w:rsidR="00AE0EF1" w:rsidRPr="00BD68BB" w:rsidRDefault="00BD68BB" w:rsidP="00BD68BB">
      <w:pPr>
        <w:spacing w:line="360" w:lineRule="auto"/>
        <w:rPr>
          <w:rFonts w:ascii="Times New Roman" w:hAnsi="Times New Roman"/>
          <w:color w:val="000000" w:themeColor="text1"/>
        </w:rPr>
      </w:pPr>
    </w:p>
    <w:sectPr w:rsidR="00AE0EF1" w:rsidRPr="00BD68BB" w:rsidSect="00CA2DBA">
      <w:headerReference w:type="default" r:id="rId5"/>
      <w:footerReference w:type="even" r:id="rId6"/>
      <w:footerReference w:type="default" r:id="rId7"/>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00000003" w:usb1="00000000" w:usb2="00000000" w:usb3="00000000" w:csb0="00000001" w:csb1="00000000"/>
  </w:font>
  <w:font w:name="Arial">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89530421"/>
      <w:docPartObj>
        <w:docPartGallery w:val="Page Numbers (Bottom of Page)"/>
        <w:docPartUnique/>
      </w:docPartObj>
    </w:sdtPr>
    <w:sdtEndPr>
      <w:rPr>
        <w:rStyle w:val="PageNumber"/>
      </w:rPr>
    </w:sdtEndPr>
    <w:sdtContent>
      <w:p w14:paraId="53E9F594" w14:textId="3ABF1593" w:rsidR="007408F8" w:rsidRDefault="00BD68BB" w:rsidP="008E6BA1">
        <w:pPr>
          <w:pStyle w:val="Footer"/>
          <w:framePr w:wrap="none" w:vAnchor="text" w:hAnchor="margin" w:xAlign="right" w:y="1"/>
          <w:rPr>
            <w:rStyle w:val="PageNumber"/>
          </w:rPr>
        </w:pPr>
        <w:r>
          <w:rPr>
            <w:rStyle w:val="PageNumber"/>
          </w:rPr>
          <w:fldChar w:fldCharType="begin"/>
        </w:r>
        <w:r>
          <w:rPr>
            <w:rStyle w:val="PageNumber"/>
          </w:rPr>
          <w:instrText xml:space="preserve"> </w:instrText>
        </w:r>
        <w:r>
          <w:rPr>
            <w:rStyle w:val="PageNumber"/>
          </w:rPr>
          <w:instrText>PAGE</w:instrText>
        </w:r>
        <w:r>
          <w:rPr>
            <w:rStyle w:val="PageNumber"/>
          </w:rPr>
          <w:instrText xml:space="preserve"> </w:instrText>
        </w:r>
        <w:r>
          <w:rPr>
            <w:rStyle w:val="PageNumber"/>
          </w:rPr>
          <w:fldChar w:fldCharType="separate"/>
        </w:r>
        <w:r>
          <w:rPr>
            <w:rStyle w:val="PageNumber"/>
            <w:noProof/>
          </w:rPr>
          <w:t>2</w:t>
        </w:r>
        <w:r>
          <w:rPr>
            <w:rStyle w:val="PageNumber"/>
          </w:rPr>
          <w:fldChar w:fldCharType="end"/>
        </w:r>
      </w:p>
    </w:sdtContent>
  </w:sdt>
  <w:p w14:paraId="517F0575" w14:textId="77777777" w:rsidR="007408F8" w:rsidRDefault="00BD68BB" w:rsidP="007408F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42475632"/>
      <w:docPartObj>
        <w:docPartGallery w:val="Page Numbers (Bottom of Page)"/>
        <w:docPartUnique/>
      </w:docPartObj>
    </w:sdtPr>
    <w:sdtEndPr>
      <w:rPr>
        <w:rStyle w:val="PageNumber"/>
      </w:rPr>
    </w:sdtEndPr>
    <w:sdtContent>
      <w:p w14:paraId="77045E2A" w14:textId="77777777" w:rsidR="007408F8" w:rsidRDefault="00BD68BB" w:rsidP="008E6BA1">
        <w:pPr>
          <w:pStyle w:val="Footer"/>
          <w:framePr w:wrap="none" w:vAnchor="text" w:hAnchor="margin" w:xAlign="right" w:y="1"/>
          <w:rPr>
            <w:rStyle w:val="PageNumber"/>
          </w:rPr>
        </w:pPr>
        <w:r>
          <w:rPr>
            <w:rStyle w:val="PageNumber"/>
          </w:rPr>
          <w:fldChar w:fldCharType="begin"/>
        </w:r>
        <w:r>
          <w:rPr>
            <w:rStyle w:val="PageNumber"/>
          </w:rPr>
          <w:instrText xml:space="preserve"> </w:instrText>
        </w:r>
        <w:r>
          <w:rPr>
            <w:rStyle w:val="PageNumber"/>
          </w:rPr>
          <w:instrText>PAGE</w:instrText>
        </w:r>
        <w:r>
          <w:rPr>
            <w:rStyle w:val="PageNumber"/>
          </w:rPr>
          <w:instrText xml:space="preserve"> </w:instrText>
        </w:r>
        <w:r>
          <w:rPr>
            <w:rStyle w:val="PageNumber"/>
          </w:rPr>
          <w:fldChar w:fldCharType="separate"/>
        </w:r>
        <w:r>
          <w:rPr>
            <w:rStyle w:val="PageNumber"/>
            <w:noProof/>
          </w:rPr>
          <w:t>1</w:t>
        </w:r>
        <w:r>
          <w:rPr>
            <w:rStyle w:val="PageNumber"/>
          </w:rPr>
          <w:fldChar w:fldCharType="end"/>
        </w:r>
      </w:p>
    </w:sdtContent>
  </w:sdt>
  <w:p w14:paraId="7D9D561C" w14:textId="77777777" w:rsidR="007408F8" w:rsidRDefault="00BD68BB" w:rsidP="007408F8">
    <w:pPr>
      <w:pStyle w:val="Footer"/>
      <w:ind w:right="360"/>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DDDE45" w14:textId="77777777" w:rsidR="007408F8" w:rsidRPr="007408F8" w:rsidRDefault="00BD68BB">
    <w:pPr>
      <w:pStyle w:val="Header"/>
      <w:rPr>
        <w:rFonts w:ascii="Times New Roman" w:hAnsi="Times New Roman"/>
        <w:sz w:val="16"/>
        <w:szCs w:val="16"/>
      </w:rPr>
    </w:pPr>
    <w:r w:rsidRPr="007408F8">
      <w:rPr>
        <w:rFonts w:ascii="Times New Roman" w:hAnsi="Times New Roman"/>
        <w:sz w:val="16"/>
        <w:szCs w:val="16"/>
      </w:rPr>
      <w:t xml:space="preserve">Student </w:t>
    </w:r>
    <w:r w:rsidRPr="007408F8">
      <w:rPr>
        <w:rFonts w:ascii="Times New Roman" w:hAnsi="Times New Roman"/>
        <w:sz w:val="16"/>
        <w:szCs w:val="16"/>
      </w:rPr>
      <w:t>Number: 1800977</w:t>
    </w:r>
    <w:r>
      <w:rPr>
        <w:rFonts w:ascii="Times New Roman" w:hAnsi="Times New Roman"/>
        <w:sz w:val="16"/>
        <w:szCs w:val="16"/>
      </w:rPr>
      <w:t xml:space="preserve">                            </w:t>
    </w:r>
    <w:r w:rsidRPr="007408F8">
      <w:rPr>
        <w:rFonts w:ascii="Times New Roman" w:hAnsi="Times New Roman"/>
        <w:sz w:val="16"/>
        <w:szCs w:val="16"/>
      </w:rPr>
      <w:t>Module Code: M7X02153</w:t>
    </w:r>
    <w:r w:rsidRPr="007408F8">
      <w:rPr>
        <w:rFonts w:ascii="Times New Roman" w:hAnsi="Times New Roman"/>
        <w:sz w:val="16"/>
        <w:szCs w:val="16"/>
      </w:rPr>
      <w:t>-C</w:t>
    </w:r>
    <w:r w:rsidRPr="007408F8">
      <w:rPr>
        <w:rFonts w:ascii="Times New Roman" w:hAnsi="Times New Roman"/>
        <w:sz w:val="16"/>
        <w:szCs w:val="16"/>
      </w:rPr>
      <w:ptab w:relativeTo="margin" w:alignment="right" w:leader="none"/>
    </w:r>
    <w:r w:rsidRPr="007408F8">
      <w:rPr>
        <w:rFonts w:ascii="Times New Roman" w:hAnsi="Times New Roman"/>
        <w:sz w:val="16"/>
        <w:szCs w:val="16"/>
      </w:rPr>
      <w:t>Module Title: School Development and Pupil P</w:t>
    </w:r>
    <w:r w:rsidRPr="007408F8">
      <w:rPr>
        <w:rFonts w:ascii="Times New Roman" w:hAnsi="Times New Roman"/>
        <w:sz w:val="16"/>
        <w:szCs w:val="16"/>
      </w:rPr>
      <w:t>rogress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96C1E"/>
    <w:multiLevelType w:val="hybridMultilevel"/>
    <w:tmpl w:val="18D89C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252C35"/>
    <w:multiLevelType w:val="hybridMultilevel"/>
    <w:tmpl w:val="72C43B0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3C3C6C"/>
    <w:multiLevelType w:val="hybridMultilevel"/>
    <w:tmpl w:val="8AB269F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EA34495"/>
    <w:multiLevelType w:val="hybridMultilevel"/>
    <w:tmpl w:val="5ADE59CA"/>
    <w:lvl w:ilvl="0" w:tplc="04090011">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mirrorMargins/>
  <w:defaultTabStop w:val="720"/>
  <w:evenAndOddHeaders/>
  <w:drawingGridHorizontalSpacing w:val="10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8BB"/>
    <w:rsid w:val="00072942"/>
    <w:rsid w:val="002D4A76"/>
    <w:rsid w:val="003346FA"/>
    <w:rsid w:val="00817374"/>
    <w:rsid w:val="00B7279F"/>
    <w:rsid w:val="00BD68BB"/>
    <w:rsid w:val="00BE35E1"/>
    <w:rsid w:val="00CE2106"/>
    <w:rsid w:val="00D01EC2"/>
    <w:rsid w:val="00D76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E213A"/>
  <w15:chartTrackingRefBased/>
  <w15:docId w15:val="{F0203C19-5307-0C48-803D-EB95ED74C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8BB"/>
    <w:rPr>
      <w:rFonts w:eastAsiaTheme="minorHAns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68BB"/>
    <w:pPr>
      <w:ind w:left="720"/>
      <w:contextualSpacing/>
    </w:pPr>
  </w:style>
  <w:style w:type="paragraph" w:styleId="Header">
    <w:name w:val="header"/>
    <w:basedOn w:val="Normal"/>
    <w:link w:val="HeaderChar"/>
    <w:uiPriority w:val="99"/>
    <w:unhideWhenUsed/>
    <w:rsid w:val="00BD68BB"/>
    <w:pPr>
      <w:tabs>
        <w:tab w:val="center" w:pos="4680"/>
        <w:tab w:val="right" w:pos="9360"/>
      </w:tabs>
    </w:pPr>
  </w:style>
  <w:style w:type="character" w:customStyle="1" w:styleId="HeaderChar">
    <w:name w:val="Header Char"/>
    <w:basedOn w:val="DefaultParagraphFont"/>
    <w:link w:val="Header"/>
    <w:uiPriority w:val="99"/>
    <w:rsid w:val="00BD68BB"/>
    <w:rPr>
      <w:rFonts w:eastAsiaTheme="minorHAnsi"/>
    </w:rPr>
  </w:style>
  <w:style w:type="paragraph" w:styleId="Footer">
    <w:name w:val="footer"/>
    <w:basedOn w:val="Normal"/>
    <w:link w:val="FooterChar"/>
    <w:uiPriority w:val="99"/>
    <w:unhideWhenUsed/>
    <w:rsid w:val="00BD68BB"/>
    <w:pPr>
      <w:tabs>
        <w:tab w:val="center" w:pos="4680"/>
        <w:tab w:val="right" w:pos="9360"/>
      </w:tabs>
    </w:pPr>
  </w:style>
  <w:style w:type="character" w:customStyle="1" w:styleId="FooterChar">
    <w:name w:val="Footer Char"/>
    <w:basedOn w:val="DefaultParagraphFont"/>
    <w:link w:val="Footer"/>
    <w:uiPriority w:val="99"/>
    <w:rsid w:val="00BD68BB"/>
    <w:rPr>
      <w:rFonts w:eastAsiaTheme="minorHAnsi"/>
    </w:rPr>
  </w:style>
  <w:style w:type="character" w:styleId="PageNumber">
    <w:name w:val="page number"/>
    <w:basedOn w:val="DefaultParagraphFont"/>
    <w:uiPriority w:val="99"/>
    <w:semiHidden/>
    <w:unhideWhenUsed/>
    <w:rsid w:val="00BD68BB"/>
  </w:style>
  <w:style w:type="paragraph" w:styleId="NoSpacing">
    <w:name w:val="No Spacing"/>
    <w:link w:val="NoSpacingChar"/>
    <w:uiPriority w:val="1"/>
    <w:qFormat/>
    <w:rsid w:val="00BD68BB"/>
    <w:rPr>
      <w:rFonts w:eastAsiaTheme="minorEastAsia"/>
      <w:sz w:val="22"/>
      <w:szCs w:val="22"/>
      <w:lang w:val="en-US" w:eastAsia="zh-CN"/>
    </w:rPr>
  </w:style>
  <w:style w:type="character" w:customStyle="1" w:styleId="NoSpacingChar">
    <w:name w:val="No Spacing Char"/>
    <w:basedOn w:val="DefaultParagraphFont"/>
    <w:link w:val="NoSpacing"/>
    <w:uiPriority w:val="1"/>
    <w:rsid w:val="00BD68BB"/>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4654</Words>
  <Characters>26528</Characters>
  <Application>Microsoft Office Word</Application>
  <DocSecurity>0</DocSecurity>
  <Lines>221</Lines>
  <Paragraphs>62</Paragraphs>
  <ScaleCrop>false</ScaleCrop>
  <Company/>
  <LinksUpToDate>false</LinksUpToDate>
  <CharactersWithSpaces>31120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Colligan (1800977)</dc:creator>
  <cp:keywords/>
  <dc:description/>
  <cp:lastModifiedBy>Laura Colligan (1800977)</cp:lastModifiedBy>
  <cp:revision>1</cp:revision>
  <dcterms:created xsi:type="dcterms:W3CDTF">2019-05-30T18:04:00Z</dcterms:created>
  <dcterms:modified xsi:type="dcterms:W3CDTF">2019-05-30T18:06:00Z</dcterms:modified>
</cp:coreProperties>
</file>