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2529364</w:t>
            </w:r>
          </w:p>
        </w:tc>
        <w:tc>
          <w:tcPr>
            <w:gridSpan w:val="2"/>
          </w:tcPr>
          <w:p w:rsidR="00000000" w:rsidDel="00000000" w:rsidP="00000000" w:rsidRDefault="00000000" w:rsidRPr="00000000" w14:paraId="000000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Kyio Akeem Chaima</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www.yogareading.co.uk</w:t>
            </w:r>
          </w:p>
        </w:tc>
      </w:tr>
      <w:tr>
        <w:trPr>
          <w:cantSplit w:val="0"/>
          <w:tblHeader w:val="0"/>
        </w:trPr>
        <w:tc>
          <w:tcPr/>
          <w:p w:rsidR="00000000" w:rsidDel="00000000" w:rsidP="00000000" w:rsidRDefault="00000000" w:rsidRPr="00000000" w14:paraId="000000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hyperlink r:id="rId6">
              <w:r w:rsidDel="00000000" w:rsidR="00000000" w:rsidRPr="00000000">
                <w:rPr>
                  <w:rFonts w:ascii="Arial" w:cs="Arial" w:eastAsia="Arial" w:hAnsi="Arial"/>
                  <w:color w:val="1155cc"/>
                  <w:sz w:val="22"/>
                  <w:szCs w:val="22"/>
                  <w:u w:val="single"/>
                  <w:rtl w:val="0"/>
                </w:rPr>
                <w:t xml:space="preserve">www.yogareading.co.uk</w:t>
              </w:r>
            </w:hyperlink>
            <w:r w:rsidDel="00000000" w:rsidR="00000000" w:rsidRPr="00000000">
              <w:rPr>
                <w:rtl w:val="0"/>
              </w:rPr>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 Usability</w:t>
            </w:r>
          </w:p>
          <w:p w:rsidR="00000000" w:rsidDel="00000000" w:rsidP="00000000" w:rsidRDefault="00000000" w:rsidRPr="00000000" w14:paraId="0000002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loads quickly on both desktop and mobile, with no major delays when opening pages across multiple sub-pages. This is important for retaining users and improving conversion rates. To put this into perspective an organisation the size of BBC reportedly loses 10% of monthly prospective customers, for every 1 additional second one of their web pages takes to load (Xilogianni et al., 2022).</w:t>
            </w:r>
          </w:p>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w:t>
            </w:r>
          </w:p>
        </w:tc>
      </w:tr>
      <w:tr>
        <w:trPr>
          <w:cantSplit w:val="0"/>
          <w:tblHeader w:val="0"/>
        </w:trPr>
        <w:tc>
          <w:tcPr>
            <w:gridSpan w:val="5"/>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contains various sub-pages such as start here, timetable, events, courses, about etc. Which are organised horizontally alongside each other at the top of the first page. This helps the users establish a starting point and path to follow, in-line with website standards like that of Jakob’s law. The alignment of user needs and website navigation is paramount in ensuring a seamless almost intuitive like experience as they are guided through the site with least effort (Bodell. J, 2025).</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a customer can make a booking via the webpage, this is visible with a ‘book now’ white text in a shaded rectangular box. By clicking this link you’re taken to a page where you can sign up or book if already a member. This function is extremely important as 35%-40% of bookings occur outside of normal working hours which emphasises the demand on 24/7 access to booking systems (SchedulingKit, 2026). </w:t>
            </w:r>
          </w:p>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In terms of improvements, it's quite content packed which can cause some confusion when trying to navigate the site for the first time. Content heavy web pages can confuse users during navigation, as “every extra unit of information competes with relevant information” (Nielsen Norman Group, 1994), making it harder to identify what is important.</w:t>
            </w:r>
          </w:p>
          <w:p w:rsidR="00000000" w:rsidDel="00000000" w:rsidP="00000000" w:rsidRDefault="00000000" w:rsidRPr="00000000" w14:paraId="0000005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2 – Pleasure – Customer Experience</w:t>
            </w:r>
          </w:p>
          <w:p w:rsidR="00000000" w:rsidDel="00000000" w:rsidP="00000000" w:rsidRDefault="00000000" w:rsidRPr="00000000" w14:paraId="0000006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w:t>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has a calm and clean aesthetic that reflects the tranquility of a yoga brand which is also contributed to by the colours and layout used. On mobile devices, the layout adjusts well, although some sections appear more compact or are removed all together for functionality. I see this as a positive approach given that responsive designs are important for ensuring usability across devices (Marcotte, 2010).</w:t>
            </w:r>
          </w:p>
          <w:p w:rsidR="00000000" w:rsidDel="00000000" w:rsidP="00000000" w:rsidRDefault="00000000" w:rsidRPr="00000000" w14:paraId="0000006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uses images of people practicing yoga, along with calm environments and wellness related visuals. This clearly reflects the brand’s identity, which is supported by Dutra (2025), who suggests images have the ability to transmit messages instantly. The design choices help users quickly understand the service and its overall purpose. It uses imagery strategically to guide attention. For example, shaded rectangular boxes with white word markings draw focus to key sections such as classes, services or booking pages.</w:t>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does not include a live chat feature. Instead, it provides contact forms and email options. While these are useful, live chat can improve engagement by providing immediate responses to customer enquiries. Adding a live chat option would make it easier for users to get quicker responses and improve the overall customer enquiry experience (Etemad-sajadi, 2014).</w:t>
            </w:r>
          </w:p>
          <w:p w:rsidR="00000000" w:rsidDel="00000000" w:rsidP="00000000" w:rsidRDefault="00000000" w:rsidRPr="00000000" w14:paraId="0000008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includes links to social media platforms, allowing users to view additional content and updates. Social media can support brand visibility and communication with users by helping companies engage with their audience in different ways (Kaplan and Haenlein, 2010). However, the social media links are not very visible, meaning users might not notice them straight away.</w:t>
            </w:r>
          </w:p>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 Perceived Value</w:t>
            </w:r>
          </w:p>
          <w:p w:rsidR="00000000" w:rsidDel="00000000" w:rsidP="00000000" w:rsidRDefault="00000000" w:rsidRPr="00000000" w14:paraId="0000009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Services offered by the company are conveyed through dedicated pages outlining class types, schedules, member benefits, pricing and more. This helps users understand what is currently available and if it meets their needs. </w:t>
            </w:r>
          </w:p>
          <w:p w:rsidR="00000000" w:rsidDel="00000000" w:rsidP="00000000" w:rsidRDefault="00000000" w:rsidRPr="00000000" w14:paraId="000000A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Customer reviews are not highlighted on the website. Reviews are important as they influence trust and purchasing decisions (Filieri, 2015). Including more visible and up-to-date testimonials could improve credibility and drive custom.</w:t>
            </w:r>
          </w:p>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B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provides clear information, structured classes, and a professional design. The calm branding supports a sense of trust and reliability, which is important in shaping users perceptions of service quality. Research in website usability shows that perceived quality is influenced by how services are presented online, clear communication and transparent information help users understand system offerings and build trust in the service (Nielsen, 2020). Overall, I would recommend the service due to its clear navigation, variety of classes, transparent pricing structure, and straightforward booking process.</w:t>
            </w:r>
          </w:p>
          <w:p w:rsidR="00000000" w:rsidDel="00000000" w:rsidP="00000000" w:rsidRDefault="00000000" w:rsidRPr="00000000" w14:paraId="000000B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Prices are made clear to customers, they are displayed on the homepage towards the bottom of the page. This allows users to easily view and compare the cost of different services, which supports more informed decision-making. The pricing appears reasonable and reflects the quality of service shown through the professional design and overall branding of the website.</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highlights that transparent pricing supports effective comparison between alternatives, as price clarity is essential for consumers when assessing value and selecting services online (Van Boom, 2011).</w:t>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 Searchability</w:t>
            </w:r>
          </w:p>
          <w:p w:rsidR="00000000" w:rsidDel="00000000" w:rsidP="00000000" w:rsidRDefault="00000000" w:rsidRPr="00000000" w14:paraId="000000D2">
            <w:pPr>
              <w:jc w:val="center"/>
              <w:rPr>
                <w:rFonts w:ascii="Arial" w:cs="Arial" w:eastAsia="Arial" w:hAnsi="Arial"/>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bCs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A">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Yoga Reading</w:t>
            </w:r>
          </w:p>
        </w:tc>
      </w:tr>
      <w:tr>
        <w:trPr>
          <w:cantSplit w:val="0"/>
          <w:trHeight w:val="185" w:hRule="atLeast"/>
          <w:tblHeader w:val="0"/>
        </w:trPr>
        <w:tc>
          <w:tcPr>
            <w:gridSpan w:val="3"/>
            <w:vMerge w:val="continue"/>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F">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Yoga Classes Reading</w:t>
            </w:r>
          </w:p>
        </w:tc>
      </w:tr>
      <w:tr>
        <w:trPr>
          <w:cantSplit w:val="0"/>
          <w:trHeight w:val="185" w:hRule="atLeast"/>
          <w:tblHeader w:val="0"/>
        </w:trPr>
        <w:tc>
          <w:tcPr>
            <w:gridSpan w:val="3"/>
            <w:vMerge w:val="continue"/>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4">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Yoga RG1</w:t>
            </w:r>
          </w:p>
        </w:tc>
      </w:tr>
      <w:tr>
        <w:trPr>
          <w:cantSplit w:val="0"/>
          <w:tblHeader w:val="0"/>
        </w:trPr>
        <w:tc>
          <w:tcPr>
            <w:gridSpan w:val="5"/>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they do, which is advantageous given that high visibility in search engines is important for attracting new customers and increasing traffic. SiteCove (n.d.) states that higher ranking in search engine results pages, significantly enhances website visibility and can increase traffic.</w:t>
            </w:r>
          </w:p>
          <w:p w:rsidR="00000000" w:rsidDel="00000000" w:rsidP="00000000" w:rsidRDefault="00000000" w:rsidRPr="00000000" w14:paraId="000000E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 Reflection and conclusion</w:t>
            </w:r>
          </w:p>
          <w:p w:rsidR="00000000" w:rsidDel="00000000" w:rsidP="00000000" w:rsidRDefault="00000000" w:rsidRPr="00000000" w14:paraId="000000F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Websites are still very important for UK businesses today. They give customers a place to find information, make bookings, and learn about what the business offers. This accessibility helps improve user experience and encourages repeat use. Simpma (2025) </w:t>
            </w:r>
          </w:p>
          <w:p w:rsidR="00000000" w:rsidDel="00000000" w:rsidP="00000000" w:rsidRDefault="00000000" w:rsidRPr="00000000" w14:paraId="000000F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Research shows that website usability and information clarity significantly improve user trust and behavioural intention, including engagement and conversion (Heinze et al., 2006) So one recommendation I would make is that they improve the visibility of its pricing and booking information. Making key information more prominent on the home page would help improve user navigation, decision-making and conversion rates.</w:t>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Xilogianni, C., Doukas, F.-R., Drivas, I.C. and Kouis, D. (2022) </w:t>
            </w:r>
            <w:r w:rsidDel="00000000" w:rsidR="00000000" w:rsidRPr="00000000">
              <w:rPr>
                <w:rFonts w:ascii="Arial" w:cs="Arial" w:eastAsia="Arial" w:hAnsi="Arial"/>
                <w:i w:val="1"/>
                <w:iCs w:val="1"/>
                <w:sz w:val="22"/>
                <w:szCs w:val="22"/>
                <w:rtl w:val="0"/>
              </w:rPr>
              <w:t xml:space="preserve">Speed matters: what to prioritize in optimization for faster websites. Analytics</w:t>
            </w:r>
            <w:r w:rsidDel="00000000" w:rsidR="00000000" w:rsidRPr="00000000">
              <w:rPr>
                <w:rFonts w:ascii="Arial" w:cs="Arial" w:eastAsia="Arial" w:hAnsi="Arial"/>
                <w:sz w:val="22"/>
                <w:szCs w:val="22"/>
                <w:rtl w:val="0"/>
              </w:rPr>
              <w:t xml:space="preserve">, 1(2), pp. 175–192. Available at: </w:t>
            </w:r>
            <w:hyperlink r:id="rId7">
              <w:r w:rsidDel="00000000" w:rsidR="00000000" w:rsidRPr="00000000">
                <w:rPr>
                  <w:rFonts w:ascii="Arial" w:cs="Arial" w:eastAsia="Arial" w:hAnsi="Arial"/>
                  <w:color w:val="1155cc"/>
                  <w:sz w:val="22"/>
                  <w:szCs w:val="22"/>
                  <w:u w:val="single"/>
                  <w:rtl w:val="0"/>
                </w:rPr>
                <w:t xml:space="preserve">https://doi.org/10.3390/analytics1020012</w:t>
              </w:r>
            </w:hyperlink>
            <w:r w:rsidDel="00000000" w:rsidR="00000000" w:rsidRPr="00000000">
              <w:rPr>
                <w:rtl w:val="0"/>
              </w:rPr>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sz w:val="22"/>
                <w:szCs w:val="22"/>
                <w:rtl w:val="0"/>
              </w:rPr>
              <w:t xml:space="preserve">Bodell, J. (2025) </w:t>
            </w:r>
            <w:r w:rsidDel="00000000" w:rsidR="00000000" w:rsidRPr="00000000">
              <w:rPr>
                <w:rFonts w:ascii="Arial" w:cs="Arial" w:eastAsia="Arial" w:hAnsi="Arial"/>
                <w:i w:val="1"/>
                <w:iCs w:val="1"/>
                <w:sz w:val="22"/>
                <w:szCs w:val="22"/>
                <w:rtl w:val="0"/>
              </w:rPr>
              <w:t xml:space="preserve">The psychology of website navigation: how to guide users instinctively</w:t>
            </w:r>
            <w:r w:rsidDel="00000000" w:rsidR="00000000" w:rsidRPr="00000000">
              <w:rPr>
                <w:rFonts w:ascii="Arial" w:cs="Arial" w:eastAsia="Arial" w:hAnsi="Arial"/>
                <w:sz w:val="22"/>
                <w:szCs w:val="22"/>
                <w:rtl w:val="0"/>
              </w:rPr>
              <w:t xml:space="preserve">. Ronins. Available at: </w:t>
            </w:r>
            <w:hyperlink r:id="rId8">
              <w:r w:rsidDel="00000000" w:rsidR="00000000" w:rsidRPr="00000000">
                <w:rPr>
                  <w:rFonts w:ascii="Arial" w:cs="Arial" w:eastAsia="Arial" w:hAnsi="Arial"/>
                  <w:color w:val="0563c1"/>
                  <w:sz w:val="22"/>
                  <w:szCs w:val="22"/>
                  <w:u w:val="single"/>
                  <w:rtl w:val="0"/>
                </w:rPr>
                <w:t xml:space="preserve">https://www.ronins.co.uk/hub/psychology-of-website-navigation/</w:t>
              </w:r>
            </w:hyperlink>
            <w:r w:rsidDel="00000000" w:rsidR="00000000" w:rsidRPr="00000000">
              <w:rPr>
                <w:rFonts w:ascii="Arial" w:cs="Arial" w:eastAsia="Arial" w:hAnsi="Arial"/>
                <w:sz w:val="22"/>
                <w:szCs w:val="22"/>
                <w:rtl w:val="0"/>
              </w:rPr>
              <w:t xml:space="preserve"> (Accessed: 27 April 2026)</w:t>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SchedulingKit (2026) </w:t>
            </w:r>
            <w:r w:rsidDel="00000000" w:rsidR="00000000" w:rsidRPr="00000000">
              <w:rPr>
                <w:rFonts w:ascii="Arial" w:cs="Arial" w:eastAsia="Arial" w:hAnsi="Arial"/>
                <w:i w:val="1"/>
                <w:iCs w:val="1"/>
                <w:sz w:val="22"/>
                <w:szCs w:val="22"/>
                <w:rtl w:val="0"/>
              </w:rPr>
              <w:t xml:space="preserve">Impact of online bookings on revenue.</w:t>
            </w:r>
            <w:r w:rsidDel="00000000" w:rsidR="00000000" w:rsidRPr="00000000">
              <w:rPr>
                <w:rFonts w:ascii="Arial" w:cs="Arial" w:eastAsia="Arial" w:hAnsi="Arial"/>
                <w:sz w:val="22"/>
                <w:szCs w:val="22"/>
                <w:rtl w:val="0"/>
              </w:rPr>
              <w:t xml:space="preserve"> Available at: </w:t>
            </w:r>
            <w:hyperlink r:id="rId9">
              <w:r w:rsidDel="00000000" w:rsidR="00000000" w:rsidRPr="00000000">
                <w:rPr>
                  <w:rFonts w:ascii="Arial" w:cs="Arial" w:eastAsia="Arial" w:hAnsi="Arial"/>
                  <w:color w:val="0563c1"/>
                  <w:sz w:val="22"/>
                  <w:szCs w:val="22"/>
                  <w:u w:val="single"/>
                  <w:rtl w:val="0"/>
                </w:rPr>
                <w:t xml:space="preserve">https://schedulingkit.com/hub/business-growth/impact-of-online-booking-on-revenue</w:t>
              </w:r>
            </w:hyperlink>
            <w:r w:rsidDel="00000000" w:rsidR="00000000" w:rsidRPr="00000000">
              <w:rPr>
                <w:rtl w:val="0"/>
              </w:rPr>
            </w:r>
          </w:p>
          <w:p w:rsidR="00000000" w:rsidDel="00000000" w:rsidP="00000000" w:rsidRDefault="00000000" w:rsidRPr="00000000" w14:paraId="00000118">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28</w:t>
            </w:r>
            <w:r w:rsidDel="00000000" w:rsidR="00000000" w:rsidRPr="00000000">
              <w:rPr>
                <w:rFonts w:ascii="Arial" w:cs="Arial" w:eastAsia="Arial" w:hAnsi="Arial"/>
                <w:sz w:val="22"/>
                <w:szCs w:val="22"/>
                <w:rtl w:val="0"/>
              </w:rPr>
              <w:t xml:space="preserve"> April 2026)</w:t>
            </w:r>
          </w:p>
          <w:p w:rsidR="00000000" w:rsidDel="00000000" w:rsidP="00000000" w:rsidRDefault="00000000" w:rsidRPr="00000000" w14:paraId="000001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Nielsen Norman Group (1994, updated 2004) </w:t>
            </w:r>
            <w:r w:rsidDel="00000000" w:rsidR="00000000" w:rsidRPr="00000000">
              <w:rPr>
                <w:rFonts w:ascii="Arial" w:cs="Arial" w:eastAsia="Arial" w:hAnsi="Arial"/>
                <w:i w:val="1"/>
                <w:iCs w:val="1"/>
                <w:sz w:val="22"/>
                <w:szCs w:val="22"/>
                <w:rtl w:val="0"/>
              </w:rPr>
              <w:t xml:space="preserve">10 usability heuristics for user interface design</w:t>
            </w:r>
            <w:r w:rsidDel="00000000" w:rsidR="00000000" w:rsidRPr="00000000">
              <w:rPr>
                <w:rFonts w:ascii="Arial" w:cs="Arial" w:eastAsia="Arial" w:hAnsi="Arial"/>
                <w:sz w:val="22"/>
                <w:szCs w:val="22"/>
                <w:rtl w:val="0"/>
              </w:rPr>
              <w:t xml:space="preserve">. Available at: </w:t>
            </w:r>
            <w:hyperlink r:id="rId10">
              <w:r w:rsidDel="00000000" w:rsidR="00000000" w:rsidRPr="00000000">
                <w:rPr>
                  <w:rFonts w:ascii="Arial" w:cs="Arial" w:eastAsia="Arial" w:hAnsi="Arial"/>
                  <w:color w:val="1155cc"/>
                  <w:sz w:val="22"/>
                  <w:szCs w:val="22"/>
                  <w:u w:val="single"/>
                  <w:rtl w:val="0"/>
                </w:rPr>
                <w:t xml:space="preserve">https://www.nngroup.com/articles/ten-usability-heuristics</w:t>
              </w:r>
            </w:hyperlink>
            <w:r w:rsidDel="00000000" w:rsidR="00000000" w:rsidRPr="00000000">
              <w:rPr>
                <w:rtl w:val="0"/>
              </w:rPr>
            </w:r>
          </w:p>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1 May 2026)</w:t>
            </w:r>
          </w:p>
          <w:p w:rsidR="00000000" w:rsidDel="00000000" w:rsidP="00000000" w:rsidRDefault="00000000" w:rsidRPr="00000000" w14:paraId="000001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Fonts w:ascii="Arial" w:cs="Arial" w:eastAsia="Arial" w:hAnsi="Arial"/>
                <w:sz w:val="22"/>
                <w:szCs w:val="22"/>
                <w:rtl w:val="0"/>
              </w:rPr>
              <w:t xml:space="preserve">Marcotte, E. (2010) </w:t>
            </w:r>
            <w:r w:rsidDel="00000000" w:rsidR="00000000" w:rsidRPr="00000000">
              <w:rPr>
                <w:rFonts w:ascii="Arial" w:cs="Arial" w:eastAsia="Arial" w:hAnsi="Arial"/>
                <w:i w:val="1"/>
                <w:iCs w:val="1"/>
                <w:sz w:val="22"/>
                <w:szCs w:val="22"/>
                <w:rtl w:val="0"/>
              </w:rPr>
              <w:t xml:space="preserve">Responsive web design. A List Apart.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E">
            <w:pPr>
              <w:rPr>
                <w:rFonts w:ascii="Arial" w:cs="Arial" w:eastAsia="Arial" w:hAnsi="Arial"/>
                <w:sz w:val="22"/>
                <w:szCs w:val="22"/>
              </w:rPr>
            </w:pPr>
            <w:r w:rsidDel="00000000" w:rsidR="00000000" w:rsidRPr="00000000">
              <w:rPr>
                <w:rFonts w:ascii="Arial" w:cs="Arial" w:eastAsia="Arial" w:hAnsi="Arial"/>
                <w:sz w:val="22"/>
                <w:szCs w:val="22"/>
                <w:rtl w:val="0"/>
              </w:rPr>
              <w:t xml:space="preserve">Available at: </w:t>
            </w:r>
            <w:hyperlink r:id="rId11">
              <w:r w:rsidDel="00000000" w:rsidR="00000000" w:rsidRPr="00000000">
                <w:rPr>
                  <w:rFonts w:ascii="Arial" w:cs="Arial" w:eastAsia="Arial" w:hAnsi="Arial"/>
                  <w:color w:val="1155cc"/>
                  <w:sz w:val="22"/>
                  <w:szCs w:val="22"/>
                  <w:u w:val="single"/>
                  <w:rtl w:val="0"/>
                </w:rPr>
                <w:t xml:space="preserve">https://alistapart.com/article/responsive-web-design</w:t>
              </w:r>
            </w:hyperlink>
            <w:r w:rsidDel="00000000" w:rsidR="00000000" w:rsidRPr="00000000">
              <w:rPr>
                <w:rtl w:val="0"/>
              </w:rPr>
            </w:r>
          </w:p>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1 May 2026)</w:t>
            </w:r>
          </w:p>
          <w:p w:rsidR="00000000" w:rsidDel="00000000" w:rsidP="00000000" w:rsidRDefault="00000000" w:rsidRPr="00000000" w14:paraId="000001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1">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Dutra, R. (2025) </w:t>
            </w:r>
            <w:r w:rsidDel="00000000" w:rsidR="00000000" w:rsidRPr="00000000">
              <w:rPr>
                <w:rFonts w:ascii="Arial" w:cs="Arial" w:eastAsia="Arial" w:hAnsi="Arial"/>
                <w:i w:val="1"/>
                <w:iCs w:val="1"/>
                <w:sz w:val="22"/>
                <w:szCs w:val="22"/>
                <w:rtl w:val="0"/>
              </w:rPr>
              <w:t xml:space="preserve">Aesthetics and perception: how to approach user experience imagery. </w:t>
            </w:r>
            <w:r w:rsidDel="00000000" w:rsidR="00000000" w:rsidRPr="00000000">
              <w:rPr>
                <w:rFonts w:ascii="Arial" w:cs="Arial" w:eastAsia="Arial" w:hAnsi="Arial"/>
                <w:sz w:val="22"/>
                <w:szCs w:val="22"/>
                <w:rtl w:val="0"/>
              </w:rPr>
              <w:t xml:space="preserve">Toptal. Available at</w:t>
            </w:r>
            <w:r w:rsidDel="00000000" w:rsidR="00000000" w:rsidRPr="00000000">
              <w:rPr>
                <w:rFonts w:ascii="Arial" w:cs="Arial" w:eastAsia="Arial" w:hAnsi="Arial"/>
                <w:i w:val="1"/>
                <w:iCs w:val="1"/>
                <w:sz w:val="22"/>
                <w:szCs w:val="22"/>
                <w:rtl w:val="0"/>
              </w:rPr>
              <w:t xml:space="preserve">:</w:t>
            </w:r>
          </w:p>
          <w:p w:rsidR="00000000" w:rsidDel="00000000" w:rsidP="00000000" w:rsidRDefault="00000000" w:rsidRPr="00000000" w14:paraId="00000122">
            <w:pPr>
              <w:rPr>
                <w:rFonts w:ascii="Arial" w:cs="Arial" w:eastAsia="Arial" w:hAnsi="Arial"/>
                <w:i w:val="1"/>
                <w:iCs w:val="1"/>
                <w:sz w:val="22"/>
                <w:szCs w:val="22"/>
              </w:rPr>
            </w:pPr>
            <w:hyperlink r:id="rId12">
              <w:r w:rsidDel="00000000" w:rsidR="00000000" w:rsidRPr="00000000">
                <w:rPr>
                  <w:rFonts w:ascii="Arial" w:cs="Arial" w:eastAsia="Arial" w:hAnsi="Arial"/>
                  <w:color w:val="1155cc"/>
                  <w:sz w:val="22"/>
                  <w:szCs w:val="22"/>
                  <w:u w:val="single"/>
                  <w:rtl w:val="0"/>
                </w:rPr>
                <w:t xml:space="preserve">https://www.toptal.com/designers/ux/user-experience-imagery</w:t>
              </w:r>
            </w:hyperlink>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w:t>
            </w:r>
            <w:r w:rsidDel="00000000" w:rsidR="00000000" w:rsidRPr="00000000">
              <w:rPr>
                <w:rFonts w:ascii="Arial" w:cs="Arial" w:eastAsia="Arial" w:hAnsi="Arial"/>
                <w:sz w:val="22"/>
                <w:szCs w:val="22"/>
                <w:rtl w:val="0"/>
              </w:rPr>
              <w:t xml:space="preserve">Accessed: 1 May 2026)</w:t>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Etemad-Sajadi, R. (2014) </w:t>
            </w:r>
            <w:r w:rsidDel="00000000" w:rsidR="00000000" w:rsidRPr="00000000">
              <w:rPr>
                <w:rFonts w:ascii="Arial" w:cs="Arial" w:eastAsia="Arial" w:hAnsi="Arial"/>
                <w:i w:val="1"/>
                <w:iCs w:val="1"/>
                <w:sz w:val="22"/>
                <w:szCs w:val="22"/>
                <w:rtl w:val="0"/>
              </w:rPr>
              <w:t xml:space="preserve">The Impact of online Customer service on customer satisfaction. Journal of Retailing and Consumer Services, 21(6), pp. 1065 –1073. </w:t>
            </w:r>
            <w:hyperlink r:id="rId13">
              <w:r w:rsidDel="00000000" w:rsidR="00000000" w:rsidRPr="00000000">
                <w:rPr>
                  <w:rFonts w:ascii="Arial" w:cs="Arial" w:eastAsia="Arial" w:hAnsi="Arial"/>
                  <w:i w:val="1"/>
                  <w:iCs w:val="1"/>
                  <w:color w:val="1155cc"/>
                  <w:sz w:val="22"/>
                  <w:szCs w:val="22"/>
                  <w:u w:val="single"/>
                  <w:rtl w:val="0"/>
                </w:rPr>
                <w:t xml:space="preserve">https://doi.org/10.1016/j.jretconser.2014.07.002</w:t>
              </w:r>
            </w:hyperlink>
            <w:r w:rsidDel="00000000" w:rsidR="00000000" w:rsidRPr="00000000">
              <w:rPr>
                <w:rtl w:val="0"/>
              </w:rPr>
            </w:r>
          </w:p>
          <w:p w:rsidR="00000000" w:rsidDel="00000000" w:rsidP="00000000" w:rsidRDefault="00000000" w:rsidRPr="00000000" w14:paraId="00000126">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Kaplan, A.M. and Haenlein, M. (2010) </w:t>
            </w:r>
            <w:r w:rsidDel="00000000" w:rsidR="00000000" w:rsidRPr="00000000">
              <w:rPr>
                <w:rFonts w:ascii="Arial" w:cs="Arial" w:eastAsia="Arial" w:hAnsi="Arial"/>
                <w:i w:val="1"/>
                <w:iCs w:val="1"/>
                <w:sz w:val="22"/>
                <w:szCs w:val="22"/>
                <w:rtl w:val="0"/>
              </w:rPr>
              <w:t xml:space="preserve">Users of the world, unite! The Challenges and Opportunities of Social Media. </w:t>
            </w:r>
            <w:r w:rsidDel="00000000" w:rsidR="00000000" w:rsidRPr="00000000">
              <w:rPr>
                <w:rFonts w:ascii="Arial" w:cs="Arial" w:eastAsia="Arial" w:hAnsi="Arial"/>
                <w:sz w:val="22"/>
                <w:szCs w:val="22"/>
                <w:rtl w:val="0"/>
              </w:rPr>
              <w:t xml:space="preserve">Business Horizons, 53(1), pp. 59-68.</w:t>
            </w:r>
          </w:p>
          <w:p w:rsidR="00000000" w:rsidDel="00000000" w:rsidP="00000000" w:rsidRDefault="00000000" w:rsidRPr="00000000" w14:paraId="00000128">
            <w:pPr>
              <w:rPr>
                <w:rFonts w:ascii="Arial" w:cs="Arial" w:eastAsia="Arial" w:hAnsi="Arial"/>
                <w:sz w:val="22"/>
                <w:szCs w:val="22"/>
              </w:rPr>
            </w:pPr>
            <w:hyperlink r:id="rId14">
              <w:r w:rsidDel="00000000" w:rsidR="00000000" w:rsidRPr="00000000">
                <w:rPr>
                  <w:rFonts w:ascii="Arial" w:cs="Arial" w:eastAsia="Arial" w:hAnsi="Arial"/>
                  <w:color w:val="1155cc"/>
                  <w:sz w:val="22"/>
                  <w:szCs w:val="22"/>
                  <w:u w:val="single"/>
                  <w:rtl w:val="0"/>
                </w:rPr>
                <w:t xml:space="preserve">https://doi.org/10.1016/j.bushor.2009.09.003</w:t>
              </w:r>
            </w:hyperlink>
            <w:r w:rsidDel="00000000" w:rsidR="00000000" w:rsidRPr="00000000">
              <w:rPr>
                <w:rtl w:val="0"/>
              </w:rPr>
            </w:r>
          </w:p>
          <w:p w:rsidR="00000000" w:rsidDel="00000000" w:rsidP="00000000" w:rsidRDefault="00000000" w:rsidRPr="00000000" w14:paraId="000001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Filieri, R. (2015) What makes online reviews helpful? A diagnosticity-adoption framework to explain informational and normative influences in e-WOM. Journal of Business Research, 68(6), pp. 1261–1270.</w:t>
            </w:r>
          </w:p>
          <w:p w:rsidR="00000000" w:rsidDel="00000000" w:rsidP="00000000" w:rsidRDefault="00000000" w:rsidRPr="00000000" w14:paraId="0000012B">
            <w:pPr>
              <w:rPr>
                <w:rFonts w:ascii="Arial" w:cs="Arial" w:eastAsia="Arial" w:hAnsi="Arial"/>
                <w:sz w:val="22"/>
                <w:szCs w:val="22"/>
              </w:rPr>
            </w:pPr>
            <w:hyperlink r:id="rId15">
              <w:r w:rsidDel="00000000" w:rsidR="00000000" w:rsidRPr="00000000">
                <w:rPr>
                  <w:rFonts w:ascii="Arial" w:cs="Arial" w:eastAsia="Arial" w:hAnsi="Arial"/>
                  <w:color w:val="1155cc"/>
                  <w:sz w:val="22"/>
                  <w:szCs w:val="22"/>
                  <w:u w:val="single"/>
                  <w:rtl w:val="0"/>
                </w:rPr>
                <w:t xml:space="preserve">https://doi.org/10.1016/j.jbusres.2014.11.006</w:t>
              </w:r>
            </w:hyperlink>
            <w:r w:rsidDel="00000000" w:rsidR="00000000" w:rsidRPr="00000000">
              <w:rPr>
                <w:rtl w:val="0"/>
              </w:rPr>
            </w:r>
          </w:p>
          <w:p w:rsidR="00000000" w:rsidDel="00000000" w:rsidP="00000000" w:rsidRDefault="00000000" w:rsidRPr="00000000" w14:paraId="000001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Nielsen Norman Group (2020) </w:t>
            </w:r>
            <w:r w:rsidDel="00000000" w:rsidR="00000000" w:rsidRPr="00000000">
              <w:rPr>
                <w:rFonts w:ascii="Arial" w:cs="Arial" w:eastAsia="Arial" w:hAnsi="Arial"/>
                <w:i w:val="1"/>
                <w:iCs w:val="1"/>
                <w:sz w:val="22"/>
                <w:szCs w:val="22"/>
                <w:rtl w:val="0"/>
              </w:rPr>
              <w:t xml:space="preserve">Website usability: 10 heuristics for better UX</w:t>
            </w:r>
            <w:r w:rsidDel="00000000" w:rsidR="00000000" w:rsidRPr="00000000">
              <w:rPr>
                <w:rFonts w:ascii="Arial" w:cs="Arial" w:eastAsia="Arial" w:hAnsi="Arial"/>
                <w:sz w:val="22"/>
                <w:szCs w:val="22"/>
                <w:rtl w:val="0"/>
              </w:rPr>
              <w:t xml:space="preserve">. Available at: </w:t>
            </w:r>
            <w:hyperlink r:id="rId16">
              <w:r w:rsidDel="00000000" w:rsidR="00000000" w:rsidRPr="00000000">
                <w:rPr>
                  <w:rFonts w:ascii="Arial" w:cs="Arial" w:eastAsia="Arial" w:hAnsi="Arial"/>
                  <w:color w:val="1155cc"/>
                  <w:sz w:val="22"/>
                  <w:szCs w:val="22"/>
                  <w:u w:val="single"/>
                  <w:rtl w:val="0"/>
                </w:rPr>
                <w:t xml:space="preserve">https://www.nngroup.com/articles/ten-usability-heuristics</w:t>
              </w:r>
            </w:hyperlink>
            <w:r w:rsidDel="00000000" w:rsidR="00000000" w:rsidRPr="00000000">
              <w:rPr>
                <w:rtl w:val="0"/>
              </w:rPr>
            </w:r>
          </w:p>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2 May 2026)</w:t>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Van Boom, W.H. (2011) Price intransparency, consumer decision making and European consumer law. Journal of Consumer Policy, 34(3), pp. 359–376. </w:t>
            </w:r>
            <w:hyperlink r:id="rId17">
              <w:r w:rsidDel="00000000" w:rsidR="00000000" w:rsidRPr="00000000">
                <w:rPr>
                  <w:rFonts w:ascii="Arial" w:cs="Arial" w:eastAsia="Arial" w:hAnsi="Arial"/>
                  <w:color w:val="1155cc"/>
                  <w:sz w:val="22"/>
                  <w:szCs w:val="22"/>
                  <w:u w:val="single"/>
                  <w:rtl w:val="0"/>
                </w:rPr>
                <w:t xml:space="preserve">https://doi.org/10.1007/s10603-011-9163-8⁠</w:t>
              </w:r>
            </w:hyperlink>
            <w:r w:rsidDel="00000000" w:rsidR="00000000" w:rsidRPr="00000000">
              <w:rPr>
                <w:rtl w:val="0"/>
              </w:rPr>
            </w:r>
          </w:p>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2 May 2026)</w:t>
            </w:r>
          </w:p>
          <w:p w:rsidR="00000000" w:rsidDel="00000000" w:rsidP="00000000" w:rsidRDefault="00000000" w:rsidRPr="00000000" w14:paraId="000001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Simpma (2025) The impact of online booking on customer experience and satisfaction. Available at: </w:t>
            </w:r>
            <w:hyperlink r:id="rId18">
              <w:r w:rsidDel="00000000" w:rsidR="00000000" w:rsidRPr="00000000">
                <w:rPr>
                  <w:rFonts w:ascii="Arial" w:cs="Arial" w:eastAsia="Arial" w:hAnsi="Arial"/>
                  <w:color w:val="1155cc"/>
                  <w:sz w:val="22"/>
                  <w:szCs w:val="22"/>
                  <w:u w:val="single"/>
                  <w:rtl w:val="0"/>
                </w:rPr>
                <w:t xml:space="preserve">https://simpma.com/the-impact-of-online-booking-on-customer-experience-and-satisfaction/</w:t>
              </w:r>
            </w:hyperlink>
            <w:r w:rsidDel="00000000" w:rsidR="00000000" w:rsidRPr="00000000">
              <w:rPr>
                <w:rtl w:val="0"/>
              </w:rPr>
            </w:r>
          </w:p>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2 May 2026)</w:t>
            </w:r>
          </w:p>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Fonts w:ascii="Arial" w:cs="Arial" w:eastAsia="Arial" w:hAnsi="Arial"/>
                <w:sz w:val="22"/>
                <w:szCs w:val="22"/>
                <w:rtl w:val="0"/>
              </w:rPr>
              <w:t xml:space="preserve">Heinze, N., Ferrell, O.C., Ferrell, L. and Kappelman, L. (2006) </w:t>
            </w:r>
            <w:r w:rsidDel="00000000" w:rsidR="00000000" w:rsidRPr="00000000">
              <w:rPr>
                <w:rFonts w:ascii="Arial" w:cs="Arial" w:eastAsia="Arial" w:hAnsi="Arial"/>
                <w:i w:val="1"/>
                <w:iCs w:val="1"/>
                <w:sz w:val="22"/>
                <w:szCs w:val="22"/>
                <w:rtl w:val="0"/>
              </w:rPr>
              <w:t xml:space="preserve">The evolution of corporate web presence: A longitudinal study of large American companies. International Journal of Information Management, </w:t>
            </w:r>
            <w:r w:rsidDel="00000000" w:rsidR="00000000" w:rsidRPr="00000000">
              <w:rPr>
                <w:rFonts w:ascii="Arial" w:cs="Arial" w:eastAsia="Arial" w:hAnsi="Arial"/>
                <w:sz w:val="22"/>
                <w:szCs w:val="22"/>
                <w:rtl w:val="0"/>
              </w:rPr>
              <w:t xml:space="preserve">26(4), pp. 313-325.</w:t>
            </w:r>
          </w:p>
          <w:p w:rsidR="00000000" w:rsidDel="00000000" w:rsidP="00000000" w:rsidRDefault="00000000" w:rsidRPr="00000000" w14:paraId="00000137">
            <w:pPr>
              <w:rPr>
                <w:rFonts w:ascii="Arial" w:cs="Arial" w:eastAsia="Arial" w:hAnsi="Arial"/>
                <w:sz w:val="22"/>
                <w:szCs w:val="22"/>
              </w:rPr>
            </w:pPr>
            <w:hyperlink r:id="rId19">
              <w:r w:rsidDel="00000000" w:rsidR="00000000" w:rsidRPr="00000000">
                <w:rPr>
                  <w:rFonts w:ascii="Arial" w:cs="Arial" w:eastAsia="Arial" w:hAnsi="Arial"/>
                  <w:color w:val="1155cc"/>
                  <w:sz w:val="22"/>
                  <w:szCs w:val="22"/>
                  <w:u w:val="single"/>
                  <w:rtl w:val="0"/>
                </w:rPr>
                <w:t xml:space="preserve">https://doi.org/10.1016/j.ijinfomgt.2006.03.008</w:t>
              </w:r>
            </w:hyperlink>
            <w:r w:rsidDel="00000000" w:rsidR="00000000" w:rsidRPr="00000000">
              <w:rPr>
                <w:rtl w:val="0"/>
              </w:rPr>
            </w:r>
          </w:p>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2 May 2026)</w:t>
            </w:r>
          </w:p>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listapart.com/article/responsive-web-design" TargetMode="External"/><Relationship Id="rId10" Type="http://schemas.openxmlformats.org/officeDocument/2006/relationships/hyperlink" Target="https://www.nngroup.com/articles/ten-usability-heuristics" TargetMode="External"/><Relationship Id="rId13" Type="http://schemas.openxmlformats.org/officeDocument/2006/relationships/hyperlink" Target="https://doi.org/10.1016/j.jretconser.2014.07.002" TargetMode="External"/><Relationship Id="rId12" Type="http://schemas.openxmlformats.org/officeDocument/2006/relationships/hyperlink" Target="https://www.toptal.com/designers/ux/user-experience-image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chedulingkit.com/hub/business-growth/impact-of-online-booking-on-revenue" TargetMode="External"/><Relationship Id="rId15" Type="http://schemas.openxmlformats.org/officeDocument/2006/relationships/hyperlink" Target="https://doi.org/10.1016/j.jbusres.2014.11.006" TargetMode="External"/><Relationship Id="rId14" Type="http://schemas.openxmlformats.org/officeDocument/2006/relationships/hyperlink" Target="https://doi.org/10.1016/j.bushor.2009.09.003" TargetMode="External"/><Relationship Id="rId17" Type="http://schemas.openxmlformats.org/officeDocument/2006/relationships/hyperlink" Target="https://doi.org/10.1007/s10603-011-9163-8%E2%81%A0" TargetMode="External"/><Relationship Id="rId16" Type="http://schemas.openxmlformats.org/officeDocument/2006/relationships/hyperlink" Target="https://www.nngroup.com/articles/ten-usability-heuristics" TargetMode="External"/><Relationship Id="rId5" Type="http://schemas.openxmlformats.org/officeDocument/2006/relationships/styles" Target="styles.xml"/><Relationship Id="rId19" Type="http://schemas.openxmlformats.org/officeDocument/2006/relationships/hyperlink" Target="https://doi.org/10.1016/j.ijinfomgt.2006.03.008" TargetMode="External"/><Relationship Id="rId6" Type="http://schemas.openxmlformats.org/officeDocument/2006/relationships/hyperlink" Target="http://www.yogareading.co.uk" TargetMode="External"/><Relationship Id="rId18" Type="http://schemas.openxmlformats.org/officeDocument/2006/relationships/hyperlink" Target="https://simpma.com/the-impact-of-online-booking-on-customer-experience-and-satisfaction/" TargetMode="External"/><Relationship Id="rId7" Type="http://schemas.openxmlformats.org/officeDocument/2006/relationships/hyperlink" Target="https://doi.org/10.3390/analytics1020012" TargetMode="External"/><Relationship Id="rId8" Type="http://schemas.openxmlformats.org/officeDocument/2006/relationships/hyperlink" Target="https://www.ronins.co.uk/hub/psychology-of-website-navig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