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1D34B" w14:textId="77777777" w:rsidR="008B2C27" w:rsidRPr="008B2C27" w:rsidRDefault="008B2C27" w:rsidP="008B2C27">
      <w:pPr>
        <w:spacing w:beforeLines="160" w:before="384" w:afterLines="160" w:after="384"/>
        <w:ind w:left="432"/>
        <w:rPr>
          <w:rFonts w:cs="Times New Roman"/>
          <w:b/>
          <w:bCs/>
          <w:szCs w:val="24"/>
        </w:rPr>
      </w:pPr>
      <w:r w:rsidRPr="008B2C27">
        <w:rPr>
          <w:rFonts w:cs="Times New Roman"/>
          <w:b/>
          <w:bCs/>
          <w:szCs w:val="24"/>
        </w:rPr>
        <w:t>International Meetings Management for the Hotel Industry (BMIH6007)</w:t>
      </w:r>
    </w:p>
    <w:p w14:paraId="4B2EA5EE" w14:textId="77777777" w:rsidR="000227EA" w:rsidRPr="000252DE" w:rsidRDefault="00EF2119" w:rsidP="008B2C27">
      <w:pPr>
        <w:spacing w:beforeLines="160" w:before="384" w:afterLines="160" w:after="384"/>
        <w:rPr>
          <w:rFonts w:cs="Times New Roman"/>
          <w:b/>
          <w:szCs w:val="24"/>
        </w:rPr>
      </w:pPr>
      <w:r w:rsidRPr="000252DE">
        <w:rPr>
          <w:rFonts w:cs="Times New Roman"/>
          <w:b/>
          <w:szCs w:val="24"/>
        </w:rPr>
        <w:t>Event Strategic Planning and Delivery Considerations for an International Meeting</w:t>
      </w:r>
    </w:p>
    <w:p w14:paraId="4B2EA5F2" w14:textId="77777777" w:rsidR="00432129" w:rsidRDefault="00EF2119" w:rsidP="000252DE">
      <w:pPr>
        <w:spacing w:beforeLines="160" w:before="384" w:afterLines="160" w:after="384"/>
        <w:jc w:val="center"/>
        <w:rPr>
          <w:rFonts w:cs="Times New Roman"/>
          <w:b/>
          <w:szCs w:val="24"/>
        </w:rPr>
      </w:pPr>
      <w:r w:rsidRPr="000252DE">
        <w:rPr>
          <w:rFonts w:cs="Times New Roman"/>
          <w:b/>
          <w:szCs w:val="24"/>
        </w:rPr>
        <w:t xml:space="preserve">Topic: </w:t>
      </w:r>
      <w:r w:rsidR="00F83072" w:rsidRPr="000252DE">
        <w:rPr>
          <w:rFonts w:cs="Times New Roman"/>
          <w:b/>
          <w:szCs w:val="24"/>
        </w:rPr>
        <w:t>“Unity in Action: The UK Diversity &amp; Inclusion Summit 2025”</w:t>
      </w:r>
    </w:p>
    <w:p w14:paraId="7D69C02C" w14:textId="77777777" w:rsidR="00217295" w:rsidRPr="00217295" w:rsidRDefault="00217295" w:rsidP="00217295">
      <w:pPr>
        <w:spacing w:beforeLines="160" w:before="384" w:afterLines="160" w:after="384"/>
        <w:jc w:val="center"/>
        <w:rPr>
          <w:rFonts w:cs="Times New Roman"/>
          <w:b/>
          <w:szCs w:val="24"/>
        </w:rPr>
      </w:pPr>
      <w:r w:rsidRPr="00217295">
        <w:rPr>
          <w:rFonts w:cs="Times New Roman"/>
          <w:b/>
          <w:szCs w:val="24"/>
        </w:rPr>
        <w:t>Student Name: Antonela Costiuc</w:t>
      </w:r>
    </w:p>
    <w:p w14:paraId="5CFE46BA" w14:textId="77777777" w:rsidR="00217295" w:rsidRPr="00217295" w:rsidRDefault="00217295" w:rsidP="00217295">
      <w:pPr>
        <w:spacing w:beforeLines="160" w:before="384" w:afterLines="160" w:after="384"/>
        <w:jc w:val="center"/>
        <w:rPr>
          <w:rFonts w:cs="Times New Roman"/>
          <w:b/>
          <w:szCs w:val="24"/>
        </w:rPr>
      </w:pPr>
      <w:r w:rsidRPr="00217295">
        <w:rPr>
          <w:rFonts w:cs="Times New Roman"/>
          <w:b/>
          <w:szCs w:val="24"/>
        </w:rPr>
        <w:t>Student Number: 2117337</w:t>
      </w:r>
    </w:p>
    <w:p w14:paraId="3A5D40DA" w14:textId="21EC3965" w:rsidR="00897960" w:rsidRDefault="00217295" w:rsidP="00217295">
      <w:pPr>
        <w:spacing w:beforeLines="160" w:before="384" w:afterLines="160" w:after="384"/>
        <w:jc w:val="center"/>
        <w:rPr>
          <w:rFonts w:cs="Times New Roman"/>
          <w:b/>
          <w:szCs w:val="24"/>
        </w:rPr>
      </w:pPr>
      <w:r w:rsidRPr="00217295">
        <w:rPr>
          <w:rFonts w:cs="Times New Roman"/>
          <w:b/>
          <w:szCs w:val="24"/>
        </w:rPr>
        <w:t xml:space="preserve"> Tutor’s Name: Kathryn Flynn</w:t>
      </w:r>
    </w:p>
    <w:p w14:paraId="7F8C24FB" w14:textId="77777777" w:rsidR="00897960" w:rsidRPr="000252DE" w:rsidRDefault="00897960" w:rsidP="000252DE">
      <w:pPr>
        <w:spacing w:beforeLines="160" w:before="384" w:afterLines="160" w:after="384"/>
        <w:jc w:val="center"/>
        <w:rPr>
          <w:rFonts w:cs="Times New Roman"/>
          <w:b/>
          <w:szCs w:val="24"/>
        </w:rPr>
      </w:pPr>
    </w:p>
    <w:p w14:paraId="4B2EA5F3" w14:textId="77777777" w:rsidR="007C5F17" w:rsidRPr="000252DE" w:rsidRDefault="007C5F17" w:rsidP="000252DE">
      <w:pPr>
        <w:spacing w:beforeLines="160" w:before="384" w:afterLines="160" w:after="384"/>
        <w:jc w:val="left"/>
        <w:rPr>
          <w:rFonts w:cs="Times New Roman"/>
          <w:b/>
          <w:szCs w:val="24"/>
        </w:rPr>
      </w:pPr>
    </w:p>
    <w:p w14:paraId="4B2EA5F4" w14:textId="77777777" w:rsidR="007C5F17" w:rsidRPr="000252DE" w:rsidRDefault="007C5F17" w:rsidP="000252DE">
      <w:pPr>
        <w:spacing w:beforeLines="160" w:before="384" w:afterLines="160" w:after="384"/>
        <w:jc w:val="left"/>
        <w:rPr>
          <w:rFonts w:cs="Times New Roman"/>
          <w:b/>
          <w:szCs w:val="24"/>
        </w:rPr>
      </w:pPr>
    </w:p>
    <w:p w14:paraId="4B2EA5F5" w14:textId="77777777" w:rsidR="007C5F17" w:rsidRPr="000252DE" w:rsidRDefault="007C5F17" w:rsidP="000252DE">
      <w:pPr>
        <w:spacing w:beforeLines="160" w:before="384" w:afterLines="160" w:after="384"/>
        <w:jc w:val="center"/>
        <w:rPr>
          <w:rFonts w:cs="Times New Roman"/>
          <w:b/>
          <w:bCs/>
          <w:szCs w:val="24"/>
        </w:rPr>
      </w:pPr>
      <w:r w:rsidRPr="000252DE">
        <w:rPr>
          <w:rFonts w:cs="Times New Roman"/>
          <w:b/>
          <w:bCs/>
          <w:szCs w:val="24"/>
        </w:rPr>
        <w:t xml:space="preserve">Acknowledgement </w:t>
      </w:r>
    </w:p>
    <w:p w14:paraId="4B2EA5F6" w14:textId="77777777" w:rsidR="0043191A" w:rsidRPr="000252DE" w:rsidRDefault="007C5F17" w:rsidP="000252DE">
      <w:pPr>
        <w:spacing w:beforeLines="160" w:before="384" w:afterLines="160" w:after="384"/>
        <w:jc w:val="center"/>
        <w:rPr>
          <w:rFonts w:cs="Times New Roman"/>
          <w:bCs/>
          <w:szCs w:val="24"/>
        </w:rPr>
      </w:pPr>
      <w:r w:rsidRPr="000252DE">
        <w:rPr>
          <w:rFonts w:cs="Times New Roman"/>
          <w:bCs/>
          <w:szCs w:val="24"/>
        </w:rPr>
        <w:t>I certify that the work I sent in for this assignment is entirely original. Credit has been given when my work has been supported by the efforts of others. Every source I utilised for this work has been found, recognised, and cited using the Harvard referencing style. I have reviewed the assignment brief's parts on plagiarism, collusion, and artificial intelligence, and I am aware of the negative effects of plagiarism.</w:t>
      </w:r>
    </w:p>
    <w:p w14:paraId="4B2EA5F7" w14:textId="77777777" w:rsidR="00262DF1" w:rsidRPr="000252DE" w:rsidRDefault="0043191A" w:rsidP="000252DE">
      <w:pPr>
        <w:spacing w:beforeLines="160" w:before="384" w:afterLines="160" w:after="384"/>
        <w:rPr>
          <w:rFonts w:cs="Times New Roman"/>
          <w:szCs w:val="24"/>
        </w:rPr>
      </w:pPr>
      <w:r w:rsidRPr="000252DE">
        <w:rPr>
          <w:rFonts w:cs="Times New Roman"/>
          <w:szCs w:val="24"/>
        </w:rPr>
        <w:br w:type="page"/>
      </w:r>
    </w:p>
    <w:sdt>
      <w:sdtPr>
        <w:rPr>
          <w:rFonts w:ascii="Times New Roman" w:eastAsiaTheme="minorHAnsi" w:hAnsi="Times New Roman" w:cs="Times New Roman"/>
          <w:color w:val="auto"/>
          <w:sz w:val="24"/>
          <w:szCs w:val="24"/>
        </w:rPr>
        <w:id w:val="-2044822657"/>
        <w:docPartObj>
          <w:docPartGallery w:val="Table of Contents"/>
          <w:docPartUnique/>
        </w:docPartObj>
      </w:sdtPr>
      <w:sdtEndPr>
        <w:rPr>
          <w:b/>
          <w:bCs/>
        </w:rPr>
      </w:sdtEndPr>
      <w:sdtContent>
        <w:p w14:paraId="4B2EA5F8" w14:textId="77777777" w:rsidR="00262DF1" w:rsidRPr="000252DE" w:rsidRDefault="00EF2119" w:rsidP="000252DE">
          <w:pPr>
            <w:pStyle w:val="TOCHeading"/>
            <w:spacing w:beforeLines="160" w:before="384" w:afterLines="160" w:after="384" w:line="360" w:lineRule="auto"/>
            <w:jc w:val="center"/>
            <w:rPr>
              <w:rFonts w:ascii="Times New Roman" w:hAnsi="Times New Roman" w:cs="Times New Roman"/>
              <w:b/>
              <w:color w:val="auto"/>
              <w:sz w:val="24"/>
              <w:szCs w:val="24"/>
            </w:rPr>
          </w:pPr>
          <w:r w:rsidRPr="000252DE">
            <w:rPr>
              <w:rFonts w:ascii="Times New Roman" w:hAnsi="Times New Roman" w:cs="Times New Roman"/>
              <w:b/>
              <w:color w:val="auto"/>
              <w:sz w:val="24"/>
              <w:szCs w:val="24"/>
            </w:rPr>
            <w:t>Table of Contents</w:t>
          </w:r>
        </w:p>
        <w:p w14:paraId="4B2EA5F9" w14:textId="77777777" w:rsidR="006D763A" w:rsidRDefault="00EF2119">
          <w:pPr>
            <w:pStyle w:val="TOC1"/>
            <w:tabs>
              <w:tab w:val="left" w:pos="440"/>
              <w:tab w:val="right" w:leader="dot" w:pos="9350"/>
            </w:tabs>
            <w:rPr>
              <w:rFonts w:asciiTheme="minorHAnsi" w:eastAsiaTheme="minorEastAsia" w:hAnsiTheme="minorHAnsi"/>
              <w:sz w:val="22"/>
              <w:lang w:val="en-US"/>
            </w:rPr>
          </w:pPr>
          <w:r w:rsidRPr="000252DE">
            <w:rPr>
              <w:rFonts w:cs="Times New Roman"/>
              <w:b/>
              <w:bCs/>
              <w:szCs w:val="24"/>
            </w:rPr>
            <w:fldChar w:fldCharType="begin"/>
          </w:r>
          <w:r w:rsidRPr="000252DE">
            <w:rPr>
              <w:rFonts w:cs="Times New Roman"/>
              <w:b/>
              <w:bCs/>
              <w:szCs w:val="24"/>
            </w:rPr>
            <w:instrText xml:space="preserve"> TOC \o "1-3" \h \z \u </w:instrText>
          </w:r>
          <w:r w:rsidRPr="000252DE">
            <w:rPr>
              <w:rFonts w:cs="Times New Roman"/>
              <w:b/>
              <w:bCs/>
              <w:szCs w:val="24"/>
            </w:rPr>
            <w:fldChar w:fldCharType="separate"/>
          </w:r>
          <w:hyperlink w:anchor="_Toc190365927" w:history="1">
            <w:r w:rsidR="006D763A" w:rsidRPr="00772476">
              <w:rPr>
                <w:rStyle w:val="Hyperlink"/>
                <w:rFonts w:cs="Times New Roman"/>
                <w14:scene3d>
                  <w14:camera w14:prst="orthographicFront"/>
                  <w14:lightRig w14:rig="threePt" w14:dir="t">
                    <w14:rot w14:lat="0" w14:lon="0" w14:rev="0"/>
                  </w14:lightRig>
                </w14:scene3d>
                <w14:props3d w14:extrusionH="0" w14:contourW="0" w14:prstMaterial="warmMatte"/>
              </w:rPr>
              <w:t>1</w:t>
            </w:r>
            <w:r w:rsidR="006D763A">
              <w:rPr>
                <w:rFonts w:asciiTheme="minorHAnsi" w:eastAsiaTheme="minorEastAsia" w:hAnsiTheme="minorHAnsi"/>
                <w:sz w:val="22"/>
                <w:lang w:val="en-US"/>
              </w:rPr>
              <w:tab/>
            </w:r>
            <w:r w:rsidR="006D763A" w:rsidRPr="00772476">
              <w:rPr>
                <w:rStyle w:val="Hyperlink"/>
                <w:rFonts w:cs="Times New Roman"/>
              </w:rPr>
              <w:t>Introduction</w:t>
            </w:r>
            <w:r w:rsidR="006D763A">
              <w:rPr>
                <w:webHidden/>
              </w:rPr>
              <w:tab/>
            </w:r>
            <w:r w:rsidR="006D763A">
              <w:rPr>
                <w:webHidden/>
              </w:rPr>
              <w:fldChar w:fldCharType="begin"/>
            </w:r>
            <w:r w:rsidR="006D763A">
              <w:rPr>
                <w:webHidden/>
              </w:rPr>
              <w:instrText xml:space="preserve"> PAGEREF _Toc190365927 \h </w:instrText>
            </w:r>
            <w:r w:rsidR="006D763A">
              <w:rPr>
                <w:webHidden/>
              </w:rPr>
            </w:r>
            <w:r w:rsidR="006D763A">
              <w:rPr>
                <w:webHidden/>
              </w:rPr>
              <w:fldChar w:fldCharType="separate"/>
            </w:r>
            <w:r w:rsidR="006D763A">
              <w:rPr>
                <w:webHidden/>
              </w:rPr>
              <w:t>5</w:t>
            </w:r>
            <w:r w:rsidR="006D763A">
              <w:rPr>
                <w:webHidden/>
              </w:rPr>
              <w:fldChar w:fldCharType="end"/>
            </w:r>
          </w:hyperlink>
        </w:p>
        <w:p w14:paraId="4B2EA5FA"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28"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2</w:t>
            </w:r>
            <w:r>
              <w:rPr>
                <w:rFonts w:asciiTheme="minorHAnsi" w:eastAsiaTheme="minorEastAsia" w:hAnsiTheme="minorHAnsi"/>
                <w:sz w:val="22"/>
                <w:lang w:val="en-US"/>
              </w:rPr>
              <w:tab/>
            </w:r>
            <w:r w:rsidRPr="00772476">
              <w:rPr>
                <w:rStyle w:val="Hyperlink"/>
                <w:rFonts w:cs="Times New Roman"/>
              </w:rPr>
              <w:t>The Event Cycle - Application to the UK Diversity &amp; Inclusion Summit 2025</w:t>
            </w:r>
            <w:r>
              <w:rPr>
                <w:webHidden/>
              </w:rPr>
              <w:tab/>
            </w:r>
            <w:r>
              <w:rPr>
                <w:webHidden/>
              </w:rPr>
              <w:fldChar w:fldCharType="begin"/>
            </w:r>
            <w:r>
              <w:rPr>
                <w:webHidden/>
              </w:rPr>
              <w:instrText xml:space="preserve"> PAGEREF _Toc190365928 \h </w:instrText>
            </w:r>
            <w:r>
              <w:rPr>
                <w:webHidden/>
              </w:rPr>
            </w:r>
            <w:r>
              <w:rPr>
                <w:webHidden/>
              </w:rPr>
              <w:fldChar w:fldCharType="separate"/>
            </w:r>
            <w:r>
              <w:rPr>
                <w:webHidden/>
              </w:rPr>
              <w:t>6</w:t>
            </w:r>
            <w:r>
              <w:rPr>
                <w:webHidden/>
              </w:rPr>
              <w:fldChar w:fldCharType="end"/>
            </w:r>
          </w:hyperlink>
        </w:p>
        <w:p w14:paraId="4B2EA5FB" w14:textId="77777777" w:rsidR="006D763A" w:rsidRDefault="006D763A">
          <w:pPr>
            <w:pStyle w:val="TOC2"/>
            <w:rPr>
              <w:rFonts w:asciiTheme="minorHAnsi" w:eastAsiaTheme="minorEastAsia" w:hAnsiTheme="minorHAnsi"/>
              <w:sz w:val="22"/>
              <w:lang w:val="en-US"/>
            </w:rPr>
          </w:pPr>
          <w:hyperlink w:anchor="_Toc190365929" w:history="1">
            <w:r w:rsidRPr="00772476">
              <w:rPr>
                <w:rStyle w:val="Hyperlink"/>
                <w14:scene3d>
                  <w14:camera w14:prst="orthographicFront"/>
                  <w14:lightRig w14:rig="threePt" w14:dir="t">
                    <w14:rot w14:lat="0" w14:lon="0" w14:rev="0"/>
                  </w14:lightRig>
                </w14:scene3d>
                <w14:props3d w14:extrusionH="0" w14:contourW="0" w14:prstMaterial="warmMatte"/>
              </w:rPr>
              <w:t>1.1</w:t>
            </w:r>
            <w:r>
              <w:rPr>
                <w:rFonts w:asciiTheme="minorHAnsi" w:eastAsiaTheme="minorEastAsia" w:hAnsiTheme="minorHAnsi"/>
                <w:sz w:val="22"/>
                <w:lang w:val="en-US"/>
              </w:rPr>
              <w:tab/>
            </w:r>
            <w:r w:rsidRPr="00772476">
              <w:rPr>
                <w:rStyle w:val="Hyperlink"/>
                <w:rFonts w:cs="Times New Roman"/>
              </w:rPr>
              <w:t>Planning</w:t>
            </w:r>
            <w:r>
              <w:rPr>
                <w:webHidden/>
              </w:rPr>
              <w:tab/>
            </w:r>
            <w:r>
              <w:rPr>
                <w:webHidden/>
              </w:rPr>
              <w:fldChar w:fldCharType="begin"/>
            </w:r>
            <w:r>
              <w:rPr>
                <w:webHidden/>
              </w:rPr>
              <w:instrText xml:space="preserve"> PAGEREF _Toc190365929 \h </w:instrText>
            </w:r>
            <w:r>
              <w:rPr>
                <w:webHidden/>
              </w:rPr>
            </w:r>
            <w:r>
              <w:rPr>
                <w:webHidden/>
              </w:rPr>
              <w:fldChar w:fldCharType="separate"/>
            </w:r>
            <w:r>
              <w:rPr>
                <w:webHidden/>
              </w:rPr>
              <w:t>6</w:t>
            </w:r>
            <w:r>
              <w:rPr>
                <w:webHidden/>
              </w:rPr>
              <w:fldChar w:fldCharType="end"/>
            </w:r>
          </w:hyperlink>
        </w:p>
        <w:p w14:paraId="4B2EA5FC" w14:textId="77777777" w:rsidR="006D763A" w:rsidRDefault="006D763A">
          <w:pPr>
            <w:pStyle w:val="TOC2"/>
            <w:rPr>
              <w:rFonts w:asciiTheme="minorHAnsi" w:eastAsiaTheme="minorEastAsia" w:hAnsiTheme="minorHAnsi"/>
              <w:sz w:val="22"/>
              <w:lang w:val="en-US"/>
            </w:rPr>
          </w:pPr>
          <w:hyperlink w:anchor="_Toc190365930" w:history="1">
            <w:r w:rsidRPr="00772476">
              <w:rPr>
                <w:rStyle w:val="Hyperlink"/>
                <w14:scene3d>
                  <w14:camera w14:prst="orthographicFront"/>
                  <w14:lightRig w14:rig="threePt" w14:dir="t">
                    <w14:rot w14:lat="0" w14:lon="0" w14:rev="0"/>
                  </w14:lightRig>
                </w14:scene3d>
                <w14:props3d w14:extrusionH="0" w14:contourW="0" w14:prstMaterial="warmMatte"/>
              </w:rPr>
              <w:t>1.2</w:t>
            </w:r>
            <w:r>
              <w:rPr>
                <w:rFonts w:asciiTheme="minorHAnsi" w:eastAsiaTheme="minorEastAsia" w:hAnsiTheme="minorHAnsi"/>
                <w:sz w:val="22"/>
                <w:lang w:val="en-US"/>
              </w:rPr>
              <w:tab/>
            </w:r>
            <w:r w:rsidRPr="00772476">
              <w:rPr>
                <w:rStyle w:val="Hyperlink"/>
                <w:rFonts w:cs="Times New Roman"/>
              </w:rPr>
              <w:t>Execution</w:t>
            </w:r>
            <w:r>
              <w:rPr>
                <w:webHidden/>
              </w:rPr>
              <w:tab/>
            </w:r>
            <w:r>
              <w:rPr>
                <w:webHidden/>
              </w:rPr>
              <w:fldChar w:fldCharType="begin"/>
            </w:r>
            <w:r>
              <w:rPr>
                <w:webHidden/>
              </w:rPr>
              <w:instrText xml:space="preserve"> PAGEREF _Toc190365930 \h </w:instrText>
            </w:r>
            <w:r>
              <w:rPr>
                <w:webHidden/>
              </w:rPr>
            </w:r>
            <w:r>
              <w:rPr>
                <w:webHidden/>
              </w:rPr>
              <w:fldChar w:fldCharType="separate"/>
            </w:r>
            <w:r>
              <w:rPr>
                <w:webHidden/>
              </w:rPr>
              <w:t>6</w:t>
            </w:r>
            <w:r>
              <w:rPr>
                <w:webHidden/>
              </w:rPr>
              <w:fldChar w:fldCharType="end"/>
            </w:r>
          </w:hyperlink>
        </w:p>
        <w:p w14:paraId="4B2EA5FD" w14:textId="77777777" w:rsidR="006D763A" w:rsidRDefault="006D763A">
          <w:pPr>
            <w:pStyle w:val="TOC2"/>
            <w:rPr>
              <w:rFonts w:asciiTheme="minorHAnsi" w:eastAsiaTheme="minorEastAsia" w:hAnsiTheme="minorHAnsi"/>
              <w:sz w:val="22"/>
              <w:lang w:val="en-US"/>
            </w:rPr>
          </w:pPr>
          <w:hyperlink w:anchor="_Toc190365931" w:history="1">
            <w:r w:rsidRPr="00772476">
              <w:rPr>
                <w:rStyle w:val="Hyperlink"/>
                <w14:scene3d>
                  <w14:camera w14:prst="orthographicFront"/>
                  <w14:lightRig w14:rig="threePt" w14:dir="t">
                    <w14:rot w14:lat="0" w14:lon="0" w14:rev="0"/>
                  </w14:lightRig>
                </w14:scene3d>
                <w14:props3d w14:extrusionH="0" w14:contourW="0" w14:prstMaterial="warmMatte"/>
              </w:rPr>
              <w:t>1.3</w:t>
            </w:r>
            <w:r>
              <w:rPr>
                <w:rFonts w:asciiTheme="minorHAnsi" w:eastAsiaTheme="minorEastAsia" w:hAnsiTheme="minorHAnsi"/>
                <w:sz w:val="22"/>
                <w:lang w:val="en-US"/>
              </w:rPr>
              <w:tab/>
            </w:r>
            <w:r w:rsidRPr="00772476">
              <w:rPr>
                <w:rStyle w:val="Hyperlink"/>
                <w:rFonts w:cs="Times New Roman"/>
              </w:rPr>
              <w:t>Evaluation</w:t>
            </w:r>
            <w:r>
              <w:rPr>
                <w:webHidden/>
              </w:rPr>
              <w:tab/>
            </w:r>
            <w:r>
              <w:rPr>
                <w:webHidden/>
              </w:rPr>
              <w:fldChar w:fldCharType="begin"/>
            </w:r>
            <w:r>
              <w:rPr>
                <w:webHidden/>
              </w:rPr>
              <w:instrText xml:space="preserve"> PAGEREF _Toc190365931 \h </w:instrText>
            </w:r>
            <w:r>
              <w:rPr>
                <w:webHidden/>
              </w:rPr>
            </w:r>
            <w:r>
              <w:rPr>
                <w:webHidden/>
              </w:rPr>
              <w:fldChar w:fldCharType="separate"/>
            </w:r>
            <w:r>
              <w:rPr>
                <w:webHidden/>
              </w:rPr>
              <w:t>7</w:t>
            </w:r>
            <w:r>
              <w:rPr>
                <w:webHidden/>
              </w:rPr>
              <w:fldChar w:fldCharType="end"/>
            </w:r>
          </w:hyperlink>
        </w:p>
        <w:p w14:paraId="4B2EA5FE"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32"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3</w:t>
            </w:r>
            <w:r>
              <w:rPr>
                <w:rFonts w:asciiTheme="minorHAnsi" w:eastAsiaTheme="minorEastAsia" w:hAnsiTheme="minorHAnsi"/>
                <w:sz w:val="22"/>
                <w:lang w:val="en-US"/>
              </w:rPr>
              <w:tab/>
            </w:r>
            <w:r w:rsidRPr="00772476">
              <w:rPr>
                <w:rStyle w:val="Hyperlink"/>
                <w:rFonts w:cs="Times New Roman"/>
              </w:rPr>
              <w:t>Event Concept</w:t>
            </w:r>
            <w:r>
              <w:rPr>
                <w:webHidden/>
              </w:rPr>
              <w:tab/>
            </w:r>
            <w:r>
              <w:rPr>
                <w:webHidden/>
              </w:rPr>
              <w:fldChar w:fldCharType="begin"/>
            </w:r>
            <w:r>
              <w:rPr>
                <w:webHidden/>
              </w:rPr>
              <w:instrText xml:space="preserve"> PAGEREF _Toc190365932 \h </w:instrText>
            </w:r>
            <w:r>
              <w:rPr>
                <w:webHidden/>
              </w:rPr>
            </w:r>
            <w:r>
              <w:rPr>
                <w:webHidden/>
              </w:rPr>
              <w:fldChar w:fldCharType="separate"/>
            </w:r>
            <w:r>
              <w:rPr>
                <w:webHidden/>
              </w:rPr>
              <w:t>7</w:t>
            </w:r>
            <w:r>
              <w:rPr>
                <w:webHidden/>
              </w:rPr>
              <w:fldChar w:fldCharType="end"/>
            </w:r>
          </w:hyperlink>
        </w:p>
        <w:p w14:paraId="4B2EA5FF"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33"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4</w:t>
            </w:r>
            <w:r>
              <w:rPr>
                <w:rFonts w:asciiTheme="minorHAnsi" w:eastAsiaTheme="minorEastAsia" w:hAnsiTheme="minorHAnsi"/>
                <w:sz w:val="22"/>
                <w:lang w:val="en-US"/>
              </w:rPr>
              <w:tab/>
            </w:r>
            <w:r w:rsidRPr="00772476">
              <w:rPr>
                <w:rStyle w:val="Hyperlink"/>
                <w:rFonts w:cs="Times New Roman"/>
              </w:rPr>
              <w:t>Aim and Objectives of the Event</w:t>
            </w:r>
            <w:r>
              <w:rPr>
                <w:webHidden/>
              </w:rPr>
              <w:tab/>
            </w:r>
            <w:r>
              <w:rPr>
                <w:webHidden/>
              </w:rPr>
              <w:fldChar w:fldCharType="begin"/>
            </w:r>
            <w:r>
              <w:rPr>
                <w:webHidden/>
              </w:rPr>
              <w:instrText xml:space="preserve"> PAGEREF _Toc190365933 \h </w:instrText>
            </w:r>
            <w:r>
              <w:rPr>
                <w:webHidden/>
              </w:rPr>
            </w:r>
            <w:r>
              <w:rPr>
                <w:webHidden/>
              </w:rPr>
              <w:fldChar w:fldCharType="separate"/>
            </w:r>
            <w:r>
              <w:rPr>
                <w:webHidden/>
              </w:rPr>
              <w:t>9</w:t>
            </w:r>
            <w:r>
              <w:rPr>
                <w:webHidden/>
              </w:rPr>
              <w:fldChar w:fldCharType="end"/>
            </w:r>
          </w:hyperlink>
        </w:p>
        <w:p w14:paraId="4B2EA600"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34"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5</w:t>
            </w:r>
            <w:r>
              <w:rPr>
                <w:rFonts w:asciiTheme="minorHAnsi" w:eastAsiaTheme="minorEastAsia" w:hAnsiTheme="minorHAnsi"/>
                <w:sz w:val="22"/>
                <w:lang w:val="en-US"/>
              </w:rPr>
              <w:tab/>
            </w:r>
            <w:r w:rsidRPr="00772476">
              <w:rPr>
                <w:rStyle w:val="Hyperlink"/>
                <w:rFonts w:cs="Times New Roman"/>
              </w:rPr>
              <w:t>Event Management</w:t>
            </w:r>
            <w:r>
              <w:rPr>
                <w:webHidden/>
              </w:rPr>
              <w:tab/>
            </w:r>
            <w:r>
              <w:rPr>
                <w:webHidden/>
              </w:rPr>
              <w:fldChar w:fldCharType="begin"/>
            </w:r>
            <w:r>
              <w:rPr>
                <w:webHidden/>
              </w:rPr>
              <w:instrText xml:space="preserve"> PAGEREF _Toc190365934 \h </w:instrText>
            </w:r>
            <w:r>
              <w:rPr>
                <w:webHidden/>
              </w:rPr>
            </w:r>
            <w:r>
              <w:rPr>
                <w:webHidden/>
              </w:rPr>
              <w:fldChar w:fldCharType="separate"/>
            </w:r>
            <w:r>
              <w:rPr>
                <w:webHidden/>
              </w:rPr>
              <w:t>10</w:t>
            </w:r>
            <w:r>
              <w:rPr>
                <w:webHidden/>
              </w:rPr>
              <w:fldChar w:fldCharType="end"/>
            </w:r>
          </w:hyperlink>
        </w:p>
        <w:p w14:paraId="4B2EA601" w14:textId="77777777" w:rsidR="006D763A" w:rsidRDefault="006D763A">
          <w:pPr>
            <w:pStyle w:val="TOC2"/>
            <w:rPr>
              <w:rFonts w:asciiTheme="minorHAnsi" w:eastAsiaTheme="minorEastAsia" w:hAnsiTheme="minorHAnsi"/>
              <w:sz w:val="22"/>
              <w:lang w:val="en-US"/>
            </w:rPr>
          </w:pPr>
          <w:hyperlink w:anchor="_Toc190365935" w:history="1">
            <w:r w:rsidRPr="00772476">
              <w:rPr>
                <w:rStyle w:val="Hyperlink"/>
                <w:rFonts w:cs="Times New Roman"/>
              </w:rPr>
              <w:t>5.1</w:t>
            </w:r>
            <w:r>
              <w:rPr>
                <w:rFonts w:asciiTheme="minorHAnsi" w:eastAsiaTheme="minorEastAsia" w:hAnsiTheme="minorHAnsi"/>
                <w:sz w:val="22"/>
                <w:lang w:val="en-US"/>
              </w:rPr>
              <w:tab/>
            </w:r>
            <w:r w:rsidRPr="00772476">
              <w:rPr>
                <w:rStyle w:val="Hyperlink"/>
              </w:rPr>
              <w:t>Initiation</w:t>
            </w:r>
            <w:r>
              <w:rPr>
                <w:webHidden/>
              </w:rPr>
              <w:tab/>
            </w:r>
            <w:r>
              <w:rPr>
                <w:webHidden/>
              </w:rPr>
              <w:fldChar w:fldCharType="begin"/>
            </w:r>
            <w:r>
              <w:rPr>
                <w:webHidden/>
              </w:rPr>
              <w:instrText xml:space="preserve"> PAGEREF _Toc190365935 \h </w:instrText>
            </w:r>
            <w:r>
              <w:rPr>
                <w:webHidden/>
              </w:rPr>
            </w:r>
            <w:r>
              <w:rPr>
                <w:webHidden/>
              </w:rPr>
              <w:fldChar w:fldCharType="separate"/>
            </w:r>
            <w:r>
              <w:rPr>
                <w:webHidden/>
              </w:rPr>
              <w:t>10</w:t>
            </w:r>
            <w:r>
              <w:rPr>
                <w:webHidden/>
              </w:rPr>
              <w:fldChar w:fldCharType="end"/>
            </w:r>
          </w:hyperlink>
        </w:p>
        <w:p w14:paraId="4B2EA602" w14:textId="77777777" w:rsidR="006D763A" w:rsidRDefault="006D763A">
          <w:pPr>
            <w:pStyle w:val="TOC2"/>
            <w:rPr>
              <w:rFonts w:asciiTheme="minorHAnsi" w:eastAsiaTheme="minorEastAsia" w:hAnsiTheme="minorHAnsi"/>
              <w:sz w:val="22"/>
              <w:lang w:val="en-US"/>
            </w:rPr>
          </w:pPr>
          <w:hyperlink w:anchor="_Toc190365936" w:history="1">
            <w:r w:rsidRPr="00772476">
              <w:rPr>
                <w:rStyle w:val="Hyperlink"/>
                <w:rFonts w:cs="Times New Roman"/>
              </w:rPr>
              <w:t>5.2</w:t>
            </w:r>
            <w:r>
              <w:rPr>
                <w:rFonts w:asciiTheme="minorHAnsi" w:eastAsiaTheme="minorEastAsia" w:hAnsiTheme="minorHAnsi"/>
                <w:sz w:val="22"/>
                <w:lang w:val="en-US"/>
              </w:rPr>
              <w:tab/>
            </w:r>
            <w:r w:rsidRPr="00772476">
              <w:rPr>
                <w:rStyle w:val="Hyperlink"/>
              </w:rPr>
              <w:t>Planning</w:t>
            </w:r>
            <w:r>
              <w:rPr>
                <w:webHidden/>
              </w:rPr>
              <w:tab/>
            </w:r>
            <w:r>
              <w:rPr>
                <w:webHidden/>
              </w:rPr>
              <w:fldChar w:fldCharType="begin"/>
            </w:r>
            <w:r>
              <w:rPr>
                <w:webHidden/>
              </w:rPr>
              <w:instrText xml:space="preserve"> PAGEREF _Toc190365936 \h </w:instrText>
            </w:r>
            <w:r>
              <w:rPr>
                <w:webHidden/>
              </w:rPr>
            </w:r>
            <w:r>
              <w:rPr>
                <w:webHidden/>
              </w:rPr>
              <w:fldChar w:fldCharType="separate"/>
            </w:r>
            <w:r>
              <w:rPr>
                <w:webHidden/>
              </w:rPr>
              <w:t>10</w:t>
            </w:r>
            <w:r>
              <w:rPr>
                <w:webHidden/>
              </w:rPr>
              <w:fldChar w:fldCharType="end"/>
            </w:r>
          </w:hyperlink>
        </w:p>
        <w:p w14:paraId="4B2EA603" w14:textId="77777777" w:rsidR="006D763A" w:rsidRDefault="006D763A">
          <w:pPr>
            <w:pStyle w:val="TOC2"/>
            <w:rPr>
              <w:rFonts w:asciiTheme="minorHAnsi" w:eastAsiaTheme="minorEastAsia" w:hAnsiTheme="minorHAnsi"/>
              <w:sz w:val="22"/>
              <w:lang w:val="en-US"/>
            </w:rPr>
          </w:pPr>
          <w:hyperlink w:anchor="_Toc190365937" w:history="1">
            <w:r w:rsidRPr="00772476">
              <w:rPr>
                <w:rStyle w:val="Hyperlink"/>
              </w:rPr>
              <w:t>5.3</w:t>
            </w:r>
            <w:r>
              <w:rPr>
                <w:rFonts w:asciiTheme="minorHAnsi" w:eastAsiaTheme="minorEastAsia" w:hAnsiTheme="minorHAnsi"/>
                <w:sz w:val="22"/>
                <w:lang w:val="en-US"/>
              </w:rPr>
              <w:tab/>
            </w:r>
            <w:r w:rsidRPr="00772476">
              <w:rPr>
                <w:rStyle w:val="Hyperlink"/>
              </w:rPr>
              <w:t>Implementation</w:t>
            </w:r>
            <w:r>
              <w:rPr>
                <w:webHidden/>
              </w:rPr>
              <w:tab/>
            </w:r>
            <w:r>
              <w:rPr>
                <w:webHidden/>
              </w:rPr>
              <w:fldChar w:fldCharType="begin"/>
            </w:r>
            <w:r>
              <w:rPr>
                <w:webHidden/>
              </w:rPr>
              <w:instrText xml:space="preserve"> PAGEREF _Toc190365937 \h </w:instrText>
            </w:r>
            <w:r>
              <w:rPr>
                <w:webHidden/>
              </w:rPr>
            </w:r>
            <w:r>
              <w:rPr>
                <w:webHidden/>
              </w:rPr>
              <w:fldChar w:fldCharType="separate"/>
            </w:r>
            <w:r>
              <w:rPr>
                <w:webHidden/>
              </w:rPr>
              <w:t>11</w:t>
            </w:r>
            <w:r>
              <w:rPr>
                <w:webHidden/>
              </w:rPr>
              <w:fldChar w:fldCharType="end"/>
            </w:r>
          </w:hyperlink>
        </w:p>
        <w:p w14:paraId="4B2EA604" w14:textId="77777777" w:rsidR="006D763A" w:rsidRDefault="006D763A">
          <w:pPr>
            <w:pStyle w:val="TOC2"/>
            <w:rPr>
              <w:rFonts w:asciiTheme="minorHAnsi" w:eastAsiaTheme="minorEastAsia" w:hAnsiTheme="minorHAnsi"/>
              <w:sz w:val="22"/>
              <w:lang w:val="en-US"/>
            </w:rPr>
          </w:pPr>
          <w:hyperlink w:anchor="_Toc190365938" w:history="1">
            <w:r w:rsidRPr="00772476">
              <w:rPr>
                <w:rStyle w:val="Hyperlink"/>
              </w:rPr>
              <w:t>5.4</w:t>
            </w:r>
            <w:r>
              <w:rPr>
                <w:rFonts w:asciiTheme="minorHAnsi" w:eastAsiaTheme="minorEastAsia" w:hAnsiTheme="minorHAnsi"/>
                <w:sz w:val="22"/>
                <w:lang w:val="en-US"/>
              </w:rPr>
              <w:tab/>
            </w:r>
            <w:r w:rsidRPr="00772476">
              <w:rPr>
                <w:rStyle w:val="Hyperlink"/>
              </w:rPr>
              <w:t>Event</w:t>
            </w:r>
            <w:r>
              <w:rPr>
                <w:webHidden/>
              </w:rPr>
              <w:tab/>
            </w:r>
            <w:r>
              <w:rPr>
                <w:webHidden/>
              </w:rPr>
              <w:fldChar w:fldCharType="begin"/>
            </w:r>
            <w:r>
              <w:rPr>
                <w:webHidden/>
              </w:rPr>
              <w:instrText xml:space="preserve"> PAGEREF _Toc190365938 \h </w:instrText>
            </w:r>
            <w:r>
              <w:rPr>
                <w:webHidden/>
              </w:rPr>
            </w:r>
            <w:r>
              <w:rPr>
                <w:webHidden/>
              </w:rPr>
              <w:fldChar w:fldCharType="separate"/>
            </w:r>
            <w:r>
              <w:rPr>
                <w:webHidden/>
              </w:rPr>
              <w:t>11</w:t>
            </w:r>
            <w:r>
              <w:rPr>
                <w:webHidden/>
              </w:rPr>
              <w:fldChar w:fldCharType="end"/>
            </w:r>
          </w:hyperlink>
        </w:p>
        <w:p w14:paraId="4B2EA605" w14:textId="77777777" w:rsidR="006D763A" w:rsidRDefault="006D763A">
          <w:pPr>
            <w:pStyle w:val="TOC2"/>
            <w:rPr>
              <w:rFonts w:asciiTheme="minorHAnsi" w:eastAsiaTheme="minorEastAsia" w:hAnsiTheme="minorHAnsi"/>
              <w:sz w:val="22"/>
              <w:lang w:val="en-US"/>
            </w:rPr>
          </w:pPr>
          <w:hyperlink w:anchor="_Toc190365939" w:history="1">
            <w:r w:rsidRPr="00772476">
              <w:rPr>
                <w:rStyle w:val="Hyperlink"/>
              </w:rPr>
              <w:t>5.5</w:t>
            </w:r>
            <w:r>
              <w:rPr>
                <w:rFonts w:asciiTheme="minorHAnsi" w:eastAsiaTheme="minorEastAsia" w:hAnsiTheme="minorHAnsi"/>
                <w:sz w:val="22"/>
                <w:lang w:val="en-US"/>
              </w:rPr>
              <w:tab/>
            </w:r>
            <w:r w:rsidRPr="00772476">
              <w:rPr>
                <w:rStyle w:val="Hyperlink"/>
              </w:rPr>
              <w:t>Closure</w:t>
            </w:r>
            <w:r>
              <w:rPr>
                <w:webHidden/>
              </w:rPr>
              <w:tab/>
            </w:r>
            <w:r>
              <w:rPr>
                <w:webHidden/>
              </w:rPr>
              <w:fldChar w:fldCharType="begin"/>
            </w:r>
            <w:r>
              <w:rPr>
                <w:webHidden/>
              </w:rPr>
              <w:instrText xml:space="preserve"> PAGEREF _Toc190365939 \h </w:instrText>
            </w:r>
            <w:r>
              <w:rPr>
                <w:webHidden/>
              </w:rPr>
            </w:r>
            <w:r>
              <w:rPr>
                <w:webHidden/>
              </w:rPr>
              <w:fldChar w:fldCharType="separate"/>
            </w:r>
            <w:r>
              <w:rPr>
                <w:webHidden/>
              </w:rPr>
              <w:t>11</w:t>
            </w:r>
            <w:r>
              <w:rPr>
                <w:webHidden/>
              </w:rPr>
              <w:fldChar w:fldCharType="end"/>
            </w:r>
          </w:hyperlink>
        </w:p>
        <w:p w14:paraId="4B2EA606"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40"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6</w:t>
            </w:r>
            <w:r>
              <w:rPr>
                <w:rFonts w:asciiTheme="minorHAnsi" w:eastAsiaTheme="minorEastAsia" w:hAnsiTheme="minorHAnsi"/>
                <w:sz w:val="22"/>
                <w:lang w:val="en-US"/>
              </w:rPr>
              <w:tab/>
            </w:r>
            <w:r w:rsidRPr="00772476">
              <w:rPr>
                <w:rStyle w:val="Hyperlink"/>
                <w:rFonts w:cs="Times New Roman"/>
              </w:rPr>
              <w:t>Event Budget</w:t>
            </w:r>
            <w:r>
              <w:rPr>
                <w:webHidden/>
              </w:rPr>
              <w:tab/>
            </w:r>
            <w:r>
              <w:rPr>
                <w:webHidden/>
              </w:rPr>
              <w:fldChar w:fldCharType="begin"/>
            </w:r>
            <w:r>
              <w:rPr>
                <w:webHidden/>
              </w:rPr>
              <w:instrText xml:space="preserve"> PAGEREF _Toc190365940 \h </w:instrText>
            </w:r>
            <w:r>
              <w:rPr>
                <w:webHidden/>
              </w:rPr>
            </w:r>
            <w:r>
              <w:rPr>
                <w:webHidden/>
              </w:rPr>
              <w:fldChar w:fldCharType="separate"/>
            </w:r>
            <w:r>
              <w:rPr>
                <w:webHidden/>
              </w:rPr>
              <w:t>12</w:t>
            </w:r>
            <w:r>
              <w:rPr>
                <w:webHidden/>
              </w:rPr>
              <w:fldChar w:fldCharType="end"/>
            </w:r>
          </w:hyperlink>
        </w:p>
        <w:p w14:paraId="4B2EA607" w14:textId="77777777" w:rsidR="006D763A" w:rsidRDefault="006D763A">
          <w:pPr>
            <w:pStyle w:val="TOC2"/>
            <w:rPr>
              <w:rFonts w:asciiTheme="minorHAnsi" w:eastAsiaTheme="minorEastAsia" w:hAnsiTheme="minorHAnsi"/>
              <w:sz w:val="22"/>
              <w:lang w:val="en-US"/>
            </w:rPr>
          </w:pPr>
          <w:hyperlink w:anchor="_Toc190365941" w:history="1">
            <w:r w:rsidRPr="00772476">
              <w:rPr>
                <w:rStyle w:val="Hyperlink"/>
              </w:rPr>
              <w:t>6.1</w:t>
            </w:r>
            <w:r>
              <w:rPr>
                <w:rFonts w:asciiTheme="minorHAnsi" w:eastAsiaTheme="minorEastAsia" w:hAnsiTheme="minorHAnsi"/>
                <w:sz w:val="22"/>
                <w:lang w:val="en-US"/>
              </w:rPr>
              <w:tab/>
            </w:r>
            <w:r w:rsidRPr="00772476">
              <w:rPr>
                <w:rStyle w:val="Hyperlink"/>
              </w:rPr>
              <w:t>Income Breakdown</w:t>
            </w:r>
            <w:r>
              <w:rPr>
                <w:webHidden/>
              </w:rPr>
              <w:tab/>
            </w:r>
            <w:r>
              <w:rPr>
                <w:webHidden/>
              </w:rPr>
              <w:fldChar w:fldCharType="begin"/>
            </w:r>
            <w:r>
              <w:rPr>
                <w:webHidden/>
              </w:rPr>
              <w:instrText xml:space="preserve"> PAGEREF _Toc190365941 \h </w:instrText>
            </w:r>
            <w:r>
              <w:rPr>
                <w:webHidden/>
              </w:rPr>
            </w:r>
            <w:r>
              <w:rPr>
                <w:webHidden/>
              </w:rPr>
              <w:fldChar w:fldCharType="separate"/>
            </w:r>
            <w:r>
              <w:rPr>
                <w:webHidden/>
              </w:rPr>
              <w:t>12</w:t>
            </w:r>
            <w:r>
              <w:rPr>
                <w:webHidden/>
              </w:rPr>
              <w:fldChar w:fldCharType="end"/>
            </w:r>
          </w:hyperlink>
        </w:p>
        <w:p w14:paraId="4B2EA608" w14:textId="77777777" w:rsidR="006D763A" w:rsidRDefault="006D763A">
          <w:pPr>
            <w:pStyle w:val="TOC2"/>
            <w:rPr>
              <w:rFonts w:asciiTheme="minorHAnsi" w:eastAsiaTheme="minorEastAsia" w:hAnsiTheme="minorHAnsi"/>
              <w:sz w:val="22"/>
              <w:lang w:val="en-US"/>
            </w:rPr>
          </w:pPr>
          <w:hyperlink w:anchor="_Toc190365942" w:history="1">
            <w:r w:rsidRPr="00772476">
              <w:rPr>
                <w:rStyle w:val="Hyperlink"/>
              </w:rPr>
              <w:t>6.2</w:t>
            </w:r>
            <w:r>
              <w:rPr>
                <w:rFonts w:asciiTheme="minorHAnsi" w:eastAsiaTheme="minorEastAsia" w:hAnsiTheme="minorHAnsi"/>
                <w:sz w:val="22"/>
                <w:lang w:val="en-US"/>
              </w:rPr>
              <w:tab/>
            </w:r>
            <w:r w:rsidRPr="00772476">
              <w:rPr>
                <w:rStyle w:val="Hyperlink"/>
              </w:rPr>
              <w:t>Expenditure Breakdown</w:t>
            </w:r>
            <w:r>
              <w:rPr>
                <w:webHidden/>
              </w:rPr>
              <w:tab/>
            </w:r>
            <w:r>
              <w:rPr>
                <w:webHidden/>
              </w:rPr>
              <w:fldChar w:fldCharType="begin"/>
            </w:r>
            <w:r>
              <w:rPr>
                <w:webHidden/>
              </w:rPr>
              <w:instrText xml:space="preserve"> PAGEREF _Toc190365942 \h </w:instrText>
            </w:r>
            <w:r>
              <w:rPr>
                <w:webHidden/>
              </w:rPr>
            </w:r>
            <w:r>
              <w:rPr>
                <w:webHidden/>
              </w:rPr>
              <w:fldChar w:fldCharType="separate"/>
            </w:r>
            <w:r>
              <w:rPr>
                <w:webHidden/>
              </w:rPr>
              <w:t>13</w:t>
            </w:r>
            <w:r>
              <w:rPr>
                <w:webHidden/>
              </w:rPr>
              <w:fldChar w:fldCharType="end"/>
            </w:r>
          </w:hyperlink>
        </w:p>
        <w:p w14:paraId="4B2EA609"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43"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7</w:t>
            </w:r>
            <w:r>
              <w:rPr>
                <w:rFonts w:asciiTheme="minorHAnsi" w:eastAsiaTheme="minorEastAsia" w:hAnsiTheme="minorHAnsi"/>
                <w:sz w:val="22"/>
                <w:lang w:val="en-US"/>
              </w:rPr>
              <w:tab/>
            </w:r>
            <w:r w:rsidRPr="00772476">
              <w:rPr>
                <w:rStyle w:val="Hyperlink"/>
                <w:rFonts w:cs="Times New Roman"/>
              </w:rPr>
              <w:t>Industry Trends</w:t>
            </w:r>
            <w:r>
              <w:rPr>
                <w:webHidden/>
              </w:rPr>
              <w:tab/>
            </w:r>
            <w:r>
              <w:rPr>
                <w:webHidden/>
              </w:rPr>
              <w:fldChar w:fldCharType="begin"/>
            </w:r>
            <w:r>
              <w:rPr>
                <w:webHidden/>
              </w:rPr>
              <w:instrText xml:space="preserve"> PAGEREF _Toc190365943 \h </w:instrText>
            </w:r>
            <w:r>
              <w:rPr>
                <w:webHidden/>
              </w:rPr>
            </w:r>
            <w:r>
              <w:rPr>
                <w:webHidden/>
              </w:rPr>
              <w:fldChar w:fldCharType="separate"/>
            </w:r>
            <w:r>
              <w:rPr>
                <w:webHidden/>
              </w:rPr>
              <w:t>15</w:t>
            </w:r>
            <w:r>
              <w:rPr>
                <w:webHidden/>
              </w:rPr>
              <w:fldChar w:fldCharType="end"/>
            </w:r>
          </w:hyperlink>
        </w:p>
        <w:p w14:paraId="4B2EA60A"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44"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8</w:t>
            </w:r>
            <w:r>
              <w:rPr>
                <w:rFonts w:asciiTheme="minorHAnsi" w:eastAsiaTheme="minorEastAsia" w:hAnsiTheme="minorHAnsi"/>
                <w:sz w:val="22"/>
                <w:lang w:val="en-US"/>
              </w:rPr>
              <w:tab/>
            </w:r>
            <w:r w:rsidRPr="00772476">
              <w:rPr>
                <w:rStyle w:val="Hyperlink"/>
                <w:rFonts w:cs="Times New Roman"/>
              </w:rPr>
              <w:t>Situational and Cultural Considerations</w:t>
            </w:r>
            <w:r>
              <w:rPr>
                <w:webHidden/>
              </w:rPr>
              <w:tab/>
            </w:r>
            <w:r>
              <w:rPr>
                <w:webHidden/>
              </w:rPr>
              <w:fldChar w:fldCharType="begin"/>
            </w:r>
            <w:r>
              <w:rPr>
                <w:webHidden/>
              </w:rPr>
              <w:instrText xml:space="preserve"> PAGEREF _Toc190365944 \h </w:instrText>
            </w:r>
            <w:r>
              <w:rPr>
                <w:webHidden/>
              </w:rPr>
            </w:r>
            <w:r>
              <w:rPr>
                <w:webHidden/>
              </w:rPr>
              <w:fldChar w:fldCharType="separate"/>
            </w:r>
            <w:r>
              <w:rPr>
                <w:webHidden/>
              </w:rPr>
              <w:t>17</w:t>
            </w:r>
            <w:r>
              <w:rPr>
                <w:webHidden/>
              </w:rPr>
              <w:fldChar w:fldCharType="end"/>
            </w:r>
          </w:hyperlink>
        </w:p>
        <w:p w14:paraId="4B2EA60B" w14:textId="77777777" w:rsidR="006D763A" w:rsidRDefault="006D763A">
          <w:pPr>
            <w:pStyle w:val="TOC2"/>
            <w:rPr>
              <w:rFonts w:asciiTheme="minorHAnsi" w:eastAsiaTheme="minorEastAsia" w:hAnsiTheme="minorHAnsi"/>
              <w:sz w:val="22"/>
              <w:lang w:val="en-US"/>
            </w:rPr>
          </w:pPr>
          <w:hyperlink w:anchor="_Toc190365945" w:history="1">
            <w:r w:rsidRPr="00772476">
              <w:rPr>
                <w:rStyle w:val="Hyperlink"/>
                <w:rFonts w:cs="Times New Roman"/>
              </w:rPr>
              <w:t>8.1</w:t>
            </w:r>
            <w:r>
              <w:rPr>
                <w:rFonts w:asciiTheme="minorHAnsi" w:eastAsiaTheme="minorEastAsia" w:hAnsiTheme="minorHAnsi"/>
                <w:sz w:val="22"/>
                <w:lang w:val="en-US"/>
              </w:rPr>
              <w:tab/>
            </w:r>
            <w:r w:rsidRPr="00772476">
              <w:rPr>
                <w:rStyle w:val="Hyperlink"/>
                <w:rFonts w:cs="Times New Roman"/>
              </w:rPr>
              <w:t>PESTLE Analysis</w:t>
            </w:r>
            <w:r>
              <w:rPr>
                <w:webHidden/>
              </w:rPr>
              <w:tab/>
            </w:r>
            <w:r>
              <w:rPr>
                <w:webHidden/>
              </w:rPr>
              <w:fldChar w:fldCharType="begin"/>
            </w:r>
            <w:r>
              <w:rPr>
                <w:webHidden/>
              </w:rPr>
              <w:instrText xml:space="preserve"> PAGEREF _Toc190365945 \h </w:instrText>
            </w:r>
            <w:r>
              <w:rPr>
                <w:webHidden/>
              </w:rPr>
            </w:r>
            <w:r>
              <w:rPr>
                <w:webHidden/>
              </w:rPr>
              <w:fldChar w:fldCharType="separate"/>
            </w:r>
            <w:r>
              <w:rPr>
                <w:webHidden/>
              </w:rPr>
              <w:t>17</w:t>
            </w:r>
            <w:r>
              <w:rPr>
                <w:webHidden/>
              </w:rPr>
              <w:fldChar w:fldCharType="end"/>
            </w:r>
          </w:hyperlink>
        </w:p>
        <w:p w14:paraId="4B2EA60C" w14:textId="77777777" w:rsidR="006D763A" w:rsidRDefault="006D763A">
          <w:pPr>
            <w:pStyle w:val="TOC2"/>
            <w:rPr>
              <w:rFonts w:asciiTheme="minorHAnsi" w:eastAsiaTheme="minorEastAsia" w:hAnsiTheme="minorHAnsi"/>
              <w:sz w:val="22"/>
              <w:lang w:val="en-US"/>
            </w:rPr>
          </w:pPr>
          <w:hyperlink w:anchor="_Toc190365946" w:history="1">
            <w:r w:rsidRPr="00772476">
              <w:rPr>
                <w:rStyle w:val="Hyperlink"/>
                <w:rFonts w:cs="Times New Roman"/>
              </w:rPr>
              <w:t>8.2</w:t>
            </w:r>
            <w:r>
              <w:rPr>
                <w:rFonts w:asciiTheme="minorHAnsi" w:eastAsiaTheme="minorEastAsia" w:hAnsiTheme="minorHAnsi"/>
                <w:sz w:val="22"/>
                <w:lang w:val="en-US"/>
              </w:rPr>
              <w:tab/>
            </w:r>
            <w:r w:rsidRPr="00772476">
              <w:rPr>
                <w:rStyle w:val="Hyperlink"/>
                <w:rFonts w:cs="Times New Roman"/>
              </w:rPr>
              <w:t>SWOT Analysis</w:t>
            </w:r>
            <w:r>
              <w:rPr>
                <w:webHidden/>
              </w:rPr>
              <w:tab/>
            </w:r>
            <w:r>
              <w:rPr>
                <w:webHidden/>
              </w:rPr>
              <w:fldChar w:fldCharType="begin"/>
            </w:r>
            <w:r>
              <w:rPr>
                <w:webHidden/>
              </w:rPr>
              <w:instrText xml:space="preserve"> PAGEREF _Toc190365946 \h </w:instrText>
            </w:r>
            <w:r>
              <w:rPr>
                <w:webHidden/>
              </w:rPr>
            </w:r>
            <w:r>
              <w:rPr>
                <w:webHidden/>
              </w:rPr>
              <w:fldChar w:fldCharType="separate"/>
            </w:r>
            <w:r>
              <w:rPr>
                <w:webHidden/>
              </w:rPr>
              <w:t>20</w:t>
            </w:r>
            <w:r>
              <w:rPr>
                <w:webHidden/>
              </w:rPr>
              <w:fldChar w:fldCharType="end"/>
            </w:r>
          </w:hyperlink>
        </w:p>
        <w:p w14:paraId="4B2EA60D" w14:textId="77777777" w:rsidR="006D763A" w:rsidRDefault="006D763A">
          <w:pPr>
            <w:pStyle w:val="TOC2"/>
            <w:rPr>
              <w:rFonts w:asciiTheme="minorHAnsi" w:eastAsiaTheme="minorEastAsia" w:hAnsiTheme="minorHAnsi"/>
              <w:sz w:val="22"/>
              <w:lang w:val="en-US"/>
            </w:rPr>
          </w:pPr>
          <w:hyperlink w:anchor="_Toc190365947" w:history="1">
            <w:r w:rsidRPr="00772476">
              <w:rPr>
                <w:rStyle w:val="Hyperlink"/>
                <w:rFonts w:cs="Times New Roman"/>
              </w:rPr>
              <w:t>8.3</w:t>
            </w:r>
            <w:r>
              <w:rPr>
                <w:rFonts w:asciiTheme="minorHAnsi" w:eastAsiaTheme="minorEastAsia" w:hAnsiTheme="minorHAnsi"/>
                <w:sz w:val="22"/>
                <w:lang w:val="en-US"/>
              </w:rPr>
              <w:tab/>
            </w:r>
            <w:r w:rsidRPr="00772476">
              <w:rPr>
                <w:rStyle w:val="Hyperlink"/>
                <w:rFonts w:cs="Times New Roman"/>
              </w:rPr>
              <w:t>SOAR Analysis</w:t>
            </w:r>
            <w:r>
              <w:rPr>
                <w:webHidden/>
              </w:rPr>
              <w:tab/>
            </w:r>
            <w:r>
              <w:rPr>
                <w:webHidden/>
              </w:rPr>
              <w:fldChar w:fldCharType="begin"/>
            </w:r>
            <w:r>
              <w:rPr>
                <w:webHidden/>
              </w:rPr>
              <w:instrText xml:space="preserve"> PAGEREF _Toc190365947 \h </w:instrText>
            </w:r>
            <w:r>
              <w:rPr>
                <w:webHidden/>
              </w:rPr>
            </w:r>
            <w:r>
              <w:rPr>
                <w:webHidden/>
              </w:rPr>
              <w:fldChar w:fldCharType="separate"/>
            </w:r>
            <w:r>
              <w:rPr>
                <w:webHidden/>
              </w:rPr>
              <w:t>22</w:t>
            </w:r>
            <w:r>
              <w:rPr>
                <w:webHidden/>
              </w:rPr>
              <w:fldChar w:fldCharType="end"/>
            </w:r>
          </w:hyperlink>
        </w:p>
        <w:p w14:paraId="4B2EA60E"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48"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9</w:t>
            </w:r>
            <w:r>
              <w:rPr>
                <w:rFonts w:asciiTheme="minorHAnsi" w:eastAsiaTheme="minorEastAsia" w:hAnsiTheme="minorHAnsi"/>
                <w:sz w:val="22"/>
                <w:lang w:val="en-US"/>
              </w:rPr>
              <w:tab/>
            </w:r>
            <w:r w:rsidRPr="00772476">
              <w:rPr>
                <w:rStyle w:val="Hyperlink"/>
                <w:rFonts w:cs="Times New Roman"/>
              </w:rPr>
              <w:t>Conclusion</w:t>
            </w:r>
            <w:r>
              <w:rPr>
                <w:webHidden/>
              </w:rPr>
              <w:tab/>
            </w:r>
            <w:r>
              <w:rPr>
                <w:webHidden/>
              </w:rPr>
              <w:fldChar w:fldCharType="begin"/>
            </w:r>
            <w:r>
              <w:rPr>
                <w:webHidden/>
              </w:rPr>
              <w:instrText xml:space="preserve"> PAGEREF _Toc190365948 \h </w:instrText>
            </w:r>
            <w:r>
              <w:rPr>
                <w:webHidden/>
              </w:rPr>
            </w:r>
            <w:r>
              <w:rPr>
                <w:webHidden/>
              </w:rPr>
              <w:fldChar w:fldCharType="separate"/>
            </w:r>
            <w:r>
              <w:rPr>
                <w:webHidden/>
              </w:rPr>
              <w:t>23</w:t>
            </w:r>
            <w:r>
              <w:rPr>
                <w:webHidden/>
              </w:rPr>
              <w:fldChar w:fldCharType="end"/>
            </w:r>
          </w:hyperlink>
        </w:p>
        <w:p w14:paraId="4B2EA60F" w14:textId="77777777" w:rsidR="006D763A" w:rsidRDefault="006D763A">
          <w:pPr>
            <w:pStyle w:val="TOC1"/>
            <w:tabs>
              <w:tab w:val="left" w:pos="660"/>
              <w:tab w:val="right" w:leader="dot" w:pos="9350"/>
            </w:tabs>
            <w:rPr>
              <w:rFonts w:asciiTheme="minorHAnsi" w:eastAsiaTheme="minorEastAsia" w:hAnsiTheme="minorHAnsi"/>
              <w:sz w:val="22"/>
              <w:lang w:val="en-US"/>
            </w:rPr>
          </w:pPr>
          <w:hyperlink w:anchor="_Toc190365949"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10</w:t>
            </w:r>
            <w:r>
              <w:rPr>
                <w:rFonts w:asciiTheme="minorHAnsi" w:eastAsiaTheme="minorEastAsia" w:hAnsiTheme="minorHAnsi"/>
                <w:sz w:val="22"/>
                <w:lang w:val="en-US"/>
              </w:rPr>
              <w:tab/>
            </w:r>
            <w:r w:rsidRPr="00772476">
              <w:rPr>
                <w:rStyle w:val="Hyperlink"/>
                <w:rFonts w:cs="Times New Roman"/>
              </w:rPr>
              <w:t>References</w:t>
            </w:r>
            <w:r>
              <w:rPr>
                <w:webHidden/>
              </w:rPr>
              <w:tab/>
            </w:r>
            <w:r>
              <w:rPr>
                <w:webHidden/>
              </w:rPr>
              <w:fldChar w:fldCharType="begin"/>
            </w:r>
            <w:r>
              <w:rPr>
                <w:webHidden/>
              </w:rPr>
              <w:instrText xml:space="preserve"> PAGEREF _Toc190365949 \h </w:instrText>
            </w:r>
            <w:r>
              <w:rPr>
                <w:webHidden/>
              </w:rPr>
            </w:r>
            <w:r>
              <w:rPr>
                <w:webHidden/>
              </w:rPr>
              <w:fldChar w:fldCharType="separate"/>
            </w:r>
            <w:r>
              <w:rPr>
                <w:webHidden/>
              </w:rPr>
              <w:t>24</w:t>
            </w:r>
            <w:r>
              <w:rPr>
                <w:webHidden/>
              </w:rPr>
              <w:fldChar w:fldCharType="end"/>
            </w:r>
          </w:hyperlink>
        </w:p>
        <w:p w14:paraId="4B2EA610" w14:textId="77777777" w:rsidR="000227EA" w:rsidRPr="000252DE" w:rsidRDefault="00EF2119" w:rsidP="000A300C">
          <w:pPr>
            <w:spacing w:beforeLines="160" w:before="384" w:afterLines="160" w:after="384"/>
            <w:rPr>
              <w:rFonts w:cs="Times New Roman"/>
              <w:szCs w:val="24"/>
            </w:rPr>
          </w:pPr>
          <w:r w:rsidRPr="000252DE">
            <w:rPr>
              <w:rFonts w:cs="Times New Roman"/>
              <w:b/>
              <w:bCs/>
              <w:szCs w:val="24"/>
            </w:rPr>
            <w:lastRenderedPageBreak/>
            <w:fldChar w:fldCharType="end"/>
          </w:r>
        </w:p>
      </w:sdtContent>
    </w:sdt>
    <w:p w14:paraId="4B2EA611" w14:textId="77777777" w:rsidR="00C2068C" w:rsidRPr="000252DE" w:rsidRDefault="00EF2119" w:rsidP="000252DE">
      <w:pPr>
        <w:pStyle w:val="TableofFigures"/>
        <w:tabs>
          <w:tab w:val="right" w:leader="dot" w:pos="9350"/>
        </w:tabs>
        <w:spacing w:beforeLines="160" w:before="384" w:afterLines="160" w:after="384"/>
        <w:jc w:val="center"/>
        <w:rPr>
          <w:rFonts w:cs="Times New Roman"/>
          <w:b/>
          <w:szCs w:val="24"/>
        </w:rPr>
      </w:pPr>
      <w:r w:rsidRPr="000252DE">
        <w:rPr>
          <w:rFonts w:cs="Times New Roman"/>
          <w:b/>
          <w:szCs w:val="24"/>
        </w:rPr>
        <w:t>List of Tables</w:t>
      </w:r>
    </w:p>
    <w:p w14:paraId="4B2EA612" w14:textId="77777777" w:rsidR="000252DE" w:rsidRPr="000252DE" w:rsidRDefault="00EF2119" w:rsidP="000252DE">
      <w:pPr>
        <w:pStyle w:val="TableofFigures"/>
        <w:tabs>
          <w:tab w:val="right" w:leader="dot" w:pos="9350"/>
        </w:tabs>
        <w:spacing w:beforeLines="160" w:before="384" w:afterLines="160" w:after="384"/>
        <w:rPr>
          <w:rFonts w:asciiTheme="minorHAnsi" w:eastAsiaTheme="minorEastAsia" w:hAnsiTheme="minorHAnsi"/>
          <w:sz w:val="22"/>
          <w:lang w:val="en-US"/>
        </w:rPr>
      </w:pPr>
      <w:r w:rsidRPr="000252DE">
        <w:rPr>
          <w:rFonts w:cs="Times New Roman"/>
          <w:szCs w:val="24"/>
        </w:rPr>
        <w:fldChar w:fldCharType="begin"/>
      </w:r>
      <w:r w:rsidRPr="000252DE">
        <w:rPr>
          <w:rFonts w:cs="Times New Roman"/>
          <w:szCs w:val="24"/>
        </w:rPr>
        <w:instrText xml:space="preserve"> TOC \h \z \c "Table" </w:instrText>
      </w:r>
      <w:r w:rsidRPr="000252DE">
        <w:rPr>
          <w:rFonts w:cs="Times New Roman"/>
          <w:szCs w:val="24"/>
        </w:rPr>
        <w:fldChar w:fldCharType="separate"/>
      </w:r>
      <w:hyperlink w:anchor="_Toc190365816" w:history="1">
        <w:r w:rsidR="000252DE" w:rsidRPr="000252DE">
          <w:rPr>
            <w:rStyle w:val="Hyperlink"/>
            <w:color w:val="auto"/>
          </w:rPr>
          <w:t>Table 1: Income Breakdown</w:t>
        </w:r>
        <w:r w:rsidR="000252DE" w:rsidRPr="000252DE">
          <w:rPr>
            <w:webHidden/>
          </w:rPr>
          <w:tab/>
        </w:r>
        <w:r w:rsidR="000252DE" w:rsidRPr="000252DE">
          <w:rPr>
            <w:webHidden/>
          </w:rPr>
          <w:fldChar w:fldCharType="begin"/>
        </w:r>
        <w:r w:rsidR="000252DE" w:rsidRPr="000252DE">
          <w:rPr>
            <w:webHidden/>
          </w:rPr>
          <w:instrText xml:space="preserve"> PAGEREF _Toc190365816 \h </w:instrText>
        </w:r>
        <w:r w:rsidR="000252DE" w:rsidRPr="000252DE">
          <w:rPr>
            <w:webHidden/>
          </w:rPr>
        </w:r>
        <w:r w:rsidR="000252DE" w:rsidRPr="000252DE">
          <w:rPr>
            <w:webHidden/>
          </w:rPr>
          <w:fldChar w:fldCharType="separate"/>
        </w:r>
        <w:r w:rsidR="000252DE" w:rsidRPr="000252DE">
          <w:rPr>
            <w:webHidden/>
          </w:rPr>
          <w:t>10</w:t>
        </w:r>
        <w:r w:rsidR="000252DE" w:rsidRPr="000252DE">
          <w:rPr>
            <w:webHidden/>
          </w:rPr>
          <w:fldChar w:fldCharType="end"/>
        </w:r>
      </w:hyperlink>
    </w:p>
    <w:p w14:paraId="4B2EA613"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17" w:history="1">
        <w:r w:rsidRPr="000252DE">
          <w:rPr>
            <w:rStyle w:val="Hyperlink"/>
            <w:color w:val="auto"/>
          </w:rPr>
          <w:t>Table 2: Expenditure Breakdown</w:t>
        </w:r>
        <w:r w:rsidRPr="000252DE">
          <w:rPr>
            <w:webHidden/>
          </w:rPr>
          <w:tab/>
        </w:r>
        <w:r w:rsidRPr="000252DE">
          <w:rPr>
            <w:webHidden/>
          </w:rPr>
          <w:fldChar w:fldCharType="begin"/>
        </w:r>
        <w:r w:rsidRPr="000252DE">
          <w:rPr>
            <w:webHidden/>
          </w:rPr>
          <w:instrText xml:space="preserve"> PAGEREF _Toc190365817 \h </w:instrText>
        </w:r>
        <w:r w:rsidRPr="000252DE">
          <w:rPr>
            <w:webHidden/>
          </w:rPr>
        </w:r>
        <w:r w:rsidRPr="000252DE">
          <w:rPr>
            <w:webHidden/>
          </w:rPr>
          <w:fldChar w:fldCharType="separate"/>
        </w:r>
        <w:r w:rsidRPr="000252DE">
          <w:rPr>
            <w:webHidden/>
          </w:rPr>
          <w:t>11</w:t>
        </w:r>
        <w:r w:rsidRPr="000252DE">
          <w:rPr>
            <w:webHidden/>
          </w:rPr>
          <w:fldChar w:fldCharType="end"/>
        </w:r>
      </w:hyperlink>
    </w:p>
    <w:p w14:paraId="4B2EA614"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18" w:history="1">
        <w:r w:rsidRPr="000252DE">
          <w:rPr>
            <w:rStyle w:val="Hyperlink"/>
            <w:color w:val="auto"/>
          </w:rPr>
          <w:t>Table 3: PESTLE Analysis</w:t>
        </w:r>
        <w:r w:rsidRPr="000252DE">
          <w:rPr>
            <w:webHidden/>
          </w:rPr>
          <w:tab/>
        </w:r>
        <w:r w:rsidRPr="000252DE">
          <w:rPr>
            <w:webHidden/>
          </w:rPr>
          <w:fldChar w:fldCharType="begin"/>
        </w:r>
        <w:r w:rsidRPr="000252DE">
          <w:rPr>
            <w:webHidden/>
          </w:rPr>
          <w:instrText xml:space="preserve"> PAGEREF _Toc190365818 \h </w:instrText>
        </w:r>
        <w:r w:rsidRPr="000252DE">
          <w:rPr>
            <w:webHidden/>
          </w:rPr>
        </w:r>
        <w:r w:rsidRPr="000252DE">
          <w:rPr>
            <w:webHidden/>
          </w:rPr>
          <w:fldChar w:fldCharType="separate"/>
        </w:r>
        <w:r w:rsidRPr="000252DE">
          <w:rPr>
            <w:webHidden/>
          </w:rPr>
          <w:t>13</w:t>
        </w:r>
        <w:r w:rsidRPr="000252DE">
          <w:rPr>
            <w:webHidden/>
          </w:rPr>
          <w:fldChar w:fldCharType="end"/>
        </w:r>
      </w:hyperlink>
    </w:p>
    <w:p w14:paraId="4B2EA615"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19" w:history="1">
        <w:r w:rsidRPr="000252DE">
          <w:rPr>
            <w:rStyle w:val="Hyperlink"/>
            <w:color w:val="auto"/>
          </w:rPr>
          <w:t>Table 4: SWOT Analysis</w:t>
        </w:r>
        <w:r w:rsidRPr="000252DE">
          <w:rPr>
            <w:webHidden/>
          </w:rPr>
          <w:tab/>
        </w:r>
        <w:r w:rsidRPr="000252DE">
          <w:rPr>
            <w:webHidden/>
          </w:rPr>
          <w:fldChar w:fldCharType="begin"/>
        </w:r>
        <w:r w:rsidRPr="000252DE">
          <w:rPr>
            <w:webHidden/>
          </w:rPr>
          <w:instrText xml:space="preserve"> PAGEREF _Toc190365819 \h </w:instrText>
        </w:r>
        <w:r w:rsidRPr="000252DE">
          <w:rPr>
            <w:webHidden/>
          </w:rPr>
        </w:r>
        <w:r w:rsidRPr="000252DE">
          <w:rPr>
            <w:webHidden/>
          </w:rPr>
          <w:fldChar w:fldCharType="separate"/>
        </w:r>
        <w:r w:rsidRPr="000252DE">
          <w:rPr>
            <w:webHidden/>
          </w:rPr>
          <w:t>15</w:t>
        </w:r>
        <w:r w:rsidRPr="000252DE">
          <w:rPr>
            <w:webHidden/>
          </w:rPr>
          <w:fldChar w:fldCharType="end"/>
        </w:r>
      </w:hyperlink>
    </w:p>
    <w:p w14:paraId="4B2EA616"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20" w:history="1">
        <w:r w:rsidRPr="000252DE">
          <w:rPr>
            <w:rStyle w:val="Hyperlink"/>
            <w:color w:val="auto"/>
          </w:rPr>
          <w:t>Table 5: SOAR Analysis</w:t>
        </w:r>
        <w:r w:rsidRPr="000252DE">
          <w:rPr>
            <w:webHidden/>
          </w:rPr>
          <w:tab/>
        </w:r>
        <w:r w:rsidRPr="000252DE">
          <w:rPr>
            <w:webHidden/>
          </w:rPr>
          <w:fldChar w:fldCharType="begin"/>
        </w:r>
        <w:r w:rsidRPr="000252DE">
          <w:rPr>
            <w:webHidden/>
          </w:rPr>
          <w:instrText xml:space="preserve"> PAGEREF _Toc190365820 \h </w:instrText>
        </w:r>
        <w:r w:rsidRPr="000252DE">
          <w:rPr>
            <w:webHidden/>
          </w:rPr>
        </w:r>
        <w:r w:rsidRPr="000252DE">
          <w:rPr>
            <w:webHidden/>
          </w:rPr>
          <w:fldChar w:fldCharType="separate"/>
        </w:r>
        <w:r w:rsidRPr="000252DE">
          <w:rPr>
            <w:webHidden/>
          </w:rPr>
          <w:t>16</w:t>
        </w:r>
        <w:r w:rsidRPr="000252DE">
          <w:rPr>
            <w:webHidden/>
          </w:rPr>
          <w:fldChar w:fldCharType="end"/>
        </w:r>
      </w:hyperlink>
    </w:p>
    <w:p w14:paraId="4B2EA617" w14:textId="77777777" w:rsidR="00C2068C" w:rsidRPr="000252DE" w:rsidRDefault="00EF2119" w:rsidP="000252DE">
      <w:pPr>
        <w:spacing w:beforeLines="160" w:before="384" w:afterLines="160" w:after="384"/>
        <w:jc w:val="left"/>
        <w:rPr>
          <w:rFonts w:cs="Times New Roman"/>
          <w:szCs w:val="24"/>
        </w:rPr>
      </w:pPr>
      <w:r w:rsidRPr="000252DE">
        <w:rPr>
          <w:rFonts w:cs="Times New Roman"/>
          <w:szCs w:val="24"/>
        </w:rPr>
        <w:fldChar w:fldCharType="end"/>
      </w:r>
    </w:p>
    <w:p w14:paraId="4B2EA618" w14:textId="77777777" w:rsidR="00C2068C" w:rsidRPr="000252DE" w:rsidRDefault="00EF2119" w:rsidP="000252DE">
      <w:pPr>
        <w:pStyle w:val="TableofFigures"/>
        <w:tabs>
          <w:tab w:val="right" w:leader="dot" w:pos="9350"/>
        </w:tabs>
        <w:spacing w:beforeLines="160" w:before="384" w:afterLines="160" w:after="384"/>
        <w:jc w:val="center"/>
        <w:rPr>
          <w:rFonts w:cs="Times New Roman"/>
          <w:b/>
          <w:szCs w:val="24"/>
        </w:rPr>
      </w:pPr>
      <w:r w:rsidRPr="000252DE">
        <w:rPr>
          <w:rFonts w:cs="Times New Roman"/>
          <w:b/>
          <w:szCs w:val="24"/>
        </w:rPr>
        <w:t>List of Figures</w:t>
      </w:r>
    </w:p>
    <w:p w14:paraId="4B2EA619" w14:textId="77777777" w:rsidR="000252DE" w:rsidRPr="000252DE" w:rsidRDefault="00EF2119" w:rsidP="000252DE">
      <w:pPr>
        <w:pStyle w:val="TableofFigures"/>
        <w:tabs>
          <w:tab w:val="right" w:leader="dot" w:pos="9350"/>
        </w:tabs>
        <w:spacing w:beforeLines="160" w:before="384" w:afterLines="160" w:after="384"/>
        <w:rPr>
          <w:rFonts w:asciiTheme="minorHAnsi" w:eastAsiaTheme="minorEastAsia" w:hAnsiTheme="minorHAnsi"/>
          <w:sz w:val="22"/>
          <w:lang w:val="en-US"/>
        </w:rPr>
      </w:pPr>
      <w:r w:rsidRPr="000252DE">
        <w:rPr>
          <w:rFonts w:cs="Times New Roman"/>
          <w:szCs w:val="24"/>
        </w:rPr>
        <w:fldChar w:fldCharType="begin"/>
      </w:r>
      <w:r w:rsidRPr="000252DE">
        <w:rPr>
          <w:rFonts w:cs="Times New Roman"/>
          <w:szCs w:val="24"/>
        </w:rPr>
        <w:instrText xml:space="preserve"> TOC \h \z \c "Figure" </w:instrText>
      </w:r>
      <w:r w:rsidRPr="000252DE">
        <w:rPr>
          <w:rFonts w:cs="Times New Roman"/>
          <w:szCs w:val="24"/>
        </w:rPr>
        <w:fldChar w:fldCharType="separate"/>
      </w:r>
      <w:hyperlink w:anchor="_Toc190365813" w:history="1">
        <w:r w:rsidR="000252DE" w:rsidRPr="000252DE">
          <w:rPr>
            <w:rStyle w:val="Hyperlink"/>
            <w:color w:val="auto"/>
          </w:rPr>
          <w:t>Figure 1: UK Diversity &amp; Inclusion Summit 2025</w:t>
        </w:r>
        <w:r w:rsidR="000252DE" w:rsidRPr="000252DE">
          <w:rPr>
            <w:webHidden/>
          </w:rPr>
          <w:tab/>
        </w:r>
        <w:r w:rsidR="000252DE" w:rsidRPr="000252DE">
          <w:rPr>
            <w:webHidden/>
          </w:rPr>
          <w:fldChar w:fldCharType="begin"/>
        </w:r>
        <w:r w:rsidR="000252DE" w:rsidRPr="000252DE">
          <w:rPr>
            <w:webHidden/>
          </w:rPr>
          <w:instrText xml:space="preserve"> PAGEREF _Toc190365813 \h </w:instrText>
        </w:r>
        <w:r w:rsidR="000252DE" w:rsidRPr="000252DE">
          <w:rPr>
            <w:webHidden/>
          </w:rPr>
        </w:r>
        <w:r w:rsidR="000252DE" w:rsidRPr="000252DE">
          <w:rPr>
            <w:webHidden/>
          </w:rPr>
          <w:fldChar w:fldCharType="separate"/>
        </w:r>
        <w:r w:rsidR="000252DE" w:rsidRPr="000252DE">
          <w:rPr>
            <w:webHidden/>
          </w:rPr>
          <w:t>5</w:t>
        </w:r>
        <w:r w:rsidR="000252DE" w:rsidRPr="000252DE">
          <w:rPr>
            <w:webHidden/>
          </w:rPr>
          <w:fldChar w:fldCharType="end"/>
        </w:r>
      </w:hyperlink>
    </w:p>
    <w:p w14:paraId="4B2EA61A"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14" w:history="1">
        <w:r w:rsidRPr="000252DE">
          <w:rPr>
            <w:rStyle w:val="Hyperlink"/>
            <w:color w:val="auto"/>
          </w:rPr>
          <w:t>Figure 2: The QEII Centre</w:t>
        </w:r>
        <w:r w:rsidRPr="000252DE">
          <w:rPr>
            <w:webHidden/>
          </w:rPr>
          <w:tab/>
        </w:r>
        <w:r w:rsidRPr="000252DE">
          <w:rPr>
            <w:webHidden/>
          </w:rPr>
          <w:fldChar w:fldCharType="begin"/>
        </w:r>
        <w:r w:rsidRPr="000252DE">
          <w:rPr>
            <w:webHidden/>
          </w:rPr>
          <w:instrText xml:space="preserve"> PAGEREF _Toc190365814 \h </w:instrText>
        </w:r>
        <w:r w:rsidRPr="000252DE">
          <w:rPr>
            <w:webHidden/>
          </w:rPr>
        </w:r>
        <w:r w:rsidRPr="000252DE">
          <w:rPr>
            <w:webHidden/>
          </w:rPr>
          <w:fldChar w:fldCharType="separate"/>
        </w:r>
        <w:r w:rsidRPr="000252DE">
          <w:rPr>
            <w:webHidden/>
          </w:rPr>
          <w:t>6</w:t>
        </w:r>
        <w:r w:rsidRPr="000252DE">
          <w:rPr>
            <w:webHidden/>
          </w:rPr>
          <w:fldChar w:fldCharType="end"/>
        </w:r>
      </w:hyperlink>
    </w:p>
    <w:p w14:paraId="4B2EA61B"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15" w:history="1">
        <w:r w:rsidRPr="000252DE">
          <w:rPr>
            <w:rStyle w:val="Hyperlink"/>
            <w:color w:val="auto"/>
          </w:rPr>
          <w:t>Figure 3: Do you think that diversity and inclusion in companies and institutions has improved or got worse in the last six months?</w:t>
        </w:r>
        <w:r w:rsidRPr="000252DE">
          <w:rPr>
            <w:webHidden/>
          </w:rPr>
          <w:tab/>
        </w:r>
        <w:r w:rsidRPr="000252DE">
          <w:rPr>
            <w:webHidden/>
          </w:rPr>
          <w:fldChar w:fldCharType="begin"/>
        </w:r>
        <w:r w:rsidRPr="000252DE">
          <w:rPr>
            <w:webHidden/>
          </w:rPr>
          <w:instrText xml:space="preserve"> PAGEREF _Toc190365815 \h </w:instrText>
        </w:r>
        <w:r w:rsidRPr="000252DE">
          <w:rPr>
            <w:webHidden/>
          </w:rPr>
        </w:r>
        <w:r w:rsidRPr="000252DE">
          <w:rPr>
            <w:webHidden/>
          </w:rPr>
          <w:fldChar w:fldCharType="separate"/>
        </w:r>
        <w:r w:rsidRPr="000252DE">
          <w:rPr>
            <w:webHidden/>
          </w:rPr>
          <w:t>13</w:t>
        </w:r>
        <w:r w:rsidRPr="000252DE">
          <w:rPr>
            <w:webHidden/>
          </w:rPr>
          <w:fldChar w:fldCharType="end"/>
        </w:r>
      </w:hyperlink>
    </w:p>
    <w:p w14:paraId="4B2EA61C" w14:textId="77777777" w:rsidR="00C2068C" w:rsidRPr="000252DE" w:rsidRDefault="00EF2119" w:rsidP="000252DE">
      <w:pPr>
        <w:spacing w:beforeLines="160" w:before="384" w:afterLines="160" w:after="384"/>
        <w:jc w:val="left"/>
        <w:rPr>
          <w:rFonts w:eastAsiaTheme="majorEastAsia" w:cs="Times New Roman"/>
          <w:b/>
          <w:szCs w:val="24"/>
        </w:rPr>
      </w:pPr>
      <w:r w:rsidRPr="000252DE">
        <w:rPr>
          <w:rFonts w:cs="Times New Roman"/>
          <w:szCs w:val="24"/>
        </w:rPr>
        <w:fldChar w:fldCharType="end"/>
      </w:r>
      <w:r w:rsidRPr="000252DE">
        <w:rPr>
          <w:rFonts w:cs="Times New Roman"/>
          <w:szCs w:val="24"/>
        </w:rPr>
        <w:br w:type="page"/>
      </w:r>
    </w:p>
    <w:p w14:paraId="4B2EA61D" w14:textId="77777777" w:rsidR="00FF2839" w:rsidRPr="000252DE" w:rsidRDefault="00EF2119" w:rsidP="000252DE">
      <w:pPr>
        <w:pStyle w:val="Heading1"/>
        <w:spacing w:beforeLines="160" w:before="384" w:afterLines="160" w:after="384"/>
        <w:rPr>
          <w:rFonts w:cs="Times New Roman"/>
          <w:szCs w:val="24"/>
        </w:rPr>
      </w:pPr>
      <w:bookmarkStart w:id="0" w:name="_Toc190365927"/>
      <w:r w:rsidRPr="000252DE">
        <w:rPr>
          <w:rFonts w:cs="Times New Roman"/>
          <w:szCs w:val="24"/>
        </w:rPr>
        <w:lastRenderedPageBreak/>
        <w:t>Introduction</w:t>
      </w:r>
      <w:bookmarkEnd w:id="0"/>
    </w:p>
    <w:p w14:paraId="4B2EA61E" w14:textId="77777777" w:rsidR="00F4362F" w:rsidRPr="000252DE" w:rsidRDefault="00327AB0" w:rsidP="000252DE">
      <w:pPr>
        <w:keepNext/>
        <w:spacing w:beforeLines="160" w:before="384" w:afterLines="160" w:after="384"/>
        <w:rPr>
          <w:rFonts w:cs="Times New Roman"/>
          <w:szCs w:val="24"/>
        </w:rPr>
      </w:pPr>
      <w:r w:rsidRPr="000252DE">
        <w:rPr>
          <w:rFonts w:cs="Times New Roman"/>
          <w:szCs w:val="24"/>
        </w:rPr>
        <w:t>UK Diversity &amp; Inclusion Summit 2025 is a premier event designed to advance workplace diversity, equality, and inclusion (DEI) in the UK by uniting industry leaders, HR executives, and DEI advocates. Hosted at the QEII Centre in London, the summit features expert keynotes, panels in addition to involving networking to address hidden biases, system inequalities and inclusive leadership strategies. With a strategic budget, structured event cycle and alignment with industry trends, the summit provides practical DEI solutions. The report analyses the event's planning, execution, industry impact, and critical considerations to ensure a successful and impactful experience.</w:t>
      </w:r>
    </w:p>
    <w:p w14:paraId="4B2EA61F" w14:textId="77777777" w:rsidR="00F83072" w:rsidRPr="000252DE" w:rsidRDefault="00FF2839" w:rsidP="000252DE">
      <w:pPr>
        <w:keepNext/>
        <w:spacing w:beforeLines="160" w:before="384" w:afterLines="160" w:after="384"/>
        <w:jc w:val="center"/>
        <w:rPr>
          <w:szCs w:val="24"/>
        </w:rPr>
      </w:pPr>
      <w:r w:rsidRPr="000252DE">
        <w:rPr>
          <w:noProof/>
          <w:szCs w:val="24"/>
          <w:lang w:val="en-US"/>
        </w:rPr>
        <w:drawing>
          <wp:inline distT="0" distB="0" distL="0" distR="0" wp14:anchorId="4B2EA7A4" wp14:editId="4B2EA7A5">
            <wp:extent cx="4614707" cy="282892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stretch>
                      <a:fillRect/>
                    </a:stretch>
                  </pic:blipFill>
                  <pic:spPr>
                    <a:xfrm>
                      <a:off x="0" y="0"/>
                      <a:ext cx="4621535" cy="2833111"/>
                    </a:xfrm>
                    <a:prstGeom prst="rect">
                      <a:avLst/>
                    </a:prstGeom>
                  </pic:spPr>
                </pic:pic>
              </a:graphicData>
            </a:graphic>
          </wp:inline>
        </w:drawing>
      </w:r>
    </w:p>
    <w:p w14:paraId="4B2EA620" w14:textId="77777777" w:rsidR="00FF2839" w:rsidRPr="000252DE" w:rsidRDefault="00F83072" w:rsidP="000252DE">
      <w:pPr>
        <w:pStyle w:val="Caption"/>
        <w:spacing w:beforeLines="160" w:before="384" w:afterLines="160" w:after="384" w:line="360" w:lineRule="auto"/>
        <w:jc w:val="center"/>
        <w:rPr>
          <w:color w:val="auto"/>
          <w:sz w:val="24"/>
          <w:szCs w:val="24"/>
        </w:rPr>
      </w:pPr>
      <w:bookmarkStart w:id="1" w:name="_Toc190365813"/>
      <w:r w:rsidRPr="000252DE">
        <w:rPr>
          <w:color w:val="auto"/>
          <w:sz w:val="24"/>
          <w:szCs w:val="24"/>
        </w:rPr>
        <w:t xml:space="preserve">Figure </w:t>
      </w:r>
      <w:r w:rsidRPr="000252DE">
        <w:rPr>
          <w:color w:val="auto"/>
          <w:sz w:val="24"/>
          <w:szCs w:val="24"/>
        </w:rPr>
        <w:fldChar w:fldCharType="begin"/>
      </w:r>
      <w:r w:rsidRPr="000252DE">
        <w:rPr>
          <w:color w:val="auto"/>
          <w:sz w:val="24"/>
          <w:szCs w:val="24"/>
        </w:rPr>
        <w:instrText xml:space="preserve"> SEQ Figure \* ARABIC </w:instrText>
      </w:r>
      <w:r w:rsidRPr="000252DE">
        <w:rPr>
          <w:color w:val="auto"/>
          <w:sz w:val="24"/>
          <w:szCs w:val="24"/>
        </w:rPr>
        <w:fldChar w:fldCharType="separate"/>
      </w:r>
      <w:r w:rsidRPr="000252DE">
        <w:rPr>
          <w:color w:val="auto"/>
          <w:sz w:val="24"/>
          <w:szCs w:val="24"/>
        </w:rPr>
        <w:t>1</w:t>
      </w:r>
      <w:r w:rsidRPr="000252DE">
        <w:rPr>
          <w:color w:val="auto"/>
          <w:sz w:val="24"/>
          <w:szCs w:val="24"/>
        </w:rPr>
        <w:fldChar w:fldCharType="end"/>
      </w:r>
      <w:r w:rsidRPr="000252DE">
        <w:rPr>
          <w:color w:val="auto"/>
          <w:sz w:val="24"/>
          <w:szCs w:val="24"/>
        </w:rPr>
        <w:t>: UK Diversity &amp; Inclusion Summit 2025</w:t>
      </w:r>
      <w:bookmarkEnd w:id="1"/>
    </w:p>
    <w:p w14:paraId="4B2EA621" w14:textId="77777777" w:rsidR="00F83072" w:rsidRPr="000252DE" w:rsidRDefault="00F83072" w:rsidP="000252DE">
      <w:pPr>
        <w:spacing w:beforeLines="160" w:before="384" w:afterLines="160" w:after="384"/>
        <w:jc w:val="center"/>
        <w:rPr>
          <w:szCs w:val="24"/>
        </w:rPr>
      </w:pPr>
      <w:r w:rsidRPr="000252DE">
        <w:rPr>
          <w:szCs w:val="24"/>
        </w:rPr>
        <w:t>(Source: Author, 2025)</w:t>
      </w:r>
    </w:p>
    <w:p w14:paraId="4B2EA622" w14:textId="77777777" w:rsidR="004C615C" w:rsidRPr="000252DE" w:rsidRDefault="00EF2119" w:rsidP="000252DE">
      <w:pPr>
        <w:pStyle w:val="Heading1"/>
        <w:spacing w:beforeLines="160" w:before="384" w:afterLines="160" w:after="384"/>
        <w:rPr>
          <w:rFonts w:cs="Times New Roman"/>
          <w:szCs w:val="24"/>
        </w:rPr>
      </w:pPr>
      <w:bookmarkStart w:id="2" w:name="_Toc190365928"/>
      <w:r w:rsidRPr="000252DE">
        <w:rPr>
          <w:rFonts w:cs="Times New Roman"/>
          <w:szCs w:val="24"/>
        </w:rPr>
        <w:lastRenderedPageBreak/>
        <w:t>The Event Cycle</w:t>
      </w:r>
      <w:r w:rsidR="004C615C" w:rsidRPr="000252DE">
        <w:rPr>
          <w:rFonts w:cs="Times New Roman"/>
          <w:szCs w:val="24"/>
        </w:rPr>
        <w:t xml:space="preserve"> - Application to the UK Diversity &amp; Inclusion Summit 2025</w:t>
      </w:r>
      <w:bookmarkEnd w:id="2"/>
      <w:r w:rsidR="004C615C" w:rsidRPr="000252DE">
        <w:rPr>
          <w:rFonts w:cs="Times New Roman"/>
          <w:szCs w:val="24"/>
        </w:rPr>
        <w:t xml:space="preserve">  </w:t>
      </w:r>
    </w:p>
    <w:p w14:paraId="4B2EA623" w14:textId="77777777" w:rsidR="004C615C" w:rsidRPr="000252DE" w:rsidRDefault="004C615C" w:rsidP="000252DE">
      <w:pPr>
        <w:keepNext/>
        <w:spacing w:beforeLines="160" w:before="384" w:afterLines="160" w:after="384"/>
        <w:rPr>
          <w:rFonts w:cs="Times New Roman"/>
          <w:szCs w:val="24"/>
        </w:rPr>
      </w:pPr>
      <w:r w:rsidRPr="000252DE">
        <w:rPr>
          <w:rFonts w:cs="Times New Roman"/>
          <w:szCs w:val="24"/>
        </w:rPr>
        <w:t>The</w:t>
      </w:r>
      <w:r w:rsidR="0065424B" w:rsidRPr="000252DE">
        <w:rPr>
          <w:rFonts w:cs="Times New Roman"/>
          <w:szCs w:val="24"/>
        </w:rPr>
        <w:t xml:space="preserve"> three main phases of the event </w:t>
      </w:r>
      <w:r w:rsidRPr="000252DE">
        <w:rPr>
          <w:rFonts w:cs="Times New Roman"/>
          <w:szCs w:val="24"/>
        </w:rPr>
        <w:t xml:space="preserve">cycle are planning, execution, and post-event evaluation. </w:t>
      </w:r>
      <w:r w:rsidR="009C2D1B" w:rsidRPr="000252DE">
        <w:rPr>
          <w:rFonts w:cs="Times New Roman"/>
          <w:szCs w:val="24"/>
        </w:rPr>
        <w:t xml:space="preserve">Each phase ensures the event is well-organized, impactful, and achieves its DEI objectives.  </w:t>
      </w:r>
    </w:p>
    <w:p w14:paraId="4B2EA624" w14:textId="77777777" w:rsidR="004C615C" w:rsidRPr="000252DE" w:rsidRDefault="004C615C" w:rsidP="000252DE">
      <w:pPr>
        <w:pStyle w:val="Heading2"/>
        <w:spacing w:beforeLines="160" w:before="384" w:afterLines="160" w:after="384"/>
        <w:rPr>
          <w:rFonts w:cs="Times New Roman"/>
          <w:szCs w:val="24"/>
        </w:rPr>
      </w:pPr>
      <w:bookmarkStart w:id="3" w:name="_Toc190365929"/>
      <w:r w:rsidRPr="000252DE">
        <w:rPr>
          <w:rFonts w:cs="Times New Roman"/>
          <w:szCs w:val="24"/>
        </w:rPr>
        <w:t>Planning</w:t>
      </w:r>
      <w:bookmarkEnd w:id="3"/>
    </w:p>
    <w:p w14:paraId="4B2EA625" w14:textId="77777777" w:rsidR="004C615C" w:rsidRPr="000252DE" w:rsidRDefault="004C615C" w:rsidP="000252DE">
      <w:pPr>
        <w:keepNext/>
        <w:spacing w:beforeLines="160" w:before="384" w:afterLines="160" w:after="384"/>
        <w:rPr>
          <w:rFonts w:cs="Times New Roman"/>
          <w:szCs w:val="24"/>
        </w:rPr>
      </w:pPr>
      <w:r w:rsidRPr="000252DE">
        <w:rPr>
          <w:rFonts w:cs="Times New Roman"/>
          <w:szCs w:val="24"/>
        </w:rPr>
        <w:t xml:space="preserve">The team outlines the </w:t>
      </w:r>
      <w:r w:rsidR="009C2D1B" w:rsidRPr="000252DE">
        <w:rPr>
          <w:rFonts w:cs="Times New Roman"/>
          <w:szCs w:val="24"/>
        </w:rPr>
        <w:t xml:space="preserve">event theme and goals, </w:t>
      </w:r>
      <w:r w:rsidRPr="000252DE">
        <w:rPr>
          <w:rFonts w:cs="Times New Roman"/>
          <w:szCs w:val="24"/>
        </w:rPr>
        <w:t xml:space="preserve">as well as key points of discussion. The QEII Centre is </w:t>
      </w:r>
      <w:r w:rsidR="009C2D1B" w:rsidRPr="000252DE">
        <w:rPr>
          <w:rFonts w:cs="Times New Roman"/>
          <w:szCs w:val="24"/>
        </w:rPr>
        <w:t xml:space="preserve">secured </w:t>
      </w:r>
      <w:r w:rsidRPr="000252DE">
        <w:rPr>
          <w:rFonts w:cs="Times New Roman"/>
          <w:szCs w:val="24"/>
        </w:rPr>
        <w:t>access</w:t>
      </w:r>
      <w:r w:rsidR="009C2D1B" w:rsidRPr="000252DE">
        <w:rPr>
          <w:rFonts w:cs="Times New Roman"/>
          <w:szCs w:val="24"/>
        </w:rPr>
        <w:t>ibility</w:t>
      </w:r>
      <w:r w:rsidRPr="000252DE">
        <w:rPr>
          <w:rFonts w:cs="Times New Roman"/>
          <w:szCs w:val="24"/>
        </w:rPr>
        <w:t> and credibility. Top DEI speakers, sponsors &amp; exhibitors</w:t>
      </w:r>
      <w:r w:rsidR="009C2D1B" w:rsidRPr="000252DE">
        <w:rPr>
          <w:rFonts w:cs="Times New Roman"/>
          <w:szCs w:val="24"/>
        </w:rPr>
        <w:t xml:space="preserve"> are confirmed.</w:t>
      </w:r>
      <w:r w:rsidRPr="000252DE">
        <w:rPr>
          <w:rFonts w:cs="Times New Roman"/>
          <w:szCs w:val="24"/>
        </w:rPr>
        <w:t xml:space="preserve"> A </w:t>
      </w:r>
      <w:r w:rsidR="009C2D1B" w:rsidRPr="000252DE">
        <w:rPr>
          <w:rFonts w:cs="Times New Roman"/>
          <w:szCs w:val="24"/>
        </w:rPr>
        <w:t xml:space="preserve">strategic </w:t>
      </w:r>
      <w:r w:rsidRPr="000252DE">
        <w:rPr>
          <w:rFonts w:cs="Times New Roman"/>
          <w:szCs w:val="24"/>
        </w:rPr>
        <w:t xml:space="preserve">marketing program </w:t>
      </w:r>
      <w:r w:rsidR="009C2D1B" w:rsidRPr="000252DE">
        <w:rPr>
          <w:rFonts w:cs="Times New Roman"/>
          <w:szCs w:val="24"/>
        </w:rPr>
        <w:t xml:space="preserve">including </w:t>
      </w:r>
      <w:r w:rsidRPr="000252DE">
        <w:rPr>
          <w:rFonts w:cs="Times New Roman"/>
          <w:szCs w:val="24"/>
        </w:rPr>
        <w:t xml:space="preserve">LinkedIn campaigns, email outreach and media partnerships </w:t>
      </w:r>
      <w:r w:rsidR="009C2D1B" w:rsidRPr="000252DE">
        <w:rPr>
          <w:rFonts w:cs="Times New Roman"/>
          <w:szCs w:val="24"/>
        </w:rPr>
        <w:t>boost</w:t>
      </w:r>
      <w:r w:rsidRPr="000252DE">
        <w:rPr>
          <w:rFonts w:cs="Times New Roman"/>
          <w:szCs w:val="24"/>
        </w:rPr>
        <w:t xml:space="preserve"> </w:t>
      </w:r>
      <w:r w:rsidR="009C2D1B" w:rsidRPr="000252DE">
        <w:rPr>
          <w:rFonts w:cs="Times New Roman"/>
          <w:szCs w:val="24"/>
        </w:rPr>
        <w:t xml:space="preserve">event </w:t>
      </w:r>
      <w:r w:rsidRPr="000252DE">
        <w:rPr>
          <w:rFonts w:cs="Times New Roman"/>
          <w:szCs w:val="24"/>
        </w:rPr>
        <w:t>visibility</w:t>
      </w:r>
      <w:r w:rsidR="00E354D1" w:rsidRPr="000252DE">
        <w:rPr>
          <w:rFonts w:cs="Times New Roman"/>
          <w:szCs w:val="24"/>
        </w:rPr>
        <w:t xml:space="preserve"> (</w:t>
      </w:r>
      <w:r w:rsidR="00E354D1" w:rsidRPr="000252DE">
        <w:rPr>
          <w:szCs w:val="24"/>
          <w:lang w:val="en-US"/>
        </w:rPr>
        <w:t>Kipnis et al., 2021</w:t>
      </w:r>
      <w:r w:rsidR="00E354D1" w:rsidRPr="000252DE">
        <w:rPr>
          <w:rFonts w:cs="Times New Roman"/>
          <w:szCs w:val="24"/>
        </w:rPr>
        <w:t>)</w:t>
      </w:r>
      <w:r w:rsidRPr="000252DE">
        <w:rPr>
          <w:rFonts w:cs="Times New Roman"/>
          <w:szCs w:val="24"/>
        </w:rPr>
        <w:t xml:space="preserve">. </w:t>
      </w:r>
      <w:r w:rsidR="009C2D1B" w:rsidRPr="000252DE">
        <w:rPr>
          <w:rFonts w:cs="Times New Roman"/>
          <w:szCs w:val="24"/>
        </w:rPr>
        <w:t>L</w:t>
      </w:r>
      <w:r w:rsidRPr="000252DE">
        <w:rPr>
          <w:rFonts w:cs="Times New Roman"/>
          <w:szCs w:val="24"/>
        </w:rPr>
        <w:t xml:space="preserve">ogistics </w:t>
      </w:r>
      <w:r w:rsidR="009C2D1B" w:rsidRPr="000252DE">
        <w:rPr>
          <w:rFonts w:cs="Times New Roman"/>
          <w:szCs w:val="24"/>
        </w:rPr>
        <w:t>planning ensures smooth</w:t>
      </w:r>
      <w:r w:rsidRPr="000252DE">
        <w:rPr>
          <w:rFonts w:cs="Times New Roman"/>
          <w:szCs w:val="24"/>
        </w:rPr>
        <w:t xml:space="preserve"> registration, AV support and coordinated venue set-up</w:t>
      </w:r>
      <w:r w:rsidR="009C2D1B" w:rsidRPr="000252DE">
        <w:rPr>
          <w:rFonts w:cs="Times New Roman"/>
          <w:szCs w:val="24"/>
        </w:rPr>
        <w:t xml:space="preserve">.  </w:t>
      </w:r>
    </w:p>
    <w:p w14:paraId="4B2EA626" w14:textId="77777777" w:rsidR="00F83072" w:rsidRPr="000252DE" w:rsidRDefault="00FF2839" w:rsidP="000252DE">
      <w:pPr>
        <w:keepNext/>
        <w:spacing w:beforeLines="160" w:before="384" w:afterLines="160" w:after="384"/>
        <w:jc w:val="center"/>
        <w:rPr>
          <w:szCs w:val="24"/>
        </w:rPr>
      </w:pPr>
      <w:r w:rsidRPr="000252DE">
        <w:rPr>
          <w:noProof/>
          <w:szCs w:val="24"/>
          <w:lang w:val="en-US"/>
        </w:rPr>
        <w:drawing>
          <wp:inline distT="0" distB="0" distL="0" distR="0" wp14:anchorId="4B2EA7A6" wp14:editId="4B2EA7A7">
            <wp:extent cx="6125797" cy="1981200"/>
            <wp:effectExtent l="0" t="0" r="8890" b="0"/>
            <wp:docPr id="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pic:cNvPicPr>
                      <a:picLocks noChangeAspect="1"/>
                    </pic:cNvPicPr>
                  </pic:nvPicPr>
                  <pic:blipFill>
                    <a:blip r:embed="rId9"/>
                    <a:stretch>
                      <a:fillRect/>
                    </a:stretch>
                  </pic:blipFill>
                  <pic:spPr>
                    <a:xfrm>
                      <a:off x="0" y="0"/>
                      <a:ext cx="6131824" cy="1983149"/>
                    </a:xfrm>
                    <a:prstGeom prst="rect">
                      <a:avLst/>
                    </a:prstGeom>
                  </pic:spPr>
                </pic:pic>
              </a:graphicData>
            </a:graphic>
          </wp:inline>
        </w:drawing>
      </w:r>
    </w:p>
    <w:p w14:paraId="4B2EA627" w14:textId="77777777" w:rsidR="00FF2839" w:rsidRPr="000252DE" w:rsidRDefault="00F83072" w:rsidP="000252DE">
      <w:pPr>
        <w:pStyle w:val="Caption"/>
        <w:spacing w:beforeLines="160" w:before="384" w:afterLines="160" w:after="384" w:line="360" w:lineRule="auto"/>
        <w:jc w:val="center"/>
        <w:rPr>
          <w:color w:val="auto"/>
          <w:sz w:val="24"/>
          <w:szCs w:val="24"/>
        </w:rPr>
      </w:pPr>
      <w:bookmarkStart w:id="4" w:name="_Toc190365814"/>
      <w:r w:rsidRPr="000252DE">
        <w:rPr>
          <w:color w:val="auto"/>
          <w:sz w:val="24"/>
          <w:szCs w:val="24"/>
        </w:rPr>
        <w:t xml:space="preserve">Figure </w:t>
      </w:r>
      <w:r w:rsidRPr="000252DE">
        <w:rPr>
          <w:color w:val="auto"/>
          <w:sz w:val="24"/>
          <w:szCs w:val="24"/>
        </w:rPr>
        <w:fldChar w:fldCharType="begin"/>
      </w:r>
      <w:r w:rsidRPr="000252DE">
        <w:rPr>
          <w:color w:val="auto"/>
          <w:sz w:val="24"/>
          <w:szCs w:val="24"/>
        </w:rPr>
        <w:instrText xml:space="preserve"> SEQ Figure \* ARABIC </w:instrText>
      </w:r>
      <w:r w:rsidRPr="000252DE">
        <w:rPr>
          <w:color w:val="auto"/>
          <w:sz w:val="24"/>
          <w:szCs w:val="24"/>
        </w:rPr>
        <w:fldChar w:fldCharType="separate"/>
      </w:r>
      <w:r w:rsidRPr="000252DE">
        <w:rPr>
          <w:color w:val="auto"/>
          <w:sz w:val="24"/>
          <w:szCs w:val="24"/>
        </w:rPr>
        <w:t>2</w:t>
      </w:r>
      <w:r w:rsidRPr="000252DE">
        <w:rPr>
          <w:color w:val="auto"/>
          <w:sz w:val="24"/>
          <w:szCs w:val="24"/>
        </w:rPr>
        <w:fldChar w:fldCharType="end"/>
      </w:r>
      <w:r w:rsidRPr="000252DE">
        <w:rPr>
          <w:color w:val="auto"/>
          <w:sz w:val="24"/>
          <w:szCs w:val="24"/>
        </w:rPr>
        <w:t>: The QEII Centre</w:t>
      </w:r>
      <w:bookmarkEnd w:id="4"/>
    </w:p>
    <w:p w14:paraId="4B2EA628" w14:textId="77777777" w:rsidR="00F83072" w:rsidRPr="000252DE" w:rsidRDefault="00F83072" w:rsidP="000252DE">
      <w:pPr>
        <w:spacing w:beforeLines="160" w:before="384" w:afterLines="160" w:after="384"/>
        <w:jc w:val="center"/>
        <w:rPr>
          <w:szCs w:val="24"/>
        </w:rPr>
      </w:pPr>
      <w:r w:rsidRPr="000252DE">
        <w:rPr>
          <w:szCs w:val="24"/>
        </w:rPr>
        <w:t xml:space="preserve">(Source: </w:t>
      </w:r>
      <w:r w:rsidRPr="000252DE">
        <w:rPr>
          <w:szCs w:val="24"/>
          <w:lang w:val="en-US"/>
        </w:rPr>
        <w:t>Kipnis et al., 2021)</w:t>
      </w:r>
    </w:p>
    <w:p w14:paraId="4B2EA629" w14:textId="77777777" w:rsidR="004C615C" w:rsidRPr="000252DE" w:rsidRDefault="004C615C" w:rsidP="000252DE">
      <w:pPr>
        <w:pStyle w:val="Heading2"/>
        <w:spacing w:beforeLines="160" w:before="384" w:afterLines="160" w:after="384"/>
        <w:rPr>
          <w:rFonts w:cs="Times New Roman"/>
          <w:szCs w:val="24"/>
        </w:rPr>
      </w:pPr>
      <w:bookmarkStart w:id="5" w:name="_Toc190365930"/>
      <w:r w:rsidRPr="000252DE">
        <w:rPr>
          <w:rFonts w:cs="Times New Roman"/>
          <w:szCs w:val="24"/>
        </w:rPr>
        <w:t>Execution</w:t>
      </w:r>
      <w:bookmarkEnd w:id="5"/>
      <w:r w:rsidRPr="000252DE">
        <w:rPr>
          <w:rFonts w:cs="Times New Roman"/>
          <w:szCs w:val="24"/>
        </w:rPr>
        <w:t xml:space="preserve"> </w:t>
      </w:r>
    </w:p>
    <w:p w14:paraId="4B2EA62A" w14:textId="77777777" w:rsidR="004C615C" w:rsidRPr="000252DE" w:rsidRDefault="009C2D1B" w:rsidP="000252DE">
      <w:pPr>
        <w:keepNext/>
        <w:spacing w:beforeLines="160" w:before="384" w:afterLines="160" w:after="384"/>
        <w:rPr>
          <w:rFonts w:cs="Times New Roman"/>
          <w:szCs w:val="24"/>
        </w:rPr>
      </w:pPr>
      <w:r w:rsidRPr="000252DE">
        <w:rPr>
          <w:rFonts w:cs="Times New Roman"/>
          <w:szCs w:val="24"/>
        </w:rPr>
        <w:t xml:space="preserve">The </w:t>
      </w:r>
      <w:r w:rsidR="0065424B" w:rsidRPr="000252DE">
        <w:rPr>
          <w:rFonts w:cs="Times New Roman"/>
          <w:szCs w:val="24"/>
        </w:rPr>
        <w:t>summit</w:t>
      </w:r>
      <w:r w:rsidRPr="000252DE">
        <w:rPr>
          <w:rFonts w:cs="Times New Roman"/>
          <w:szCs w:val="24"/>
        </w:rPr>
        <w:t xml:space="preserve"> features keynote, </w:t>
      </w:r>
      <w:r w:rsidR="004C615C" w:rsidRPr="000252DE">
        <w:rPr>
          <w:rFonts w:cs="Times New Roman"/>
          <w:szCs w:val="24"/>
        </w:rPr>
        <w:t xml:space="preserve">expert panel, and hands-on workshop </w:t>
      </w:r>
      <w:r w:rsidRPr="000252DE">
        <w:rPr>
          <w:rFonts w:cs="Times New Roman"/>
          <w:szCs w:val="24"/>
        </w:rPr>
        <w:t>to provide</w:t>
      </w:r>
      <w:r w:rsidR="00F83218" w:rsidRPr="000252DE">
        <w:rPr>
          <w:rFonts w:cs="Times New Roman"/>
          <w:szCs w:val="24"/>
        </w:rPr>
        <w:t xml:space="preserve"> practical </w:t>
      </w:r>
      <w:r w:rsidR="004C615C" w:rsidRPr="000252DE">
        <w:rPr>
          <w:rFonts w:cs="Times New Roman"/>
          <w:szCs w:val="24"/>
        </w:rPr>
        <w:t xml:space="preserve">DEI </w:t>
      </w:r>
      <w:r w:rsidRPr="000252DE">
        <w:rPr>
          <w:rFonts w:cs="Times New Roman"/>
          <w:szCs w:val="24"/>
        </w:rPr>
        <w:t xml:space="preserve">insights. Moderators </w:t>
      </w:r>
      <w:r w:rsidR="004C615C" w:rsidRPr="000252DE">
        <w:rPr>
          <w:rFonts w:cs="Times New Roman"/>
          <w:szCs w:val="24"/>
        </w:rPr>
        <w:t xml:space="preserve">and facilitators </w:t>
      </w:r>
      <w:r w:rsidRPr="000252DE">
        <w:rPr>
          <w:rFonts w:cs="Times New Roman"/>
          <w:szCs w:val="24"/>
        </w:rPr>
        <w:t>ensure</w:t>
      </w:r>
      <w:r w:rsidR="004C615C" w:rsidRPr="000252DE">
        <w:rPr>
          <w:rFonts w:cs="Times New Roman"/>
          <w:szCs w:val="24"/>
        </w:rPr>
        <w:t xml:space="preserve"> the discussio</w:t>
      </w:r>
      <w:r w:rsidRPr="000252DE">
        <w:rPr>
          <w:rFonts w:cs="Times New Roman"/>
          <w:szCs w:val="24"/>
        </w:rPr>
        <w:t>n are engaging and solutions-driven</w:t>
      </w:r>
      <w:r w:rsidR="00E354D1" w:rsidRPr="000252DE">
        <w:rPr>
          <w:rFonts w:cs="Times New Roman"/>
          <w:szCs w:val="24"/>
        </w:rPr>
        <w:t xml:space="preserve"> (</w:t>
      </w:r>
      <w:proofErr w:type="spellStart"/>
      <w:r w:rsidR="00E354D1" w:rsidRPr="000252DE">
        <w:rPr>
          <w:szCs w:val="24"/>
          <w:lang w:val="en-US"/>
        </w:rPr>
        <w:t>Bodolica</w:t>
      </w:r>
      <w:proofErr w:type="spellEnd"/>
      <w:r w:rsidR="00E354D1" w:rsidRPr="000252DE">
        <w:rPr>
          <w:szCs w:val="24"/>
          <w:lang w:val="en-US"/>
        </w:rPr>
        <w:t xml:space="preserve"> and </w:t>
      </w:r>
      <w:proofErr w:type="spellStart"/>
      <w:r w:rsidR="00E354D1" w:rsidRPr="000252DE">
        <w:rPr>
          <w:szCs w:val="24"/>
          <w:lang w:val="en-US"/>
        </w:rPr>
        <w:t>Spraggon</w:t>
      </w:r>
      <w:proofErr w:type="spellEnd"/>
      <w:r w:rsidR="00E354D1" w:rsidRPr="000252DE">
        <w:rPr>
          <w:szCs w:val="24"/>
          <w:lang w:val="en-US"/>
        </w:rPr>
        <w:t>, 2021</w:t>
      </w:r>
      <w:r w:rsidR="00E354D1" w:rsidRPr="000252DE">
        <w:rPr>
          <w:rFonts w:cs="Times New Roman"/>
          <w:szCs w:val="24"/>
        </w:rPr>
        <w:t>)</w:t>
      </w:r>
      <w:r w:rsidRPr="000252DE">
        <w:rPr>
          <w:rFonts w:cs="Times New Roman"/>
          <w:szCs w:val="24"/>
        </w:rPr>
        <w:t xml:space="preserve">. Attendees collaborate </w:t>
      </w:r>
      <w:r w:rsidR="004C615C" w:rsidRPr="000252DE">
        <w:rPr>
          <w:rFonts w:cs="Times New Roman"/>
          <w:szCs w:val="24"/>
        </w:rPr>
        <w:t>and share best practices at networking sessions.</w:t>
      </w:r>
      <w:r w:rsidRPr="000252DE">
        <w:rPr>
          <w:rFonts w:cs="Times New Roman"/>
          <w:szCs w:val="24"/>
        </w:rPr>
        <w:t xml:space="preserve"> The </w:t>
      </w:r>
      <w:r w:rsidR="00F83218" w:rsidRPr="000252DE">
        <w:rPr>
          <w:rFonts w:cs="Times New Roman"/>
          <w:szCs w:val="24"/>
        </w:rPr>
        <w:t>check-</w:t>
      </w:r>
      <w:r w:rsidR="004C615C" w:rsidRPr="000252DE">
        <w:rPr>
          <w:rFonts w:cs="Times New Roman"/>
          <w:szCs w:val="24"/>
        </w:rPr>
        <w:t xml:space="preserve">in team, security </w:t>
      </w:r>
      <w:r w:rsidR="00F83218" w:rsidRPr="000252DE">
        <w:rPr>
          <w:rFonts w:cs="Times New Roman"/>
          <w:szCs w:val="24"/>
        </w:rPr>
        <w:t>staff, AV technicians</w:t>
      </w:r>
      <w:r w:rsidR="004C615C" w:rsidRPr="000252DE">
        <w:rPr>
          <w:rFonts w:cs="Times New Roman"/>
          <w:szCs w:val="24"/>
        </w:rPr>
        <w:t xml:space="preserve"> and accessibility</w:t>
      </w:r>
      <w:r w:rsidR="00F83218" w:rsidRPr="000252DE">
        <w:rPr>
          <w:rFonts w:cs="Times New Roman"/>
          <w:szCs w:val="24"/>
        </w:rPr>
        <w:t xml:space="preserve"> coordinators ensure </w:t>
      </w:r>
      <w:r w:rsidR="00F83218" w:rsidRPr="000252DE">
        <w:rPr>
          <w:rFonts w:cs="Times New Roman"/>
          <w:szCs w:val="24"/>
        </w:rPr>
        <w:lastRenderedPageBreak/>
        <w:t>smooth operations</w:t>
      </w:r>
      <w:r w:rsidR="004C615C" w:rsidRPr="000252DE">
        <w:rPr>
          <w:rFonts w:cs="Times New Roman"/>
          <w:szCs w:val="24"/>
        </w:rPr>
        <w:t xml:space="preserve">. Real-time technical issues are </w:t>
      </w:r>
      <w:r w:rsidR="00F83218" w:rsidRPr="000252DE">
        <w:rPr>
          <w:rFonts w:cs="Times New Roman"/>
          <w:szCs w:val="24"/>
        </w:rPr>
        <w:t xml:space="preserve">managed by the IT support team, </w:t>
      </w:r>
      <w:r w:rsidR="004C615C" w:rsidRPr="000252DE">
        <w:rPr>
          <w:rFonts w:cs="Times New Roman"/>
          <w:szCs w:val="24"/>
        </w:rPr>
        <w:t xml:space="preserve">guaranteeing seamless presentations. Professional catering, security, and cleaning teams </w:t>
      </w:r>
      <w:r w:rsidR="00F83218" w:rsidRPr="000252DE">
        <w:rPr>
          <w:rFonts w:cs="Times New Roman"/>
          <w:szCs w:val="24"/>
        </w:rPr>
        <w:t>maintain a professional environment</w:t>
      </w:r>
      <w:r w:rsidRPr="000252DE">
        <w:rPr>
          <w:rFonts w:cs="Times New Roman"/>
          <w:szCs w:val="24"/>
        </w:rPr>
        <w:t xml:space="preserve">.  </w:t>
      </w:r>
    </w:p>
    <w:p w14:paraId="4B2EA62B" w14:textId="77777777" w:rsidR="004C615C" w:rsidRPr="000252DE" w:rsidRDefault="004C615C" w:rsidP="000252DE">
      <w:pPr>
        <w:pStyle w:val="Heading2"/>
        <w:spacing w:beforeLines="160" w:before="384" w:afterLines="160" w:after="384"/>
        <w:rPr>
          <w:rFonts w:cs="Times New Roman"/>
          <w:szCs w:val="24"/>
        </w:rPr>
      </w:pPr>
      <w:bookmarkStart w:id="6" w:name="_Toc190365931"/>
      <w:r w:rsidRPr="000252DE">
        <w:rPr>
          <w:rFonts w:cs="Times New Roman"/>
          <w:szCs w:val="24"/>
        </w:rPr>
        <w:t>Evaluation</w:t>
      </w:r>
      <w:bookmarkEnd w:id="6"/>
    </w:p>
    <w:p w14:paraId="4B2EA62C" w14:textId="77777777" w:rsidR="004C615C" w:rsidRPr="000252DE" w:rsidRDefault="004C615C" w:rsidP="000252DE">
      <w:pPr>
        <w:keepNext/>
        <w:spacing w:beforeLines="160" w:before="384" w:afterLines="160" w:after="384"/>
        <w:rPr>
          <w:rFonts w:cs="Times New Roman"/>
          <w:szCs w:val="24"/>
        </w:rPr>
      </w:pPr>
      <w:r w:rsidRPr="000252DE">
        <w:rPr>
          <w:rFonts w:cs="Times New Roman"/>
          <w:szCs w:val="24"/>
        </w:rPr>
        <w:t xml:space="preserve">The team </w:t>
      </w:r>
      <w:r w:rsidR="00F83218" w:rsidRPr="000252DE">
        <w:rPr>
          <w:rFonts w:cs="Times New Roman"/>
          <w:szCs w:val="24"/>
        </w:rPr>
        <w:t>gathers</w:t>
      </w:r>
      <w:r w:rsidRPr="000252DE">
        <w:rPr>
          <w:rFonts w:cs="Times New Roman"/>
          <w:szCs w:val="24"/>
        </w:rPr>
        <w:t xml:space="preserve"> attendee feedback</w:t>
      </w:r>
      <w:r w:rsidR="00F83218" w:rsidRPr="000252DE">
        <w:rPr>
          <w:rFonts w:cs="Times New Roman"/>
          <w:szCs w:val="24"/>
        </w:rPr>
        <w:t xml:space="preserve"> through surveys and live polling </w:t>
      </w:r>
      <w:r w:rsidRPr="000252DE">
        <w:rPr>
          <w:rFonts w:cs="Times New Roman"/>
          <w:szCs w:val="24"/>
        </w:rPr>
        <w:t>to</w:t>
      </w:r>
      <w:r w:rsidR="00F83218" w:rsidRPr="000252DE">
        <w:rPr>
          <w:rFonts w:cs="Times New Roman"/>
          <w:szCs w:val="24"/>
        </w:rPr>
        <w:t xml:space="preserve"> measure </w:t>
      </w:r>
      <w:r w:rsidRPr="000252DE">
        <w:rPr>
          <w:rFonts w:cs="Times New Roman"/>
          <w:szCs w:val="24"/>
        </w:rPr>
        <w:t xml:space="preserve">satisfaction and impact. A detailed event success report </w:t>
      </w:r>
      <w:proofErr w:type="spellStart"/>
      <w:r w:rsidRPr="000252DE">
        <w:rPr>
          <w:rFonts w:cs="Times New Roman"/>
          <w:szCs w:val="24"/>
        </w:rPr>
        <w:t>analyzes</w:t>
      </w:r>
      <w:proofErr w:type="spellEnd"/>
      <w:r w:rsidR="00F83218" w:rsidRPr="000252DE">
        <w:rPr>
          <w:rFonts w:cs="Times New Roman"/>
          <w:szCs w:val="24"/>
        </w:rPr>
        <w:t xml:space="preserve"> engagement </w:t>
      </w:r>
      <w:r w:rsidRPr="000252DE">
        <w:rPr>
          <w:rFonts w:cs="Times New Roman"/>
          <w:szCs w:val="24"/>
        </w:rPr>
        <w:t>metrics, attendance rates, and session effectiveness. These i</w:t>
      </w:r>
      <w:r w:rsidR="00F83218" w:rsidRPr="000252DE">
        <w:rPr>
          <w:rFonts w:cs="Times New Roman"/>
          <w:szCs w:val="24"/>
        </w:rPr>
        <w:t>nsights enable refines future summits for better reach and impacts</w:t>
      </w:r>
      <w:r w:rsidRPr="000252DE">
        <w:rPr>
          <w:rFonts w:cs="Times New Roman"/>
          <w:szCs w:val="24"/>
        </w:rPr>
        <w:t xml:space="preserve">. </w:t>
      </w:r>
      <w:r w:rsidR="00F83218" w:rsidRPr="000252DE">
        <w:rPr>
          <w:rFonts w:cs="Times New Roman"/>
          <w:szCs w:val="24"/>
        </w:rPr>
        <w:t xml:space="preserve">Sponsors and speakers </w:t>
      </w:r>
      <w:proofErr w:type="gramStart"/>
      <w:r w:rsidR="00F83218" w:rsidRPr="000252DE">
        <w:rPr>
          <w:rFonts w:cs="Times New Roman"/>
          <w:szCs w:val="24"/>
        </w:rPr>
        <w:t>receives</w:t>
      </w:r>
      <w:proofErr w:type="gramEnd"/>
      <w:r w:rsidR="00F83218" w:rsidRPr="000252DE">
        <w:rPr>
          <w:rFonts w:cs="Times New Roman"/>
          <w:szCs w:val="24"/>
        </w:rPr>
        <w:t xml:space="preserve"> a p</w:t>
      </w:r>
      <w:r w:rsidRPr="000252DE">
        <w:rPr>
          <w:rFonts w:cs="Times New Roman"/>
          <w:szCs w:val="24"/>
        </w:rPr>
        <w:t xml:space="preserve">ost-event </w:t>
      </w:r>
      <w:r w:rsidR="00F83218" w:rsidRPr="000252DE">
        <w:rPr>
          <w:rFonts w:cs="Times New Roman"/>
          <w:szCs w:val="24"/>
        </w:rPr>
        <w:t xml:space="preserve">summary to maintain </w:t>
      </w:r>
      <w:r w:rsidRPr="000252DE">
        <w:rPr>
          <w:rFonts w:cs="Times New Roman"/>
          <w:szCs w:val="24"/>
        </w:rPr>
        <w:t>r</w:t>
      </w:r>
      <w:r w:rsidR="00F83218" w:rsidRPr="000252DE">
        <w:rPr>
          <w:rFonts w:cs="Times New Roman"/>
          <w:szCs w:val="24"/>
        </w:rPr>
        <w:t>elationship</w:t>
      </w:r>
      <w:r w:rsidRPr="000252DE">
        <w:rPr>
          <w:rFonts w:cs="Times New Roman"/>
          <w:szCs w:val="24"/>
        </w:rPr>
        <w:t>. The crew examines bot</w:t>
      </w:r>
      <w:r w:rsidR="00F83218" w:rsidRPr="000252DE">
        <w:rPr>
          <w:rFonts w:cs="Times New Roman"/>
          <w:szCs w:val="24"/>
        </w:rPr>
        <w:t xml:space="preserve">h challenges and opportunities to ensure </w:t>
      </w:r>
      <w:r w:rsidRPr="000252DE">
        <w:rPr>
          <w:rFonts w:cs="Times New Roman"/>
          <w:szCs w:val="24"/>
        </w:rPr>
        <w:t>continuous improvement</w:t>
      </w:r>
      <w:r w:rsidR="0065424B" w:rsidRPr="000252DE">
        <w:rPr>
          <w:rFonts w:cs="Times New Roman"/>
          <w:szCs w:val="24"/>
        </w:rPr>
        <w:t xml:space="preserve">.  </w:t>
      </w:r>
    </w:p>
    <w:p w14:paraId="4B2EA62D" w14:textId="77777777" w:rsidR="00675F60" w:rsidRPr="000252DE" w:rsidRDefault="004C615C" w:rsidP="000252DE">
      <w:pPr>
        <w:keepNext/>
        <w:spacing w:beforeLines="160" w:before="384" w:afterLines="160" w:after="384"/>
        <w:rPr>
          <w:rFonts w:cs="Times New Roman"/>
          <w:szCs w:val="24"/>
        </w:rPr>
      </w:pPr>
      <w:r w:rsidRPr="000252DE">
        <w:rPr>
          <w:rFonts w:cs="Times New Roman"/>
          <w:szCs w:val="24"/>
        </w:rPr>
        <w:t>For the UK Diversity &amp; Inclusion Summit 2025 to be informative, impactful, and a gold standard in inclusive workplace strategies the event cycle is about ensuring every single one of those elements is well run.</w:t>
      </w:r>
    </w:p>
    <w:p w14:paraId="4B2EA62E" w14:textId="77777777" w:rsidR="00C36C68" w:rsidRPr="000252DE" w:rsidRDefault="00584A8B" w:rsidP="000252DE">
      <w:pPr>
        <w:pStyle w:val="Heading1"/>
        <w:spacing w:beforeLines="160" w:before="384" w:afterLines="160" w:after="384"/>
        <w:rPr>
          <w:rFonts w:cs="Times New Roman"/>
          <w:szCs w:val="24"/>
        </w:rPr>
      </w:pPr>
      <w:bookmarkStart w:id="7" w:name="_Toc190365932"/>
      <w:r w:rsidRPr="000252DE">
        <w:rPr>
          <w:rFonts w:cs="Times New Roman"/>
          <w:szCs w:val="24"/>
        </w:rPr>
        <w:t>Event</w:t>
      </w:r>
      <w:r w:rsidR="00EF2119" w:rsidRPr="000252DE">
        <w:rPr>
          <w:rFonts w:cs="Times New Roman"/>
          <w:szCs w:val="24"/>
        </w:rPr>
        <w:t xml:space="preserve"> Concep</w:t>
      </w:r>
      <w:r w:rsidR="001F5C3F" w:rsidRPr="000252DE">
        <w:rPr>
          <w:rFonts w:cs="Times New Roman"/>
          <w:szCs w:val="24"/>
        </w:rPr>
        <w:t>t</w:t>
      </w:r>
      <w:bookmarkEnd w:id="7"/>
    </w:p>
    <w:tbl>
      <w:tblPr>
        <w:tblStyle w:val="GridTable4-Accent4"/>
        <w:tblW w:w="10187" w:type="dxa"/>
        <w:jc w:val="center"/>
        <w:tblLook w:val="04A0" w:firstRow="1" w:lastRow="0" w:firstColumn="1" w:lastColumn="0" w:noHBand="0" w:noVBand="1"/>
      </w:tblPr>
      <w:tblGrid>
        <w:gridCol w:w="2002"/>
        <w:gridCol w:w="3707"/>
        <w:gridCol w:w="4478"/>
      </w:tblGrid>
      <w:tr w:rsidR="000252DE" w:rsidRPr="000252DE" w14:paraId="4B2EA632" w14:textId="77777777" w:rsidTr="000252DE">
        <w:trPr>
          <w:cnfStyle w:val="100000000000" w:firstRow="1" w:lastRow="0" w:firstColumn="0" w:lastColumn="0" w:oddVBand="0" w:evenVBand="0" w:oddHBand="0" w:evenHBand="0" w:firstRowFirstColumn="0" w:firstRowLastColumn="0" w:lastRowFirstColumn="0" w:lastRowLastColumn="0"/>
          <w:trHeight w:val="422"/>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2F" w14:textId="77777777" w:rsidR="00584A8B" w:rsidRPr="000252DE" w:rsidRDefault="00584A8B" w:rsidP="000252DE">
            <w:pPr>
              <w:spacing w:beforeLines="160" w:before="384" w:afterLines="160" w:after="384"/>
              <w:jc w:val="center"/>
              <w:rPr>
                <w:rFonts w:cs="Times New Roman"/>
                <w:b w:val="0"/>
                <w:color w:val="auto"/>
                <w:szCs w:val="24"/>
              </w:rPr>
            </w:pPr>
            <w:r w:rsidRPr="000252DE">
              <w:rPr>
                <w:rStyle w:val="Strong"/>
                <w:rFonts w:cs="Times New Roman"/>
                <w:b/>
                <w:color w:val="auto"/>
                <w:szCs w:val="24"/>
              </w:rPr>
              <w:t>Time</w:t>
            </w:r>
          </w:p>
        </w:tc>
        <w:tc>
          <w:tcPr>
            <w:tcW w:w="3707" w:type="dxa"/>
            <w:hideMark/>
          </w:tcPr>
          <w:p w14:paraId="4B2EA630" w14:textId="77777777" w:rsidR="00584A8B" w:rsidRPr="000252DE" w:rsidRDefault="00584A8B"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0252DE">
              <w:rPr>
                <w:rStyle w:val="Strong"/>
                <w:rFonts w:cs="Times New Roman"/>
                <w:b/>
                <w:color w:val="auto"/>
                <w:szCs w:val="24"/>
              </w:rPr>
              <w:t>Activity</w:t>
            </w:r>
          </w:p>
        </w:tc>
        <w:tc>
          <w:tcPr>
            <w:tcW w:w="4478" w:type="dxa"/>
            <w:hideMark/>
          </w:tcPr>
          <w:p w14:paraId="4B2EA631" w14:textId="77777777" w:rsidR="00584A8B" w:rsidRPr="000252DE" w:rsidRDefault="00584A8B"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0252DE">
              <w:rPr>
                <w:rStyle w:val="Strong"/>
                <w:rFonts w:cs="Times New Roman"/>
                <w:b/>
                <w:color w:val="auto"/>
                <w:szCs w:val="24"/>
              </w:rPr>
              <w:t>Key Highlights</w:t>
            </w:r>
          </w:p>
        </w:tc>
      </w:tr>
      <w:tr w:rsidR="000252DE" w:rsidRPr="000252DE" w14:paraId="4B2EA636" w14:textId="77777777" w:rsidTr="000252DE">
        <w:trPr>
          <w:cnfStyle w:val="000000100000" w:firstRow="0" w:lastRow="0" w:firstColumn="0" w:lastColumn="0" w:oddVBand="0" w:evenVBand="0" w:oddHBand="1" w:evenHBand="0" w:firstRowFirstColumn="0" w:firstRowLastColumn="0" w:lastRowFirstColumn="0" w:lastRowLastColumn="0"/>
          <w:trHeight w:val="1266"/>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33" w14:textId="77777777" w:rsidR="00584A8B" w:rsidRPr="000252DE" w:rsidRDefault="00584A8B" w:rsidP="000252DE">
            <w:pPr>
              <w:spacing w:beforeLines="160" w:before="384" w:afterLines="160" w:after="384"/>
              <w:jc w:val="left"/>
              <w:rPr>
                <w:rFonts w:cs="Times New Roman"/>
                <w:b w:val="0"/>
                <w:bCs w:val="0"/>
                <w:szCs w:val="24"/>
              </w:rPr>
            </w:pPr>
            <w:r w:rsidRPr="000252DE">
              <w:rPr>
                <w:rStyle w:val="Strong"/>
                <w:rFonts w:cs="Times New Roman"/>
                <w:b/>
                <w:szCs w:val="24"/>
              </w:rPr>
              <w:t>08:00 – 09:00</w:t>
            </w:r>
          </w:p>
        </w:tc>
        <w:tc>
          <w:tcPr>
            <w:tcW w:w="3707" w:type="dxa"/>
            <w:hideMark/>
          </w:tcPr>
          <w:p w14:paraId="4B2EA634"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 xml:space="preserve">Registration </w:t>
            </w:r>
            <w:r w:rsidR="00441545" w:rsidRPr="000252DE">
              <w:rPr>
                <w:rStyle w:val="Strong"/>
                <w:rFonts w:cs="Times New Roman"/>
                <w:b w:val="0"/>
                <w:szCs w:val="24"/>
              </w:rPr>
              <w:t>and</w:t>
            </w:r>
            <w:r w:rsidRPr="000252DE">
              <w:rPr>
                <w:rStyle w:val="Strong"/>
                <w:rFonts w:cs="Times New Roman"/>
                <w:b w:val="0"/>
                <w:szCs w:val="24"/>
              </w:rPr>
              <w:t xml:space="preserve"> Welcome Breakfast</w:t>
            </w:r>
          </w:p>
        </w:tc>
        <w:tc>
          <w:tcPr>
            <w:tcW w:w="4478" w:type="dxa"/>
            <w:hideMark/>
          </w:tcPr>
          <w:p w14:paraId="4B2EA635"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Check-in, networking over refreshments, event materials provided</w:t>
            </w:r>
          </w:p>
        </w:tc>
      </w:tr>
      <w:tr w:rsidR="000252DE" w:rsidRPr="000252DE" w14:paraId="4B2EA63A" w14:textId="77777777" w:rsidTr="000252DE">
        <w:trPr>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37"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09:00 – 09:30</w:t>
            </w:r>
          </w:p>
        </w:tc>
        <w:tc>
          <w:tcPr>
            <w:tcW w:w="3707" w:type="dxa"/>
            <w:hideMark/>
          </w:tcPr>
          <w:p w14:paraId="4B2EA638"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Opening Keynote</w:t>
            </w:r>
          </w:p>
        </w:tc>
        <w:tc>
          <w:tcPr>
            <w:tcW w:w="4478" w:type="dxa"/>
            <w:hideMark/>
          </w:tcPr>
          <w:p w14:paraId="4B2EA639"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High-profile DEI leader sets the tone for the day</w:t>
            </w:r>
          </w:p>
        </w:tc>
      </w:tr>
      <w:tr w:rsidR="000252DE" w:rsidRPr="000252DE" w14:paraId="4B2EA63E" w14:textId="77777777" w:rsidTr="000252DE">
        <w:trPr>
          <w:cnfStyle w:val="000000100000" w:firstRow="0" w:lastRow="0" w:firstColumn="0" w:lastColumn="0" w:oddVBand="0" w:evenVBand="0" w:oddHBand="1"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3B"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09:30 – 10:30</w:t>
            </w:r>
          </w:p>
        </w:tc>
        <w:tc>
          <w:tcPr>
            <w:tcW w:w="3707" w:type="dxa"/>
            <w:hideMark/>
          </w:tcPr>
          <w:p w14:paraId="4B2EA63C"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Panel Discussion: Breaking Hidden Biases</w:t>
            </w:r>
          </w:p>
        </w:tc>
        <w:tc>
          <w:tcPr>
            <w:tcW w:w="4478" w:type="dxa"/>
            <w:hideMark/>
          </w:tcPr>
          <w:p w14:paraId="4B2EA63D"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Experts discuss unconscious bias, systemic barriers, and solutions</w:t>
            </w:r>
          </w:p>
        </w:tc>
      </w:tr>
      <w:tr w:rsidR="000252DE" w:rsidRPr="000252DE" w14:paraId="4B2EA642" w14:textId="77777777" w:rsidTr="000252DE">
        <w:trPr>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3F"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lastRenderedPageBreak/>
              <w:t>10:30 – 11:00</w:t>
            </w:r>
          </w:p>
        </w:tc>
        <w:tc>
          <w:tcPr>
            <w:tcW w:w="3707" w:type="dxa"/>
            <w:hideMark/>
          </w:tcPr>
          <w:p w14:paraId="4B2EA640"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Networking &amp; Refreshments</w:t>
            </w:r>
          </w:p>
        </w:tc>
        <w:tc>
          <w:tcPr>
            <w:tcW w:w="4478" w:type="dxa"/>
            <w:hideMark/>
          </w:tcPr>
          <w:p w14:paraId="4B2EA641"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Attendees connect with peers and speakers over coffee</w:t>
            </w:r>
          </w:p>
        </w:tc>
      </w:tr>
      <w:tr w:rsidR="000252DE" w:rsidRPr="000252DE" w14:paraId="4B2EA646" w14:textId="77777777" w:rsidTr="000252DE">
        <w:trPr>
          <w:cnfStyle w:val="000000100000" w:firstRow="0" w:lastRow="0" w:firstColumn="0" w:lastColumn="0" w:oddVBand="0" w:evenVBand="0" w:oddHBand="1"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43"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11:00 – 12:00</w:t>
            </w:r>
          </w:p>
        </w:tc>
        <w:tc>
          <w:tcPr>
            <w:tcW w:w="3707" w:type="dxa"/>
            <w:hideMark/>
          </w:tcPr>
          <w:p w14:paraId="4B2EA644"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Workshop 1: Inclusive Leadership Strategies</w:t>
            </w:r>
          </w:p>
        </w:tc>
        <w:tc>
          <w:tcPr>
            <w:tcW w:w="4478" w:type="dxa"/>
            <w:hideMark/>
          </w:tcPr>
          <w:p w14:paraId="4B2EA645"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Interactive session on leading diverse teams effectively</w:t>
            </w:r>
          </w:p>
        </w:tc>
      </w:tr>
      <w:tr w:rsidR="000252DE" w:rsidRPr="000252DE" w14:paraId="4B2EA64A" w14:textId="77777777" w:rsidTr="000252DE">
        <w:trPr>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47"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12:00 – 13:00</w:t>
            </w:r>
          </w:p>
        </w:tc>
        <w:tc>
          <w:tcPr>
            <w:tcW w:w="3707" w:type="dxa"/>
            <w:hideMark/>
          </w:tcPr>
          <w:p w14:paraId="4B2EA648"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Lunch &amp; Exhibition Walk</w:t>
            </w:r>
          </w:p>
        </w:tc>
        <w:tc>
          <w:tcPr>
            <w:tcW w:w="4478" w:type="dxa"/>
            <w:hideMark/>
          </w:tcPr>
          <w:p w14:paraId="4B2EA649"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Attendees explore exhibitor booths and network over lunch</w:t>
            </w:r>
          </w:p>
        </w:tc>
      </w:tr>
      <w:tr w:rsidR="000252DE" w:rsidRPr="000252DE" w14:paraId="4B2EA64E" w14:textId="77777777" w:rsidTr="000252DE">
        <w:trPr>
          <w:cnfStyle w:val="000000100000" w:firstRow="0" w:lastRow="0" w:firstColumn="0" w:lastColumn="0" w:oddVBand="0" w:evenVBand="0" w:oddHBand="1"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4B"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13:00 – 14:00</w:t>
            </w:r>
          </w:p>
        </w:tc>
        <w:tc>
          <w:tcPr>
            <w:tcW w:w="3707" w:type="dxa"/>
            <w:hideMark/>
          </w:tcPr>
          <w:p w14:paraId="4B2EA64C"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Fireside Chat: The Future of Workplace DEI</w:t>
            </w:r>
          </w:p>
        </w:tc>
        <w:tc>
          <w:tcPr>
            <w:tcW w:w="4478" w:type="dxa"/>
            <w:hideMark/>
          </w:tcPr>
          <w:p w14:paraId="4B2EA64D"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Thought leaders discuss trends, challenges, and innovations</w:t>
            </w:r>
          </w:p>
        </w:tc>
      </w:tr>
      <w:tr w:rsidR="000252DE" w:rsidRPr="000252DE" w14:paraId="4B2EA652" w14:textId="77777777" w:rsidTr="000252DE">
        <w:trPr>
          <w:trHeight w:val="1251"/>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4F"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14:00 – 15:00</w:t>
            </w:r>
          </w:p>
        </w:tc>
        <w:tc>
          <w:tcPr>
            <w:tcW w:w="3707" w:type="dxa"/>
            <w:hideMark/>
          </w:tcPr>
          <w:p w14:paraId="4B2EA650"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Workshop 2: Practical DEI Implementation</w:t>
            </w:r>
          </w:p>
        </w:tc>
        <w:tc>
          <w:tcPr>
            <w:tcW w:w="4478" w:type="dxa"/>
            <w:hideMark/>
          </w:tcPr>
          <w:p w14:paraId="4B2EA651"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Hands-on training in workplace policies, inclusive hiring, and retention</w:t>
            </w:r>
          </w:p>
        </w:tc>
      </w:tr>
      <w:tr w:rsidR="000252DE" w:rsidRPr="000252DE" w14:paraId="4B2EA656" w14:textId="77777777" w:rsidTr="000252DE">
        <w:trPr>
          <w:cnfStyle w:val="000000100000" w:firstRow="0" w:lastRow="0" w:firstColumn="0" w:lastColumn="0" w:oddVBand="0" w:evenVBand="0" w:oddHBand="1"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53"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15:00 – 15:30</w:t>
            </w:r>
          </w:p>
        </w:tc>
        <w:tc>
          <w:tcPr>
            <w:tcW w:w="3707" w:type="dxa"/>
            <w:hideMark/>
          </w:tcPr>
          <w:p w14:paraId="4B2EA654"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Afternoon Break &amp; Networking</w:t>
            </w:r>
          </w:p>
        </w:tc>
        <w:tc>
          <w:tcPr>
            <w:tcW w:w="4478" w:type="dxa"/>
            <w:hideMark/>
          </w:tcPr>
          <w:p w14:paraId="4B2EA655"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Attendees engage in informal discussions with industry experts</w:t>
            </w:r>
          </w:p>
        </w:tc>
      </w:tr>
      <w:tr w:rsidR="000252DE" w:rsidRPr="000252DE" w14:paraId="4B2EA65A" w14:textId="77777777" w:rsidTr="000252DE">
        <w:trPr>
          <w:trHeight w:val="1266"/>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57"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15:30 – 16:30</w:t>
            </w:r>
          </w:p>
        </w:tc>
        <w:tc>
          <w:tcPr>
            <w:tcW w:w="3707" w:type="dxa"/>
            <w:hideMark/>
          </w:tcPr>
          <w:p w14:paraId="4B2EA658"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Panel Discussion: Intersectionality in the Workplace</w:t>
            </w:r>
          </w:p>
        </w:tc>
        <w:tc>
          <w:tcPr>
            <w:tcW w:w="4478" w:type="dxa"/>
            <w:hideMark/>
          </w:tcPr>
          <w:p w14:paraId="4B2EA659"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Insights on race, gender, disability, and LGBTQ+ inclusion</w:t>
            </w:r>
          </w:p>
        </w:tc>
      </w:tr>
      <w:tr w:rsidR="000252DE" w:rsidRPr="000252DE" w14:paraId="4B2EA65E" w14:textId="77777777" w:rsidTr="000252DE">
        <w:trPr>
          <w:cnfStyle w:val="000000100000" w:firstRow="0" w:lastRow="0" w:firstColumn="0" w:lastColumn="0" w:oddVBand="0" w:evenVBand="0" w:oddHBand="1"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5B"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16:30 – 17:00</w:t>
            </w:r>
          </w:p>
        </w:tc>
        <w:tc>
          <w:tcPr>
            <w:tcW w:w="3707" w:type="dxa"/>
            <w:hideMark/>
          </w:tcPr>
          <w:p w14:paraId="4B2EA65C"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Closing Keynote &amp; Action Plan</w:t>
            </w:r>
          </w:p>
        </w:tc>
        <w:tc>
          <w:tcPr>
            <w:tcW w:w="4478" w:type="dxa"/>
            <w:hideMark/>
          </w:tcPr>
          <w:p w14:paraId="4B2EA65D"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Key takeaways, final thoughts, and next steps for attendees</w:t>
            </w:r>
          </w:p>
        </w:tc>
      </w:tr>
      <w:tr w:rsidR="000252DE" w:rsidRPr="000252DE" w14:paraId="4B2EA662" w14:textId="77777777" w:rsidTr="000252DE">
        <w:trPr>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5F"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17:00 – 18:00</w:t>
            </w:r>
          </w:p>
        </w:tc>
        <w:tc>
          <w:tcPr>
            <w:tcW w:w="3707" w:type="dxa"/>
            <w:hideMark/>
          </w:tcPr>
          <w:p w14:paraId="4B2EA660"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Networking Reception</w:t>
            </w:r>
          </w:p>
        </w:tc>
        <w:tc>
          <w:tcPr>
            <w:tcW w:w="4478" w:type="dxa"/>
            <w:hideMark/>
          </w:tcPr>
          <w:p w14:paraId="4B2EA661"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Informal networking with drinks and closing remarks</w:t>
            </w:r>
          </w:p>
        </w:tc>
      </w:tr>
    </w:tbl>
    <w:p w14:paraId="4B2EA663" w14:textId="77777777" w:rsidR="0043191A" w:rsidRPr="000252DE" w:rsidRDefault="0043191A" w:rsidP="000252DE">
      <w:pPr>
        <w:spacing w:beforeLines="160" w:before="384" w:afterLines="160" w:after="384"/>
        <w:rPr>
          <w:rFonts w:cs="Times New Roman"/>
          <w:szCs w:val="24"/>
        </w:rPr>
      </w:pPr>
    </w:p>
    <w:p w14:paraId="4B2EA664" w14:textId="77777777" w:rsidR="00C36C68" w:rsidRPr="000252DE" w:rsidRDefault="00EF2119" w:rsidP="000252DE">
      <w:pPr>
        <w:pStyle w:val="Heading1"/>
        <w:spacing w:beforeLines="160" w:before="384" w:afterLines="160" w:after="384"/>
        <w:rPr>
          <w:rFonts w:cs="Times New Roman"/>
          <w:szCs w:val="24"/>
        </w:rPr>
      </w:pPr>
      <w:bookmarkStart w:id="8" w:name="_Toc190365933"/>
      <w:r w:rsidRPr="000252DE">
        <w:rPr>
          <w:rFonts w:cs="Times New Roman"/>
          <w:szCs w:val="24"/>
        </w:rPr>
        <w:lastRenderedPageBreak/>
        <w:t>Aim and Objectives of the</w:t>
      </w:r>
      <w:r w:rsidR="004B4726" w:rsidRPr="000252DE">
        <w:rPr>
          <w:rFonts w:cs="Times New Roman"/>
          <w:szCs w:val="24"/>
        </w:rPr>
        <w:t xml:space="preserve"> Eve</w:t>
      </w:r>
      <w:r w:rsidR="00F44EBC" w:rsidRPr="000252DE">
        <w:rPr>
          <w:rFonts w:cs="Times New Roman"/>
          <w:szCs w:val="24"/>
        </w:rPr>
        <w:t>nt</w:t>
      </w:r>
      <w:bookmarkEnd w:id="8"/>
    </w:p>
    <w:p w14:paraId="4B2EA665" w14:textId="77777777" w:rsidR="0043191A" w:rsidRPr="000252DE" w:rsidRDefault="00584A8B" w:rsidP="000252DE">
      <w:pPr>
        <w:spacing w:beforeLines="160" w:before="384" w:afterLines="160" w:after="384"/>
        <w:rPr>
          <w:rFonts w:cs="Times New Roman"/>
          <w:szCs w:val="24"/>
        </w:rPr>
      </w:pPr>
      <w:r w:rsidRPr="000252DE">
        <w:rPr>
          <w:rFonts w:cs="Times New Roman"/>
          <w:szCs w:val="24"/>
        </w:rPr>
        <w:t>The aim of the event is to advance workplace DEI by nurturing knowledge sharing, collaboration, and actionable strategies.</w:t>
      </w:r>
    </w:p>
    <w:tbl>
      <w:tblPr>
        <w:tblStyle w:val="GridTable4-Accent6"/>
        <w:tblW w:w="5608" w:type="pct"/>
        <w:jc w:val="center"/>
        <w:tblLook w:val="04A0" w:firstRow="1" w:lastRow="0" w:firstColumn="1" w:lastColumn="0" w:noHBand="0" w:noVBand="1"/>
      </w:tblPr>
      <w:tblGrid>
        <w:gridCol w:w="1498"/>
        <w:gridCol w:w="3089"/>
        <w:gridCol w:w="3033"/>
        <w:gridCol w:w="2867"/>
      </w:tblGrid>
      <w:tr w:rsidR="000252DE" w:rsidRPr="000252DE" w14:paraId="4B2EA66A" w14:textId="77777777" w:rsidTr="001B5798">
        <w:trPr>
          <w:cnfStyle w:val="100000000000" w:firstRow="1" w:lastRow="0" w:firstColumn="0" w:lastColumn="0" w:oddVBand="0" w:evenVBand="0" w:oddHBand="0"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66" w14:textId="77777777" w:rsidR="00584A8B" w:rsidRPr="000252DE" w:rsidRDefault="00584A8B" w:rsidP="000252DE">
            <w:pPr>
              <w:spacing w:beforeLines="160" w:before="384" w:afterLines="160" w:after="384"/>
              <w:jc w:val="center"/>
              <w:rPr>
                <w:b w:val="0"/>
                <w:color w:val="auto"/>
                <w:szCs w:val="24"/>
              </w:rPr>
            </w:pPr>
            <w:r w:rsidRPr="000252DE">
              <w:rPr>
                <w:rStyle w:val="Strong"/>
                <w:b/>
                <w:color w:val="auto"/>
                <w:szCs w:val="24"/>
              </w:rPr>
              <w:t>SMART Criteria</w:t>
            </w:r>
          </w:p>
        </w:tc>
        <w:tc>
          <w:tcPr>
            <w:tcW w:w="1473" w:type="pct"/>
            <w:hideMark/>
          </w:tcPr>
          <w:p w14:paraId="4B2EA667" w14:textId="77777777" w:rsidR="00584A8B" w:rsidRPr="000252DE" w:rsidRDefault="00584A8B"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Objective 1</w:t>
            </w:r>
          </w:p>
        </w:tc>
        <w:tc>
          <w:tcPr>
            <w:tcW w:w="1446" w:type="pct"/>
            <w:hideMark/>
          </w:tcPr>
          <w:p w14:paraId="4B2EA668" w14:textId="77777777" w:rsidR="00584A8B" w:rsidRPr="000252DE" w:rsidRDefault="00584A8B"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Objective 2</w:t>
            </w:r>
          </w:p>
        </w:tc>
        <w:tc>
          <w:tcPr>
            <w:tcW w:w="1367" w:type="pct"/>
            <w:hideMark/>
          </w:tcPr>
          <w:p w14:paraId="4B2EA669" w14:textId="77777777" w:rsidR="00584A8B" w:rsidRPr="000252DE" w:rsidRDefault="00584A8B"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Objective 3</w:t>
            </w:r>
          </w:p>
        </w:tc>
      </w:tr>
      <w:tr w:rsidR="000252DE" w:rsidRPr="000252DE" w14:paraId="4B2EA66F" w14:textId="77777777" w:rsidTr="001B5798">
        <w:trPr>
          <w:cnfStyle w:val="000000100000" w:firstRow="0" w:lastRow="0" w:firstColumn="0" w:lastColumn="0" w:oddVBand="0" w:evenVBand="0" w:oddHBand="1" w:evenHBand="0" w:firstRowFirstColumn="0" w:firstRowLastColumn="0" w:lastRowFirstColumn="0" w:lastRowLastColumn="0"/>
          <w:trHeight w:val="1690"/>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6B" w14:textId="77777777" w:rsidR="00584A8B" w:rsidRPr="000252DE" w:rsidRDefault="00584A8B" w:rsidP="000252DE">
            <w:pPr>
              <w:spacing w:beforeLines="160" w:before="384" w:afterLines="160" w:after="384"/>
              <w:jc w:val="left"/>
              <w:rPr>
                <w:b w:val="0"/>
                <w:bCs w:val="0"/>
                <w:szCs w:val="24"/>
              </w:rPr>
            </w:pPr>
            <w:r w:rsidRPr="000252DE">
              <w:rPr>
                <w:rStyle w:val="Strong"/>
                <w:szCs w:val="24"/>
              </w:rPr>
              <w:t>Specific</w:t>
            </w:r>
          </w:p>
        </w:tc>
        <w:tc>
          <w:tcPr>
            <w:tcW w:w="1473" w:type="pct"/>
            <w:hideMark/>
          </w:tcPr>
          <w:p w14:paraId="4B2EA66C"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To provide attendees with DEI strategies for workplace implementation.</w:t>
            </w:r>
          </w:p>
        </w:tc>
        <w:tc>
          <w:tcPr>
            <w:tcW w:w="1446" w:type="pct"/>
            <w:hideMark/>
          </w:tcPr>
          <w:p w14:paraId="4B2EA66D"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To educate delegates on emerging DEI challenges and trends.</w:t>
            </w:r>
          </w:p>
        </w:tc>
        <w:tc>
          <w:tcPr>
            <w:tcW w:w="1367" w:type="pct"/>
            <w:hideMark/>
          </w:tcPr>
          <w:p w14:paraId="4B2EA66E"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To facilitate networking, discussions, and workshops on inclusive leadership.</w:t>
            </w:r>
          </w:p>
        </w:tc>
      </w:tr>
      <w:tr w:rsidR="000252DE" w:rsidRPr="000252DE" w14:paraId="4B2EA674" w14:textId="77777777" w:rsidTr="001B5798">
        <w:trPr>
          <w:trHeight w:val="1690"/>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70" w14:textId="77777777" w:rsidR="00584A8B" w:rsidRPr="000252DE" w:rsidRDefault="00584A8B" w:rsidP="000252DE">
            <w:pPr>
              <w:spacing w:beforeLines="160" w:before="384" w:afterLines="160" w:after="384"/>
              <w:rPr>
                <w:szCs w:val="24"/>
              </w:rPr>
            </w:pPr>
            <w:r w:rsidRPr="000252DE">
              <w:rPr>
                <w:rStyle w:val="Strong"/>
                <w:szCs w:val="24"/>
              </w:rPr>
              <w:t>Measurable</w:t>
            </w:r>
          </w:p>
        </w:tc>
        <w:tc>
          <w:tcPr>
            <w:tcW w:w="1473" w:type="pct"/>
            <w:hideMark/>
          </w:tcPr>
          <w:p w14:paraId="4B2EA671"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80% of attendees report gaining actionable DEI insights.</w:t>
            </w:r>
          </w:p>
        </w:tc>
        <w:tc>
          <w:tcPr>
            <w:tcW w:w="1446" w:type="pct"/>
            <w:hideMark/>
          </w:tcPr>
          <w:p w14:paraId="4B2EA672"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75% of participants acknowledge improved understanding of DEI challenges.</w:t>
            </w:r>
          </w:p>
        </w:tc>
        <w:tc>
          <w:tcPr>
            <w:tcW w:w="1367" w:type="pct"/>
            <w:hideMark/>
          </w:tcPr>
          <w:p w14:paraId="4B2EA673"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3+ structured networking sessions and interactive workshops.</w:t>
            </w:r>
          </w:p>
        </w:tc>
      </w:tr>
      <w:tr w:rsidR="000252DE" w:rsidRPr="000252DE" w14:paraId="4B2EA679" w14:textId="77777777" w:rsidTr="001B5798">
        <w:trPr>
          <w:cnfStyle w:val="000000100000" w:firstRow="0" w:lastRow="0" w:firstColumn="0" w:lastColumn="0" w:oddVBand="0" w:evenVBand="0" w:oddHBand="1" w:evenHBand="0" w:firstRowFirstColumn="0" w:firstRowLastColumn="0" w:lastRowFirstColumn="0" w:lastRowLastColumn="0"/>
          <w:trHeight w:val="1267"/>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75" w14:textId="77777777" w:rsidR="00584A8B" w:rsidRPr="000252DE" w:rsidRDefault="00584A8B" w:rsidP="000252DE">
            <w:pPr>
              <w:spacing w:beforeLines="160" w:before="384" w:afterLines="160" w:after="384"/>
              <w:rPr>
                <w:szCs w:val="24"/>
              </w:rPr>
            </w:pPr>
            <w:r w:rsidRPr="000252DE">
              <w:rPr>
                <w:rStyle w:val="Strong"/>
                <w:szCs w:val="24"/>
              </w:rPr>
              <w:t>Achievable</w:t>
            </w:r>
          </w:p>
        </w:tc>
        <w:tc>
          <w:tcPr>
            <w:tcW w:w="1473" w:type="pct"/>
            <w:hideMark/>
          </w:tcPr>
          <w:p w14:paraId="4B2EA676"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DEI experts and case studies provide practical strategies.</w:t>
            </w:r>
          </w:p>
        </w:tc>
        <w:tc>
          <w:tcPr>
            <w:tcW w:w="1446" w:type="pct"/>
            <w:hideMark/>
          </w:tcPr>
          <w:p w14:paraId="4B2EA677"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Data-driven insights and real-world examples support learning.</w:t>
            </w:r>
          </w:p>
        </w:tc>
        <w:tc>
          <w:tcPr>
            <w:tcW w:w="1367" w:type="pct"/>
            <w:hideMark/>
          </w:tcPr>
          <w:p w14:paraId="4B2EA678"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Moderators and facilitators guide discussions effectively.</w:t>
            </w:r>
          </w:p>
        </w:tc>
      </w:tr>
      <w:tr w:rsidR="000252DE" w:rsidRPr="000252DE" w14:paraId="4B2EA67E" w14:textId="77777777" w:rsidTr="001B5798">
        <w:trPr>
          <w:trHeight w:val="1267"/>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7A" w14:textId="77777777" w:rsidR="00584A8B" w:rsidRPr="000252DE" w:rsidRDefault="00584A8B" w:rsidP="000252DE">
            <w:pPr>
              <w:spacing w:beforeLines="160" w:before="384" w:afterLines="160" w:after="384"/>
              <w:rPr>
                <w:szCs w:val="24"/>
              </w:rPr>
            </w:pPr>
            <w:r w:rsidRPr="000252DE">
              <w:rPr>
                <w:rStyle w:val="Strong"/>
                <w:szCs w:val="24"/>
              </w:rPr>
              <w:t>Relevant</w:t>
            </w:r>
          </w:p>
        </w:tc>
        <w:tc>
          <w:tcPr>
            <w:tcW w:w="1473" w:type="pct"/>
            <w:hideMark/>
          </w:tcPr>
          <w:p w14:paraId="4B2EA67B"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Supports workplace DEI progress with actionable tools.</w:t>
            </w:r>
          </w:p>
        </w:tc>
        <w:tc>
          <w:tcPr>
            <w:tcW w:w="1446" w:type="pct"/>
            <w:hideMark/>
          </w:tcPr>
          <w:p w14:paraId="4B2EA67C"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Aligns with industry needs and DEI policy shifts.</w:t>
            </w:r>
          </w:p>
        </w:tc>
        <w:tc>
          <w:tcPr>
            <w:tcW w:w="1367" w:type="pct"/>
            <w:hideMark/>
          </w:tcPr>
          <w:p w14:paraId="4B2EA67D"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Enhances leadership skills for fostering inclusivity.</w:t>
            </w:r>
          </w:p>
        </w:tc>
      </w:tr>
      <w:tr w:rsidR="000252DE" w:rsidRPr="000252DE" w14:paraId="4B2EA683" w14:textId="77777777" w:rsidTr="001B5798">
        <w:trPr>
          <w:cnfStyle w:val="000000100000" w:firstRow="0" w:lastRow="0" w:firstColumn="0" w:lastColumn="0" w:oddVBand="0" w:evenVBand="0" w:oddHBand="1" w:evenHBand="0" w:firstRowFirstColumn="0" w:firstRowLastColumn="0" w:lastRowFirstColumn="0" w:lastRowLastColumn="0"/>
          <w:trHeight w:val="1247"/>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7F" w14:textId="77777777" w:rsidR="00584A8B" w:rsidRPr="000252DE" w:rsidRDefault="00584A8B" w:rsidP="000252DE">
            <w:pPr>
              <w:spacing w:beforeLines="160" w:before="384" w:afterLines="160" w:after="384"/>
              <w:rPr>
                <w:szCs w:val="24"/>
              </w:rPr>
            </w:pPr>
            <w:r w:rsidRPr="000252DE">
              <w:rPr>
                <w:rStyle w:val="Strong"/>
                <w:szCs w:val="24"/>
              </w:rPr>
              <w:lastRenderedPageBreak/>
              <w:t>Time-bound</w:t>
            </w:r>
          </w:p>
        </w:tc>
        <w:tc>
          <w:tcPr>
            <w:tcW w:w="1473" w:type="pct"/>
            <w:hideMark/>
          </w:tcPr>
          <w:p w14:paraId="4B2EA680"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Strategies applied within 6 months post-event.</w:t>
            </w:r>
          </w:p>
        </w:tc>
        <w:tc>
          <w:tcPr>
            <w:tcW w:w="1446" w:type="pct"/>
            <w:hideMark/>
          </w:tcPr>
          <w:p w14:paraId="4B2EA681"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Attendee feedback collected within 2 weeks.</w:t>
            </w:r>
          </w:p>
        </w:tc>
        <w:tc>
          <w:tcPr>
            <w:tcW w:w="1367" w:type="pct"/>
            <w:hideMark/>
          </w:tcPr>
          <w:p w14:paraId="4B2EA682"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Post-event report completed within 1 month.</w:t>
            </w:r>
          </w:p>
        </w:tc>
      </w:tr>
    </w:tbl>
    <w:p w14:paraId="4B2EA684" w14:textId="77777777" w:rsidR="00584A8B" w:rsidRPr="000252DE" w:rsidRDefault="00584A8B" w:rsidP="000252DE">
      <w:pPr>
        <w:spacing w:beforeLines="160" w:before="384" w:afterLines="160" w:after="384"/>
        <w:rPr>
          <w:rFonts w:cs="Times New Roman"/>
          <w:szCs w:val="24"/>
        </w:rPr>
      </w:pPr>
    </w:p>
    <w:p w14:paraId="4B2EA685" w14:textId="77777777" w:rsidR="00C36C68" w:rsidRPr="000252DE" w:rsidRDefault="00EF2119" w:rsidP="000252DE">
      <w:pPr>
        <w:pStyle w:val="Heading1"/>
        <w:spacing w:beforeLines="160" w:before="384" w:afterLines="160" w:after="384"/>
        <w:rPr>
          <w:rFonts w:cs="Times New Roman"/>
          <w:szCs w:val="24"/>
        </w:rPr>
      </w:pPr>
      <w:bookmarkStart w:id="9" w:name="_Toc190365934"/>
      <w:r w:rsidRPr="000252DE">
        <w:rPr>
          <w:rFonts w:cs="Times New Roman"/>
          <w:szCs w:val="24"/>
        </w:rPr>
        <w:t>Event Management</w:t>
      </w:r>
      <w:bookmarkEnd w:id="9"/>
      <w:r w:rsidR="00584A8B" w:rsidRPr="000252DE">
        <w:rPr>
          <w:rFonts w:cs="Times New Roman"/>
          <w:szCs w:val="24"/>
        </w:rPr>
        <w:t xml:space="preserve"> </w:t>
      </w:r>
    </w:p>
    <w:p w14:paraId="4B2EA686" w14:textId="77777777" w:rsidR="00584A8B" w:rsidRPr="000252DE" w:rsidRDefault="00584A8B" w:rsidP="000252DE">
      <w:pPr>
        <w:spacing w:beforeLines="160" w:before="384" w:afterLines="160" w:after="384"/>
        <w:rPr>
          <w:rFonts w:cs="Times New Roman"/>
          <w:szCs w:val="24"/>
        </w:rPr>
      </w:pPr>
      <w:r w:rsidRPr="000252DE">
        <w:rPr>
          <w:rFonts w:cs="Times New Roman"/>
          <w:szCs w:val="24"/>
        </w:rPr>
        <w:t xml:space="preserve">The Event Management Body of Knowledge (EMBOK) Model encompasses </w:t>
      </w:r>
      <w:r w:rsidRPr="000252DE">
        <w:rPr>
          <w:szCs w:val="24"/>
        </w:rPr>
        <w:t xml:space="preserve">includes </w:t>
      </w:r>
      <w:r w:rsidRPr="000252DE">
        <w:rPr>
          <w:rFonts w:cs="Times New Roman"/>
          <w:szCs w:val="24"/>
        </w:rPr>
        <w:t>five stages; Initiation, Planning, Implementation, Event, and Closure</w:t>
      </w:r>
      <w:r w:rsidR="005E5690" w:rsidRPr="000252DE">
        <w:rPr>
          <w:rFonts w:cs="Times New Roman"/>
          <w:szCs w:val="24"/>
        </w:rPr>
        <w:t xml:space="preserve"> (</w:t>
      </w:r>
      <w:r w:rsidR="005E5690" w:rsidRPr="000252DE">
        <w:rPr>
          <w:szCs w:val="24"/>
        </w:rPr>
        <w:t>Salama, 2021</w:t>
      </w:r>
      <w:r w:rsidR="005E5690" w:rsidRPr="000252DE">
        <w:rPr>
          <w:rFonts w:cs="Times New Roman"/>
          <w:szCs w:val="24"/>
        </w:rPr>
        <w:t>)</w:t>
      </w:r>
      <w:r w:rsidRPr="000252DE">
        <w:rPr>
          <w:rFonts w:cs="Times New Roman"/>
          <w:szCs w:val="24"/>
        </w:rPr>
        <w:t>. Each stage ensures the successful execution of the UK Diversity &amp; Inclusion Summit 2025 at the QEII Centre in Westminster, London.</w:t>
      </w:r>
    </w:p>
    <w:p w14:paraId="4B2EA687" w14:textId="77777777" w:rsidR="00584A8B" w:rsidRPr="000252DE" w:rsidRDefault="00584A8B" w:rsidP="000252DE">
      <w:pPr>
        <w:pStyle w:val="Heading2"/>
        <w:numPr>
          <w:ilvl w:val="1"/>
          <w:numId w:val="2"/>
        </w:numPr>
        <w:spacing w:beforeLines="160" w:before="384" w:afterLines="160" w:after="384"/>
        <w:rPr>
          <w:rFonts w:cs="Times New Roman"/>
          <w:szCs w:val="24"/>
        </w:rPr>
      </w:pPr>
      <w:bookmarkStart w:id="10" w:name="_Toc190365935"/>
      <w:r w:rsidRPr="000252DE">
        <w:rPr>
          <w:szCs w:val="24"/>
        </w:rPr>
        <w:t>Initiation</w:t>
      </w:r>
      <w:bookmarkEnd w:id="10"/>
    </w:p>
    <w:p w14:paraId="4B2EA688" w14:textId="77777777" w:rsidR="00584A8B" w:rsidRPr="000252DE" w:rsidRDefault="00584A8B" w:rsidP="000252DE">
      <w:pPr>
        <w:spacing w:beforeLines="160" w:before="384" w:afterLines="160" w:after="384"/>
        <w:rPr>
          <w:rFonts w:cs="Times New Roman"/>
          <w:szCs w:val="24"/>
        </w:rPr>
      </w:pPr>
      <w:r w:rsidRPr="000252DE">
        <w:rPr>
          <w:rFonts w:cs="Times New Roman"/>
          <w:szCs w:val="24"/>
        </w:rPr>
        <w:t xml:space="preserve">The event concept is finalized to address hidden biases, workplace inequality, and inclusive leadership. </w:t>
      </w:r>
      <w:r w:rsidR="006D5DA1" w:rsidRPr="000252DE">
        <w:rPr>
          <w:rFonts w:cs="Times New Roman"/>
          <w:szCs w:val="24"/>
        </w:rPr>
        <w:t>T</w:t>
      </w:r>
      <w:r w:rsidRPr="000252DE">
        <w:rPr>
          <w:rFonts w:cs="Times New Roman"/>
          <w:szCs w:val="24"/>
        </w:rPr>
        <w:t xml:space="preserve">he QEII Centre </w:t>
      </w:r>
      <w:r w:rsidR="006D5DA1" w:rsidRPr="000252DE">
        <w:rPr>
          <w:rFonts w:cs="Times New Roman"/>
          <w:szCs w:val="24"/>
        </w:rPr>
        <w:t xml:space="preserve">is chosen </w:t>
      </w:r>
      <w:r w:rsidRPr="000252DE">
        <w:rPr>
          <w:rFonts w:cs="Times New Roman"/>
          <w:szCs w:val="24"/>
        </w:rPr>
        <w:t>for its range of modern facilities, access</w:t>
      </w:r>
      <w:r w:rsidR="006D5DA1" w:rsidRPr="000252DE">
        <w:rPr>
          <w:rFonts w:cs="Times New Roman"/>
          <w:szCs w:val="24"/>
        </w:rPr>
        <w:t>ibility</w:t>
      </w:r>
      <w:r w:rsidRPr="000252DE">
        <w:rPr>
          <w:rFonts w:cs="Times New Roman"/>
          <w:szCs w:val="24"/>
        </w:rPr>
        <w:t xml:space="preserve"> and proximity to transport links</w:t>
      </w:r>
      <w:r w:rsidR="005E5690" w:rsidRPr="000252DE">
        <w:rPr>
          <w:rFonts w:cs="Times New Roman"/>
          <w:szCs w:val="24"/>
        </w:rPr>
        <w:t xml:space="preserve"> (Limevenueportfolio.com, 2019)</w:t>
      </w:r>
      <w:r w:rsidRPr="000252DE">
        <w:rPr>
          <w:rFonts w:cs="Times New Roman"/>
          <w:szCs w:val="24"/>
        </w:rPr>
        <w:t xml:space="preserve">. </w:t>
      </w:r>
      <w:r w:rsidR="006D5DA1" w:rsidRPr="000252DE">
        <w:rPr>
          <w:rFonts w:cs="Times New Roman"/>
          <w:szCs w:val="24"/>
        </w:rPr>
        <w:t xml:space="preserve">A budget of £230,000 is set with </w:t>
      </w:r>
      <w:proofErr w:type="spellStart"/>
      <w:r w:rsidR="006D5DA1" w:rsidRPr="000252DE">
        <w:rPr>
          <w:rFonts w:cs="Times New Roman"/>
          <w:szCs w:val="24"/>
        </w:rPr>
        <w:t>s</w:t>
      </w:r>
      <w:r w:rsidRPr="000252DE">
        <w:rPr>
          <w:rFonts w:cs="Times New Roman"/>
          <w:szCs w:val="24"/>
        </w:rPr>
        <w:t>ponsor</w:t>
      </w:r>
      <w:r w:rsidR="006D5DA1" w:rsidRPr="000252DE">
        <w:rPr>
          <w:rFonts w:cs="Times New Roman"/>
          <w:szCs w:val="24"/>
        </w:rPr>
        <w:t>shio</w:t>
      </w:r>
      <w:proofErr w:type="spellEnd"/>
      <w:r w:rsidR="006D5DA1" w:rsidRPr="000252DE">
        <w:rPr>
          <w:rFonts w:cs="Times New Roman"/>
          <w:szCs w:val="24"/>
        </w:rPr>
        <w:t xml:space="preserve"> of £50,000,</w:t>
      </w:r>
      <w:r w:rsidRPr="000252DE">
        <w:rPr>
          <w:rFonts w:cs="Times New Roman"/>
          <w:szCs w:val="24"/>
        </w:rPr>
        <w:t xml:space="preserve"> £150,000</w:t>
      </w:r>
      <w:r w:rsidR="006D5DA1" w:rsidRPr="000252DE">
        <w:rPr>
          <w:rFonts w:cs="Times New Roman"/>
          <w:szCs w:val="24"/>
        </w:rPr>
        <w:t xml:space="preserve"> from ticket sales,</w:t>
      </w:r>
      <w:r w:rsidRPr="000252DE">
        <w:rPr>
          <w:rFonts w:cs="Times New Roman"/>
          <w:szCs w:val="24"/>
        </w:rPr>
        <w:t xml:space="preserve"> </w:t>
      </w:r>
      <w:r w:rsidR="006D5DA1" w:rsidRPr="000252DE">
        <w:rPr>
          <w:rFonts w:cs="Times New Roman"/>
          <w:szCs w:val="24"/>
        </w:rPr>
        <w:t xml:space="preserve">and </w:t>
      </w:r>
      <w:r w:rsidRPr="000252DE">
        <w:rPr>
          <w:rFonts w:cs="Times New Roman"/>
          <w:szCs w:val="24"/>
        </w:rPr>
        <w:t>£25,000</w:t>
      </w:r>
      <w:r w:rsidR="006D5DA1" w:rsidRPr="000252DE">
        <w:rPr>
          <w:rFonts w:cs="Times New Roman"/>
          <w:szCs w:val="24"/>
        </w:rPr>
        <w:t xml:space="preserve"> from </w:t>
      </w:r>
      <w:proofErr w:type="spellStart"/>
      <w:r w:rsidR="006D5DA1" w:rsidRPr="000252DE">
        <w:rPr>
          <w:rFonts w:cs="Times New Roman"/>
          <w:szCs w:val="24"/>
        </w:rPr>
        <w:t>exibitors</w:t>
      </w:r>
      <w:proofErr w:type="spellEnd"/>
      <w:r w:rsidRPr="000252DE">
        <w:rPr>
          <w:rFonts w:cs="Times New Roman"/>
          <w:szCs w:val="24"/>
        </w:rPr>
        <w:t xml:space="preserve">. </w:t>
      </w:r>
      <w:r w:rsidR="006D5DA1" w:rsidRPr="000252DE">
        <w:rPr>
          <w:rFonts w:cs="Times New Roman"/>
          <w:szCs w:val="24"/>
        </w:rPr>
        <w:t>T</w:t>
      </w:r>
      <w:r w:rsidRPr="000252DE">
        <w:rPr>
          <w:rFonts w:cs="Times New Roman"/>
          <w:szCs w:val="24"/>
        </w:rPr>
        <w:t xml:space="preserve">he target audience </w:t>
      </w:r>
      <w:r w:rsidR="006D5DA1" w:rsidRPr="000252DE">
        <w:rPr>
          <w:rFonts w:cs="Times New Roman"/>
          <w:szCs w:val="24"/>
        </w:rPr>
        <w:t>includes c</w:t>
      </w:r>
      <w:r w:rsidRPr="000252DE">
        <w:rPr>
          <w:rFonts w:cs="Times New Roman"/>
          <w:szCs w:val="24"/>
        </w:rPr>
        <w:t xml:space="preserve">orporate leaders, HR professionals, DEI consultants, </w:t>
      </w:r>
      <w:r w:rsidR="006D5DA1" w:rsidRPr="000252DE">
        <w:rPr>
          <w:rFonts w:cs="Times New Roman"/>
          <w:szCs w:val="24"/>
        </w:rPr>
        <w:t xml:space="preserve">and </w:t>
      </w:r>
      <w:r w:rsidRPr="000252DE">
        <w:rPr>
          <w:rFonts w:cs="Times New Roman"/>
          <w:szCs w:val="24"/>
        </w:rPr>
        <w:t>NGOs.</w:t>
      </w:r>
    </w:p>
    <w:p w14:paraId="4B2EA689" w14:textId="77777777" w:rsidR="00584A8B" w:rsidRPr="000252DE" w:rsidRDefault="00584A8B" w:rsidP="000252DE">
      <w:pPr>
        <w:pStyle w:val="Heading2"/>
        <w:numPr>
          <w:ilvl w:val="1"/>
          <w:numId w:val="2"/>
        </w:numPr>
        <w:spacing w:beforeLines="160" w:before="384" w:afterLines="160" w:after="384"/>
        <w:rPr>
          <w:rFonts w:cs="Times New Roman"/>
          <w:szCs w:val="24"/>
        </w:rPr>
      </w:pPr>
      <w:bookmarkStart w:id="11" w:name="_Toc190365936"/>
      <w:r w:rsidRPr="000252DE">
        <w:rPr>
          <w:szCs w:val="24"/>
        </w:rPr>
        <w:t>Planning</w:t>
      </w:r>
      <w:bookmarkEnd w:id="11"/>
    </w:p>
    <w:p w14:paraId="4B2EA68A" w14:textId="77777777" w:rsidR="00584A8B" w:rsidRPr="000252DE" w:rsidRDefault="005672A5" w:rsidP="000252DE">
      <w:pPr>
        <w:spacing w:beforeLines="160" w:before="384" w:afterLines="160" w:after="384"/>
        <w:rPr>
          <w:rFonts w:cs="Times New Roman"/>
          <w:szCs w:val="24"/>
          <w:lang w:val="en-US"/>
        </w:rPr>
      </w:pPr>
      <w:r w:rsidRPr="000252DE">
        <w:rPr>
          <w:rFonts w:cs="Times New Roman"/>
          <w:szCs w:val="24"/>
        </w:rPr>
        <w:t xml:space="preserve">A speaker </w:t>
      </w:r>
      <w:r w:rsidR="00584A8B" w:rsidRPr="000252DE">
        <w:rPr>
          <w:rFonts w:cs="Times New Roman"/>
          <w:szCs w:val="24"/>
        </w:rPr>
        <w:t xml:space="preserve">coordination team </w:t>
      </w:r>
      <w:r w:rsidRPr="000252DE">
        <w:rPr>
          <w:rFonts w:cs="Times New Roman"/>
          <w:szCs w:val="24"/>
        </w:rPr>
        <w:t>ensures</w:t>
      </w:r>
      <w:r w:rsidR="00584A8B" w:rsidRPr="000252DE">
        <w:rPr>
          <w:rFonts w:cs="Times New Roman"/>
          <w:szCs w:val="24"/>
        </w:rPr>
        <w:t xml:space="preserve"> </w:t>
      </w:r>
      <w:r w:rsidRPr="000252DE">
        <w:rPr>
          <w:rFonts w:cs="Times New Roman"/>
          <w:szCs w:val="24"/>
        </w:rPr>
        <w:t>high-profile</w:t>
      </w:r>
      <w:r w:rsidR="00584A8B" w:rsidRPr="000252DE">
        <w:rPr>
          <w:rFonts w:cs="Times New Roman"/>
          <w:szCs w:val="24"/>
        </w:rPr>
        <w:t xml:space="preserve"> DEI experts, ensuring </w:t>
      </w:r>
      <w:r w:rsidRPr="000252DE">
        <w:rPr>
          <w:szCs w:val="24"/>
        </w:rPr>
        <w:t>diverse representation</w:t>
      </w:r>
      <w:r w:rsidR="00584A8B" w:rsidRPr="000252DE">
        <w:rPr>
          <w:rFonts w:cs="Times New Roman"/>
          <w:szCs w:val="24"/>
        </w:rPr>
        <w:t xml:space="preserve">. Confirmed sponsors and exhibitors include organizations investing in inclusive policies in workplaces and institutions. Marketing teams </w:t>
      </w:r>
      <w:r w:rsidRPr="000252DE">
        <w:rPr>
          <w:rFonts w:cs="Times New Roman"/>
          <w:szCs w:val="24"/>
        </w:rPr>
        <w:t xml:space="preserve">launch LinkedIn campaigns and email </w:t>
      </w:r>
      <w:r w:rsidR="00584A8B" w:rsidRPr="000252DE">
        <w:rPr>
          <w:rFonts w:cs="Times New Roman"/>
          <w:szCs w:val="24"/>
        </w:rPr>
        <w:t xml:space="preserve">outreach </w:t>
      </w:r>
      <w:r w:rsidRPr="000252DE">
        <w:rPr>
          <w:rFonts w:cs="Times New Roman"/>
          <w:szCs w:val="24"/>
        </w:rPr>
        <w:t>targeting HR executives</w:t>
      </w:r>
      <w:r w:rsidR="00385C5E" w:rsidRPr="000252DE">
        <w:rPr>
          <w:rFonts w:cs="Times New Roman"/>
          <w:szCs w:val="24"/>
        </w:rPr>
        <w:t xml:space="preserve"> (</w:t>
      </w:r>
      <w:r w:rsidR="00385C5E" w:rsidRPr="000252DE">
        <w:rPr>
          <w:szCs w:val="24"/>
          <w:lang w:val="en-US"/>
        </w:rPr>
        <w:t>Kipnis et al., 2021</w:t>
      </w:r>
      <w:r w:rsidR="00385C5E" w:rsidRPr="000252DE">
        <w:rPr>
          <w:rFonts w:cs="Times New Roman"/>
          <w:szCs w:val="24"/>
        </w:rPr>
        <w:t>)</w:t>
      </w:r>
      <w:r w:rsidRPr="000252DE">
        <w:rPr>
          <w:rFonts w:cs="Times New Roman"/>
          <w:szCs w:val="24"/>
        </w:rPr>
        <w:t xml:space="preserve">. </w:t>
      </w:r>
      <w:r w:rsidRPr="000252DE">
        <w:rPr>
          <w:szCs w:val="24"/>
        </w:rPr>
        <w:t xml:space="preserve">Event resources such as </w:t>
      </w:r>
      <w:r w:rsidR="00584A8B" w:rsidRPr="000252DE">
        <w:rPr>
          <w:rFonts w:cs="Times New Roman"/>
          <w:szCs w:val="24"/>
        </w:rPr>
        <w:t>signage, programs, merc</w:t>
      </w:r>
      <w:r w:rsidRPr="000252DE">
        <w:rPr>
          <w:rFonts w:cs="Times New Roman"/>
          <w:szCs w:val="24"/>
        </w:rPr>
        <w:t>handise are designed and ordered</w:t>
      </w:r>
      <w:r w:rsidR="00584A8B" w:rsidRPr="000252DE">
        <w:rPr>
          <w:rFonts w:cs="Times New Roman"/>
          <w:szCs w:val="24"/>
        </w:rPr>
        <w:t xml:space="preserve">. The technical team finalizes AV </w:t>
      </w:r>
      <w:r w:rsidRPr="000252DE">
        <w:rPr>
          <w:rFonts w:cs="Times New Roman"/>
          <w:szCs w:val="24"/>
        </w:rPr>
        <w:t>setup</w:t>
      </w:r>
      <w:r w:rsidR="00584A8B" w:rsidRPr="000252DE">
        <w:rPr>
          <w:rFonts w:cs="Times New Roman"/>
          <w:szCs w:val="24"/>
        </w:rPr>
        <w:t>, ensuring all rooms have microphones, projectors and additional aids for accessibility</w:t>
      </w:r>
      <w:r w:rsidR="00385C5E" w:rsidRPr="000252DE">
        <w:rPr>
          <w:rFonts w:cs="Times New Roman"/>
          <w:szCs w:val="24"/>
        </w:rPr>
        <w:t xml:space="preserve"> </w:t>
      </w:r>
      <w:r w:rsidR="00385C5E" w:rsidRPr="000252DE">
        <w:rPr>
          <w:rFonts w:cs="Times New Roman"/>
          <w:szCs w:val="24"/>
          <w:lang w:val="en-US"/>
        </w:rPr>
        <w:t>(Limevenueportfolio.com, 2019)</w:t>
      </w:r>
      <w:r w:rsidR="00584A8B" w:rsidRPr="000252DE">
        <w:rPr>
          <w:rFonts w:cs="Times New Roman"/>
          <w:szCs w:val="24"/>
        </w:rPr>
        <w:t xml:space="preserve">. The catering team coordinates for </w:t>
      </w:r>
      <w:r w:rsidRPr="000252DE">
        <w:rPr>
          <w:rFonts w:cs="Times New Roman"/>
          <w:szCs w:val="24"/>
        </w:rPr>
        <w:t>diverse</w:t>
      </w:r>
      <w:r w:rsidR="00584A8B" w:rsidRPr="000252DE">
        <w:rPr>
          <w:rFonts w:cs="Times New Roman"/>
          <w:szCs w:val="24"/>
        </w:rPr>
        <w:t xml:space="preserve"> dietary needs, such as vegan, halal, and gluten-free</w:t>
      </w:r>
      <w:r w:rsidRPr="000252DE">
        <w:rPr>
          <w:rFonts w:cs="Times New Roman"/>
          <w:szCs w:val="24"/>
        </w:rPr>
        <w:t xml:space="preserve"> </w:t>
      </w:r>
      <w:r w:rsidR="00584A8B" w:rsidRPr="000252DE">
        <w:rPr>
          <w:rFonts w:cs="Times New Roman"/>
          <w:szCs w:val="24"/>
        </w:rPr>
        <w:t>meal options.</w:t>
      </w:r>
    </w:p>
    <w:p w14:paraId="4B2EA68B" w14:textId="77777777" w:rsidR="00584A8B" w:rsidRPr="000252DE" w:rsidRDefault="00A4467A" w:rsidP="000252DE">
      <w:pPr>
        <w:pStyle w:val="Heading2"/>
        <w:numPr>
          <w:ilvl w:val="0"/>
          <w:numId w:val="0"/>
        </w:numPr>
        <w:spacing w:beforeLines="160" w:before="384" w:afterLines="160" w:after="384"/>
        <w:ind w:left="576" w:hanging="576"/>
        <w:rPr>
          <w:szCs w:val="24"/>
        </w:rPr>
      </w:pPr>
      <w:bookmarkStart w:id="12" w:name="_Toc190365937"/>
      <w:r w:rsidRPr="000252DE">
        <w:rPr>
          <w:szCs w:val="24"/>
        </w:rPr>
        <w:lastRenderedPageBreak/>
        <w:t>5</w:t>
      </w:r>
      <w:r w:rsidR="005672A5" w:rsidRPr="000252DE">
        <w:rPr>
          <w:szCs w:val="24"/>
        </w:rPr>
        <w:t>.3</w:t>
      </w:r>
      <w:r w:rsidR="005672A5" w:rsidRPr="000252DE">
        <w:rPr>
          <w:szCs w:val="24"/>
        </w:rPr>
        <w:tab/>
        <w:t>Implementation</w:t>
      </w:r>
      <w:bookmarkEnd w:id="12"/>
    </w:p>
    <w:p w14:paraId="4B2EA68C" w14:textId="77777777" w:rsidR="00584A8B" w:rsidRPr="000252DE" w:rsidRDefault="00584A8B" w:rsidP="000252DE">
      <w:pPr>
        <w:spacing w:beforeLines="160" w:before="384" w:afterLines="160" w:after="384"/>
        <w:rPr>
          <w:rFonts w:cs="Times New Roman"/>
          <w:szCs w:val="24"/>
        </w:rPr>
      </w:pPr>
      <w:r w:rsidRPr="000252DE">
        <w:rPr>
          <w:rFonts w:cs="Times New Roman"/>
          <w:szCs w:val="24"/>
        </w:rPr>
        <w:t xml:space="preserve">The content and program development team </w:t>
      </w:r>
      <w:r w:rsidR="005672A5" w:rsidRPr="000252DE">
        <w:rPr>
          <w:szCs w:val="24"/>
        </w:rPr>
        <w:t xml:space="preserve">finalizes </w:t>
      </w:r>
      <w:r w:rsidRPr="000252DE">
        <w:rPr>
          <w:rFonts w:cs="Times New Roman"/>
          <w:szCs w:val="24"/>
        </w:rPr>
        <w:t>the agenda</w:t>
      </w:r>
      <w:r w:rsidR="005672A5" w:rsidRPr="000252DE">
        <w:rPr>
          <w:rFonts w:cs="Times New Roman"/>
          <w:szCs w:val="24"/>
        </w:rPr>
        <w:t>,</w:t>
      </w:r>
      <w:r w:rsidRPr="000252DE">
        <w:rPr>
          <w:rFonts w:cs="Times New Roman"/>
          <w:szCs w:val="24"/>
        </w:rPr>
        <w:t xml:space="preserve"> </w:t>
      </w:r>
      <w:r w:rsidR="005672A5" w:rsidRPr="000252DE">
        <w:rPr>
          <w:rFonts w:cs="Times New Roman"/>
          <w:szCs w:val="24"/>
        </w:rPr>
        <w:t>including</w:t>
      </w:r>
      <w:r w:rsidRPr="000252DE">
        <w:rPr>
          <w:rFonts w:cs="Times New Roman"/>
          <w:szCs w:val="24"/>
        </w:rPr>
        <w:t xml:space="preserve"> keynotes from industry leaders with interactive panel discussions </w:t>
      </w:r>
      <w:r w:rsidR="005672A5" w:rsidRPr="000252DE">
        <w:rPr>
          <w:rFonts w:cs="Times New Roman"/>
          <w:szCs w:val="24"/>
        </w:rPr>
        <w:t>on</w:t>
      </w:r>
      <w:r w:rsidRPr="000252DE">
        <w:rPr>
          <w:rFonts w:cs="Times New Roman"/>
          <w:szCs w:val="24"/>
        </w:rPr>
        <w:t xml:space="preserve"> gender, disability, and LGBTQ+ inclusion</w:t>
      </w:r>
      <w:r w:rsidR="00385C5E" w:rsidRPr="000252DE">
        <w:rPr>
          <w:rFonts w:cs="Times New Roman"/>
          <w:szCs w:val="24"/>
        </w:rPr>
        <w:t xml:space="preserve"> (</w:t>
      </w:r>
      <w:r w:rsidR="00385C5E" w:rsidRPr="000252DE">
        <w:rPr>
          <w:szCs w:val="24"/>
          <w:lang w:val="en-US"/>
        </w:rPr>
        <w:t>Ball, 2025</w:t>
      </w:r>
      <w:r w:rsidR="00385C5E" w:rsidRPr="000252DE">
        <w:rPr>
          <w:rFonts w:cs="Times New Roman"/>
          <w:szCs w:val="24"/>
        </w:rPr>
        <w:t>)</w:t>
      </w:r>
      <w:r w:rsidRPr="000252DE">
        <w:rPr>
          <w:rFonts w:cs="Times New Roman"/>
          <w:szCs w:val="24"/>
        </w:rPr>
        <w:t xml:space="preserve">. </w:t>
      </w:r>
      <w:proofErr w:type="gramStart"/>
      <w:r w:rsidRPr="000252DE">
        <w:rPr>
          <w:rFonts w:cs="Times New Roman"/>
          <w:szCs w:val="24"/>
        </w:rPr>
        <w:t>A </w:t>
      </w:r>
      <w:r w:rsidR="005672A5" w:rsidRPr="000252DE">
        <w:rPr>
          <w:rFonts w:cs="Times New Roman"/>
          <w:szCs w:val="24"/>
        </w:rPr>
        <w:t xml:space="preserve"> workshop</w:t>
      </w:r>
      <w:proofErr w:type="gramEnd"/>
      <w:r w:rsidR="005672A5" w:rsidRPr="000252DE">
        <w:rPr>
          <w:rFonts w:cs="Times New Roman"/>
          <w:szCs w:val="24"/>
        </w:rPr>
        <w:t xml:space="preserve"> </w:t>
      </w:r>
      <w:r w:rsidRPr="000252DE">
        <w:rPr>
          <w:rFonts w:cs="Times New Roman"/>
          <w:szCs w:val="24"/>
        </w:rPr>
        <w:t>team curates sessions</w:t>
      </w:r>
      <w:r w:rsidR="005672A5" w:rsidRPr="000252DE">
        <w:rPr>
          <w:rFonts w:cs="Times New Roman"/>
          <w:szCs w:val="24"/>
        </w:rPr>
        <w:t xml:space="preserve"> </w:t>
      </w:r>
      <w:r w:rsidRPr="000252DE">
        <w:rPr>
          <w:rFonts w:cs="Times New Roman"/>
          <w:szCs w:val="24"/>
        </w:rPr>
        <w:t>such as “Breaking Hidden Biases” an</w:t>
      </w:r>
      <w:r w:rsidR="005672A5" w:rsidRPr="000252DE">
        <w:rPr>
          <w:rFonts w:cs="Times New Roman"/>
          <w:szCs w:val="24"/>
        </w:rPr>
        <w:t>d “Practical DEI Implementation</w:t>
      </w:r>
      <w:r w:rsidRPr="000252DE">
        <w:rPr>
          <w:rFonts w:cs="Times New Roman"/>
          <w:szCs w:val="24"/>
        </w:rPr>
        <w:t>”</w:t>
      </w:r>
      <w:r w:rsidR="005672A5" w:rsidRPr="000252DE">
        <w:rPr>
          <w:rFonts w:cs="Times New Roman"/>
          <w:szCs w:val="24"/>
        </w:rPr>
        <w:t xml:space="preserve"> to provide hands-on strategies. </w:t>
      </w:r>
      <w:r w:rsidRPr="000252DE">
        <w:rPr>
          <w:rFonts w:cs="Times New Roman"/>
          <w:szCs w:val="24"/>
        </w:rPr>
        <w:t xml:space="preserve">The event registration and check-in team </w:t>
      </w:r>
      <w:proofErr w:type="gramStart"/>
      <w:r w:rsidRPr="000252DE">
        <w:rPr>
          <w:rFonts w:cs="Times New Roman"/>
          <w:szCs w:val="24"/>
        </w:rPr>
        <w:t>works</w:t>
      </w:r>
      <w:proofErr w:type="gramEnd"/>
      <w:r w:rsidRPr="000252DE">
        <w:rPr>
          <w:rFonts w:cs="Times New Roman"/>
          <w:szCs w:val="24"/>
        </w:rPr>
        <w:t xml:space="preserve"> </w:t>
      </w:r>
      <w:r w:rsidR="005672A5" w:rsidRPr="000252DE">
        <w:rPr>
          <w:rFonts w:cs="Times New Roman"/>
          <w:szCs w:val="24"/>
        </w:rPr>
        <w:t>set up an online system for</w:t>
      </w:r>
      <w:r w:rsidRPr="000252DE">
        <w:rPr>
          <w:rFonts w:cs="Times New Roman"/>
          <w:szCs w:val="24"/>
        </w:rPr>
        <w:t xml:space="preserve"> check-in and check-in </w:t>
      </w:r>
      <w:r w:rsidR="005672A5" w:rsidRPr="000252DE">
        <w:rPr>
          <w:rFonts w:cs="Times New Roman"/>
          <w:szCs w:val="24"/>
        </w:rPr>
        <w:t>and QR code-based entry</w:t>
      </w:r>
      <w:r w:rsidRPr="000252DE">
        <w:rPr>
          <w:rFonts w:cs="Times New Roman"/>
          <w:szCs w:val="24"/>
        </w:rPr>
        <w:t>. In fact, IT teams r</w:t>
      </w:r>
      <w:r w:rsidR="00D505C1" w:rsidRPr="000252DE">
        <w:rPr>
          <w:rFonts w:cs="Times New Roman"/>
          <w:szCs w:val="24"/>
        </w:rPr>
        <w:t xml:space="preserve">un system tests </w:t>
      </w:r>
      <w:r w:rsidRPr="000252DE">
        <w:rPr>
          <w:rFonts w:cs="Times New Roman"/>
          <w:szCs w:val="24"/>
        </w:rPr>
        <w:t xml:space="preserve">to avoid technical </w:t>
      </w:r>
      <w:r w:rsidR="00D505C1" w:rsidRPr="000252DE">
        <w:rPr>
          <w:rFonts w:cs="Times New Roman"/>
          <w:szCs w:val="24"/>
        </w:rPr>
        <w:t>issues</w:t>
      </w:r>
      <w:r w:rsidRPr="000252DE">
        <w:rPr>
          <w:rFonts w:cs="Times New Roman"/>
          <w:szCs w:val="24"/>
        </w:rPr>
        <w:t xml:space="preserve">. Risk assessments are completed </w:t>
      </w:r>
      <w:r w:rsidR="00D505C1" w:rsidRPr="000252DE">
        <w:rPr>
          <w:rFonts w:cs="Times New Roman"/>
          <w:szCs w:val="24"/>
        </w:rPr>
        <w:t xml:space="preserve">by security personnel, keeping the </w:t>
      </w:r>
      <w:r w:rsidRPr="000252DE">
        <w:rPr>
          <w:rFonts w:cs="Times New Roman"/>
          <w:szCs w:val="24"/>
        </w:rPr>
        <w:t xml:space="preserve">safety of all attendees </w:t>
      </w:r>
      <w:r w:rsidR="00D505C1" w:rsidRPr="000252DE">
        <w:rPr>
          <w:rFonts w:cs="Times New Roman"/>
          <w:szCs w:val="24"/>
        </w:rPr>
        <w:t xml:space="preserve">at </w:t>
      </w:r>
      <w:r w:rsidRPr="000252DE">
        <w:rPr>
          <w:rFonts w:cs="Times New Roman"/>
          <w:szCs w:val="24"/>
        </w:rPr>
        <w:t>top priority.</w:t>
      </w:r>
    </w:p>
    <w:p w14:paraId="4B2EA68D" w14:textId="77777777" w:rsidR="00584A8B" w:rsidRPr="000252DE" w:rsidRDefault="00A4467A" w:rsidP="000252DE">
      <w:pPr>
        <w:pStyle w:val="Heading2"/>
        <w:numPr>
          <w:ilvl w:val="0"/>
          <w:numId w:val="0"/>
        </w:numPr>
        <w:spacing w:beforeLines="160" w:before="384" w:afterLines="160" w:after="384"/>
        <w:ind w:left="576" w:hanging="576"/>
        <w:rPr>
          <w:rFonts w:cs="Times New Roman"/>
          <w:szCs w:val="24"/>
        </w:rPr>
      </w:pPr>
      <w:bookmarkStart w:id="13" w:name="_Toc190365938"/>
      <w:r w:rsidRPr="000252DE">
        <w:rPr>
          <w:szCs w:val="24"/>
        </w:rPr>
        <w:t>5</w:t>
      </w:r>
      <w:r w:rsidR="00D505C1" w:rsidRPr="000252DE">
        <w:rPr>
          <w:szCs w:val="24"/>
        </w:rPr>
        <w:t>.</w:t>
      </w:r>
      <w:r w:rsidR="00A97FD2" w:rsidRPr="000252DE">
        <w:rPr>
          <w:szCs w:val="24"/>
        </w:rPr>
        <w:t>4</w:t>
      </w:r>
      <w:r w:rsidR="00D505C1" w:rsidRPr="000252DE">
        <w:rPr>
          <w:szCs w:val="24"/>
        </w:rPr>
        <w:tab/>
        <w:t>Event</w:t>
      </w:r>
      <w:bookmarkEnd w:id="13"/>
    </w:p>
    <w:p w14:paraId="4B2EA68E" w14:textId="77777777" w:rsidR="00584A8B" w:rsidRPr="000252DE" w:rsidRDefault="00D505C1" w:rsidP="000252DE">
      <w:pPr>
        <w:spacing w:beforeLines="160" w:before="384" w:afterLines="160" w:after="384"/>
        <w:rPr>
          <w:rFonts w:cs="Times New Roman"/>
          <w:szCs w:val="24"/>
        </w:rPr>
      </w:pPr>
      <w:r w:rsidRPr="000252DE">
        <w:rPr>
          <w:rFonts w:cs="Times New Roman"/>
          <w:szCs w:val="24"/>
        </w:rPr>
        <w:t>The event opens with a keynote from a Fortune 500 DEI leader, setting the tone for workplace transformation</w:t>
      </w:r>
      <w:r w:rsidR="00584A8B" w:rsidRPr="000252DE">
        <w:rPr>
          <w:rFonts w:cs="Times New Roman"/>
          <w:szCs w:val="24"/>
        </w:rPr>
        <w:t>. Attendees part</w:t>
      </w:r>
      <w:r w:rsidRPr="000252DE">
        <w:rPr>
          <w:rFonts w:cs="Times New Roman"/>
          <w:szCs w:val="24"/>
        </w:rPr>
        <w:t>icipates</w:t>
      </w:r>
      <w:r w:rsidR="00584A8B" w:rsidRPr="000252DE">
        <w:rPr>
          <w:rFonts w:cs="Times New Roman"/>
          <w:szCs w:val="24"/>
        </w:rPr>
        <w:t xml:space="preserve"> in panel discussions on intersectionality, inclusive hiring, and overcoming sy</w:t>
      </w:r>
      <w:r w:rsidRPr="000252DE">
        <w:rPr>
          <w:rFonts w:cs="Times New Roman"/>
          <w:szCs w:val="24"/>
        </w:rPr>
        <w:t>stemic barriers</w:t>
      </w:r>
      <w:r w:rsidR="00385C5E" w:rsidRPr="000252DE">
        <w:rPr>
          <w:rFonts w:cs="Times New Roman"/>
          <w:szCs w:val="24"/>
        </w:rPr>
        <w:t xml:space="preserve"> (</w:t>
      </w:r>
      <w:r w:rsidR="00385C5E" w:rsidRPr="000252DE">
        <w:rPr>
          <w:szCs w:val="24"/>
          <w:lang w:val="en-US"/>
        </w:rPr>
        <w:t>The National Diversity &amp; Inclusion Conference, 2025</w:t>
      </w:r>
      <w:r w:rsidR="00385C5E" w:rsidRPr="000252DE">
        <w:rPr>
          <w:rFonts w:cs="Times New Roman"/>
          <w:szCs w:val="24"/>
        </w:rPr>
        <w:t>)</w:t>
      </w:r>
      <w:r w:rsidRPr="000252DE">
        <w:rPr>
          <w:rFonts w:cs="Times New Roman"/>
          <w:szCs w:val="24"/>
        </w:rPr>
        <w:t xml:space="preserve">. Moderators guide discussions </w:t>
      </w:r>
      <w:r w:rsidRPr="000252DE">
        <w:rPr>
          <w:szCs w:val="24"/>
        </w:rPr>
        <w:t>to ensure engagement and solution-driven conversations</w:t>
      </w:r>
      <w:r w:rsidR="00584A8B" w:rsidRPr="000252DE">
        <w:rPr>
          <w:rFonts w:cs="Times New Roman"/>
          <w:szCs w:val="24"/>
        </w:rPr>
        <w:t>. Exhibitor booths highlight inclus</w:t>
      </w:r>
      <w:r w:rsidRPr="000252DE">
        <w:rPr>
          <w:rFonts w:cs="Times New Roman"/>
          <w:szCs w:val="24"/>
        </w:rPr>
        <w:t xml:space="preserve">ive workplace technologies and services. An </w:t>
      </w:r>
      <w:r w:rsidR="00584A8B" w:rsidRPr="000252DE">
        <w:rPr>
          <w:rFonts w:cs="Times New Roman"/>
          <w:szCs w:val="24"/>
        </w:rPr>
        <w:t xml:space="preserve">accessibility team is on hand to help attendees with disabilities. </w:t>
      </w:r>
      <w:r w:rsidRPr="000252DE">
        <w:rPr>
          <w:rFonts w:cs="Times New Roman"/>
          <w:szCs w:val="24"/>
        </w:rPr>
        <w:t>S</w:t>
      </w:r>
      <w:r w:rsidR="00584A8B" w:rsidRPr="000252DE">
        <w:rPr>
          <w:rFonts w:cs="Times New Roman"/>
          <w:szCs w:val="24"/>
        </w:rPr>
        <w:t xml:space="preserve">ocial media teams live-stream key sessions and </w:t>
      </w:r>
      <w:r w:rsidRPr="000252DE">
        <w:rPr>
          <w:rFonts w:cs="Times New Roman"/>
          <w:szCs w:val="24"/>
        </w:rPr>
        <w:t xml:space="preserve">post real </w:t>
      </w:r>
      <w:r w:rsidR="00584A8B" w:rsidRPr="000252DE">
        <w:rPr>
          <w:rFonts w:cs="Times New Roman"/>
          <w:szCs w:val="24"/>
        </w:rPr>
        <w:t xml:space="preserve">time on Twitter and LinkedIn. Security and venue team facilitate crowd </w:t>
      </w:r>
      <w:r w:rsidRPr="000252DE">
        <w:rPr>
          <w:rFonts w:cs="Times New Roman"/>
          <w:szCs w:val="24"/>
        </w:rPr>
        <w:t xml:space="preserve">management </w:t>
      </w:r>
      <w:r w:rsidR="00584A8B" w:rsidRPr="000252DE">
        <w:rPr>
          <w:rFonts w:cs="Times New Roman"/>
          <w:szCs w:val="24"/>
        </w:rPr>
        <w:t xml:space="preserve">and </w:t>
      </w:r>
      <w:r w:rsidRPr="000252DE">
        <w:rPr>
          <w:szCs w:val="24"/>
        </w:rPr>
        <w:t xml:space="preserve">smooth transitions </w:t>
      </w:r>
      <w:r w:rsidR="00584A8B" w:rsidRPr="000252DE">
        <w:rPr>
          <w:rFonts w:cs="Times New Roman"/>
          <w:szCs w:val="24"/>
        </w:rPr>
        <w:t>between sessions.</w:t>
      </w:r>
    </w:p>
    <w:p w14:paraId="4B2EA68F" w14:textId="77777777" w:rsidR="00584A8B" w:rsidRPr="000252DE" w:rsidRDefault="00A4467A" w:rsidP="000252DE">
      <w:pPr>
        <w:pStyle w:val="Heading2"/>
        <w:numPr>
          <w:ilvl w:val="0"/>
          <w:numId w:val="0"/>
        </w:numPr>
        <w:spacing w:beforeLines="160" w:before="384" w:afterLines="160" w:after="384"/>
        <w:ind w:left="576" w:hanging="576"/>
        <w:rPr>
          <w:rFonts w:cs="Times New Roman"/>
          <w:szCs w:val="24"/>
        </w:rPr>
      </w:pPr>
      <w:bookmarkStart w:id="14" w:name="_Toc190365939"/>
      <w:r w:rsidRPr="000252DE">
        <w:rPr>
          <w:szCs w:val="24"/>
        </w:rPr>
        <w:t>5</w:t>
      </w:r>
      <w:r w:rsidR="00A97FD2" w:rsidRPr="000252DE">
        <w:rPr>
          <w:szCs w:val="24"/>
        </w:rPr>
        <w:t>.5</w:t>
      </w:r>
      <w:r w:rsidR="00A97FD2" w:rsidRPr="000252DE">
        <w:rPr>
          <w:szCs w:val="24"/>
        </w:rPr>
        <w:tab/>
        <w:t>Closure</w:t>
      </w:r>
      <w:bookmarkEnd w:id="14"/>
    </w:p>
    <w:p w14:paraId="4B2EA690" w14:textId="77777777" w:rsidR="0043191A" w:rsidRPr="000252DE" w:rsidRDefault="00CA1569" w:rsidP="000252DE">
      <w:pPr>
        <w:spacing w:beforeLines="160" w:before="384" w:afterLines="160" w:after="384"/>
        <w:rPr>
          <w:rFonts w:cs="Times New Roman"/>
          <w:szCs w:val="24"/>
        </w:rPr>
      </w:pPr>
      <w:r w:rsidRPr="000252DE">
        <w:rPr>
          <w:rFonts w:cs="Times New Roman"/>
          <w:szCs w:val="24"/>
        </w:rPr>
        <w:t>P</w:t>
      </w:r>
      <w:r w:rsidR="00584A8B" w:rsidRPr="000252DE">
        <w:rPr>
          <w:rFonts w:cs="Times New Roman"/>
          <w:szCs w:val="24"/>
        </w:rPr>
        <w:t xml:space="preserve">ost-event </w:t>
      </w:r>
      <w:r w:rsidRPr="000252DE">
        <w:rPr>
          <w:rFonts w:cs="Times New Roman"/>
          <w:szCs w:val="24"/>
        </w:rPr>
        <w:t xml:space="preserve">feedback is </w:t>
      </w:r>
      <w:r w:rsidR="00584A8B" w:rsidRPr="000252DE">
        <w:rPr>
          <w:rFonts w:cs="Times New Roman"/>
          <w:szCs w:val="24"/>
        </w:rPr>
        <w:t xml:space="preserve">collected </w:t>
      </w:r>
      <w:r w:rsidRPr="000252DE">
        <w:rPr>
          <w:rFonts w:cs="Times New Roman"/>
          <w:szCs w:val="24"/>
        </w:rPr>
        <w:t xml:space="preserve">through QR </w:t>
      </w:r>
      <w:r w:rsidR="00584A8B" w:rsidRPr="000252DE">
        <w:rPr>
          <w:rFonts w:cs="Times New Roman"/>
          <w:szCs w:val="24"/>
        </w:rPr>
        <w:t xml:space="preserve">codes from surveys </w:t>
      </w:r>
      <w:r w:rsidRPr="000252DE">
        <w:rPr>
          <w:rFonts w:cs="Times New Roman"/>
          <w:szCs w:val="24"/>
        </w:rPr>
        <w:t>measuring</w:t>
      </w:r>
      <w:r w:rsidR="00584A8B" w:rsidRPr="000252DE">
        <w:rPr>
          <w:rFonts w:cs="Times New Roman"/>
          <w:szCs w:val="24"/>
        </w:rPr>
        <w:t xml:space="preserve"> satisfaction and knowledge gained. A</w:t>
      </w:r>
      <w:r w:rsidRPr="000252DE">
        <w:rPr>
          <w:rFonts w:cs="Times New Roman"/>
          <w:szCs w:val="24"/>
        </w:rPr>
        <w:t xml:space="preserve"> detail</w:t>
      </w:r>
      <w:r w:rsidR="00584A8B" w:rsidRPr="000252DE">
        <w:rPr>
          <w:rFonts w:cs="Times New Roman"/>
          <w:szCs w:val="24"/>
        </w:rPr>
        <w:t> financial analysis shows revenue streams from ticket sales, exhibitor fees, and sponsorships, ensuring that the event is profitable. Event highlights and testimonial quotes are used by the marketing team to promote the event</w:t>
      </w:r>
      <w:r w:rsidR="00385C5E" w:rsidRPr="000252DE">
        <w:rPr>
          <w:rFonts w:cs="Times New Roman"/>
          <w:szCs w:val="24"/>
        </w:rPr>
        <w:t xml:space="preserve"> (</w:t>
      </w:r>
      <w:proofErr w:type="spellStart"/>
      <w:r w:rsidR="00385C5E" w:rsidRPr="000252DE">
        <w:rPr>
          <w:szCs w:val="24"/>
          <w:lang w:val="en-US"/>
        </w:rPr>
        <w:t>Wolbring</w:t>
      </w:r>
      <w:proofErr w:type="spellEnd"/>
      <w:r w:rsidR="00385C5E" w:rsidRPr="000252DE">
        <w:rPr>
          <w:szCs w:val="24"/>
          <w:lang w:val="en-US"/>
        </w:rPr>
        <w:t xml:space="preserve"> and Lillywhite, 2021</w:t>
      </w:r>
      <w:r w:rsidR="00385C5E" w:rsidRPr="000252DE">
        <w:rPr>
          <w:rFonts w:cs="Times New Roman"/>
          <w:szCs w:val="24"/>
        </w:rPr>
        <w:t>)</w:t>
      </w:r>
      <w:r w:rsidR="00584A8B" w:rsidRPr="000252DE">
        <w:rPr>
          <w:rFonts w:cs="Times New Roman"/>
          <w:szCs w:val="24"/>
        </w:rPr>
        <w:t xml:space="preserve">. </w:t>
      </w:r>
      <w:r w:rsidRPr="000252DE">
        <w:rPr>
          <w:szCs w:val="24"/>
        </w:rPr>
        <w:t xml:space="preserve">A post-event debrief identifies </w:t>
      </w:r>
      <w:r w:rsidRPr="000252DE">
        <w:rPr>
          <w:rFonts w:cs="Times New Roman"/>
          <w:szCs w:val="24"/>
        </w:rPr>
        <w:t xml:space="preserve">strengths and improvement opportunities. A </w:t>
      </w:r>
      <w:r w:rsidRPr="000252DE">
        <w:rPr>
          <w:szCs w:val="24"/>
        </w:rPr>
        <w:t>follow-up</w:t>
      </w:r>
      <w:r w:rsidR="00584A8B" w:rsidRPr="000252DE">
        <w:rPr>
          <w:rFonts w:cs="Times New Roman"/>
          <w:szCs w:val="24"/>
        </w:rPr>
        <w:t xml:space="preserve"> email campaign </w:t>
      </w:r>
      <w:r w:rsidRPr="000252DE">
        <w:rPr>
          <w:rFonts w:cs="Times New Roman"/>
          <w:szCs w:val="24"/>
        </w:rPr>
        <w:t>provides</w:t>
      </w:r>
      <w:r w:rsidR="00584A8B" w:rsidRPr="000252DE">
        <w:rPr>
          <w:rFonts w:cs="Times New Roman"/>
          <w:szCs w:val="24"/>
        </w:rPr>
        <w:t xml:space="preserve"> </w:t>
      </w:r>
      <w:r w:rsidRPr="000252DE">
        <w:rPr>
          <w:szCs w:val="24"/>
        </w:rPr>
        <w:t xml:space="preserve">attendees with </w:t>
      </w:r>
      <w:r w:rsidRPr="000252DE">
        <w:rPr>
          <w:rFonts w:cs="Times New Roman"/>
          <w:szCs w:val="24"/>
        </w:rPr>
        <w:t>key</w:t>
      </w:r>
      <w:r w:rsidR="00584A8B" w:rsidRPr="000252DE">
        <w:rPr>
          <w:rFonts w:cs="Times New Roman"/>
          <w:szCs w:val="24"/>
        </w:rPr>
        <w:t xml:space="preserve"> takeaways, speaker presentations, and networking contacts.</w:t>
      </w:r>
    </w:p>
    <w:p w14:paraId="4B2EA691" w14:textId="77777777" w:rsidR="00C36C68" w:rsidRPr="000252DE" w:rsidRDefault="00A4467A" w:rsidP="000252DE">
      <w:pPr>
        <w:pStyle w:val="Heading1"/>
        <w:spacing w:beforeLines="160" w:before="384" w:afterLines="160" w:after="384"/>
        <w:rPr>
          <w:rFonts w:cs="Times New Roman"/>
          <w:szCs w:val="24"/>
        </w:rPr>
      </w:pPr>
      <w:bookmarkStart w:id="15" w:name="_Toc190365940"/>
      <w:r w:rsidRPr="000252DE">
        <w:rPr>
          <w:rFonts w:cs="Times New Roman"/>
          <w:szCs w:val="24"/>
        </w:rPr>
        <w:lastRenderedPageBreak/>
        <w:t>Event</w:t>
      </w:r>
      <w:r w:rsidR="00EF2119" w:rsidRPr="000252DE">
        <w:rPr>
          <w:rFonts w:cs="Times New Roman"/>
          <w:szCs w:val="24"/>
        </w:rPr>
        <w:t xml:space="preserve"> Budget</w:t>
      </w:r>
      <w:bookmarkEnd w:id="15"/>
    </w:p>
    <w:p w14:paraId="4B2EA692" w14:textId="77777777" w:rsidR="00A81A36" w:rsidRPr="000252DE" w:rsidRDefault="00A81A36" w:rsidP="000252DE">
      <w:pPr>
        <w:pStyle w:val="Heading2"/>
        <w:numPr>
          <w:ilvl w:val="1"/>
          <w:numId w:val="2"/>
        </w:numPr>
        <w:spacing w:beforeLines="160" w:before="384" w:afterLines="160" w:after="384"/>
        <w:rPr>
          <w:szCs w:val="24"/>
        </w:rPr>
      </w:pPr>
      <w:bookmarkStart w:id="16" w:name="_Toc190365941"/>
      <w:r w:rsidRPr="000252DE">
        <w:rPr>
          <w:rStyle w:val="Strong"/>
          <w:b/>
          <w:bCs w:val="0"/>
          <w:szCs w:val="24"/>
        </w:rPr>
        <w:t>Income Breakdown</w:t>
      </w:r>
      <w:bookmarkEnd w:id="16"/>
    </w:p>
    <w:p w14:paraId="4B2EA693" w14:textId="77777777" w:rsidR="000252DE" w:rsidRPr="000252DE" w:rsidRDefault="000252DE" w:rsidP="000252DE">
      <w:pPr>
        <w:pStyle w:val="Caption"/>
        <w:keepNext/>
        <w:spacing w:beforeLines="160" w:before="384" w:afterLines="160" w:after="384" w:line="360" w:lineRule="auto"/>
        <w:jc w:val="center"/>
        <w:rPr>
          <w:color w:val="auto"/>
          <w:sz w:val="24"/>
          <w:szCs w:val="24"/>
        </w:rPr>
      </w:pPr>
      <w:bookmarkStart w:id="17" w:name="_Toc190365816"/>
      <w:r w:rsidRPr="000252DE">
        <w:rPr>
          <w:color w:val="auto"/>
          <w:sz w:val="24"/>
          <w:szCs w:val="24"/>
        </w:rPr>
        <w:t xml:space="preserve">Table </w:t>
      </w:r>
      <w:r w:rsidRPr="000252DE">
        <w:rPr>
          <w:color w:val="auto"/>
          <w:sz w:val="24"/>
          <w:szCs w:val="24"/>
        </w:rPr>
        <w:fldChar w:fldCharType="begin"/>
      </w:r>
      <w:r w:rsidRPr="000252DE">
        <w:rPr>
          <w:color w:val="auto"/>
          <w:sz w:val="24"/>
          <w:szCs w:val="24"/>
        </w:rPr>
        <w:instrText xml:space="preserve"> SEQ Table \* ARABIC </w:instrText>
      </w:r>
      <w:r w:rsidRPr="000252DE">
        <w:rPr>
          <w:color w:val="auto"/>
          <w:sz w:val="24"/>
          <w:szCs w:val="24"/>
        </w:rPr>
        <w:fldChar w:fldCharType="separate"/>
      </w:r>
      <w:r w:rsidRPr="000252DE">
        <w:rPr>
          <w:color w:val="auto"/>
          <w:sz w:val="24"/>
          <w:szCs w:val="24"/>
        </w:rPr>
        <w:t>1</w:t>
      </w:r>
      <w:r w:rsidRPr="000252DE">
        <w:rPr>
          <w:color w:val="auto"/>
          <w:sz w:val="24"/>
          <w:szCs w:val="24"/>
        </w:rPr>
        <w:fldChar w:fldCharType="end"/>
      </w:r>
      <w:r w:rsidRPr="000252DE">
        <w:rPr>
          <w:color w:val="auto"/>
          <w:sz w:val="24"/>
          <w:szCs w:val="24"/>
        </w:rPr>
        <w:t>: Income Breakdown</w:t>
      </w:r>
      <w:bookmarkEnd w:id="17"/>
    </w:p>
    <w:tbl>
      <w:tblPr>
        <w:tblStyle w:val="GridTable4-Accent2"/>
        <w:tblW w:w="0" w:type="auto"/>
        <w:tblLook w:val="04A0" w:firstRow="1" w:lastRow="0" w:firstColumn="1" w:lastColumn="0" w:noHBand="0" w:noVBand="1"/>
      </w:tblPr>
      <w:tblGrid>
        <w:gridCol w:w="2821"/>
        <w:gridCol w:w="1237"/>
        <w:gridCol w:w="5292"/>
      </w:tblGrid>
      <w:tr w:rsidR="000252DE" w:rsidRPr="000252DE" w14:paraId="4B2EA697" w14:textId="77777777" w:rsidTr="001B57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94" w14:textId="77777777" w:rsidR="00A81A36" w:rsidRPr="000252DE" w:rsidRDefault="00A81A36" w:rsidP="000252DE">
            <w:pPr>
              <w:spacing w:beforeLines="160" w:before="384" w:afterLines="160" w:after="384"/>
              <w:jc w:val="center"/>
              <w:rPr>
                <w:b w:val="0"/>
                <w:color w:val="auto"/>
                <w:szCs w:val="24"/>
              </w:rPr>
            </w:pPr>
            <w:r w:rsidRPr="000252DE">
              <w:rPr>
                <w:rStyle w:val="Strong"/>
                <w:b/>
                <w:color w:val="auto"/>
                <w:szCs w:val="24"/>
              </w:rPr>
              <w:t>Income Sources</w:t>
            </w:r>
          </w:p>
        </w:tc>
        <w:tc>
          <w:tcPr>
            <w:tcW w:w="0" w:type="auto"/>
            <w:hideMark/>
          </w:tcPr>
          <w:p w14:paraId="4B2EA695" w14:textId="77777777" w:rsidR="00A81A36" w:rsidRPr="000252DE" w:rsidRDefault="00A81A36"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Amount (£)</w:t>
            </w:r>
          </w:p>
        </w:tc>
        <w:tc>
          <w:tcPr>
            <w:tcW w:w="0" w:type="auto"/>
            <w:hideMark/>
          </w:tcPr>
          <w:p w14:paraId="4B2EA696" w14:textId="77777777" w:rsidR="00A81A36" w:rsidRPr="000252DE" w:rsidRDefault="00A81A36"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Explanation</w:t>
            </w:r>
          </w:p>
        </w:tc>
      </w:tr>
      <w:tr w:rsidR="000252DE" w:rsidRPr="000252DE" w14:paraId="4B2EA69B"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98" w14:textId="77777777" w:rsidR="00A81A36" w:rsidRPr="000252DE" w:rsidRDefault="00A81A36" w:rsidP="000252DE">
            <w:pPr>
              <w:spacing w:beforeLines="160" w:before="384" w:afterLines="160" w:after="384"/>
              <w:jc w:val="left"/>
              <w:rPr>
                <w:b w:val="0"/>
                <w:bCs w:val="0"/>
                <w:szCs w:val="24"/>
              </w:rPr>
            </w:pPr>
            <w:r w:rsidRPr="000252DE">
              <w:rPr>
                <w:rStyle w:val="Strong"/>
                <w:szCs w:val="24"/>
              </w:rPr>
              <w:t>Sponsorship Revenue</w:t>
            </w:r>
          </w:p>
        </w:tc>
        <w:tc>
          <w:tcPr>
            <w:tcW w:w="0" w:type="auto"/>
            <w:hideMark/>
          </w:tcPr>
          <w:p w14:paraId="4B2EA699"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£50,000</w:t>
            </w:r>
          </w:p>
        </w:tc>
        <w:tc>
          <w:tcPr>
            <w:tcW w:w="0" w:type="auto"/>
            <w:hideMark/>
          </w:tcPr>
          <w:p w14:paraId="4B2EA69A"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Corporate sponsors supporting DEI initiatives contribute funding.</w:t>
            </w:r>
          </w:p>
        </w:tc>
      </w:tr>
      <w:tr w:rsidR="000252DE" w:rsidRPr="000252DE" w14:paraId="4B2EA69F" w14:textId="77777777" w:rsidTr="001B5798">
        <w:tc>
          <w:tcPr>
            <w:cnfStyle w:val="001000000000" w:firstRow="0" w:lastRow="0" w:firstColumn="1" w:lastColumn="0" w:oddVBand="0" w:evenVBand="0" w:oddHBand="0" w:evenHBand="0" w:firstRowFirstColumn="0" w:firstRowLastColumn="0" w:lastRowFirstColumn="0" w:lastRowLastColumn="0"/>
            <w:tcW w:w="0" w:type="auto"/>
            <w:hideMark/>
          </w:tcPr>
          <w:p w14:paraId="4B2EA69C" w14:textId="77777777" w:rsidR="00A81A36" w:rsidRPr="000252DE" w:rsidRDefault="00A81A36" w:rsidP="000252DE">
            <w:pPr>
              <w:spacing w:beforeLines="160" w:before="384" w:afterLines="160" w:after="384"/>
              <w:rPr>
                <w:szCs w:val="24"/>
              </w:rPr>
            </w:pPr>
            <w:r w:rsidRPr="000252DE">
              <w:rPr>
                <w:rStyle w:val="Strong"/>
                <w:szCs w:val="24"/>
              </w:rPr>
              <w:t>Ticket Sales (500 attendees @ £300 each)</w:t>
            </w:r>
          </w:p>
        </w:tc>
        <w:tc>
          <w:tcPr>
            <w:tcW w:w="0" w:type="auto"/>
            <w:hideMark/>
          </w:tcPr>
          <w:p w14:paraId="4B2EA69D"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£150,000</w:t>
            </w:r>
          </w:p>
        </w:tc>
        <w:tc>
          <w:tcPr>
            <w:tcW w:w="0" w:type="auto"/>
            <w:hideMark/>
          </w:tcPr>
          <w:p w14:paraId="4B2EA69E"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Attendees purchase tickets for access to keynotes, panels, and networking sessions</w:t>
            </w:r>
            <w:r w:rsidR="00153F1F" w:rsidRPr="000252DE">
              <w:rPr>
                <w:szCs w:val="24"/>
              </w:rPr>
              <w:t xml:space="preserve"> (</w:t>
            </w:r>
            <w:r w:rsidR="00153F1F" w:rsidRPr="000252DE">
              <w:rPr>
                <w:szCs w:val="24"/>
                <w:lang w:val="en-US"/>
              </w:rPr>
              <w:t>O’Toole, 2021</w:t>
            </w:r>
            <w:r w:rsidR="00153F1F" w:rsidRPr="000252DE">
              <w:rPr>
                <w:szCs w:val="24"/>
              </w:rPr>
              <w:t>)</w:t>
            </w:r>
            <w:r w:rsidRPr="000252DE">
              <w:rPr>
                <w:szCs w:val="24"/>
              </w:rPr>
              <w:t>.</w:t>
            </w:r>
          </w:p>
        </w:tc>
      </w:tr>
      <w:tr w:rsidR="000252DE" w:rsidRPr="000252DE" w14:paraId="4B2EA6A3"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A0" w14:textId="77777777" w:rsidR="00A81A36" w:rsidRPr="000252DE" w:rsidRDefault="00A81A36" w:rsidP="000252DE">
            <w:pPr>
              <w:spacing w:beforeLines="160" w:before="384" w:afterLines="160" w:after="384"/>
              <w:rPr>
                <w:szCs w:val="24"/>
              </w:rPr>
            </w:pPr>
            <w:r w:rsidRPr="000252DE">
              <w:rPr>
                <w:rStyle w:val="Strong"/>
                <w:szCs w:val="24"/>
              </w:rPr>
              <w:t>Exhibitor Fees (10 exhibitors @ £2,500 each)</w:t>
            </w:r>
          </w:p>
        </w:tc>
        <w:tc>
          <w:tcPr>
            <w:tcW w:w="0" w:type="auto"/>
            <w:hideMark/>
          </w:tcPr>
          <w:p w14:paraId="4B2EA6A1"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£25,000</w:t>
            </w:r>
          </w:p>
        </w:tc>
        <w:tc>
          <w:tcPr>
            <w:tcW w:w="0" w:type="auto"/>
            <w:hideMark/>
          </w:tcPr>
          <w:p w14:paraId="4B2EA6A2"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Companies pay for exhibitor booths to showcase DEI-related products and services.</w:t>
            </w:r>
          </w:p>
        </w:tc>
      </w:tr>
      <w:tr w:rsidR="000252DE" w:rsidRPr="000252DE" w14:paraId="4B2EA6A7" w14:textId="77777777" w:rsidTr="001B5798">
        <w:tc>
          <w:tcPr>
            <w:cnfStyle w:val="001000000000" w:firstRow="0" w:lastRow="0" w:firstColumn="1" w:lastColumn="0" w:oddVBand="0" w:evenVBand="0" w:oddHBand="0" w:evenHBand="0" w:firstRowFirstColumn="0" w:firstRowLastColumn="0" w:lastRowFirstColumn="0" w:lastRowLastColumn="0"/>
            <w:tcW w:w="0" w:type="auto"/>
            <w:hideMark/>
          </w:tcPr>
          <w:p w14:paraId="4B2EA6A4" w14:textId="77777777" w:rsidR="00A81A36" w:rsidRPr="000252DE" w:rsidRDefault="00A81A36" w:rsidP="000252DE">
            <w:pPr>
              <w:spacing w:beforeLines="160" w:before="384" w:afterLines="160" w:after="384"/>
              <w:rPr>
                <w:szCs w:val="24"/>
              </w:rPr>
            </w:pPr>
            <w:r w:rsidRPr="000252DE">
              <w:rPr>
                <w:rStyle w:val="Strong"/>
                <w:szCs w:val="24"/>
              </w:rPr>
              <w:t>Merchandise Sales</w:t>
            </w:r>
          </w:p>
        </w:tc>
        <w:tc>
          <w:tcPr>
            <w:tcW w:w="0" w:type="auto"/>
            <w:hideMark/>
          </w:tcPr>
          <w:p w14:paraId="4B2EA6A5"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£5,000</w:t>
            </w:r>
          </w:p>
        </w:tc>
        <w:tc>
          <w:tcPr>
            <w:tcW w:w="0" w:type="auto"/>
            <w:hideMark/>
          </w:tcPr>
          <w:p w14:paraId="4B2EA6A6"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Branded event materials such as books, T-shirts, and eco-friendly stationery generate additional revenue.</w:t>
            </w:r>
          </w:p>
        </w:tc>
      </w:tr>
      <w:tr w:rsidR="000252DE" w:rsidRPr="000252DE" w14:paraId="4B2EA6AB"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A8" w14:textId="77777777" w:rsidR="00A81A36" w:rsidRPr="000252DE" w:rsidRDefault="00A81A36" w:rsidP="000252DE">
            <w:pPr>
              <w:spacing w:beforeLines="160" w:before="384" w:afterLines="160" w:after="384"/>
              <w:rPr>
                <w:szCs w:val="24"/>
              </w:rPr>
            </w:pPr>
            <w:r w:rsidRPr="000252DE">
              <w:rPr>
                <w:rStyle w:val="Strong"/>
                <w:szCs w:val="24"/>
              </w:rPr>
              <w:t>Total Predicted Income</w:t>
            </w:r>
          </w:p>
        </w:tc>
        <w:tc>
          <w:tcPr>
            <w:tcW w:w="0" w:type="auto"/>
            <w:hideMark/>
          </w:tcPr>
          <w:p w14:paraId="4B2EA6A9"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b/>
                <w:szCs w:val="24"/>
              </w:rPr>
            </w:pPr>
            <w:r w:rsidRPr="000252DE">
              <w:rPr>
                <w:rStyle w:val="Strong"/>
                <w:b w:val="0"/>
                <w:szCs w:val="24"/>
              </w:rPr>
              <w:t>£230,000</w:t>
            </w:r>
          </w:p>
        </w:tc>
        <w:tc>
          <w:tcPr>
            <w:tcW w:w="0" w:type="auto"/>
            <w:hideMark/>
          </w:tcPr>
          <w:p w14:paraId="4B2EA6AA"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b/>
                <w:szCs w:val="24"/>
              </w:rPr>
            </w:pPr>
            <w:r w:rsidRPr="000252DE">
              <w:rPr>
                <w:rStyle w:val="Strong"/>
                <w:b w:val="0"/>
                <w:szCs w:val="24"/>
              </w:rPr>
              <w:t>Overall funds expected to cover event costs and ensure a surplus.</w:t>
            </w:r>
          </w:p>
        </w:tc>
      </w:tr>
    </w:tbl>
    <w:p w14:paraId="4B2EA6AC" w14:textId="77777777" w:rsidR="000252DE" w:rsidRPr="000252DE" w:rsidRDefault="000252DE" w:rsidP="000252DE">
      <w:pPr>
        <w:spacing w:beforeLines="160" w:before="384" w:afterLines="160" w:after="384"/>
        <w:jc w:val="center"/>
        <w:rPr>
          <w:rFonts w:cs="Times New Roman"/>
          <w:szCs w:val="24"/>
        </w:rPr>
      </w:pPr>
      <w:r w:rsidRPr="000252DE">
        <w:rPr>
          <w:rFonts w:cs="Times New Roman"/>
          <w:szCs w:val="24"/>
        </w:rPr>
        <w:t>(Source: Author, 2025)</w:t>
      </w:r>
    </w:p>
    <w:p w14:paraId="4B2EA6AD" w14:textId="77777777" w:rsidR="0043191A" w:rsidRPr="000252DE" w:rsidRDefault="000252DE" w:rsidP="000252DE">
      <w:pPr>
        <w:spacing w:beforeLines="160" w:before="384" w:afterLines="160" w:after="384"/>
        <w:rPr>
          <w:rFonts w:cs="Times New Roman"/>
          <w:szCs w:val="24"/>
        </w:rPr>
      </w:pPr>
      <w:r w:rsidRPr="000252DE">
        <w:rPr>
          <w:rFonts w:cs="Times New Roman"/>
          <w:szCs w:val="24"/>
        </w:rPr>
        <w:lastRenderedPageBreak/>
        <w:t xml:space="preserve">The UK Diversity &amp; Inclusion Summit 2025 has a total income of £230,000 generated from sponsorships, ticket sales, exhibitor fees and merchandise sales. The </w:t>
      </w:r>
      <w:r w:rsidRPr="000252DE">
        <w:rPr>
          <w:szCs w:val="24"/>
        </w:rPr>
        <w:t xml:space="preserve">largest income source </w:t>
      </w:r>
      <w:r w:rsidRPr="000252DE">
        <w:rPr>
          <w:rFonts w:cs="Times New Roman"/>
          <w:szCs w:val="24"/>
        </w:rPr>
        <w:t xml:space="preserve">is ticket sales (£150,000) from 500 attendees each paying £300 for access to keynote, panel discussions, and networking sessions (Limevenueportfolio.com, 2019). Corporate sponsorships </w:t>
      </w:r>
      <w:r w:rsidRPr="000252DE">
        <w:rPr>
          <w:szCs w:val="24"/>
        </w:rPr>
        <w:t>contribute £50,000,</w:t>
      </w:r>
      <w:r w:rsidRPr="000252DE">
        <w:rPr>
          <w:rFonts w:cs="Times New Roman"/>
          <w:szCs w:val="24"/>
        </w:rPr>
        <w:t xml:space="preserve"> ensuring financial support </w:t>
      </w:r>
      <w:r w:rsidRPr="000252DE">
        <w:rPr>
          <w:szCs w:val="24"/>
        </w:rPr>
        <w:t xml:space="preserve">organizations invested </w:t>
      </w:r>
      <w:r w:rsidRPr="000252DE">
        <w:rPr>
          <w:rFonts w:cs="Times New Roman"/>
          <w:szCs w:val="24"/>
        </w:rPr>
        <w:t xml:space="preserve">in DEI initiatives. </w:t>
      </w:r>
      <w:r w:rsidRPr="000252DE">
        <w:rPr>
          <w:szCs w:val="24"/>
        </w:rPr>
        <w:t>Exhibitor fees (£25,000) are collected from 10 exhibitors showcasing diversity-focused solutions.</w:t>
      </w:r>
      <w:r w:rsidRPr="000252DE">
        <w:rPr>
          <w:rFonts w:cs="Times New Roman"/>
          <w:szCs w:val="24"/>
        </w:rPr>
        <w:t xml:space="preserve"> Additional income of </w:t>
      </w:r>
      <w:r w:rsidRPr="000252DE">
        <w:rPr>
          <w:szCs w:val="24"/>
        </w:rPr>
        <w:t>£</w:t>
      </w:r>
      <w:r w:rsidRPr="000252DE">
        <w:rPr>
          <w:rFonts w:cs="Times New Roman"/>
          <w:szCs w:val="24"/>
        </w:rPr>
        <w:t>5,000 is collected from merchandise sales, including branded eco-friendly stationery, T-shirts and books.</w:t>
      </w:r>
    </w:p>
    <w:p w14:paraId="4B2EA6AE" w14:textId="77777777" w:rsidR="00A81A36" w:rsidRPr="000252DE" w:rsidRDefault="00A81A36" w:rsidP="000252DE">
      <w:pPr>
        <w:pStyle w:val="Heading2"/>
        <w:numPr>
          <w:ilvl w:val="1"/>
          <w:numId w:val="2"/>
        </w:numPr>
        <w:spacing w:beforeLines="160" w:before="384" w:afterLines="160" w:after="384"/>
        <w:rPr>
          <w:szCs w:val="24"/>
        </w:rPr>
      </w:pPr>
      <w:bookmarkStart w:id="18" w:name="_Toc190365942"/>
      <w:r w:rsidRPr="000252DE">
        <w:rPr>
          <w:rStyle w:val="Strong"/>
          <w:b/>
          <w:bCs w:val="0"/>
          <w:szCs w:val="24"/>
        </w:rPr>
        <w:t>Expenditure Breakdown</w:t>
      </w:r>
      <w:bookmarkEnd w:id="18"/>
    </w:p>
    <w:p w14:paraId="4B2EA6AF" w14:textId="77777777" w:rsidR="000252DE" w:rsidRPr="000252DE" w:rsidRDefault="000252DE" w:rsidP="000252DE">
      <w:pPr>
        <w:pStyle w:val="Caption"/>
        <w:keepNext/>
        <w:spacing w:beforeLines="160" w:before="384" w:afterLines="160" w:after="384" w:line="360" w:lineRule="auto"/>
        <w:jc w:val="center"/>
        <w:rPr>
          <w:color w:val="auto"/>
          <w:sz w:val="24"/>
          <w:szCs w:val="24"/>
        </w:rPr>
      </w:pPr>
      <w:bookmarkStart w:id="19" w:name="_Toc190365817"/>
      <w:r w:rsidRPr="000252DE">
        <w:rPr>
          <w:color w:val="auto"/>
          <w:sz w:val="24"/>
          <w:szCs w:val="24"/>
        </w:rPr>
        <w:t xml:space="preserve">Table </w:t>
      </w:r>
      <w:r w:rsidRPr="000252DE">
        <w:rPr>
          <w:color w:val="auto"/>
          <w:sz w:val="24"/>
          <w:szCs w:val="24"/>
        </w:rPr>
        <w:fldChar w:fldCharType="begin"/>
      </w:r>
      <w:r w:rsidRPr="000252DE">
        <w:rPr>
          <w:color w:val="auto"/>
          <w:sz w:val="24"/>
          <w:szCs w:val="24"/>
        </w:rPr>
        <w:instrText xml:space="preserve"> SEQ Table \* ARABIC </w:instrText>
      </w:r>
      <w:r w:rsidRPr="000252DE">
        <w:rPr>
          <w:color w:val="auto"/>
          <w:sz w:val="24"/>
          <w:szCs w:val="24"/>
        </w:rPr>
        <w:fldChar w:fldCharType="separate"/>
      </w:r>
      <w:r w:rsidRPr="000252DE">
        <w:rPr>
          <w:color w:val="auto"/>
          <w:sz w:val="24"/>
          <w:szCs w:val="24"/>
        </w:rPr>
        <w:t>2</w:t>
      </w:r>
      <w:r w:rsidRPr="000252DE">
        <w:rPr>
          <w:color w:val="auto"/>
          <w:sz w:val="24"/>
          <w:szCs w:val="24"/>
        </w:rPr>
        <w:fldChar w:fldCharType="end"/>
      </w:r>
      <w:r w:rsidRPr="000252DE">
        <w:rPr>
          <w:color w:val="auto"/>
          <w:sz w:val="24"/>
          <w:szCs w:val="24"/>
        </w:rPr>
        <w:t>: Expenditure Breakdown</w:t>
      </w:r>
      <w:bookmarkEnd w:id="19"/>
    </w:p>
    <w:tbl>
      <w:tblPr>
        <w:tblStyle w:val="GridTable4-Accent4"/>
        <w:tblW w:w="0" w:type="auto"/>
        <w:tblLook w:val="04A0" w:firstRow="1" w:lastRow="0" w:firstColumn="1" w:lastColumn="0" w:noHBand="0" w:noVBand="1"/>
      </w:tblPr>
      <w:tblGrid>
        <w:gridCol w:w="3323"/>
        <w:gridCol w:w="1251"/>
        <w:gridCol w:w="4776"/>
      </w:tblGrid>
      <w:tr w:rsidR="000252DE" w:rsidRPr="000252DE" w14:paraId="4B2EA6B3" w14:textId="77777777" w:rsidTr="00A81A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B0" w14:textId="77777777" w:rsidR="00A81A36" w:rsidRPr="000252DE" w:rsidRDefault="00A81A36" w:rsidP="000252DE">
            <w:pPr>
              <w:spacing w:beforeLines="160" w:before="384" w:afterLines="160" w:after="384"/>
              <w:jc w:val="center"/>
              <w:rPr>
                <w:b w:val="0"/>
                <w:color w:val="auto"/>
                <w:szCs w:val="24"/>
              </w:rPr>
            </w:pPr>
            <w:r w:rsidRPr="000252DE">
              <w:rPr>
                <w:rStyle w:val="Strong"/>
                <w:b/>
                <w:color w:val="auto"/>
                <w:szCs w:val="24"/>
              </w:rPr>
              <w:t>Expenditure Categories</w:t>
            </w:r>
          </w:p>
        </w:tc>
        <w:tc>
          <w:tcPr>
            <w:tcW w:w="0" w:type="auto"/>
            <w:hideMark/>
          </w:tcPr>
          <w:p w14:paraId="4B2EA6B1" w14:textId="77777777" w:rsidR="00A81A36" w:rsidRPr="000252DE" w:rsidRDefault="00A81A36"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Amount (£)</w:t>
            </w:r>
          </w:p>
        </w:tc>
        <w:tc>
          <w:tcPr>
            <w:tcW w:w="0" w:type="auto"/>
            <w:hideMark/>
          </w:tcPr>
          <w:p w14:paraId="4B2EA6B2" w14:textId="77777777" w:rsidR="00A81A36" w:rsidRPr="000252DE" w:rsidRDefault="00A81A36"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Explanation</w:t>
            </w:r>
          </w:p>
        </w:tc>
      </w:tr>
      <w:tr w:rsidR="000252DE" w:rsidRPr="000252DE" w14:paraId="4B2EA6B7" w14:textId="77777777" w:rsidTr="00A81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B4" w14:textId="77777777" w:rsidR="00A81A36" w:rsidRPr="000252DE" w:rsidRDefault="00A81A36" w:rsidP="000252DE">
            <w:pPr>
              <w:spacing w:beforeLines="160" w:before="384" w:afterLines="160" w:after="384"/>
              <w:jc w:val="left"/>
              <w:rPr>
                <w:b w:val="0"/>
                <w:bCs w:val="0"/>
                <w:szCs w:val="24"/>
              </w:rPr>
            </w:pPr>
            <w:r w:rsidRPr="000252DE">
              <w:rPr>
                <w:rStyle w:val="Strong"/>
                <w:szCs w:val="24"/>
              </w:rPr>
              <w:t>Venue Hire (QEII Centre)</w:t>
            </w:r>
          </w:p>
        </w:tc>
        <w:tc>
          <w:tcPr>
            <w:tcW w:w="0" w:type="auto"/>
            <w:hideMark/>
          </w:tcPr>
          <w:p w14:paraId="4B2EA6B5"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£40,000</w:t>
            </w:r>
          </w:p>
        </w:tc>
        <w:tc>
          <w:tcPr>
            <w:tcW w:w="0" w:type="auto"/>
            <w:hideMark/>
          </w:tcPr>
          <w:p w14:paraId="4B2EA6B6"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Covers conference rooms, exhibitor space, and breakout areas</w:t>
            </w:r>
            <w:r w:rsidR="00153F1F" w:rsidRPr="000252DE">
              <w:rPr>
                <w:szCs w:val="24"/>
              </w:rPr>
              <w:t xml:space="preserve"> (</w:t>
            </w:r>
            <w:r w:rsidR="00153F1F" w:rsidRPr="000252DE">
              <w:rPr>
                <w:szCs w:val="24"/>
                <w:lang w:val="en-US"/>
              </w:rPr>
              <w:t>QEII Centre., 2025</w:t>
            </w:r>
            <w:r w:rsidR="00153F1F" w:rsidRPr="000252DE">
              <w:rPr>
                <w:szCs w:val="24"/>
              </w:rPr>
              <w:t>)</w:t>
            </w:r>
            <w:r w:rsidRPr="000252DE">
              <w:rPr>
                <w:szCs w:val="24"/>
              </w:rPr>
              <w:t>.</w:t>
            </w:r>
          </w:p>
        </w:tc>
      </w:tr>
      <w:tr w:rsidR="000252DE" w:rsidRPr="000252DE" w14:paraId="4B2EA6BB" w14:textId="77777777" w:rsidTr="00A81A36">
        <w:tc>
          <w:tcPr>
            <w:cnfStyle w:val="001000000000" w:firstRow="0" w:lastRow="0" w:firstColumn="1" w:lastColumn="0" w:oddVBand="0" w:evenVBand="0" w:oddHBand="0" w:evenHBand="0" w:firstRowFirstColumn="0" w:firstRowLastColumn="0" w:lastRowFirstColumn="0" w:lastRowLastColumn="0"/>
            <w:tcW w:w="0" w:type="auto"/>
            <w:hideMark/>
          </w:tcPr>
          <w:p w14:paraId="4B2EA6B8" w14:textId="77777777" w:rsidR="00A81A36" w:rsidRPr="000252DE" w:rsidRDefault="00A81A36" w:rsidP="000252DE">
            <w:pPr>
              <w:spacing w:beforeLines="160" w:before="384" w:afterLines="160" w:after="384"/>
              <w:rPr>
                <w:szCs w:val="24"/>
              </w:rPr>
            </w:pPr>
            <w:r w:rsidRPr="000252DE">
              <w:rPr>
                <w:rStyle w:val="Strong"/>
                <w:szCs w:val="24"/>
              </w:rPr>
              <w:t>AV Support &amp; Technical Equipment</w:t>
            </w:r>
          </w:p>
        </w:tc>
        <w:tc>
          <w:tcPr>
            <w:tcW w:w="0" w:type="auto"/>
            <w:hideMark/>
          </w:tcPr>
          <w:p w14:paraId="4B2EA6B9"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£15,000</w:t>
            </w:r>
          </w:p>
        </w:tc>
        <w:tc>
          <w:tcPr>
            <w:tcW w:w="0" w:type="auto"/>
            <w:hideMark/>
          </w:tcPr>
          <w:p w14:paraId="4B2EA6BA"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Includes microphones, projectors, live-streaming services, and IT support.</w:t>
            </w:r>
          </w:p>
        </w:tc>
      </w:tr>
      <w:tr w:rsidR="000252DE" w:rsidRPr="000252DE" w14:paraId="4B2EA6BF" w14:textId="77777777" w:rsidTr="00A81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BC" w14:textId="77777777" w:rsidR="00A81A36" w:rsidRPr="000252DE" w:rsidRDefault="00A81A36" w:rsidP="000252DE">
            <w:pPr>
              <w:spacing w:beforeLines="160" w:before="384" w:afterLines="160" w:after="384"/>
              <w:rPr>
                <w:szCs w:val="24"/>
              </w:rPr>
            </w:pPr>
            <w:r w:rsidRPr="000252DE">
              <w:rPr>
                <w:rStyle w:val="Strong"/>
                <w:szCs w:val="24"/>
              </w:rPr>
              <w:t>Catering (Food &amp; Drinks for 500 attendees)</w:t>
            </w:r>
          </w:p>
        </w:tc>
        <w:tc>
          <w:tcPr>
            <w:tcW w:w="0" w:type="auto"/>
            <w:hideMark/>
          </w:tcPr>
          <w:p w14:paraId="4B2EA6BD"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£30,000</w:t>
            </w:r>
          </w:p>
        </w:tc>
        <w:tc>
          <w:tcPr>
            <w:tcW w:w="0" w:type="auto"/>
            <w:hideMark/>
          </w:tcPr>
          <w:p w14:paraId="4B2EA6BE"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Provides breakfast, lunch, and refreshments with diverse dietary options.</w:t>
            </w:r>
          </w:p>
        </w:tc>
      </w:tr>
      <w:tr w:rsidR="000252DE" w:rsidRPr="000252DE" w14:paraId="4B2EA6C3" w14:textId="77777777" w:rsidTr="00A81A36">
        <w:tc>
          <w:tcPr>
            <w:cnfStyle w:val="001000000000" w:firstRow="0" w:lastRow="0" w:firstColumn="1" w:lastColumn="0" w:oddVBand="0" w:evenVBand="0" w:oddHBand="0" w:evenHBand="0" w:firstRowFirstColumn="0" w:firstRowLastColumn="0" w:lastRowFirstColumn="0" w:lastRowLastColumn="0"/>
            <w:tcW w:w="0" w:type="auto"/>
            <w:hideMark/>
          </w:tcPr>
          <w:p w14:paraId="4B2EA6C0" w14:textId="77777777" w:rsidR="00A81A36" w:rsidRPr="000252DE" w:rsidRDefault="00A81A36" w:rsidP="000252DE">
            <w:pPr>
              <w:spacing w:beforeLines="160" w:before="384" w:afterLines="160" w:after="384"/>
              <w:rPr>
                <w:szCs w:val="24"/>
              </w:rPr>
            </w:pPr>
            <w:r w:rsidRPr="000252DE">
              <w:rPr>
                <w:rStyle w:val="Strong"/>
                <w:szCs w:val="24"/>
              </w:rPr>
              <w:lastRenderedPageBreak/>
              <w:t>Staffing (Event Managers, Moderators, Volunteers)</w:t>
            </w:r>
          </w:p>
        </w:tc>
        <w:tc>
          <w:tcPr>
            <w:tcW w:w="0" w:type="auto"/>
            <w:hideMark/>
          </w:tcPr>
          <w:p w14:paraId="4B2EA6C1"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£20,000</w:t>
            </w:r>
          </w:p>
        </w:tc>
        <w:tc>
          <w:tcPr>
            <w:tcW w:w="0" w:type="auto"/>
            <w:hideMark/>
          </w:tcPr>
          <w:p w14:paraId="4B2EA6C2"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Covers wages for event coordinators, moderators, and on-the-day support staff.</w:t>
            </w:r>
          </w:p>
        </w:tc>
      </w:tr>
      <w:tr w:rsidR="000252DE" w:rsidRPr="000252DE" w14:paraId="4B2EA6C7" w14:textId="77777777" w:rsidTr="00A81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C4" w14:textId="77777777" w:rsidR="00A81A36" w:rsidRPr="000252DE" w:rsidRDefault="00A81A36" w:rsidP="000252DE">
            <w:pPr>
              <w:spacing w:beforeLines="160" w:before="384" w:afterLines="160" w:after="384"/>
              <w:rPr>
                <w:szCs w:val="24"/>
              </w:rPr>
            </w:pPr>
            <w:r w:rsidRPr="000252DE">
              <w:rPr>
                <w:rStyle w:val="Strong"/>
                <w:szCs w:val="24"/>
              </w:rPr>
              <w:t>Marketing &amp; Advertising</w:t>
            </w:r>
          </w:p>
        </w:tc>
        <w:tc>
          <w:tcPr>
            <w:tcW w:w="0" w:type="auto"/>
            <w:hideMark/>
          </w:tcPr>
          <w:p w14:paraId="4B2EA6C5"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£15,000</w:t>
            </w:r>
          </w:p>
        </w:tc>
        <w:tc>
          <w:tcPr>
            <w:tcW w:w="0" w:type="auto"/>
            <w:hideMark/>
          </w:tcPr>
          <w:p w14:paraId="4B2EA6C6"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Includes LinkedIn campaigns, email outreach, press releases, and social media ads.</w:t>
            </w:r>
          </w:p>
        </w:tc>
      </w:tr>
      <w:tr w:rsidR="000252DE" w:rsidRPr="000252DE" w14:paraId="4B2EA6CB" w14:textId="77777777" w:rsidTr="00A81A36">
        <w:tc>
          <w:tcPr>
            <w:cnfStyle w:val="001000000000" w:firstRow="0" w:lastRow="0" w:firstColumn="1" w:lastColumn="0" w:oddVBand="0" w:evenVBand="0" w:oddHBand="0" w:evenHBand="0" w:firstRowFirstColumn="0" w:firstRowLastColumn="0" w:lastRowFirstColumn="0" w:lastRowLastColumn="0"/>
            <w:tcW w:w="0" w:type="auto"/>
            <w:hideMark/>
          </w:tcPr>
          <w:p w14:paraId="4B2EA6C8" w14:textId="77777777" w:rsidR="00A81A36" w:rsidRPr="000252DE" w:rsidRDefault="00A81A36" w:rsidP="000252DE">
            <w:pPr>
              <w:spacing w:beforeLines="160" w:before="384" w:afterLines="160" w:after="384"/>
              <w:rPr>
                <w:szCs w:val="24"/>
              </w:rPr>
            </w:pPr>
            <w:r w:rsidRPr="000252DE">
              <w:rPr>
                <w:rStyle w:val="Strong"/>
                <w:szCs w:val="24"/>
              </w:rPr>
              <w:t>Event Materials (Program, Signage, Stationery)</w:t>
            </w:r>
          </w:p>
        </w:tc>
        <w:tc>
          <w:tcPr>
            <w:tcW w:w="0" w:type="auto"/>
            <w:hideMark/>
          </w:tcPr>
          <w:p w14:paraId="4B2EA6C9"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£10,000</w:t>
            </w:r>
          </w:p>
        </w:tc>
        <w:tc>
          <w:tcPr>
            <w:tcW w:w="0" w:type="auto"/>
            <w:hideMark/>
          </w:tcPr>
          <w:p w14:paraId="4B2EA6CA"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Covers branded programs, digital brochures, name badges, and banners.</w:t>
            </w:r>
          </w:p>
        </w:tc>
      </w:tr>
      <w:tr w:rsidR="000252DE" w:rsidRPr="000252DE" w14:paraId="4B2EA6CF" w14:textId="77777777" w:rsidTr="00A81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CC" w14:textId="77777777" w:rsidR="00A81A36" w:rsidRPr="000252DE" w:rsidRDefault="00A81A36" w:rsidP="000252DE">
            <w:pPr>
              <w:spacing w:beforeLines="160" w:before="384" w:afterLines="160" w:after="384"/>
              <w:rPr>
                <w:szCs w:val="24"/>
              </w:rPr>
            </w:pPr>
            <w:r w:rsidRPr="000252DE">
              <w:rPr>
                <w:rStyle w:val="Strong"/>
                <w:szCs w:val="24"/>
              </w:rPr>
              <w:t>Insurance &amp; Licensing Fees</w:t>
            </w:r>
          </w:p>
        </w:tc>
        <w:tc>
          <w:tcPr>
            <w:tcW w:w="0" w:type="auto"/>
            <w:hideMark/>
          </w:tcPr>
          <w:p w14:paraId="4B2EA6CD"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£5,000</w:t>
            </w:r>
          </w:p>
        </w:tc>
        <w:tc>
          <w:tcPr>
            <w:tcW w:w="0" w:type="auto"/>
            <w:hideMark/>
          </w:tcPr>
          <w:p w14:paraId="4B2EA6CE"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Covers public liability insurance and necessary event permits.</w:t>
            </w:r>
          </w:p>
        </w:tc>
      </w:tr>
      <w:tr w:rsidR="000252DE" w:rsidRPr="000252DE" w14:paraId="4B2EA6D3" w14:textId="77777777" w:rsidTr="00A81A36">
        <w:tc>
          <w:tcPr>
            <w:cnfStyle w:val="001000000000" w:firstRow="0" w:lastRow="0" w:firstColumn="1" w:lastColumn="0" w:oddVBand="0" w:evenVBand="0" w:oddHBand="0" w:evenHBand="0" w:firstRowFirstColumn="0" w:firstRowLastColumn="0" w:lastRowFirstColumn="0" w:lastRowLastColumn="0"/>
            <w:tcW w:w="0" w:type="auto"/>
            <w:hideMark/>
          </w:tcPr>
          <w:p w14:paraId="4B2EA6D0" w14:textId="77777777" w:rsidR="00A81A36" w:rsidRPr="000252DE" w:rsidRDefault="00A81A36" w:rsidP="000252DE">
            <w:pPr>
              <w:spacing w:beforeLines="160" w:before="384" w:afterLines="160" w:after="384"/>
              <w:rPr>
                <w:szCs w:val="24"/>
              </w:rPr>
            </w:pPr>
            <w:r w:rsidRPr="000252DE">
              <w:rPr>
                <w:rStyle w:val="Strong"/>
                <w:szCs w:val="24"/>
              </w:rPr>
              <w:t>Miscellaneous Costs</w:t>
            </w:r>
          </w:p>
        </w:tc>
        <w:tc>
          <w:tcPr>
            <w:tcW w:w="0" w:type="auto"/>
            <w:hideMark/>
          </w:tcPr>
          <w:p w14:paraId="4B2EA6D1"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£5,000</w:t>
            </w:r>
          </w:p>
        </w:tc>
        <w:tc>
          <w:tcPr>
            <w:tcW w:w="0" w:type="auto"/>
            <w:hideMark/>
          </w:tcPr>
          <w:p w14:paraId="4B2EA6D2"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Emergency expenses, last-minute technical fixes, and attendee support services.</w:t>
            </w:r>
          </w:p>
        </w:tc>
      </w:tr>
      <w:tr w:rsidR="000252DE" w:rsidRPr="000252DE" w14:paraId="4B2EA6D7" w14:textId="77777777" w:rsidTr="00A81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D4" w14:textId="77777777" w:rsidR="00A81A36" w:rsidRPr="000252DE" w:rsidRDefault="00A81A36" w:rsidP="000252DE">
            <w:pPr>
              <w:spacing w:beforeLines="160" w:before="384" w:afterLines="160" w:after="384"/>
              <w:rPr>
                <w:szCs w:val="24"/>
              </w:rPr>
            </w:pPr>
            <w:r w:rsidRPr="000252DE">
              <w:rPr>
                <w:rStyle w:val="Strong"/>
                <w:szCs w:val="24"/>
              </w:rPr>
              <w:t>Total Predicted Expenditure</w:t>
            </w:r>
          </w:p>
        </w:tc>
        <w:tc>
          <w:tcPr>
            <w:tcW w:w="0" w:type="auto"/>
            <w:hideMark/>
          </w:tcPr>
          <w:p w14:paraId="4B2EA6D5"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b/>
                <w:szCs w:val="24"/>
              </w:rPr>
            </w:pPr>
            <w:r w:rsidRPr="000252DE">
              <w:rPr>
                <w:rStyle w:val="Strong"/>
                <w:b w:val="0"/>
                <w:szCs w:val="24"/>
              </w:rPr>
              <w:t>£140,000</w:t>
            </w:r>
          </w:p>
        </w:tc>
        <w:tc>
          <w:tcPr>
            <w:tcW w:w="0" w:type="auto"/>
            <w:hideMark/>
          </w:tcPr>
          <w:p w14:paraId="4B2EA6D6"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b/>
                <w:szCs w:val="24"/>
              </w:rPr>
            </w:pPr>
            <w:r w:rsidRPr="000252DE">
              <w:rPr>
                <w:rStyle w:val="Strong"/>
                <w:b w:val="0"/>
                <w:szCs w:val="24"/>
              </w:rPr>
              <w:t>Total operational costs required to execute the event.</w:t>
            </w:r>
          </w:p>
        </w:tc>
      </w:tr>
    </w:tbl>
    <w:p w14:paraId="4B2EA6D8" w14:textId="77777777" w:rsidR="00A81A36" w:rsidRPr="000252DE" w:rsidRDefault="000252DE" w:rsidP="000252DE">
      <w:pPr>
        <w:spacing w:beforeLines="160" w:before="384" w:afterLines="160" w:after="384"/>
        <w:jc w:val="center"/>
        <w:rPr>
          <w:rFonts w:cs="Times New Roman"/>
          <w:szCs w:val="24"/>
        </w:rPr>
      </w:pPr>
      <w:r w:rsidRPr="000252DE">
        <w:rPr>
          <w:rFonts w:cs="Times New Roman"/>
          <w:szCs w:val="24"/>
        </w:rPr>
        <w:t>(Source: Author, 2025)</w:t>
      </w:r>
    </w:p>
    <w:p w14:paraId="4B2EA6D9" w14:textId="77777777" w:rsidR="00A4467A" w:rsidRPr="000252DE" w:rsidRDefault="004A349D" w:rsidP="000252DE">
      <w:pPr>
        <w:spacing w:beforeLines="160" w:before="384" w:afterLines="160" w:after="384"/>
        <w:rPr>
          <w:rFonts w:cs="Times New Roman"/>
          <w:szCs w:val="24"/>
        </w:rPr>
      </w:pPr>
      <w:r w:rsidRPr="000252DE">
        <w:rPr>
          <w:szCs w:val="24"/>
        </w:rPr>
        <w:t>On the expenditure</w:t>
      </w:r>
      <w:r w:rsidRPr="000252DE">
        <w:rPr>
          <w:rFonts w:cs="Times New Roman"/>
          <w:szCs w:val="24"/>
        </w:rPr>
        <w:t xml:space="preserve"> </w:t>
      </w:r>
      <w:r w:rsidR="00A4467A" w:rsidRPr="000252DE">
        <w:rPr>
          <w:rFonts w:cs="Times New Roman"/>
          <w:szCs w:val="24"/>
        </w:rPr>
        <w:t xml:space="preserve">side, venue hire at the QEII Centre </w:t>
      </w:r>
      <w:r w:rsidRPr="000252DE">
        <w:rPr>
          <w:rFonts w:cs="Times New Roman"/>
          <w:szCs w:val="24"/>
        </w:rPr>
        <w:t>costs</w:t>
      </w:r>
      <w:r w:rsidR="00A4467A" w:rsidRPr="000252DE">
        <w:rPr>
          <w:rFonts w:cs="Times New Roman"/>
          <w:szCs w:val="24"/>
        </w:rPr>
        <w:t xml:space="preserve"> £40,000, including conference rooms, exhibitor spaces, breakout areas</w:t>
      </w:r>
      <w:r w:rsidR="00153F1F" w:rsidRPr="000252DE">
        <w:rPr>
          <w:rFonts w:cs="Times New Roman"/>
          <w:szCs w:val="24"/>
        </w:rPr>
        <w:t xml:space="preserve"> (</w:t>
      </w:r>
      <w:r w:rsidR="00153F1F" w:rsidRPr="000252DE">
        <w:rPr>
          <w:szCs w:val="24"/>
          <w:lang w:val="en-US"/>
        </w:rPr>
        <w:t>QEII Centre., 2025</w:t>
      </w:r>
      <w:r w:rsidR="00153F1F" w:rsidRPr="000252DE">
        <w:rPr>
          <w:rFonts w:cs="Times New Roman"/>
          <w:szCs w:val="24"/>
        </w:rPr>
        <w:t>)</w:t>
      </w:r>
      <w:r w:rsidR="00A4467A" w:rsidRPr="000252DE">
        <w:rPr>
          <w:rFonts w:cs="Times New Roman"/>
          <w:szCs w:val="24"/>
        </w:rPr>
        <w:t>. Caterin</w:t>
      </w:r>
      <w:r w:rsidRPr="000252DE">
        <w:rPr>
          <w:rFonts w:cs="Times New Roman"/>
          <w:szCs w:val="24"/>
        </w:rPr>
        <w:t xml:space="preserve">g (£30,000) will make sure that </w:t>
      </w:r>
      <w:r w:rsidRPr="000252DE">
        <w:rPr>
          <w:szCs w:val="24"/>
        </w:rPr>
        <w:t xml:space="preserve">attendees receive </w:t>
      </w:r>
      <w:r w:rsidR="00A4467A" w:rsidRPr="000252DE">
        <w:rPr>
          <w:rFonts w:cs="Times New Roman"/>
          <w:szCs w:val="24"/>
        </w:rPr>
        <w:t>breakfast, lunch, and refreshments throughout, and with a wide range of dietary options. AV support and technical equipment (£15,000) includes microphones, projectors, live-streaming an</w:t>
      </w:r>
      <w:r w:rsidRPr="000252DE">
        <w:rPr>
          <w:rFonts w:cs="Times New Roman"/>
          <w:szCs w:val="24"/>
        </w:rPr>
        <w:t xml:space="preserve">d IT help. Staffing (£20,000) </w:t>
      </w:r>
      <w:r w:rsidRPr="000252DE">
        <w:rPr>
          <w:szCs w:val="24"/>
        </w:rPr>
        <w:t>includes e</w:t>
      </w:r>
      <w:r w:rsidR="00A4467A" w:rsidRPr="000252DE">
        <w:rPr>
          <w:rFonts w:cs="Times New Roman"/>
          <w:szCs w:val="24"/>
        </w:rPr>
        <w:t xml:space="preserve">vent managers, moderators, volunteers. </w:t>
      </w:r>
      <w:r w:rsidR="00A4467A" w:rsidRPr="000252DE">
        <w:rPr>
          <w:rFonts w:cs="Times New Roman"/>
          <w:szCs w:val="24"/>
        </w:rPr>
        <w:lastRenderedPageBreak/>
        <w:t xml:space="preserve">Marketing &amp; Advertising (£15,000) consists of LinkedIn promotions, email campaigns and press releases to get attendees. Event materials (£10,000) </w:t>
      </w:r>
      <w:r w:rsidRPr="000252DE">
        <w:rPr>
          <w:szCs w:val="24"/>
        </w:rPr>
        <w:t>include</w:t>
      </w:r>
      <w:r w:rsidRPr="000252DE">
        <w:rPr>
          <w:rFonts w:cs="Times New Roman"/>
          <w:szCs w:val="24"/>
        </w:rPr>
        <w:t xml:space="preserve"> </w:t>
      </w:r>
      <w:r w:rsidR="00A4467A" w:rsidRPr="000252DE">
        <w:rPr>
          <w:rFonts w:cs="Times New Roman"/>
          <w:szCs w:val="24"/>
        </w:rPr>
        <w:t xml:space="preserve">program booklets, signage, and badges </w:t>
      </w:r>
      <w:proofErr w:type="gramStart"/>
      <w:r w:rsidR="00A4467A" w:rsidRPr="000252DE">
        <w:rPr>
          <w:rFonts w:cs="Times New Roman"/>
          <w:szCs w:val="24"/>
        </w:rPr>
        <w:t>a</w:t>
      </w:r>
      <w:r w:rsidRPr="000252DE">
        <w:rPr>
          <w:szCs w:val="24"/>
        </w:rPr>
        <w:t xml:space="preserve"> for</w:t>
      </w:r>
      <w:proofErr w:type="gramEnd"/>
      <w:r w:rsidRPr="000252DE">
        <w:rPr>
          <w:szCs w:val="24"/>
        </w:rPr>
        <w:t xml:space="preserve"> branding</w:t>
      </w:r>
      <w:r w:rsidR="00A4467A" w:rsidRPr="000252DE">
        <w:rPr>
          <w:rFonts w:cs="Times New Roman"/>
          <w:szCs w:val="24"/>
        </w:rPr>
        <w:t>. Ins</w:t>
      </w:r>
      <w:r w:rsidRPr="000252DE">
        <w:rPr>
          <w:rFonts w:cs="Times New Roman"/>
          <w:szCs w:val="24"/>
        </w:rPr>
        <w:t>urance and licensing (£5,000)</w:t>
      </w:r>
      <w:r w:rsidR="00A4467A" w:rsidRPr="000252DE">
        <w:rPr>
          <w:rFonts w:cs="Times New Roman"/>
          <w:szCs w:val="24"/>
        </w:rPr>
        <w:t xml:space="preserve"> cover public liability protection</w:t>
      </w:r>
      <w:r w:rsidRPr="000252DE">
        <w:rPr>
          <w:rFonts w:cs="Times New Roman"/>
          <w:szCs w:val="24"/>
        </w:rPr>
        <w:t xml:space="preserve"> and </w:t>
      </w:r>
      <w:r w:rsidR="00A4467A" w:rsidRPr="000252DE">
        <w:rPr>
          <w:rFonts w:cs="Times New Roman"/>
          <w:szCs w:val="24"/>
        </w:rPr>
        <w:t xml:space="preserve">legal requirements. </w:t>
      </w:r>
    </w:p>
    <w:p w14:paraId="4B2EA6DA" w14:textId="77777777" w:rsidR="00C36C68" w:rsidRPr="000252DE" w:rsidRDefault="00EF2119" w:rsidP="000252DE">
      <w:pPr>
        <w:pStyle w:val="Heading1"/>
        <w:spacing w:beforeLines="160" w:before="384" w:afterLines="160" w:after="384"/>
        <w:rPr>
          <w:rFonts w:cs="Times New Roman"/>
          <w:szCs w:val="24"/>
        </w:rPr>
      </w:pPr>
      <w:bookmarkStart w:id="20" w:name="_Toc190365943"/>
      <w:r w:rsidRPr="000252DE">
        <w:rPr>
          <w:rFonts w:cs="Times New Roman"/>
          <w:szCs w:val="24"/>
        </w:rPr>
        <w:t>Industry Trends</w:t>
      </w:r>
      <w:bookmarkEnd w:id="20"/>
    </w:p>
    <w:p w14:paraId="4B2EA6DB" w14:textId="77777777" w:rsidR="00D055FE" w:rsidRPr="000252DE" w:rsidRDefault="00D055FE" w:rsidP="000252DE">
      <w:pPr>
        <w:keepNext/>
        <w:spacing w:beforeLines="160" w:before="384" w:afterLines="160" w:after="384"/>
        <w:rPr>
          <w:rFonts w:cs="Times New Roman"/>
          <w:szCs w:val="24"/>
        </w:rPr>
      </w:pPr>
      <w:r w:rsidRPr="000252DE">
        <w:rPr>
          <w:rFonts w:cs="Times New Roman"/>
          <w:szCs w:val="24"/>
        </w:rPr>
        <w:t xml:space="preserve">The MICE sector is changing to be more inclusive, sustainable, and digital. </w:t>
      </w:r>
      <w:r w:rsidR="00743B2A" w:rsidRPr="000252DE">
        <w:rPr>
          <w:rFonts w:cs="Times New Roman"/>
          <w:szCs w:val="24"/>
        </w:rPr>
        <w:t xml:space="preserve">Organizations face increased pressure to implement </w:t>
      </w:r>
      <w:r w:rsidRPr="000252DE">
        <w:rPr>
          <w:rFonts w:cs="Times New Roman"/>
          <w:szCs w:val="24"/>
        </w:rPr>
        <w:t xml:space="preserve">meaningful DEI policies, as employees request a more inclusive workplace. </w:t>
      </w:r>
      <w:r w:rsidR="00743B2A" w:rsidRPr="000252DE">
        <w:rPr>
          <w:rFonts w:cs="Times New Roman"/>
          <w:szCs w:val="24"/>
        </w:rPr>
        <w:t xml:space="preserve">Studies show that </w:t>
      </w:r>
      <w:r w:rsidRPr="000252DE">
        <w:rPr>
          <w:rFonts w:cs="Times New Roman"/>
          <w:szCs w:val="24"/>
        </w:rPr>
        <w:t>1</w:t>
      </w:r>
      <w:r w:rsidR="00743B2A" w:rsidRPr="000252DE">
        <w:rPr>
          <w:rFonts w:cs="Times New Roman"/>
          <w:szCs w:val="24"/>
        </w:rPr>
        <w:t>0.4% of Gen Z (16-24) identify</w:t>
      </w:r>
      <w:r w:rsidRPr="000252DE">
        <w:rPr>
          <w:rFonts w:cs="Times New Roman"/>
          <w:szCs w:val="24"/>
        </w:rPr>
        <w:t xml:space="preserve"> as LGB</w:t>
      </w:r>
      <w:r w:rsidR="00743B2A" w:rsidRPr="000252DE">
        <w:rPr>
          <w:rFonts w:cs="Times New Roman"/>
          <w:szCs w:val="24"/>
        </w:rPr>
        <w:t xml:space="preserve">, reflecting greater openness and acceptance in society </w:t>
      </w:r>
      <w:r w:rsidRPr="000252DE">
        <w:rPr>
          <w:rFonts w:cs="Times New Roman"/>
          <w:szCs w:val="24"/>
        </w:rPr>
        <w:t xml:space="preserve">(Balls, 2025). </w:t>
      </w:r>
      <w:r w:rsidR="00743B2A" w:rsidRPr="000252DE">
        <w:rPr>
          <w:rFonts w:cs="Times New Roman"/>
          <w:szCs w:val="24"/>
        </w:rPr>
        <w:t>Th</w:t>
      </w:r>
      <w:r w:rsidRPr="000252DE">
        <w:rPr>
          <w:rFonts w:cs="Times New Roman"/>
          <w:szCs w:val="24"/>
        </w:rPr>
        <w:t xml:space="preserve">e summit </w:t>
      </w:r>
      <w:r w:rsidR="00743B2A" w:rsidRPr="000252DE">
        <w:rPr>
          <w:rFonts w:cs="Times New Roman"/>
          <w:szCs w:val="24"/>
        </w:rPr>
        <w:t>addresses hidden</w:t>
      </w:r>
      <w:r w:rsidRPr="000252DE">
        <w:rPr>
          <w:rFonts w:cs="Times New Roman"/>
          <w:szCs w:val="24"/>
        </w:rPr>
        <w:t xml:space="preserve"> bias</w:t>
      </w:r>
      <w:r w:rsidR="00743B2A" w:rsidRPr="000252DE">
        <w:rPr>
          <w:rFonts w:cs="Times New Roman"/>
          <w:szCs w:val="24"/>
        </w:rPr>
        <w:t>es</w:t>
      </w:r>
      <w:r w:rsidRPr="000252DE">
        <w:rPr>
          <w:rFonts w:cs="Times New Roman"/>
          <w:szCs w:val="24"/>
        </w:rPr>
        <w:t xml:space="preserve">, workplace </w:t>
      </w:r>
      <w:r w:rsidR="00743B2A" w:rsidRPr="000252DE">
        <w:rPr>
          <w:rFonts w:cs="Times New Roman"/>
          <w:szCs w:val="24"/>
        </w:rPr>
        <w:t>in</w:t>
      </w:r>
      <w:r w:rsidRPr="000252DE">
        <w:rPr>
          <w:rFonts w:cs="Times New Roman"/>
          <w:szCs w:val="24"/>
        </w:rPr>
        <w:t>equity, and diversity-driven hiring practices</w:t>
      </w:r>
      <w:r w:rsidR="00743B2A" w:rsidRPr="000252DE">
        <w:rPr>
          <w:rFonts w:cs="Times New Roman"/>
          <w:szCs w:val="24"/>
        </w:rPr>
        <w:t xml:space="preserve"> to help organizations adapt to these changes</w:t>
      </w:r>
      <w:r w:rsidR="000252DE">
        <w:rPr>
          <w:rFonts w:cs="Times New Roman"/>
          <w:szCs w:val="24"/>
        </w:rPr>
        <w:t xml:space="preserve">. </w:t>
      </w:r>
      <w:r w:rsidRPr="000252DE">
        <w:rPr>
          <w:rFonts w:cs="Times New Roman"/>
          <w:szCs w:val="24"/>
        </w:rPr>
        <w:t>Government policies are now placing more and more scrutiny on corporate DEI efforts, which can influence funding and strategic priorities. Moreover, public sector organizations struggle to continue DEI initiatives with ever-changing legislation and limited</w:t>
      </w:r>
      <w:r w:rsidR="000252DE">
        <w:rPr>
          <w:rFonts w:cs="Times New Roman"/>
          <w:szCs w:val="24"/>
        </w:rPr>
        <w:t xml:space="preserve"> budgets (Kerber, 2025).</w:t>
      </w:r>
    </w:p>
    <w:p w14:paraId="4B2EA6DC" w14:textId="77777777" w:rsidR="00C3393E" w:rsidRPr="000252DE" w:rsidRDefault="00601324" w:rsidP="000252DE">
      <w:pPr>
        <w:keepNext/>
        <w:spacing w:beforeLines="160" w:before="384" w:afterLines="160" w:after="384"/>
        <w:rPr>
          <w:rFonts w:cs="Times New Roman"/>
          <w:szCs w:val="24"/>
        </w:rPr>
      </w:pPr>
      <w:r w:rsidRPr="000252DE">
        <w:rPr>
          <w:rFonts w:cs="Times New Roman"/>
          <w:szCs w:val="24"/>
        </w:rPr>
        <w:t>The rise of virtual and hybrid events has transformed the industry, increasing accessibility for global audiences</w:t>
      </w:r>
      <w:r w:rsidR="00D055FE" w:rsidRPr="000252DE">
        <w:rPr>
          <w:rFonts w:cs="Times New Roman"/>
          <w:szCs w:val="24"/>
        </w:rPr>
        <w:t>. Due to cost and carbon footprint factors, many companies prefer to attend o</w:t>
      </w:r>
      <w:r w:rsidRPr="000252DE">
        <w:rPr>
          <w:rFonts w:cs="Times New Roman"/>
          <w:szCs w:val="24"/>
        </w:rPr>
        <w:t xml:space="preserve">nline (Shams et al., 2023). The </w:t>
      </w:r>
      <w:r w:rsidR="00D055FE" w:rsidRPr="000252DE">
        <w:rPr>
          <w:rFonts w:cs="Times New Roman"/>
          <w:szCs w:val="24"/>
        </w:rPr>
        <w:t xml:space="preserve">summit is capitalising on this trend by providing live-streamed sessions and interactive virtual networking opportunities. </w:t>
      </w:r>
      <w:r w:rsidRPr="000252DE">
        <w:rPr>
          <w:rFonts w:cs="Times New Roman"/>
          <w:szCs w:val="24"/>
        </w:rPr>
        <w:t xml:space="preserve">Attendees now seek concrete DEI </w:t>
      </w:r>
      <w:r w:rsidR="00D055FE" w:rsidRPr="000252DE">
        <w:rPr>
          <w:rFonts w:cs="Times New Roman"/>
          <w:szCs w:val="24"/>
        </w:rPr>
        <w:t>strategies</w:t>
      </w:r>
      <w:r w:rsidRPr="000252DE">
        <w:rPr>
          <w:rFonts w:cs="Times New Roman"/>
          <w:szCs w:val="24"/>
        </w:rPr>
        <w:t xml:space="preserve"> rather than generic discussions</w:t>
      </w:r>
      <w:r w:rsidR="00D055FE" w:rsidRPr="000252DE">
        <w:rPr>
          <w:rFonts w:cs="Times New Roman"/>
          <w:szCs w:val="24"/>
        </w:rPr>
        <w:t xml:space="preserve">. Over </w:t>
      </w:r>
      <w:r w:rsidRPr="000252DE">
        <w:rPr>
          <w:rFonts w:cs="Times New Roman"/>
          <w:szCs w:val="24"/>
        </w:rPr>
        <w:t xml:space="preserve">50% </w:t>
      </w:r>
      <w:r w:rsidR="00D055FE" w:rsidRPr="000252DE">
        <w:rPr>
          <w:rFonts w:cs="Times New Roman"/>
          <w:szCs w:val="24"/>
        </w:rPr>
        <w:t xml:space="preserve">of </w:t>
      </w:r>
      <w:proofErr w:type="spellStart"/>
      <w:r w:rsidRPr="000252DE">
        <w:rPr>
          <w:rFonts w:cs="Times New Roman"/>
          <w:szCs w:val="24"/>
        </w:rPr>
        <w:t>of</w:t>
      </w:r>
      <w:proofErr w:type="spellEnd"/>
      <w:r w:rsidRPr="000252DE">
        <w:rPr>
          <w:rFonts w:cs="Times New Roman"/>
          <w:szCs w:val="24"/>
        </w:rPr>
        <w:t xml:space="preserve"> professionals believe </w:t>
      </w:r>
      <w:r w:rsidR="00D055FE" w:rsidRPr="000252DE">
        <w:rPr>
          <w:rFonts w:cs="Times New Roman"/>
          <w:szCs w:val="24"/>
        </w:rPr>
        <w:t xml:space="preserve">DEI improves conditions for Black employees, </w:t>
      </w:r>
      <w:r w:rsidRPr="000252DE">
        <w:rPr>
          <w:rFonts w:cs="Times New Roman"/>
          <w:szCs w:val="24"/>
        </w:rPr>
        <w:t xml:space="preserve">reinforcing </w:t>
      </w:r>
      <w:r w:rsidR="00D055FE" w:rsidRPr="000252DE">
        <w:rPr>
          <w:rFonts w:cs="Times New Roman"/>
          <w:szCs w:val="24"/>
        </w:rPr>
        <w:t xml:space="preserve">the need for tangible, data-driven workplace inclusion strategies </w:t>
      </w:r>
      <w:r w:rsidR="00D055FE" w:rsidRPr="000252DE">
        <w:rPr>
          <w:rFonts w:cs="Times New Roman"/>
          <w:szCs w:val="24"/>
        </w:rPr>
        <w:lastRenderedPageBreak/>
        <w:t xml:space="preserve">(Clark 2024). The summit </w:t>
      </w:r>
      <w:r w:rsidRPr="000252DE">
        <w:rPr>
          <w:rFonts w:cs="Times New Roman"/>
          <w:szCs w:val="24"/>
        </w:rPr>
        <w:t>provides</w:t>
      </w:r>
      <w:r w:rsidR="00D055FE" w:rsidRPr="000252DE">
        <w:rPr>
          <w:rFonts w:cs="Times New Roman"/>
          <w:szCs w:val="24"/>
        </w:rPr>
        <w:t xml:space="preserve"> workshops on bias reduction, inclusive leadership and policy implementation.</w:t>
      </w:r>
    </w:p>
    <w:p w14:paraId="4B2EA6DD" w14:textId="77777777" w:rsidR="002F335F" w:rsidRPr="000252DE" w:rsidRDefault="002F335F" w:rsidP="000252DE">
      <w:pPr>
        <w:keepNext/>
        <w:spacing w:beforeLines="160" w:before="384" w:afterLines="160" w:after="384"/>
        <w:jc w:val="center"/>
        <w:rPr>
          <w:szCs w:val="24"/>
        </w:rPr>
      </w:pPr>
      <w:r w:rsidRPr="000252DE">
        <w:rPr>
          <w:rFonts w:cs="Times New Roman"/>
          <w:noProof/>
          <w:szCs w:val="24"/>
          <w:lang w:val="en-US"/>
        </w:rPr>
        <w:drawing>
          <wp:inline distT="0" distB="0" distL="0" distR="0" wp14:anchorId="4B2EA7A8" wp14:editId="4B2EA7A9">
            <wp:extent cx="5257038" cy="4500748"/>
            <wp:effectExtent l="19050" t="19050" r="20320" b="1460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0"/>
                    <a:stretch>
                      <a:fillRect/>
                    </a:stretch>
                  </pic:blipFill>
                  <pic:spPr>
                    <a:xfrm>
                      <a:off x="0" y="0"/>
                      <a:ext cx="5268942" cy="4510939"/>
                    </a:xfrm>
                    <a:prstGeom prst="rect">
                      <a:avLst/>
                    </a:prstGeom>
                    <a:ln>
                      <a:solidFill>
                        <a:schemeClr val="tx1"/>
                      </a:solidFill>
                    </a:ln>
                  </pic:spPr>
                </pic:pic>
              </a:graphicData>
            </a:graphic>
          </wp:inline>
        </w:drawing>
      </w:r>
    </w:p>
    <w:p w14:paraId="4B2EA6DE" w14:textId="77777777" w:rsidR="002F335F" w:rsidRPr="000252DE" w:rsidRDefault="002F335F" w:rsidP="000252DE">
      <w:pPr>
        <w:pStyle w:val="Caption"/>
        <w:spacing w:beforeLines="160" w:before="384" w:afterLines="160" w:after="384" w:line="360" w:lineRule="auto"/>
        <w:jc w:val="center"/>
        <w:rPr>
          <w:color w:val="auto"/>
          <w:sz w:val="24"/>
          <w:szCs w:val="24"/>
        </w:rPr>
      </w:pPr>
      <w:bookmarkStart w:id="21" w:name="_Toc190365815"/>
      <w:r w:rsidRPr="000252DE">
        <w:rPr>
          <w:color w:val="auto"/>
          <w:sz w:val="24"/>
          <w:szCs w:val="24"/>
        </w:rPr>
        <w:t xml:space="preserve">Figure </w:t>
      </w:r>
      <w:r w:rsidRPr="000252DE">
        <w:rPr>
          <w:color w:val="auto"/>
          <w:sz w:val="24"/>
          <w:szCs w:val="24"/>
        </w:rPr>
        <w:fldChar w:fldCharType="begin"/>
      </w:r>
      <w:r w:rsidRPr="000252DE">
        <w:rPr>
          <w:color w:val="auto"/>
          <w:sz w:val="24"/>
          <w:szCs w:val="24"/>
        </w:rPr>
        <w:instrText xml:space="preserve"> SEQ Figure \* ARABIC </w:instrText>
      </w:r>
      <w:r w:rsidRPr="000252DE">
        <w:rPr>
          <w:color w:val="auto"/>
          <w:sz w:val="24"/>
          <w:szCs w:val="24"/>
        </w:rPr>
        <w:fldChar w:fldCharType="separate"/>
      </w:r>
      <w:r w:rsidR="00F83072" w:rsidRPr="000252DE">
        <w:rPr>
          <w:color w:val="auto"/>
          <w:sz w:val="24"/>
          <w:szCs w:val="24"/>
        </w:rPr>
        <w:t>3</w:t>
      </w:r>
      <w:r w:rsidRPr="000252DE">
        <w:rPr>
          <w:color w:val="auto"/>
          <w:sz w:val="24"/>
          <w:szCs w:val="24"/>
        </w:rPr>
        <w:fldChar w:fldCharType="end"/>
      </w:r>
      <w:r w:rsidRPr="000252DE">
        <w:rPr>
          <w:color w:val="auto"/>
          <w:sz w:val="24"/>
          <w:szCs w:val="24"/>
        </w:rPr>
        <w:t>: Do you think that diversity and inclusion in companies and institutions has improved or got worse in the last six months?</w:t>
      </w:r>
      <w:bookmarkEnd w:id="21"/>
    </w:p>
    <w:p w14:paraId="4B2EA6DF" w14:textId="77777777" w:rsidR="002F335F" w:rsidRPr="000252DE" w:rsidRDefault="002F335F" w:rsidP="000252DE">
      <w:pPr>
        <w:spacing w:beforeLines="160" w:before="384" w:afterLines="160" w:after="384"/>
        <w:jc w:val="center"/>
        <w:rPr>
          <w:szCs w:val="24"/>
        </w:rPr>
      </w:pPr>
      <w:r w:rsidRPr="000252DE">
        <w:rPr>
          <w:szCs w:val="24"/>
        </w:rPr>
        <w:t>(Source: Clark, 2024)</w:t>
      </w:r>
    </w:p>
    <w:p w14:paraId="4B2EA6E0" w14:textId="77777777" w:rsidR="002F335F" w:rsidRPr="000252DE" w:rsidRDefault="00F60696" w:rsidP="000252DE">
      <w:pPr>
        <w:keepNext/>
        <w:spacing w:beforeLines="160" w:before="384" w:afterLines="160" w:after="384"/>
        <w:rPr>
          <w:rFonts w:cs="Times New Roman"/>
          <w:szCs w:val="24"/>
        </w:rPr>
      </w:pPr>
      <w:r w:rsidRPr="000252DE">
        <w:rPr>
          <w:rFonts w:cs="Times New Roman"/>
          <w:szCs w:val="24"/>
        </w:rPr>
        <w:t xml:space="preserve">Eco-friendly event practices are more common now than ever, because sustainability is a growing priority for the events industry. The summit aligns with this trend, providing plant-based catering </w:t>
      </w:r>
      <w:r w:rsidRPr="000252DE">
        <w:rPr>
          <w:rFonts w:cs="Times New Roman"/>
          <w:szCs w:val="24"/>
        </w:rPr>
        <w:lastRenderedPageBreak/>
        <w:t xml:space="preserve">options, reducing paper use through digital materials, and selecting an accessible venue </w:t>
      </w:r>
      <w:proofErr w:type="spellStart"/>
      <w:r w:rsidRPr="000252DE">
        <w:rPr>
          <w:rFonts w:cs="Times New Roman"/>
          <w:szCs w:val="24"/>
        </w:rPr>
        <w:t>venue</w:t>
      </w:r>
      <w:proofErr w:type="spellEnd"/>
      <w:r w:rsidRPr="000252DE">
        <w:rPr>
          <w:rFonts w:cs="Times New Roman"/>
          <w:szCs w:val="24"/>
        </w:rPr>
        <w:t xml:space="preserve"> to minimize travel emissions.</w:t>
      </w:r>
    </w:p>
    <w:p w14:paraId="4B2EA6E1" w14:textId="77777777" w:rsidR="00C36C68" w:rsidRPr="000252DE" w:rsidRDefault="00EF2119" w:rsidP="000252DE">
      <w:pPr>
        <w:pStyle w:val="Heading1"/>
        <w:spacing w:beforeLines="160" w:before="384" w:afterLines="160" w:after="384"/>
        <w:rPr>
          <w:rFonts w:cs="Times New Roman"/>
          <w:szCs w:val="24"/>
        </w:rPr>
      </w:pPr>
      <w:bookmarkStart w:id="22" w:name="_Toc190365944"/>
      <w:r w:rsidRPr="000252DE">
        <w:rPr>
          <w:rFonts w:cs="Times New Roman"/>
          <w:szCs w:val="24"/>
        </w:rPr>
        <w:t>Situational and Cultural Considerations</w:t>
      </w:r>
      <w:bookmarkEnd w:id="22"/>
    </w:p>
    <w:p w14:paraId="4B2EA6E2" w14:textId="77777777" w:rsidR="00A24F16" w:rsidRPr="000252DE" w:rsidRDefault="0099269E" w:rsidP="000252DE">
      <w:pPr>
        <w:pStyle w:val="Heading2"/>
        <w:numPr>
          <w:ilvl w:val="1"/>
          <w:numId w:val="2"/>
        </w:numPr>
        <w:spacing w:beforeLines="160" w:before="384" w:afterLines="160" w:after="384"/>
        <w:rPr>
          <w:rFonts w:cs="Times New Roman"/>
          <w:szCs w:val="24"/>
        </w:rPr>
      </w:pPr>
      <w:bookmarkStart w:id="23" w:name="_Toc190365945"/>
      <w:r w:rsidRPr="000252DE">
        <w:rPr>
          <w:rFonts w:cs="Times New Roman"/>
          <w:szCs w:val="24"/>
        </w:rPr>
        <w:t>PESTLE Analysis</w:t>
      </w:r>
      <w:bookmarkEnd w:id="23"/>
    </w:p>
    <w:p w14:paraId="4B2EA6E3" w14:textId="77777777" w:rsidR="000252DE" w:rsidRPr="000252DE" w:rsidRDefault="000252DE" w:rsidP="000252DE">
      <w:pPr>
        <w:pStyle w:val="Caption"/>
        <w:keepNext/>
        <w:spacing w:beforeLines="160" w:before="384" w:afterLines="160" w:after="384" w:line="360" w:lineRule="auto"/>
        <w:jc w:val="center"/>
        <w:rPr>
          <w:color w:val="auto"/>
          <w:sz w:val="24"/>
          <w:szCs w:val="24"/>
        </w:rPr>
      </w:pPr>
      <w:bookmarkStart w:id="24" w:name="_Toc190365818"/>
      <w:r w:rsidRPr="000252DE">
        <w:rPr>
          <w:color w:val="auto"/>
          <w:sz w:val="24"/>
          <w:szCs w:val="24"/>
        </w:rPr>
        <w:t xml:space="preserve">Table </w:t>
      </w:r>
      <w:r w:rsidRPr="000252DE">
        <w:rPr>
          <w:color w:val="auto"/>
          <w:sz w:val="24"/>
          <w:szCs w:val="24"/>
        </w:rPr>
        <w:fldChar w:fldCharType="begin"/>
      </w:r>
      <w:r w:rsidRPr="000252DE">
        <w:rPr>
          <w:color w:val="auto"/>
          <w:sz w:val="24"/>
          <w:szCs w:val="24"/>
        </w:rPr>
        <w:instrText xml:space="preserve"> SEQ Table \* ARABIC </w:instrText>
      </w:r>
      <w:r w:rsidRPr="000252DE">
        <w:rPr>
          <w:color w:val="auto"/>
          <w:sz w:val="24"/>
          <w:szCs w:val="24"/>
        </w:rPr>
        <w:fldChar w:fldCharType="separate"/>
      </w:r>
      <w:r w:rsidRPr="000252DE">
        <w:rPr>
          <w:color w:val="auto"/>
          <w:sz w:val="24"/>
          <w:szCs w:val="24"/>
        </w:rPr>
        <w:t>3</w:t>
      </w:r>
      <w:r w:rsidRPr="000252DE">
        <w:rPr>
          <w:color w:val="auto"/>
          <w:sz w:val="24"/>
          <w:szCs w:val="24"/>
        </w:rPr>
        <w:fldChar w:fldCharType="end"/>
      </w:r>
      <w:r w:rsidRPr="000252DE">
        <w:rPr>
          <w:color w:val="auto"/>
          <w:sz w:val="24"/>
          <w:szCs w:val="24"/>
        </w:rPr>
        <w:t>: PESTLE Analysis</w:t>
      </w:r>
      <w:bookmarkEnd w:id="24"/>
    </w:p>
    <w:tbl>
      <w:tblPr>
        <w:tblStyle w:val="GridTable4-Accent6"/>
        <w:tblW w:w="0" w:type="auto"/>
        <w:tblLook w:val="04A0" w:firstRow="1" w:lastRow="0" w:firstColumn="1" w:lastColumn="0" w:noHBand="0" w:noVBand="1"/>
      </w:tblPr>
      <w:tblGrid>
        <w:gridCol w:w="1643"/>
        <w:gridCol w:w="7707"/>
      </w:tblGrid>
      <w:tr w:rsidR="000252DE" w:rsidRPr="000252DE" w14:paraId="4B2EA6E6" w14:textId="77777777" w:rsidTr="001B57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E4" w14:textId="77777777" w:rsidR="00A24F16" w:rsidRPr="000252DE" w:rsidRDefault="00A24F16" w:rsidP="000252DE">
            <w:pPr>
              <w:spacing w:beforeLines="160" w:before="384" w:afterLines="160" w:after="384"/>
              <w:jc w:val="center"/>
              <w:rPr>
                <w:rFonts w:eastAsia="Times New Roman" w:cs="Times New Roman"/>
                <w:color w:val="auto"/>
                <w:szCs w:val="24"/>
                <w:lang w:val="en-US"/>
              </w:rPr>
            </w:pPr>
            <w:r w:rsidRPr="000252DE">
              <w:rPr>
                <w:rFonts w:eastAsia="Times New Roman" w:cs="Times New Roman"/>
                <w:color w:val="auto"/>
                <w:szCs w:val="24"/>
                <w:lang w:val="en-US"/>
              </w:rPr>
              <w:t>Factors</w:t>
            </w:r>
          </w:p>
        </w:tc>
        <w:tc>
          <w:tcPr>
            <w:tcW w:w="0" w:type="auto"/>
            <w:hideMark/>
          </w:tcPr>
          <w:p w14:paraId="4B2EA6E5" w14:textId="77777777" w:rsidR="00A24F16" w:rsidRPr="000252DE" w:rsidRDefault="00A24F16"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0252DE">
              <w:rPr>
                <w:rFonts w:eastAsia="Times New Roman" w:cs="Times New Roman"/>
                <w:color w:val="auto"/>
                <w:szCs w:val="24"/>
                <w:lang w:val="en-US"/>
              </w:rPr>
              <w:t>Analysis</w:t>
            </w:r>
          </w:p>
        </w:tc>
      </w:tr>
      <w:tr w:rsidR="000252DE" w:rsidRPr="000252DE" w14:paraId="4B2EA6EB"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6E7"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E8"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E9" w14:textId="77777777" w:rsidR="00A24F16" w:rsidRPr="000252DE" w:rsidRDefault="00A24F16" w:rsidP="000252DE">
            <w:pPr>
              <w:spacing w:beforeLines="160" w:before="384" w:afterLines="160" w:after="384"/>
              <w:jc w:val="center"/>
              <w:rPr>
                <w:rFonts w:eastAsia="Times New Roman" w:cs="Times New Roman"/>
                <w:b w:val="0"/>
                <w:i/>
                <w:szCs w:val="24"/>
                <w:lang w:val="en-US"/>
              </w:rPr>
            </w:pPr>
            <w:r w:rsidRPr="000252DE">
              <w:rPr>
                <w:rFonts w:eastAsia="Times New Roman" w:cs="Times New Roman"/>
                <w:b w:val="0"/>
                <w:i/>
                <w:szCs w:val="24"/>
                <w:lang w:val="en-US"/>
              </w:rPr>
              <w:t>Political</w:t>
            </w:r>
          </w:p>
        </w:tc>
        <w:tc>
          <w:tcPr>
            <w:tcW w:w="0" w:type="auto"/>
            <w:hideMark/>
          </w:tcPr>
          <w:p w14:paraId="4B2EA6EA"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Government DEI policies impact event sponsorships and public sector participation.</w:t>
            </w:r>
          </w:p>
        </w:tc>
      </w:tr>
      <w:tr w:rsidR="000252DE" w:rsidRPr="000252DE" w14:paraId="4B2EA6EE"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6EC"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6ED"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Post-Brexit travel restrictions affect international attendees and speaker availability (27.7%) (Statista, 2025)</w:t>
            </w:r>
          </w:p>
        </w:tc>
      </w:tr>
      <w:tr w:rsidR="000252DE" w:rsidRPr="000252DE" w14:paraId="4B2EA6F1"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6EF"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6F0"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 xml:space="preserve">Increased scrutiny </w:t>
            </w:r>
            <w:proofErr w:type="gramStart"/>
            <w:r w:rsidRPr="000252DE">
              <w:rPr>
                <w:rFonts w:eastAsia="Times New Roman" w:cs="Times New Roman"/>
                <w:bCs/>
                <w:szCs w:val="24"/>
                <w:lang w:val="en-US"/>
              </w:rPr>
              <w:t>on</w:t>
            </w:r>
            <w:proofErr w:type="gramEnd"/>
            <w:r w:rsidRPr="000252DE">
              <w:rPr>
                <w:rFonts w:eastAsia="Times New Roman" w:cs="Times New Roman"/>
                <w:bCs/>
                <w:szCs w:val="24"/>
                <w:lang w:val="en-US"/>
              </w:rPr>
              <w:t xml:space="preserve"> corporate DEI commitments influences event branding and partnerships.</w:t>
            </w:r>
          </w:p>
        </w:tc>
      </w:tr>
      <w:tr w:rsidR="000252DE" w:rsidRPr="000252DE" w14:paraId="4B2EA6F6" w14:textId="77777777" w:rsidTr="001B5798">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6F2"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F3"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F4" w14:textId="77777777" w:rsidR="00A24F16" w:rsidRPr="000252DE" w:rsidRDefault="00A24F16" w:rsidP="000252DE">
            <w:pPr>
              <w:spacing w:beforeLines="160" w:before="384" w:afterLines="160" w:after="384"/>
              <w:jc w:val="center"/>
              <w:rPr>
                <w:rFonts w:eastAsia="Times New Roman" w:cs="Times New Roman"/>
                <w:b w:val="0"/>
                <w:i/>
                <w:szCs w:val="24"/>
                <w:lang w:val="en-US"/>
              </w:rPr>
            </w:pPr>
            <w:r w:rsidRPr="000252DE">
              <w:rPr>
                <w:rFonts w:eastAsia="Times New Roman" w:cs="Times New Roman"/>
                <w:b w:val="0"/>
                <w:i/>
                <w:szCs w:val="24"/>
                <w:lang w:val="en-US"/>
              </w:rPr>
              <w:t>Economic</w:t>
            </w:r>
          </w:p>
        </w:tc>
        <w:tc>
          <w:tcPr>
            <w:tcW w:w="0" w:type="auto"/>
            <w:hideMark/>
          </w:tcPr>
          <w:p w14:paraId="4B2EA6F5"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Rising inflation (2.5%) affects ticket pricing (Statista, 2025a).</w:t>
            </w:r>
          </w:p>
        </w:tc>
      </w:tr>
      <w:tr w:rsidR="000252DE" w:rsidRPr="000252DE" w14:paraId="4B2EA6F9"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6F7"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6F8"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Economic downturns reduce corporate budgets for event attendance and sponsorships.</w:t>
            </w:r>
          </w:p>
        </w:tc>
      </w:tr>
      <w:tr w:rsidR="000252DE" w:rsidRPr="000252DE" w14:paraId="4B2EA6FC"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6FA"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6FB"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Increased demand for cost-effective virtual or hybrid events as a budget-friendly alternative (17%) (Statista, 2025b).</w:t>
            </w:r>
          </w:p>
        </w:tc>
      </w:tr>
      <w:tr w:rsidR="000252DE" w:rsidRPr="000252DE" w14:paraId="4B2EA701"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6FD"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FE"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FF" w14:textId="77777777" w:rsidR="00A24F16" w:rsidRPr="000252DE" w:rsidRDefault="00A24F16" w:rsidP="000252DE">
            <w:pPr>
              <w:spacing w:beforeLines="160" w:before="384" w:afterLines="160" w:after="384"/>
              <w:jc w:val="center"/>
              <w:rPr>
                <w:rFonts w:eastAsia="Times New Roman" w:cs="Times New Roman"/>
                <w:b w:val="0"/>
                <w:i/>
                <w:szCs w:val="24"/>
                <w:lang w:val="en-US"/>
              </w:rPr>
            </w:pPr>
            <w:r w:rsidRPr="000252DE">
              <w:rPr>
                <w:rFonts w:eastAsia="Times New Roman" w:cs="Times New Roman"/>
                <w:b w:val="0"/>
                <w:i/>
                <w:szCs w:val="24"/>
                <w:lang w:val="en-US"/>
              </w:rPr>
              <w:t>Social</w:t>
            </w:r>
          </w:p>
        </w:tc>
        <w:tc>
          <w:tcPr>
            <w:tcW w:w="0" w:type="auto"/>
            <w:hideMark/>
          </w:tcPr>
          <w:p w14:paraId="4B2EA700"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Workplace DEI expectations drive interest in diversity-focused conferences.</w:t>
            </w:r>
          </w:p>
        </w:tc>
      </w:tr>
      <w:tr w:rsidR="000252DE" w:rsidRPr="000252DE" w14:paraId="4B2EA704"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02"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03"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Attendees prefer engaging sessions, peer-led discussions, and action-driven insights (Statista, 2025c).</w:t>
            </w:r>
          </w:p>
        </w:tc>
      </w:tr>
      <w:tr w:rsidR="000252DE" w:rsidRPr="000252DE" w14:paraId="4B2EA707"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05"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06"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Greater emphasis on accessibility, requiring inclusive event spaces and content formats.</w:t>
            </w:r>
          </w:p>
        </w:tc>
      </w:tr>
      <w:tr w:rsidR="000252DE" w:rsidRPr="000252DE" w14:paraId="4B2EA70C" w14:textId="77777777" w:rsidTr="001B5798">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08" w14:textId="77777777" w:rsidR="00A24F16" w:rsidRPr="000252DE" w:rsidRDefault="00A24F16" w:rsidP="000252DE">
            <w:pPr>
              <w:spacing w:beforeLines="160" w:before="384" w:afterLines="160" w:after="384"/>
              <w:jc w:val="left"/>
              <w:rPr>
                <w:rFonts w:eastAsia="Times New Roman" w:cs="Times New Roman"/>
                <w:b w:val="0"/>
                <w:i/>
                <w:szCs w:val="24"/>
                <w:lang w:val="en-US"/>
              </w:rPr>
            </w:pPr>
          </w:p>
          <w:p w14:paraId="4B2EA709" w14:textId="77777777" w:rsidR="00A24F16" w:rsidRPr="000252DE" w:rsidRDefault="00A24F16" w:rsidP="000252DE">
            <w:pPr>
              <w:spacing w:beforeLines="160" w:before="384" w:afterLines="160" w:after="384"/>
              <w:jc w:val="left"/>
              <w:rPr>
                <w:rFonts w:eastAsia="Times New Roman" w:cs="Times New Roman"/>
                <w:b w:val="0"/>
                <w:i/>
                <w:szCs w:val="24"/>
                <w:lang w:val="en-US"/>
              </w:rPr>
            </w:pPr>
          </w:p>
          <w:p w14:paraId="4B2EA70A" w14:textId="77777777" w:rsidR="00A24F16" w:rsidRPr="000252DE" w:rsidRDefault="00A24F16" w:rsidP="000252DE">
            <w:pPr>
              <w:spacing w:beforeLines="160" w:before="384" w:afterLines="160" w:after="384"/>
              <w:jc w:val="left"/>
              <w:rPr>
                <w:rFonts w:eastAsia="Times New Roman" w:cs="Times New Roman"/>
                <w:b w:val="0"/>
                <w:i/>
                <w:szCs w:val="24"/>
                <w:lang w:val="en-US"/>
              </w:rPr>
            </w:pPr>
            <w:r w:rsidRPr="000252DE">
              <w:rPr>
                <w:rFonts w:eastAsia="Times New Roman" w:cs="Times New Roman"/>
                <w:b w:val="0"/>
                <w:i/>
                <w:szCs w:val="24"/>
                <w:lang w:val="en-US"/>
              </w:rPr>
              <w:t>Technological</w:t>
            </w:r>
          </w:p>
        </w:tc>
        <w:tc>
          <w:tcPr>
            <w:tcW w:w="0" w:type="auto"/>
            <w:hideMark/>
          </w:tcPr>
          <w:p w14:paraId="4B2EA70B"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AI-powered analytics improve attendee engagement and event personalization.</w:t>
            </w:r>
          </w:p>
        </w:tc>
      </w:tr>
      <w:tr w:rsidR="000252DE" w:rsidRPr="000252DE" w14:paraId="4B2EA70F"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0D"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0E"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Hybrid event technology enables wider participation from remote audiences.</w:t>
            </w:r>
          </w:p>
        </w:tc>
      </w:tr>
      <w:tr w:rsidR="000252DE" w:rsidRPr="000252DE" w14:paraId="4B2EA712"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10"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11"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Cybersecurity concerns require robust protection for attendee data and virtual platforms (Statista, 2025c).</w:t>
            </w:r>
          </w:p>
        </w:tc>
      </w:tr>
      <w:tr w:rsidR="000252DE" w:rsidRPr="000252DE" w14:paraId="4B2EA718"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13"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714"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715"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716" w14:textId="77777777" w:rsidR="00A24F16" w:rsidRPr="000252DE" w:rsidRDefault="00A24F16" w:rsidP="000252DE">
            <w:pPr>
              <w:spacing w:beforeLines="160" w:before="384" w:afterLines="160" w:after="384"/>
              <w:jc w:val="center"/>
              <w:rPr>
                <w:rFonts w:eastAsia="Times New Roman" w:cs="Times New Roman"/>
                <w:b w:val="0"/>
                <w:i/>
                <w:szCs w:val="24"/>
                <w:lang w:val="en-US"/>
              </w:rPr>
            </w:pPr>
            <w:r w:rsidRPr="000252DE">
              <w:rPr>
                <w:rFonts w:eastAsia="Times New Roman" w:cs="Times New Roman"/>
                <w:b w:val="0"/>
                <w:i/>
                <w:szCs w:val="24"/>
                <w:lang w:val="en-US"/>
              </w:rPr>
              <w:t>Legal</w:t>
            </w:r>
          </w:p>
        </w:tc>
        <w:tc>
          <w:tcPr>
            <w:tcW w:w="0" w:type="auto"/>
            <w:hideMark/>
          </w:tcPr>
          <w:p w14:paraId="4B2EA717"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GDPR compliance is essential for handling attendee data and marketing communications.</w:t>
            </w:r>
          </w:p>
        </w:tc>
      </w:tr>
      <w:tr w:rsidR="000252DE" w:rsidRPr="000252DE" w14:paraId="4B2EA71B"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19"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1A"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Health and safety regulations require structured risk management for in-person events.</w:t>
            </w:r>
          </w:p>
        </w:tc>
      </w:tr>
      <w:tr w:rsidR="000252DE" w:rsidRPr="000252DE" w14:paraId="4B2EA71E"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1C"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1D"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Event contracts must adhere to updated licensing laws for media, sponsorship, and broadcasting.</w:t>
            </w:r>
          </w:p>
        </w:tc>
      </w:tr>
      <w:tr w:rsidR="000252DE" w:rsidRPr="000252DE" w14:paraId="4B2EA723" w14:textId="77777777" w:rsidTr="001B5798">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1F"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720"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721" w14:textId="77777777" w:rsidR="00A24F16" w:rsidRPr="000252DE" w:rsidRDefault="00A24F16" w:rsidP="000252DE">
            <w:pPr>
              <w:spacing w:beforeLines="160" w:before="384" w:afterLines="160" w:after="384"/>
              <w:jc w:val="center"/>
              <w:rPr>
                <w:rFonts w:eastAsia="Times New Roman" w:cs="Times New Roman"/>
                <w:b w:val="0"/>
                <w:i/>
                <w:szCs w:val="24"/>
                <w:lang w:val="en-US"/>
              </w:rPr>
            </w:pPr>
            <w:r w:rsidRPr="000252DE">
              <w:rPr>
                <w:rFonts w:eastAsia="Times New Roman" w:cs="Times New Roman"/>
                <w:b w:val="0"/>
                <w:i/>
                <w:szCs w:val="24"/>
                <w:lang w:val="en-US"/>
              </w:rPr>
              <w:t>Environmental</w:t>
            </w:r>
          </w:p>
        </w:tc>
        <w:tc>
          <w:tcPr>
            <w:tcW w:w="0" w:type="auto"/>
            <w:hideMark/>
          </w:tcPr>
          <w:p w14:paraId="4B2EA722"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Sustainability initiatives push events toward eco-friendly practices and carbon neutrality (Statista, 2025e).</w:t>
            </w:r>
          </w:p>
        </w:tc>
      </w:tr>
      <w:tr w:rsidR="000252DE" w:rsidRPr="000252DE" w14:paraId="4B2EA726"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24"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25"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Waste reduction, ethical sourcing, and digital ticketing gain importance in event planning.</w:t>
            </w:r>
          </w:p>
        </w:tc>
      </w:tr>
      <w:tr w:rsidR="000252DE" w:rsidRPr="000252DE" w14:paraId="4B2EA729"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27"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28"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Local noise, crowd management, and environmental regulations influence venue selection.</w:t>
            </w:r>
          </w:p>
        </w:tc>
      </w:tr>
    </w:tbl>
    <w:p w14:paraId="4B2EA72A" w14:textId="77777777" w:rsidR="005B07B5" w:rsidRPr="000252DE" w:rsidRDefault="000252DE" w:rsidP="000252DE">
      <w:pPr>
        <w:spacing w:beforeLines="160" w:before="384" w:afterLines="160" w:after="384"/>
        <w:jc w:val="center"/>
        <w:rPr>
          <w:szCs w:val="24"/>
        </w:rPr>
      </w:pPr>
      <w:r w:rsidRPr="000252DE">
        <w:rPr>
          <w:szCs w:val="24"/>
        </w:rPr>
        <w:t>(Source: Author, 2025)</w:t>
      </w:r>
    </w:p>
    <w:p w14:paraId="4B2EA72B" w14:textId="77777777" w:rsidR="003628FB" w:rsidRPr="000252DE" w:rsidRDefault="00EF2119" w:rsidP="000252DE">
      <w:pPr>
        <w:pStyle w:val="Heading2"/>
        <w:numPr>
          <w:ilvl w:val="1"/>
          <w:numId w:val="2"/>
        </w:numPr>
        <w:spacing w:beforeLines="160" w:before="384" w:afterLines="160" w:after="384"/>
        <w:rPr>
          <w:rFonts w:cs="Times New Roman"/>
          <w:szCs w:val="24"/>
        </w:rPr>
      </w:pPr>
      <w:bookmarkStart w:id="25" w:name="_Toc190365946"/>
      <w:r w:rsidRPr="000252DE">
        <w:rPr>
          <w:rFonts w:cs="Times New Roman"/>
          <w:szCs w:val="24"/>
        </w:rPr>
        <w:lastRenderedPageBreak/>
        <w:t>SWOT Analysis</w:t>
      </w:r>
      <w:bookmarkEnd w:id="25"/>
    </w:p>
    <w:p w14:paraId="4B2EA72C" w14:textId="77777777" w:rsidR="000252DE" w:rsidRPr="000252DE" w:rsidRDefault="000252DE" w:rsidP="000252DE">
      <w:pPr>
        <w:pStyle w:val="Caption"/>
        <w:keepNext/>
        <w:spacing w:beforeLines="160" w:before="384" w:afterLines="160" w:after="384" w:line="360" w:lineRule="auto"/>
        <w:jc w:val="center"/>
        <w:rPr>
          <w:color w:val="auto"/>
          <w:sz w:val="24"/>
          <w:szCs w:val="24"/>
        </w:rPr>
      </w:pPr>
      <w:bookmarkStart w:id="26" w:name="_Toc190365819"/>
      <w:r w:rsidRPr="000252DE">
        <w:rPr>
          <w:color w:val="auto"/>
          <w:sz w:val="24"/>
          <w:szCs w:val="24"/>
        </w:rPr>
        <w:t xml:space="preserve">Table </w:t>
      </w:r>
      <w:r w:rsidRPr="000252DE">
        <w:rPr>
          <w:color w:val="auto"/>
          <w:sz w:val="24"/>
          <w:szCs w:val="24"/>
        </w:rPr>
        <w:fldChar w:fldCharType="begin"/>
      </w:r>
      <w:r w:rsidRPr="000252DE">
        <w:rPr>
          <w:color w:val="auto"/>
          <w:sz w:val="24"/>
          <w:szCs w:val="24"/>
        </w:rPr>
        <w:instrText xml:space="preserve"> SEQ Table \* ARABIC </w:instrText>
      </w:r>
      <w:r w:rsidRPr="000252DE">
        <w:rPr>
          <w:color w:val="auto"/>
          <w:sz w:val="24"/>
          <w:szCs w:val="24"/>
        </w:rPr>
        <w:fldChar w:fldCharType="separate"/>
      </w:r>
      <w:r w:rsidRPr="000252DE">
        <w:rPr>
          <w:color w:val="auto"/>
          <w:sz w:val="24"/>
          <w:szCs w:val="24"/>
        </w:rPr>
        <w:t>4</w:t>
      </w:r>
      <w:r w:rsidRPr="000252DE">
        <w:rPr>
          <w:color w:val="auto"/>
          <w:sz w:val="24"/>
          <w:szCs w:val="24"/>
        </w:rPr>
        <w:fldChar w:fldCharType="end"/>
      </w:r>
      <w:r w:rsidRPr="000252DE">
        <w:rPr>
          <w:color w:val="auto"/>
          <w:sz w:val="24"/>
          <w:szCs w:val="24"/>
        </w:rPr>
        <w:t>: SWOT Analysis</w:t>
      </w:r>
      <w:bookmarkEnd w:id="26"/>
    </w:p>
    <w:tbl>
      <w:tblPr>
        <w:tblStyle w:val="GridTable4-Accent4"/>
        <w:tblW w:w="0" w:type="auto"/>
        <w:tblLook w:val="04A0" w:firstRow="1" w:lastRow="0" w:firstColumn="1" w:lastColumn="0" w:noHBand="0" w:noVBand="1"/>
      </w:tblPr>
      <w:tblGrid>
        <w:gridCol w:w="1550"/>
        <w:gridCol w:w="7800"/>
      </w:tblGrid>
      <w:tr w:rsidR="000252DE" w:rsidRPr="000252DE" w14:paraId="4B2EA72F" w14:textId="77777777" w:rsidTr="002F33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72D" w14:textId="77777777" w:rsidR="002F335F" w:rsidRPr="000252DE" w:rsidRDefault="002F335F" w:rsidP="000252DE">
            <w:pPr>
              <w:spacing w:beforeLines="160" w:before="384" w:afterLines="160" w:after="384"/>
              <w:jc w:val="center"/>
              <w:rPr>
                <w:b w:val="0"/>
                <w:color w:val="auto"/>
                <w:szCs w:val="24"/>
              </w:rPr>
            </w:pPr>
            <w:r w:rsidRPr="000252DE">
              <w:rPr>
                <w:rStyle w:val="Strong"/>
                <w:b/>
                <w:color w:val="auto"/>
                <w:szCs w:val="24"/>
              </w:rPr>
              <w:t>Factor</w:t>
            </w:r>
          </w:p>
        </w:tc>
        <w:tc>
          <w:tcPr>
            <w:tcW w:w="0" w:type="auto"/>
            <w:hideMark/>
          </w:tcPr>
          <w:p w14:paraId="4B2EA72E" w14:textId="77777777" w:rsidR="002F335F" w:rsidRPr="000252DE" w:rsidRDefault="002F335F"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Analysis</w:t>
            </w:r>
          </w:p>
        </w:tc>
      </w:tr>
      <w:tr w:rsidR="000252DE" w:rsidRPr="000252DE" w14:paraId="4B2EA734"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30" w14:textId="77777777" w:rsidR="002F335F" w:rsidRPr="000252DE" w:rsidRDefault="002F335F" w:rsidP="000252DE">
            <w:pPr>
              <w:spacing w:beforeLines="160" w:before="384" w:afterLines="160" w:after="384"/>
              <w:jc w:val="left"/>
              <w:rPr>
                <w:rStyle w:val="Strong"/>
                <w:i/>
                <w:szCs w:val="24"/>
              </w:rPr>
            </w:pPr>
          </w:p>
          <w:p w14:paraId="4B2EA731" w14:textId="77777777" w:rsidR="002F335F" w:rsidRPr="000252DE" w:rsidRDefault="002F335F" w:rsidP="000252DE">
            <w:pPr>
              <w:spacing w:beforeLines="160" w:before="384" w:afterLines="160" w:after="384"/>
              <w:jc w:val="left"/>
              <w:rPr>
                <w:rStyle w:val="Strong"/>
                <w:i/>
                <w:szCs w:val="24"/>
              </w:rPr>
            </w:pPr>
          </w:p>
          <w:p w14:paraId="4B2EA732" w14:textId="77777777" w:rsidR="002F335F" w:rsidRPr="000252DE" w:rsidRDefault="002F335F" w:rsidP="000252DE">
            <w:pPr>
              <w:spacing w:beforeLines="160" w:before="384" w:afterLines="160" w:after="384"/>
              <w:jc w:val="center"/>
              <w:rPr>
                <w:b w:val="0"/>
                <w:bCs w:val="0"/>
                <w:i/>
                <w:szCs w:val="24"/>
              </w:rPr>
            </w:pPr>
            <w:r w:rsidRPr="000252DE">
              <w:rPr>
                <w:rStyle w:val="Strong"/>
                <w:i/>
                <w:szCs w:val="24"/>
              </w:rPr>
              <w:t>Strengths</w:t>
            </w:r>
          </w:p>
        </w:tc>
        <w:tc>
          <w:tcPr>
            <w:tcW w:w="0" w:type="auto"/>
            <w:hideMark/>
          </w:tcPr>
          <w:p w14:paraId="4B2EA733"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Hosting at the QEII Centre in London enhances credibility and accessibility for attendees.</w:t>
            </w:r>
          </w:p>
        </w:tc>
      </w:tr>
      <w:tr w:rsidR="000252DE" w:rsidRPr="000252DE" w14:paraId="4B2EA737" w14:textId="77777777" w:rsidTr="002F335F">
        <w:tc>
          <w:tcPr>
            <w:cnfStyle w:val="001000000000" w:firstRow="0" w:lastRow="0" w:firstColumn="1" w:lastColumn="0" w:oddVBand="0" w:evenVBand="0" w:oddHBand="0" w:evenHBand="0" w:firstRowFirstColumn="0" w:firstRowLastColumn="0" w:lastRowFirstColumn="0" w:lastRowLastColumn="0"/>
            <w:tcW w:w="0" w:type="auto"/>
            <w:vMerge/>
            <w:hideMark/>
          </w:tcPr>
          <w:p w14:paraId="4B2EA735" w14:textId="77777777" w:rsidR="002F335F" w:rsidRPr="000252DE" w:rsidRDefault="002F335F" w:rsidP="000252DE">
            <w:pPr>
              <w:spacing w:beforeLines="160" w:before="384" w:afterLines="160" w:after="384"/>
              <w:rPr>
                <w:b w:val="0"/>
                <w:szCs w:val="24"/>
              </w:rPr>
            </w:pPr>
          </w:p>
        </w:tc>
        <w:tc>
          <w:tcPr>
            <w:tcW w:w="0" w:type="auto"/>
            <w:hideMark/>
          </w:tcPr>
          <w:p w14:paraId="4B2EA736"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Features top DEI speakers and industry leaders, attracting a diverse and engaged audience.</w:t>
            </w:r>
          </w:p>
        </w:tc>
      </w:tr>
      <w:tr w:rsidR="000252DE" w:rsidRPr="000252DE" w14:paraId="4B2EA73A"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38" w14:textId="77777777" w:rsidR="002F335F" w:rsidRPr="000252DE" w:rsidRDefault="002F335F" w:rsidP="000252DE">
            <w:pPr>
              <w:spacing w:beforeLines="160" w:before="384" w:afterLines="160" w:after="384"/>
              <w:rPr>
                <w:b w:val="0"/>
                <w:szCs w:val="24"/>
              </w:rPr>
            </w:pPr>
          </w:p>
        </w:tc>
        <w:tc>
          <w:tcPr>
            <w:tcW w:w="0" w:type="auto"/>
            <w:hideMark/>
          </w:tcPr>
          <w:p w14:paraId="4B2EA739"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Comprehensive program with keynotes, panels, and networking offers valuable learning experiences.</w:t>
            </w:r>
          </w:p>
        </w:tc>
      </w:tr>
      <w:tr w:rsidR="000252DE" w:rsidRPr="000252DE" w14:paraId="4B2EA73F" w14:textId="77777777" w:rsidTr="002F335F">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3B" w14:textId="77777777" w:rsidR="002F335F" w:rsidRPr="000252DE" w:rsidRDefault="002F335F" w:rsidP="000252DE">
            <w:pPr>
              <w:spacing w:beforeLines="160" w:before="384" w:afterLines="160" w:after="384"/>
              <w:jc w:val="center"/>
              <w:rPr>
                <w:rStyle w:val="Strong"/>
                <w:i/>
                <w:szCs w:val="24"/>
              </w:rPr>
            </w:pPr>
          </w:p>
          <w:p w14:paraId="4B2EA73C" w14:textId="77777777" w:rsidR="002F335F" w:rsidRPr="000252DE" w:rsidRDefault="002F335F" w:rsidP="000252DE">
            <w:pPr>
              <w:spacing w:beforeLines="160" w:before="384" w:afterLines="160" w:after="384"/>
              <w:jc w:val="center"/>
              <w:rPr>
                <w:rStyle w:val="Strong"/>
                <w:i/>
                <w:szCs w:val="24"/>
              </w:rPr>
            </w:pPr>
          </w:p>
          <w:p w14:paraId="4B2EA73D" w14:textId="77777777" w:rsidR="002F335F" w:rsidRPr="000252DE" w:rsidRDefault="002F335F" w:rsidP="000252DE">
            <w:pPr>
              <w:spacing w:beforeLines="160" w:before="384" w:afterLines="160" w:after="384"/>
              <w:jc w:val="center"/>
              <w:rPr>
                <w:b w:val="0"/>
                <w:i/>
                <w:szCs w:val="24"/>
              </w:rPr>
            </w:pPr>
            <w:r w:rsidRPr="000252DE">
              <w:rPr>
                <w:rStyle w:val="Strong"/>
                <w:i/>
                <w:szCs w:val="24"/>
              </w:rPr>
              <w:t>Weaknesses</w:t>
            </w:r>
          </w:p>
        </w:tc>
        <w:tc>
          <w:tcPr>
            <w:tcW w:w="0" w:type="auto"/>
            <w:hideMark/>
          </w:tcPr>
          <w:p w14:paraId="4B2EA73E"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The £300 ticket price may limit access for small businesses, nonprofits, and independent professionals.</w:t>
            </w:r>
          </w:p>
        </w:tc>
      </w:tr>
      <w:tr w:rsidR="000252DE" w:rsidRPr="000252DE" w14:paraId="4B2EA742"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40" w14:textId="77777777" w:rsidR="002F335F" w:rsidRPr="000252DE" w:rsidRDefault="002F335F" w:rsidP="000252DE">
            <w:pPr>
              <w:spacing w:beforeLines="160" w:before="384" w:afterLines="160" w:after="384"/>
              <w:rPr>
                <w:b w:val="0"/>
                <w:szCs w:val="24"/>
              </w:rPr>
            </w:pPr>
          </w:p>
        </w:tc>
        <w:tc>
          <w:tcPr>
            <w:tcW w:w="0" w:type="auto"/>
            <w:hideMark/>
          </w:tcPr>
          <w:p w14:paraId="4B2EA741"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Primarily focuses on UK-specific DEI issues, reducing global participation and relevance.</w:t>
            </w:r>
          </w:p>
        </w:tc>
      </w:tr>
      <w:tr w:rsidR="000252DE" w:rsidRPr="000252DE" w14:paraId="4B2EA745" w14:textId="77777777" w:rsidTr="002F335F">
        <w:tc>
          <w:tcPr>
            <w:cnfStyle w:val="001000000000" w:firstRow="0" w:lastRow="0" w:firstColumn="1" w:lastColumn="0" w:oddVBand="0" w:evenVBand="0" w:oddHBand="0" w:evenHBand="0" w:firstRowFirstColumn="0" w:firstRowLastColumn="0" w:lastRowFirstColumn="0" w:lastRowLastColumn="0"/>
            <w:tcW w:w="0" w:type="auto"/>
            <w:vMerge/>
            <w:hideMark/>
          </w:tcPr>
          <w:p w14:paraId="4B2EA743" w14:textId="77777777" w:rsidR="002F335F" w:rsidRPr="000252DE" w:rsidRDefault="002F335F" w:rsidP="000252DE">
            <w:pPr>
              <w:spacing w:beforeLines="160" w:before="384" w:afterLines="160" w:after="384"/>
              <w:rPr>
                <w:b w:val="0"/>
                <w:szCs w:val="24"/>
              </w:rPr>
            </w:pPr>
          </w:p>
        </w:tc>
        <w:tc>
          <w:tcPr>
            <w:tcW w:w="0" w:type="auto"/>
            <w:hideMark/>
          </w:tcPr>
          <w:p w14:paraId="4B2EA744"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Significant planning and coordination required for interactive workshops and networking sessions</w:t>
            </w:r>
            <w:r w:rsidR="00240250" w:rsidRPr="000252DE">
              <w:rPr>
                <w:rStyle w:val="Strong"/>
                <w:b w:val="0"/>
                <w:szCs w:val="24"/>
              </w:rPr>
              <w:t xml:space="preserve"> (</w:t>
            </w:r>
            <w:r w:rsidR="00240250" w:rsidRPr="000252DE">
              <w:rPr>
                <w:szCs w:val="24"/>
                <w:lang w:val="en-US"/>
              </w:rPr>
              <w:t>Getz and Page, 2024</w:t>
            </w:r>
            <w:r w:rsidR="00240250" w:rsidRPr="000252DE">
              <w:rPr>
                <w:rStyle w:val="Strong"/>
                <w:b w:val="0"/>
                <w:szCs w:val="24"/>
              </w:rPr>
              <w:t>)</w:t>
            </w:r>
            <w:r w:rsidRPr="000252DE">
              <w:rPr>
                <w:rStyle w:val="Strong"/>
                <w:b w:val="0"/>
                <w:szCs w:val="24"/>
              </w:rPr>
              <w:t>.</w:t>
            </w:r>
          </w:p>
        </w:tc>
      </w:tr>
      <w:tr w:rsidR="000252DE" w:rsidRPr="000252DE" w14:paraId="4B2EA74A"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46" w14:textId="77777777" w:rsidR="002F335F" w:rsidRPr="000252DE" w:rsidRDefault="002F335F" w:rsidP="000252DE">
            <w:pPr>
              <w:spacing w:beforeLines="160" w:before="384" w:afterLines="160" w:after="384"/>
              <w:jc w:val="center"/>
              <w:rPr>
                <w:rStyle w:val="Strong"/>
                <w:i/>
                <w:szCs w:val="24"/>
              </w:rPr>
            </w:pPr>
          </w:p>
          <w:p w14:paraId="4B2EA747" w14:textId="77777777" w:rsidR="002F335F" w:rsidRPr="000252DE" w:rsidRDefault="002F335F" w:rsidP="000252DE">
            <w:pPr>
              <w:spacing w:beforeLines="160" w:before="384" w:afterLines="160" w:after="384"/>
              <w:jc w:val="center"/>
              <w:rPr>
                <w:rStyle w:val="Strong"/>
                <w:i/>
                <w:szCs w:val="24"/>
              </w:rPr>
            </w:pPr>
          </w:p>
          <w:p w14:paraId="4B2EA748" w14:textId="77777777" w:rsidR="002F335F" w:rsidRPr="000252DE" w:rsidRDefault="002F335F" w:rsidP="000252DE">
            <w:pPr>
              <w:spacing w:beforeLines="160" w:before="384" w:afterLines="160" w:after="384"/>
              <w:jc w:val="center"/>
              <w:rPr>
                <w:b w:val="0"/>
                <w:i/>
                <w:szCs w:val="24"/>
              </w:rPr>
            </w:pPr>
            <w:r w:rsidRPr="000252DE">
              <w:rPr>
                <w:rStyle w:val="Strong"/>
                <w:i/>
                <w:szCs w:val="24"/>
              </w:rPr>
              <w:t>Opportunities</w:t>
            </w:r>
          </w:p>
        </w:tc>
        <w:tc>
          <w:tcPr>
            <w:tcW w:w="0" w:type="auto"/>
            <w:hideMark/>
          </w:tcPr>
          <w:p w14:paraId="4B2EA749"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Increasing demand for DEI initiatives makes the event highly relevant for businesses and HR professionals.</w:t>
            </w:r>
          </w:p>
        </w:tc>
      </w:tr>
      <w:tr w:rsidR="000252DE" w:rsidRPr="000252DE" w14:paraId="4B2EA74D" w14:textId="77777777" w:rsidTr="002F335F">
        <w:tc>
          <w:tcPr>
            <w:cnfStyle w:val="001000000000" w:firstRow="0" w:lastRow="0" w:firstColumn="1" w:lastColumn="0" w:oddVBand="0" w:evenVBand="0" w:oddHBand="0" w:evenHBand="0" w:firstRowFirstColumn="0" w:firstRowLastColumn="0" w:lastRowFirstColumn="0" w:lastRowLastColumn="0"/>
            <w:tcW w:w="0" w:type="auto"/>
            <w:vMerge/>
            <w:hideMark/>
          </w:tcPr>
          <w:p w14:paraId="4B2EA74B" w14:textId="77777777" w:rsidR="002F335F" w:rsidRPr="000252DE" w:rsidRDefault="002F335F" w:rsidP="000252DE">
            <w:pPr>
              <w:spacing w:beforeLines="160" w:before="384" w:afterLines="160" w:after="384"/>
              <w:rPr>
                <w:b w:val="0"/>
                <w:szCs w:val="24"/>
              </w:rPr>
            </w:pPr>
          </w:p>
        </w:tc>
        <w:tc>
          <w:tcPr>
            <w:tcW w:w="0" w:type="auto"/>
            <w:hideMark/>
          </w:tcPr>
          <w:p w14:paraId="4B2EA74C"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Potential collaborations with corporate sponsors and DEI-focused organizations to expand reach</w:t>
            </w:r>
            <w:r w:rsidR="00412385" w:rsidRPr="000252DE">
              <w:rPr>
                <w:rStyle w:val="Strong"/>
                <w:b w:val="0"/>
                <w:szCs w:val="24"/>
              </w:rPr>
              <w:t xml:space="preserve"> (</w:t>
            </w:r>
            <w:r w:rsidR="00412385" w:rsidRPr="000252DE">
              <w:rPr>
                <w:szCs w:val="24"/>
                <w:lang w:val="en-US"/>
              </w:rPr>
              <w:t>Inclusive Employers, 2023</w:t>
            </w:r>
            <w:r w:rsidR="00412385" w:rsidRPr="000252DE">
              <w:rPr>
                <w:rStyle w:val="Strong"/>
                <w:b w:val="0"/>
                <w:szCs w:val="24"/>
              </w:rPr>
              <w:t>)</w:t>
            </w:r>
            <w:r w:rsidRPr="000252DE">
              <w:rPr>
                <w:rStyle w:val="Strong"/>
                <w:b w:val="0"/>
                <w:szCs w:val="24"/>
              </w:rPr>
              <w:t>.</w:t>
            </w:r>
          </w:p>
        </w:tc>
      </w:tr>
      <w:tr w:rsidR="000252DE" w:rsidRPr="000252DE" w14:paraId="4B2EA750"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4E" w14:textId="77777777" w:rsidR="002F335F" w:rsidRPr="000252DE" w:rsidRDefault="002F335F" w:rsidP="000252DE">
            <w:pPr>
              <w:spacing w:beforeLines="160" w:before="384" w:afterLines="160" w:after="384"/>
              <w:rPr>
                <w:b w:val="0"/>
                <w:szCs w:val="24"/>
              </w:rPr>
            </w:pPr>
          </w:p>
        </w:tc>
        <w:tc>
          <w:tcPr>
            <w:tcW w:w="0" w:type="auto"/>
            <w:hideMark/>
          </w:tcPr>
          <w:p w14:paraId="4B2EA74F"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Digital accessibility options (live streaming and recorded sessions) can enhance audience engagement.</w:t>
            </w:r>
          </w:p>
        </w:tc>
      </w:tr>
      <w:tr w:rsidR="000252DE" w:rsidRPr="000252DE" w14:paraId="4B2EA755" w14:textId="77777777" w:rsidTr="002F335F">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51" w14:textId="77777777" w:rsidR="002F335F" w:rsidRPr="000252DE" w:rsidRDefault="002F335F" w:rsidP="000252DE">
            <w:pPr>
              <w:spacing w:beforeLines="160" w:before="384" w:afterLines="160" w:after="384"/>
              <w:jc w:val="center"/>
              <w:rPr>
                <w:rStyle w:val="Strong"/>
                <w:i/>
                <w:szCs w:val="24"/>
              </w:rPr>
            </w:pPr>
          </w:p>
          <w:p w14:paraId="4B2EA752" w14:textId="77777777" w:rsidR="002F335F" w:rsidRPr="000252DE" w:rsidRDefault="002F335F" w:rsidP="000252DE">
            <w:pPr>
              <w:spacing w:beforeLines="160" w:before="384" w:afterLines="160" w:after="384"/>
              <w:jc w:val="center"/>
              <w:rPr>
                <w:rStyle w:val="Strong"/>
                <w:i/>
                <w:szCs w:val="24"/>
              </w:rPr>
            </w:pPr>
          </w:p>
          <w:p w14:paraId="4B2EA753" w14:textId="77777777" w:rsidR="002F335F" w:rsidRPr="000252DE" w:rsidRDefault="002F335F" w:rsidP="000252DE">
            <w:pPr>
              <w:spacing w:beforeLines="160" w:before="384" w:afterLines="160" w:after="384"/>
              <w:jc w:val="center"/>
              <w:rPr>
                <w:i/>
                <w:szCs w:val="24"/>
              </w:rPr>
            </w:pPr>
            <w:r w:rsidRPr="000252DE">
              <w:rPr>
                <w:rStyle w:val="Strong"/>
                <w:i/>
                <w:szCs w:val="24"/>
              </w:rPr>
              <w:t>Threats</w:t>
            </w:r>
          </w:p>
        </w:tc>
        <w:tc>
          <w:tcPr>
            <w:tcW w:w="0" w:type="auto"/>
            <w:hideMark/>
          </w:tcPr>
          <w:p w14:paraId="4B2EA754"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Government policies and economic challenges may reduce corporate DEI funding and attendance.</w:t>
            </w:r>
          </w:p>
        </w:tc>
      </w:tr>
      <w:tr w:rsidR="000252DE" w:rsidRPr="000252DE" w14:paraId="4B2EA758"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56" w14:textId="77777777" w:rsidR="002F335F" w:rsidRPr="000252DE" w:rsidRDefault="002F335F" w:rsidP="000252DE">
            <w:pPr>
              <w:spacing w:beforeLines="160" w:before="384" w:afterLines="160" w:after="384"/>
              <w:rPr>
                <w:b w:val="0"/>
                <w:szCs w:val="24"/>
              </w:rPr>
            </w:pPr>
          </w:p>
        </w:tc>
        <w:tc>
          <w:tcPr>
            <w:tcW w:w="0" w:type="auto"/>
            <w:hideMark/>
          </w:tcPr>
          <w:p w14:paraId="4B2EA757"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Competing DEI conferences with stronger brand recognition may draw away potential attendees.</w:t>
            </w:r>
          </w:p>
        </w:tc>
      </w:tr>
      <w:tr w:rsidR="000252DE" w:rsidRPr="000252DE" w14:paraId="4B2EA75B" w14:textId="77777777" w:rsidTr="002F335F">
        <w:tc>
          <w:tcPr>
            <w:cnfStyle w:val="001000000000" w:firstRow="0" w:lastRow="0" w:firstColumn="1" w:lastColumn="0" w:oddVBand="0" w:evenVBand="0" w:oddHBand="0" w:evenHBand="0" w:firstRowFirstColumn="0" w:firstRowLastColumn="0" w:lastRowFirstColumn="0" w:lastRowLastColumn="0"/>
            <w:tcW w:w="0" w:type="auto"/>
            <w:vMerge/>
            <w:hideMark/>
          </w:tcPr>
          <w:p w14:paraId="4B2EA759" w14:textId="77777777" w:rsidR="002F335F" w:rsidRPr="000252DE" w:rsidRDefault="002F335F" w:rsidP="000252DE">
            <w:pPr>
              <w:spacing w:beforeLines="160" w:before="384" w:afterLines="160" w:after="384"/>
              <w:rPr>
                <w:b w:val="0"/>
                <w:szCs w:val="24"/>
              </w:rPr>
            </w:pPr>
          </w:p>
        </w:tc>
        <w:tc>
          <w:tcPr>
            <w:tcW w:w="0" w:type="auto"/>
            <w:hideMark/>
          </w:tcPr>
          <w:p w14:paraId="4B2EA75A"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Financial constraints for organizations may impact sponsorship and ticket sales.</w:t>
            </w:r>
          </w:p>
        </w:tc>
      </w:tr>
    </w:tbl>
    <w:p w14:paraId="4B2EA75C" w14:textId="77777777" w:rsidR="0043191A" w:rsidRPr="000252DE" w:rsidRDefault="000252DE" w:rsidP="000252DE">
      <w:pPr>
        <w:spacing w:beforeLines="160" w:before="384" w:afterLines="160" w:after="384"/>
        <w:jc w:val="center"/>
        <w:rPr>
          <w:szCs w:val="24"/>
        </w:rPr>
      </w:pPr>
      <w:r w:rsidRPr="000252DE">
        <w:rPr>
          <w:szCs w:val="24"/>
        </w:rPr>
        <w:t>(Source: Author, 2025)</w:t>
      </w:r>
    </w:p>
    <w:p w14:paraId="4B2EA75D" w14:textId="77777777" w:rsidR="007C1D9D" w:rsidRPr="000252DE" w:rsidRDefault="00220786" w:rsidP="000252DE">
      <w:pPr>
        <w:pStyle w:val="Heading2"/>
        <w:numPr>
          <w:ilvl w:val="1"/>
          <w:numId w:val="2"/>
        </w:numPr>
        <w:spacing w:beforeLines="160" w:before="384" w:afterLines="160" w:after="384"/>
        <w:rPr>
          <w:rFonts w:cs="Times New Roman"/>
          <w:szCs w:val="24"/>
        </w:rPr>
      </w:pPr>
      <w:bookmarkStart w:id="27" w:name="_Toc190365947"/>
      <w:r w:rsidRPr="000252DE">
        <w:rPr>
          <w:rFonts w:cs="Times New Roman"/>
          <w:szCs w:val="24"/>
        </w:rPr>
        <w:lastRenderedPageBreak/>
        <w:t>SOAR Analysis</w:t>
      </w:r>
      <w:bookmarkEnd w:id="27"/>
    </w:p>
    <w:p w14:paraId="4B2EA75E" w14:textId="77777777" w:rsidR="000252DE" w:rsidRPr="000252DE" w:rsidRDefault="000252DE" w:rsidP="000252DE">
      <w:pPr>
        <w:pStyle w:val="Caption"/>
        <w:keepNext/>
        <w:spacing w:beforeLines="160" w:before="384" w:afterLines="160" w:after="384" w:line="360" w:lineRule="auto"/>
        <w:jc w:val="center"/>
        <w:rPr>
          <w:color w:val="auto"/>
          <w:sz w:val="24"/>
          <w:szCs w:val="24"/>
        </w:rPr>
      </w:pPr>
      <w:bookmarkStart w:id="28" w:name="_Toc190365820"/>
      <w:r w:rsidRPr="000252DE">
        <w:rPr>
          <w:color w:val="auto"/>
          <w:sz w:val="24"/>
          <w:szCs w:val="24"/>
        </w:rPr>
        <w:t xml:space="preserve">Table </w:t>
      </w:r>
      <w:r w:rsidRPr="000252DE">
        <w:rPr>
          <w:color w:val="auto"/>
          <w:sz w:val="24"/>
          <w:szCs w:val="24"/>
        </w:rPr>
        <w:fldChar w:fldCharType="begin"/>
      </w:r>
      <w:r w:rsidRPr="000252DE">
        <w:rPr>
          <w:color w:val="auto"/>
          <w:sz w:val="24"/>
          <w:szCs w:val="24"/>
        </w:rPr>
        <w:instrText xml:space="preserve"> SEQ Table \* ARABIC </w:instrText>
      </w:r>
      <w:r w:rsidRPr="000252DE">
        <w:rPr>
          <w:color w:val="auto"/>
          <w:sz w:val="24"/>
          <w:szCs w:val="24"/>
        </w:rPr>
        <w:fldChar w:fldCharType="separate"/>
      </w:r>
      <w:r w:rsidRPr="000252DE">
        <w:rPr>
          <w:color w:val="auto"/>
          <w:sz w:val="24"/>
          <w:szCs w:val="24"/>
        </w:rPr>
        <w:t>5</w:t>
      </w:r>
      <w:r w:rsidRPr="000252DE">
        <w:rPr>
          <w:color w:val="auto"/>
          <w:sz w:val="24"/>
          <w:szCs w:val="24"/>
        </w:rPr>
        <w:fldChar w:fldCharType="end"/>
      </w:r>
      <w:r w:rsidRPr="000252DE">
        <w:rPr>
          <w:color w:val="auto"/>
          <w:sz w:val="24"/>
          <w:szCs w:val="24"/>
        </w:rPr>
        <w:t>: SOAR Analysis</w:t>
      </w:r>
      <w:bookmarkEnd w:id="28"/>
    </w:p>
    <w:tbl>
      <w:tblPr>
        <w:tblStyle w:val="GridTable4-Accent2"/>
        <w:tblW w:w="0" w:type="auto"/>
        <w:tblLook w:val="04A0" w:firstRow="1" w:lastRow="0" w:firstColumn="1" w:lastColumn="0" w:noHBand="0" w:noVBand="1"/>
      </w:tblPr>
      <w:tblGrid>
        <w:gridCol w:w="1550"/>
        <w:gridCol w:w="7800"/>
      </w:tblGrid>
      <w:tr w:rsidR="000252DE" w:rsidRPr="000252DE" w14:paraId="4B2EA761" w14:textId="77777777" w:rsidTr="001B57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75F" w14:textId="77777777" w:rsidR="002F335F" w:rsidRPr="000252DE" w:rsidRDefault="002F335F" w:rsidP="000252DE">
            <w:pPr>
              <w:spacing w:beforeLines="160" w:before="384" w:afterLines="160" w:after="384"/>
              <w:jc w:val="center"/>
              <w:rPr>
                <w:b w:val="0"/>
                <w:color w:val="auto"/>
                <w:szCs w:val="24"/>
              </w:rPr>
            </w:pPr>
            <w:r w:rsidRPr="000252DE">
              <w:rPr>
                <w:rStyle w:val="Strong"/>
                <w:b/>
                <w:color w:val="auto"/>
                <w:szCs w:val="24"/>
              </w:rPr>
              <w:t>Factors</w:t>
            </w:r>
          </w:p>
        </w:tc>
        <w:tc>
          <w:tcPr>
            <w:tcW w:w="0" w:type="auto"/>
            <w:hideMark/>
          </w:tcPr>
          <w:p w14:paraId="4B2EA760" w14:textId="77777777" w:rsidR="002F335F" w:rsidRPr="000252DE" w:rsidRDefault="002F335F"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Analysis</w:t>
            </w:r>
          </w:p>
        </w:tc>
      </w:tr>
      <w:tr w:rsidR="000252DE" w:rsidRPr="000252DE" w14:paraId="4B2EA766"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62" w14:textId="77777777" w:rsidR="002F335F" w:rsidRPr="000252DE" w:rsidRDefault="002F335F" w:rsidP="000252DE">
            <w:pPr>
              <w:spacing w:beforeLines="160" w:before="384" w:afterLines="160" w:after="384"/>
              <w:jc w:val="center"/>
              <w:rPr>
                <w:rStyle w:val="Strong"/>
                <w:i/>
                <w:szCs w:val="24"/>
              </w:rPr>
            </w:pPr>
          </w:p>
          <w:p w14:paraId="4B2EA763" w14:textId="77777777" w:rsidR="002F335F" w:rsidRPr="000252DE" w:rsidRDefault="002F335F" w:rsidP="000252DE">
            <w:pPr>
              <w:spacing w:beforeLines="160" w:before="384" w:afterLines="160" w:after="384"/>
              <w:jc w:val="center"/>
              <w:rPr>
                <w:rStyle w:val="Strong"/>
                <w:i/>
                <w:szCs w:val="24"/>
              </w:rPr>
            </w:pPr>
          </w:p>
          <w:p w14:paraId="4B2EA764" w14:textId="77777777" w:rsidR="002F335F" w:rsidRPr="000252DE" w:rsidRDefault="002F335F" w:rsidP="000252DE">
            <w:pPr>
              <w:spacing w:beforeLines="160" w:before="384" w:afterLines="160" w:after="384"/>
              <w:jc w:val="center"/>
              <w:rPr>
                <w:b w:val="0"/>
                <w:bCs w:val="0"/>
                <w:i/>
                <w:szCs w:val="24"/>
              </w:rPr>
            </w:pPr>
            <w:r w:rsidRPr="000252DE">
              <w:rPr>
                <w:rStyle w:val="Strong"/>
                <w:i/>
                <w:szCs w:val="24"/>
              </w:rPr>
              <w:t>Strengths</w:t>
            </w:r>
          </w:p>
        </w:tc>
        <w:tc>
          <w:tcPr>
            <w:tcW w:w="0" w:type="auto"/>
            <w:hideMark/>
          </w:tcPr>
          <w:p w14:paraId="4B2EA765"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The event features expert speakers and leading organizations in workplace DEI.</w:t>
            </w:r>
          </w:p>
        </w:tc>
      </w:tr>
      <w:tr w:rsidR="000252DE" w:rsidRPr="000252DE" w14:paraId="4B2EA769"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67" w14:textId="77777777" w:rsidR="002F335F" w:rsidRPr="000252DE" w:rsidRDefault="002F335F" w:rsidP="000252DE">
            <w:pPr>
              <w:spacing w:beforeLines="160" w:before="384" w:afterLines="160" w:after="384"/>
              <w:rPr>
                <w:b w:val="0"/>
                <w:szCs w:val="24"/>
              </w:rPr>
            </w:pPr>
          </w:p>
        </w:tc>
        <w:tc>
          <w:tcPr>
            <w:tcW w:w="0" w:type="auto"/>
            <w:hideMark/>
          </w:tcPr>
          <w:p w14:paraId="4B2EA768" w14:textId="77777777" w:rsidR="002F335F" w:rsidRPr="000252DE" w:rsidRDefault="002F335F" w:rsidP="000252DE">
            <w:pPr>
              <w:pStyle w:val="ListParagraph"/>
              <w:numPr>
                <w:ilvl w:val="0"/>
                <w:numId w:val="14"/>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Strong partnerships with corporate sponsors ensure financial stability and credibility.</w:t>
            </w:r>
          </w:p>
        </w:tc>
      </w:tr>
      <w:tr w:rsidR="000252DE" w:rsidRPr="000252DE" w14:paraId="4B2EA76C"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6A" w14:textId="77777777" w:rsidR="002F335F" w:rsidRPr="000252DE" w:rsidRDefault="002F335F" w:rsidP="000252DE">
            <w:pPr>
              <w:spacing w:beforeLines="160" w:before="384" w:afterLines="160" w:after="384"/>
              <w:rPr>
                <w:b w:val="0"/>
                <w:szCs w:val="24"/>
              </w:rPr>
            </w:pPr>
          </w:p>
        </w:tc>
        <w:tc>
          <w:tcPr>
            <w:tcW w:w="0" w:type="auto"/>
            <w:hideMark/>
          </w:tcPr>
          <w:p w14:paraId="4B2EA76B"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Central London location with excellent transport links improves accessibility</w:t>
            </w:r>
            <w:r w:rsidR="00412385" w:rsidRPr="000252DE">
              <w:rPr>
                <w:rStyle w:val="Strong"/>
                <w:b w:val="0"/>
                <w:szCs w:val="24"/>
              </w:rPr>
              <w:t xml:space="preserve"> (</w:t>
            </w:r>
            <w:r w:rsidR="00412385" w:rsidRPr="000252DE">
              <w:rPr>
                <w:szCs w:val="24"/>
                <w:lang w:val="en-US"/>
              </w:rPr>
              <w:t>Shams et al., 2023</w:t>
            </w:r>
            <w:r w:rsidR="00412385" w:rsidRPr="000252DE">
              <w:rPr>
                <w:rStyle w:val="Strong"/>
                <w:b w:val="0"/>
                <w:szCs w:val="24"/>
              </w:rPr>
              <w:t>)</w:t>
            </w:r>
            <w:r w:rsidRPr="000252DE">
              <w:rPr>
                <w:rStyle w:val="Strong"/>
                <w:b w:val="0"/>
                <w:szCs w:val="24"/>
              </w:rPr>
              <w:t>.</w:t>
            </w:r>
          </w:p>
        </w:tc>
      </w:tr>
      <w:tr w:rsidR="000252DE" w:rsidRPr="000252DE" w14:paraId="4B2EA771" w14:textId="77777777" w:rsidTr="001B5798">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6D" w14:textId="77777777" w:rsidR="002F335F" w:rsidRPr="000252DE" w:rsidRDefault="002F335F" w:rsidP="000252DE">
            <w:pPr>
              <w:spacing w:beforeLines="160" w:before="384" w:afterLines="160" w:after="384"/>
              <w:jc w:val="center"/>
              <w:rPr>
                <w:rStyle w:val="Strong"/>
                <w:i/>
                <w:szCs w:val="24"/>
              </w:rPr>
            </w:pPr>
          </w:p>
          <w:p w14:paraId="4B2EA76E" w14:textId="77777777" w:rsidR="002F335F" w:rsidRPr="000252DE" w:rsidRDefault="002F335F" w:rsidP="000252DE">
            <w:pPr>
              <w:spacing w:beforeLines="160" w:before="384" w:afterLines="160" w:after="384"/>
              <w:jc w:val="center"/>
              <w:rPr>
                <w:rStyle w:val="Strong"/>
                <w:i/>
                <w:szCs w:val="24"/>
              </w:rPr>
            </w:pPr>
          </w:p>
          <w:p w14:paraId="4B2EA76F" w14:textId="77777777" w:rsidR="002F335F" w:rsidRPr="000252DE" w:rsidRDefault="002F335F" w:rsidP="000252DE">
            <w:pPr>
              <w:spacing w:beforeLines="160" w:before="384" w:afterLines="160" w:after="384"/>
              <w:jc w:val="center"/>
              <w:rPr>
                <w:b w:val="0"/>
                <w:i/>
                <w:szCs w:val="24"/>
              </w:rPr>
            </w:pPr>
            <w:r w:rsidRPr="000252DE">
              <w:rPr>
                <w:rStyle w:val="Strong"/>
                <w:i/>
                <w:szCs w:val="24"/>
              </w:rPr>
              <w:t>Opportunities</w:t>
            </w:r>
          </w:p>
        </w:tc>
        <w:tc>
          <w:tcPr>
            <w:tcW w:w="0" w:type="auto"/>
            <w:hideMark/>
          </w:tcPr>
          <w:p w14:paraId="4B2EA770" w14:textId="77777777" w:rsidR="002F335F" w:rsidRPr="000252DE" w:rsidRDefault="002F335F" w:rsidP="000252DE">
            <w:pPr>
              <w:pStyle w:val="ListParagraph"/>
              <w:numPr>
                <w:ilvl w:val="0"/>
                <w:numId w:val="14"/>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Rising corporate focus on DEI presents a chance to position the summit as a leading industry event.</w:t>
            </w:r>
          </w:p>
        </w:tc>
      </w:tr>
      <w:tr w:rsidR="000252DE" w:rsidRPr="000252DE" w14:paraId="4B2EA774"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72" w14:textId="77777777" w:rsidR="002F335F" w:rsidRPr="000252DE" w:rsidRDefault="002F335F" w:rsidP="000252DE">
            <w:pPr>
              <w:spacing w:beforeLines="160" w:before="384" w:afterLines="160" w:after="384"/>
              <w:rPr>
                <w:b w:val="0"/>
                <w:szCs w:val="24"/>
              </w:rPr>
            </w:pPr>
          </w:p>
        </w:tc>
        <w:tc>
          <w:tcPr>
            <w:tcW w:w="0" w:type="auto"/>
            <w:hideMark/>
          </w:tcPr>
          <w:p w14:paraId="4B2EA773"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Hybrid event model (in-person + virtual sessions) can increase global participation.</w:t>
            </w:r>
          </w:p>
        </w:tc>
      </w:tr>
      <w:tr w:rsidR="000252DE" w:rsidRPr="000252DE" w14:paraId="4B2EA777"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75" w14:textId="77777777" w:rsidR="002F335F" w:rsidRPr="000252DE" w:rsidRDefault="002F335F" w:rsidP="000252DE">
            <w:pPr>
              <w:spacing w:beforeLines="160" w:before="384" w:afterLines="160" w:after="384"/>
              <w:rPr>
                <w:b w:val="0"/>
                <w:szCs w:val="24"/>
              </w:rPr>
            </w:pPr>
          </w:p>
        </w:tc>
        <w:tc>
          <w:tcPr>
            <w:tcW w:w="0" w:type="auto"/>
            <w:hideMark/>
          </w:tcPr>
          <w:p w14:paraId="4B2EA776" w14:textId="77777777" w:rsidR="002F335F" w:rsidRPr="000252DE" w:rsidRDefault="002F335F" w:rsidP="000252DE">
            <w:pPr>
              <w:pStyle w:val="ListParagraph"/>
              <w:numPr>
                <w:ilvl w:val="0"/>
                <w:numId w:val="14"/>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Developing post-event resources (reports, case studies) extends the event’s impact beyond the summit.</w:t>
            </w:r>
          </w:p>
        </w:tc>
      </w:tr>
      <w:tr w:rsidR="000252DE" w:rsidRPr="000252DE" w14:paraId="4B2EA77C"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78" w14:textId="77777777" w:rsidR="002F335F" w:rsidRPr="000252DE" w:rsidRDefault="002F335F" w:rsidP="000252DE">
            <w:pPr>
              <w:spacing w:beforeLines="160" w:before="384" w:afterLines="160" w:after="384"/>
              <w:jc w:val="center"/>
              <w:rPr>
                <w:rStyle w:val="Strong"/>
                <w:i/>
                <w:szCs w:val="24"/>
              </w:rPr>
            </w:pPr>
          </w:p>
          <w:p w14:paraId="4B2EA779" w14:textId="77777777" w:rsidR="002F335F" w:rsidRPr="000252DE" w:rsidRDefault="002F335F" w:rsidP="000252DE">
            <w:pPr>
              <w:spacing w:beforeLines="160" w:before="384" w:afterLines="160" w:after="384"/>
              <w:jc w:val="center"/>
              <w:rPr>
                <w:rStyle w:val="Strong"/>
                <w:i/>
                <w:szCs w:val="24"/>
              </w:rPr>
            </w:pPr>
          </w:p>
          <w:p w14:paraId="4B2EA77A" w14:textId="77777777" w:rsidR="002F335F" w:rsidRPr="000252DE" w:rsidRDefault="002F335F" w:rsidP="000252DE">
            <w:pPr>
              <w:spacing w:beforeLines="160" w:before="384" w:afterLines="160" w:after="384"/>
              <w:jc w:val="center"/>
              <w:rPr>
                <w:b w:val="0"/>
                <w:i/>
                <w:szCs w:val="24"/>
              </w:rPr>
            </w:pPr>
            <w:r w:rsidRPr="000252DE">
              <w:rPr>
                <w:rStyle w:val="Strong"/>
                <w:i/>
                <w:szCs w:val="24"/>
              </w:rPr>
              <w:t>Aspirations</w:t>
            </w:r>
          </w:p>
        </w:tc>
        <w:tc>
          <w:tcPr>
            <w:tcW w:w="0" w:type="auto"/>
            <w:hideMark/>
          </w:tcPr>
          <w:p w14:paraId="4B2EA77B"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Establish the summit as the UK’s most influential DEI-focused business event.</w:t>
            </w:r>
          </w:p>
        </w:tc>
      </w:tr>
      <w:tr w:rsidR="000252DE" w:rsidRPr="000252DE" w14:paraId="4B2EA77F"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7D" w14:textId="77777777" w:rsidR="002F335F" w:rsidRPr="000252DE" w:rsidRDefault="002F335F" w:rsidP="000252DE">
            <w:pPr>
              <w:spacing w:beforeLines="160" w:before="384" w:afterLines="160" w:after="384"/>
              <w:rPr>
                <w:b w:val="0"/>
                <w:szCs w:val="24"/>
              </w:rPr>
            </w:pPr>
          </w:p>
        </w:tc>
        <w:tc>
          <w:tcPr>
            <w:tcW w:w="0" w:type="auto"/>
            <w:hideMark/>
          </w:tcPr>
          <w:p w14:paraId="4B2EA77E" w14:textId="77777777" w:rsidR="002F335F" w:rsidRPr="000252DE" w:rsidRDefault="002F335F" w:rsidP="000252DE">
            <w:pPr>
              <w:pStyle w:val="ListParagraph"/>
              <w:numPr>
                <w:ilvl w:val="0"/>
                <w:numId w:val="14"/>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Foster long-term collaborations between companies, policymakers, and DEI advocates.</w:t>
            </w:r>
          </w:p>
        </w:tc>
      </w:tr>
      <w:tr w:rsidR="000252DE" w:rsidRPr="000252DE" w14:paraId="4B2EA782"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80" w14:textId="77777777" w:rsidR="002F335F" w:rsidRPr="000252DE" w:rsidRDefault="002F335F" w:rsidP="000252DE">
            <w:pPr>
              <w:spacing w:beforeLines="160" w:before="384" w:afterLines="160" w:after="384"/>
              <w:rPr>
                <w:b w:val="0"/>
                <w:szCs w:val="24"/>
              </w:rPr>
            </w:pPr>
          </w:p>
        </w:tc>
        <w:tc>
          <w:tcPr>
            <w:tcW w:w="0" w:type="auto"/>
            <w:hideMark/>
          </w:tcPr>
          <w:p w14:paraId="4B2EA781"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Create a knowledge hub with continuous DEI training and community engagement beyond the annual event.</w:t>
            </w:r>
          </w:p>
        </w:tc>
      </w:tr>
      <w:tr w:rsidR="000252DE" w:rsidRPr="000252DE" w14:paraId="4B2EA787" w14:textId="77777777" w:rsidTr="001B5798">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83" w14:textId="77777777" w:rsidR="002F335F" w:rsidRPr="000252DE" w:rsidRDefault="002F335F" w:rsidP="000252DE">
            <w:pPr>
              <w:spacing w:beforeLines="160" w:before="384" w:afterLines="160" w:after="384"/>
              <w:jc w:val="center"/>
              <w:rPr>
                <w:rStyle w:val="Strong"/>
                <w:i/>
                <w:szCs w:val="24"/>
              </w:rPr>
            </w:pPr>
          </w:p>
          <w:p w14:paraId="4B2EA784" w14:textId="77777777" w:rsidR="002F335F" w:rsidRPr="000252DE" w:rsidRDefault="002F335F" w:rsidP="000252DE">
            <w:pPr>
              <w:spacing w:beforeLines="160" w:before="384" w:afterLines="160" w:after="384"/>
              <w:jc w:val="center"/>
              <w:rPr>
                <w:rStyle w:val="Strong"/>
                <w:i/>
                <w:szCs w:val="24"/>
              </w:rPr>
            </w:pPr>
          </w:p>
          <w:p w14:paraId="4B2EA785" w14:textId="77777777" w:rsidR="002F335F" w:rsidRPr="000252DE" w:rsidRDefault="002F335F" w:rsidP="000252DE">
            <w:pPr>
              <w:spacing w:beforeLines="160" w:before="384" w:afterLines="160" w:after="384"/>
              <w:jc w:val="center"/>
              <w:rPr>
                <w:b w:val="0"/>
                <w:i/>
                <w:szCs w:val="24"/>
              </w:rPr>
            </w:pPr>
            <w:r w:rsidRPr="000252DE">
              <w:rPr>
                <w:rStyle w:val="Strong"/>
                <w:i/>
                <w:szCs w:val="24"/>
              </w:rPr>
              <w:t>Results</w:t>
            </w:r>
          </w:p>
        </w:tc>
        <w:tc>
          <w:tcPr>
            <w:tcW w:w="0" w:type="auto"/>
            <w:hideMark/>
          </w:tcPr>
          <w:p w14:paraId="4B2EA786" w14:textId="77777777" w:rsidR="002F335F" w:rsidRPr="000252DE" w:rsidRDefault="002F335F" w:rsidP="000252DE">
            <w:pPr>
              <w:pStyle w:val="ListParagraph"/>
              <w:numPr>
                <w:ilvl w:val="0"/>
                <w:numId w:val="14"/>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Measurable outcomes include post-event surveys, attendee engagement metrics, and sponsorship retention.</w:t>
            </w:r>
          </w:p>
        </w:tc>
      </w:tr>
      <w:tr w:rsidR="000252DE" w:rsidRPr="000252DE" w14:paraId="4B2EA78A"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88" w14:textId="77777777" w:rsidR="002F335F" w:rsidRPr="000252DE" w:rsidRDefault="002F335F" w:rsidP="000252DE">
            <w:pPr>
              <w:spacing w:beforeLines="160" w:before="384" w:afterLines="160" w:after="384"/>
              <w:rPr>
                <w:b w:val="0"/>
                <w:szCs w:val="24"/>
              </w:rPr>
            </w:pPr>
          </w:p>
        </w:tc>
        <w:tc>
          <w:tcPr>
            <w:tcW w:w="0" w:type="auto"/>
            <w:hideMark/>
          </w:tcPr>
          <w:p w14:paraId="4B2EA789"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Long-term success will be tracked through corporate adoption of DEI strategies influenced by the summit.</w:t>
            </w:r>
          </w:p>
        </w:tc>
      </w:tr>
    </w:tbl>
    <w:p w14:paraId="4B2EA78B" w14:textId="77777777" w:rsidR="0043191A" w:rsidRPr="000252DE" w:rsidRDefault="000252DE" w:rsidP="000252DE">
      <w:pPr>
        <w:spacing w:beforeLines="160" w:before="384" w:afterLines="160" w:after="384"/>
        <w:jc w:val="center"/>
        <w:rPr>
          <w:szCs w:val="24"/>
        </w:rPr>
      </w:pPr>
      <w:r w:rsidRPr="000252DE">
        <w:rPr>
          <w:szCs w:val="24"/>
        </w:rPr>
        <w:t>(Source: Author, 2025)</w:t>
      </w:r>
    </w:p>
    <w:p w14:paraId="4B2EA78C" w14:textId="77777777" w:rsidR="009C3A8F" w:rsidRPr="000252DE" w:rsidRDefault="009C3A8F" w:rsidP="000252DE">
      <w:pPr>
        <w:pStyle w:val="Heading1"/>
        <w:spacing w:beforeLines="160" w:before="384" w:afterLines="160" w:after="384"/>
        <w:rPr>
          <w:rFonts w:cs="Times New Roman"/>
          <w:szCs w:val="24"/>
        </w:rPr>
      </w:pPr>
      <w:bookmarkStart w:id="29" w:name="_Toc190365948"/>
      <w:r w:rsidRPr="000252DE">
        <w:rPr>
          <w:rFonts w:cs="Times New Roman"/>
          <w:szCs w:val="24"/>
        </w:rPr>
        <w:t>Conclusion</w:t>
      </w:r>
      <w:bookmarkEnd w:id="29"/>
      <w:r w:rsidRPr="000252DE">
        <w:rPr>
          <w:rFonts w:cs="Times New Roman"/>
          <w:szCs w:val="24"/>
        </w:rPr>
        <w:t xml:space="preserve"> </w:t>
      </w:r>
    </w:p>
    <w:p w14:paraId="4B2EA78D" w14:textId="77777777" w:rsidR="0043191A" w:rsidRPr="000252DE" w:rsidRDefault="00F80EB3" w:rsidP="000252DE">
      <w:pPr>
        <w:spacing w:beforeLines="160" w:before="384" w:afterLines="160" w:after="384"/>
        <w:rPr>
          <w:rFonts w:eastAsiaTheme="majorEastAsia" w:cs="Times New Roman"/>
          <w:b/>
          <w:szCs w:val="24"/>
        </w:rPr>
      </w:pPr>
      <w:r w:rsidRPr="000252DE">
        <w:rPr>
          <w:rFonts w:cs="Times New Roman"/>
          <w:szCs w:val="24"/>
        </w:rPr>
        <w:t>T</w:t>
      </w:r>
      <w:r w:rsidR="000C426D" w:rsidRPr="000252DE">
        <w:rPr>
          <w:rFonts w:cs="Times New Roman"/>
          <w:szCs w:val="24"/>
        </w:rPr>
        <w:t xml:space="preserve">he UK Diversity &amp; Inclusion Summit 2025 has </w:t>
      </w:r>
      <w:r w:rsidR="009C3A6A" w:rsidRPr="000252DE">
        <w:rPr>
          <w:rFonts w:cs="Times New Roman"/>
          <w:szCs w:val="24"/>
        </w:rPr>
        <w:t>is a strategically designed event that responds to the growing</w:t>
      </w:r>
      <w:r w:rsidR="000C426D" w:rsidRPr="000252DE">
        <w:rPr>
          <w:rFonts w:cs="Times New Roman"/>
          <w:szCs w:val="24"/>
        </w:rPr>
        <w:t xml:space="preserve"> </w:t>
      </w:r>
      <w:r w:rsidR="009C3A6A" w:rsidRPr="000252DE">
        <w:rPr>
          <w:rFonts w:cs="Times New Roman"/>
          <w:szCs w:val="24"/>
        </w:rPr>
        <w:t>demand for workplace DEI initiatives</w:t>
      </w:r>
      <w:r w:rsidR="000C426D" w:rsidRPr="000252DE">
        <w:rPr>
          <w:rFonts w:cs="Times New Roman"/>
          <w:szCs w:val="24"/>
        </w:rPr>
        <w:t xml:space="preserve">. With the help of valuable insights from leading experts, a well-organised event structure, and the newest industry trends, </w:t>
      </w:r>
      <w:r w:rsidR="009C3A6A" w:rsidRPr="000252DE">
        <w:rPr>
          <w:rFonts w:cs="Times New Roman"/>
          <w:szCs w:val="24"/>
        </w:rPr>
        <w:t xml:space="preserve">it promises valuable learning </w:t>
      </w:r>
      <w:r w:rsidR="000C426D" w:rsidRPr="000252DE">
        <w:rPr>
          <w:rFonts w:cs="Times New Roman"/>
          <w:szCs w:val="24"/>
        </w:rPr>
        <w:t>experiences and impactful networking. Innovative strategies for financial success, situational analysis, and execution all contribute t</w:t>
      </w:r>
      <w:r w:rsidR="009C3A6A" w:rsidRPr="000252DE">
        <w:rPr>
          <w:rFonts w:cs="Times New Roman"/>
          <w:szCs w:val="24"/>
        </w:rPr>
        <w:t xml:space="preserve">o the sustainability and impact </w:t>
      </w:r>
      <w:r w:rsidR="000C426D" w:rsidRPr="000252DE">
        <w:rPr>
          <w:rFonts w:cs="Times New Roman"/>
          <w:szCs w:val="24"/>
        </w:rPr>
        <w:t>of the event.</w:t>
      </w:r>
      <w:r w:rsidR="0043191A" w:rsidRPr="000252DE">
        <w:rPr>
          <w:rFonts w:cs="Times New Roman"/>
          <w:szCs w:val="24"/>
        </w:rPr>
        <w:br w:type="page"/>
      </w:r>
    </w:p>
    <w:p w14:paraId="4B2EA78E" w14:textId="77777777" w:rsidR="00C36C68" w:rsidRPr="000252DE" w:rsidRDefault="00EF2119" w:rsidP="000252DE">
      <w:pPr>
        <w:pStyle w:val="Heading1"/>
        <w:spacing w:beforeLines="160" w:before="384" w:afterLines="160" w:after="384"/>
        <w:rPr>
          <w:rFonts w:cs="Times New Roman"/>
          <w:szCs w:val="24"/>
        </w:rPr>
      </w:pPr>
      <w:bookmarkStart w:id="30" w:name="_Toc190365949"/>
      <w:r w:rsidRPr="000252DE">
        <w:rPr>
          <w:rFonts w:cs="Times New Roman"/>
          <w:szCs w:val="24"/>
        </w:rPr>
        <w:lastRenderedPageBreak/>
        <w:t>References</w:t>
      </w:r>
      <w:bookmarkEnd w:id="30"/>
    </w:p>
    <w:p w14:paraId="4B2EA78F"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Ball, T. (2025). Gen Z twice as likely to be bisexual as gay. [Online] Thetimes.com. Available at: </w:t>
      </w:r>
      <w:hyperlink r:id="rId11" w:history="1">
        <w:r w:rsidRPr="000252DE">
          <w:rPr>
            <w:rStyle w:val="Hyperlink"/>
            <w:rFonts w:cs="Times New Roman"/>
            <w:color w:val="auto"/>
            <w:szCs w:val="24"/>
            <w:lang w:val="en-US"/>
          </w:rPr>
          <w:t>https://www.thetimes.com/uk/society/article/gen-z-bisexual-gay-sex-relationships-kmj0pv6vq</w:t>
        </w:r>
      </w:hyperlink>
      <w:r w:rsidRPr="000252DE">
        <w:rPr>
          <w:szCs w:val="24"/>
          <w:lang w:val="en-US"/>
        </w:rPr>
        <w:t xml:space="preserve"> [Accessed 13th February 2025].</w:t>
      </w:r>
    </w:p>
    <w:p w14:paraId="4B2EA790" w14:textId="77777777" w:rsidR="00FF2839" w:rsidRPr="000252DE" w:rsidRDefault="00FF2839" w:rsidP="000252DE">
      <w:pPr>
        <w:spacing w:beforeLines="160" w:before="384" w:afterLines="160" w:after="384"/>
        <w:ind w:left="720" w:hanging="720"/>
        <w:rPr>
          <w:szCs w:val="24"/>
          <w:lang w:val="en-US"/>
        </w:rPr>
      </w:pPr>
      <w:proofErr w:type="spellStart"/>
      <w:r w:rsidRPr="000252DE">
        <w:rPr>
          <w:szCs w:val="24"/>
          <w:lang w:val="en-US"/>
        </w:rPr>
        <w:t>Bodolica</w:t>
      </w:r>
      <w:proofErr w:type="spellEnd"/>
      <w:r w:rsidRPr="000252DE">
        <w:rPr>
          <w:szCs w:val="24"/>
          <w:lang w:val="en-US"/>
        </w:rPr>
        <w:t xml:space="preserve">, V. and </w:t>
      </w:r>
      <w:proofErr w:type="spellStart"/>
      <w:r w:rsidRPr="000252DE">
        <w:rPr>
          <w:szCs w:val="24"/>
          <w:lang w:val="en-US"/>
        </w:rPr>
        <w:t>Spraggon</w:t>
      </w:r>
      <w:proofErr w:type="spellEnd"/>
      <w:r w:rsidRPr="000252DE">
        <w:rPr>
          <w:szCs w:val="24"/>
          <w:lang w:val="en-US"/>
        </w:rPr>
        <w:t xml:space="preserve">, M. (2021). Incubating innovation in university settings: building entrepreneurial mindsets in the future generation of innovative emerging market leaders. Education + Training, ahead-of-print(ahead-of-print). </w:t>
      </w:r>
      <w:proofErr w:type="spellStart"/>
      <w:r w:rsidRPr="000252DE">
        <w:rPr>
          <w:szCs w:val="24"/>
          <w:lang w:val="en-US"/>
        </w:rPr>
        <w:t>doi</w:t>
      </w:r>
      <w:proofErr w:type="spellEnd"/>
      <w:r w:rsidRPr="000252DE">
        <w:rPr>
          <w:szCs w:val="24"/>
          <w:lang w:val="en-US"/>
        </w:rPr>
        <w:t xml:space="preserve">: https://doi.org/10.1108/et-06-2020-0145.  </w:t>
      </w:r>
    </w:p>
    <w:p w14:paraId="4B2EA791"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Clark, D. (2024). Perceptions on diversity and inclusion improvements UK 2021. [Online] Statista. Available at: </w:t>
      </w:r>
      <w:hyperlink r:id="rId12" w:history="1">
        <w:r w:rsidRPr="000252DE">
          <w:rPr>
            <w:rStyle w:val="Hyperlink"/>
            <w:rFonts w:cs="Times New Roman"/>
            <w:color w:val="auto"/>
            <w:szCs w:val="24"/>
            <w:lang w:val="en-US"/>
          </w:rPr>
          <w:t>https://www.statista.com/statistics/1257404/perception-on-improvements-to-diversity-and-inclusion-uk/</w:t>
        </w:r>
      </w:hyperlink>
      <w:r w:rsidRPr="000252DE">
        <w:rPr>
          <w:szCs w:val="24"/>
          <w:lang w:val="en-US"/>
        </w:rPr>
        <w:t xml:space="preserve">. </w:t>
      </w:r>
    </w:p>
    <w:p w14:paraId="4B2EA792"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Diversity and Inclusion Summit 2024. (2024). Home - Diversity and Inclusion Summit 2024 Igniting Unity for an Unstoppable Future in Diversity &amp; Inclusion. [Online] Available at: </w:t>
      </w:r>
      <w:hyperlink r:id="rId13" w:history="1">
        <w:r w:rsidRPr="000252DE">
          <w:rPr>
            <w:rStyle w:val="Hyperlink"/>
            <w:rFonts w:cs="Times New Roman"/>
            <w:color w:val="auto"/>
            <w:szCs w:val="24"/>
            <w:lang w:val="en-US"/>
          </w:rPr>
          <w:t>https://diversityandinclusionsummit.com.au/</w:t>
        </w:r>
      </w:hyperlink>
      <w:r w:rsidRPr="000252DE">
        <w:rPr>
          <w:szCs w:val="24"/>
          <w:lang w:val="en-US"/>
        </w:rPr>
        <w:t xml:space="preserve"> [Accessed 13th February 2025].</w:t>
      </w:r>
    </w:p>
    <w:p w14:paraId="4B2EA793"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Getz, D. and Page, S. (2019) Event studies: theory, research and policy for planned events. 3rd Edition. Routledge: Oxford</w:t>
      </w:r>
    </w:p>
    <w:p w14:paraId="4B2EA794"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Hyvönen, A. and Mäkinen, V. (2024). Developing a multicultural sports event concept for non-governmental </w:t>
      </w:r>
      <w:proofErr w:type="spellStart"/>
      <w:r w:rsidRPr="000252DE">
        <w:rPr>
          <w:szCs w:val="24"/>
          <w:lang w:val="en-US"/>
        </w:rPr>
        <w:t>organisation</w:t>
      </w:r>
      <w:proofErr w:type="spellEnd"/>
      <w:r w:rsidRPr="000252DE">
        <w:rPr>
          <w:szCs w:val="24"/>
          <w:lang w:val="en-US"/>
        </w:rPr>
        <w:t xml:space="preserve">. [Online] www.theseus.fi. Available at: </w:t>
      </w:r>
      <w:hyperlink r:id="rId14" w:history="1">
        <w:r w:rsidRPr="000252DE">
          <w:rPr>
            <w:rStyle w:val="Hyperlink"/>
            <w:rFonts w:cs="Times New Roman"/>
            <w:color w:val="auto"/>
            <w:szCs w:val="24"/>
            <w:lang w:val="en-US"/>
          </w:rPr>
          <w:t>https://www.theseus.fi/handle/10024/854981</w:t>
        </w:r>
      </w:hyperlink>
      <w:r w:rsidRPr="000252DE">
        <w:rPr>
          <w:szCs w:val="24"/>
          <w:lang w:val="en-US"/>
        </w:rPr>
        <w:t xml:space="preserve">. </w:t>
      </w:r>
    </w:p>
    <w:p w14:paraId="4B2EA795"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Inclusive Employers. (2023). EDI Strategy – Getting </w:t>
      </w:r>
      <w:proofErr w:type="gramStart"/>
      <w:r w:rsidRPr="000252DE">
        <w:rPr>
          <w:szCs w:val="24"/>
          <w:lang w:val="en-US"/>
        </w:rPr>
        <w:t>The</w:t>
      </w:r>
      <w:proofErr w:type="gramEnd"/>
      <w:r w:rsidRPr="000252DE">
        <w:rPr>
          <w:szCs w:val="24"/>
          <w:lang w:val="en-US"/>
        </w:rPr>
        <w:t xml:space="preserve"> Basics Right. [Online] Available at: </w:t>
      </w:r>
      <w:hyperlink r:id="rId15" w:history="1">
        <w:r w:rsidRPr="000252DE">
          <w:rPr>
            <w:rStyle w:val="Hyperlink"/>
            <w:rFonts w:cs="Times New Roman"/>
            <w:color w:val="auto"/>
            <w:szCs w:val="24"/>
            <w:lang w:val="en-US"/>
          </w:rPr>
          <w:t>https://www.inclusiveemployers.co.uk/membership/all-events/</w:t>
        </w:r>
      </w:hyperlink>
      <w:r w:rsidRPr="000252DE">
        <w:rPr>
          <w:szCs w:val="24"/>
          <w:lang w:val="en-US"/>
        </w:rPr>
        <w:t xml:space="preserve"> [Accessed 13th February 2025].</w:t>
      </w:r>
    </w:p>
    <w:p w14:paraId="4B2EA796"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lastRenderedPageBreak/>
        <w:t xml:space="preserve">Kerber, R. (2025). Can Trump crush DEI? A look at the data. Reuters. [Online] 29 Jan. Available at: </w:t>
      </w:r>
      <w:hyperlink r:id="rId16" w:history="1">
        <w:r w:rsidRPr="000252DE">
          <w:rPr>
            <w:rStyle w:val="Hyperlink"/>
            <w:rFonts w:cs="Times New Roman"/>
            <w:color w:val="auto"/>
            <w:szCs w:val="24"/>
            <w:lang w:val="en-US"/>
          </w:rPr>
          <w:t>https://www.reuters.com/sustainability/can-trump-crush-dei-look-data-ross-kerber-2025-01-29/</w:t>
        </w:r>
      </w:hyperlink>
      <w:r w:rsidRPr="000252DE">
        <w:rPr>
          <w:szCs w:val="24"/>
          <w:lang w:val="en-US"/>
        </w:rPr>
        <w:t xml:space="preserve">. </w:t>
      </w:r>
    </w:p>
    <w:p w14:paraId="4B2EA797"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Kipnis, E., </w:t>
      </w:r>
      <w:proofErr w:type="spellStart"/>
      <w:r w:rsidRPr="000252DE">
        <w:rPr>
          <w:szCs w:val="24"/>
          <w:lang w:val="en-US"/>
        </w:rPr>
        <w:t>Demangeot</w:t>
      </w:r>
      <w:proofErr w:type="spellEnd"/>
      <w:r w:rsidRPr="000252DE">
        <w:rPr>
          <w:szCs w:val="24"/>
          <w:lang w:val="en-US"/>
        </w:rPr>
        <w:t xml:space="preserve">, C., Pullig, C., Cross, S.N.N., Cui, C.C., </w:t>
      </w:r>
      <w:proofErr w:type="spellStart"/>
      <w:r w:rsidRPr="000252DE">
        <w:rPr>
          <w:szCs w:val="24"/>
          <w:lang w:val="en-US"/>
        </w:rPr>
        <w:t>Galalae</w:t>
      </w:r>
      <w:proofErr w:type="spellEnd"/>
      <w:r w:rsidRPr="000252DE">
        <w:rPr>
          <w:szCs w:val="24"/>
          <w:lang w:val="en-US"/>
        </w:rPr>
        <w:t xml:space="preserve">, C., Kearney, S., </w:t>
      </w:r>
      <w:proofErr w:type="spellStart"/>
      <w:r w:rsidRPr="000252DE">
        <w:rPr>
          <w:szCs w:val="24"/>
          <w:lang w:val="en-US"/>
        </w:rPr>
        <w:t>Licsandru</w:t>
      </w:r>
      <w:proofErr w:type="spellEnd"/>
      <w:r w:rsidRPr="000252DE">
        <w:rPr>
          <w:szCs w:val="24"/>
          <w:lang w:val="en-US"/>
        </w:rPr>
        <w:t xml:space="preserve">, T.C., Mari, C., Ruiz, V.M., Swanepoel, S., Vorster, L. and Williams, J.D. (2021). Institutionalizing Diversity-and-Inclusion-Engaged Marketing for Multicultural Marketplace Well-Being. Journal of Public Policy &amp; Marketing, 40(2), pp.143–164. </w:t>
      </w:r>
      <w:proofErr w:type="spellStart"/>
      <w:r w:rsidRPr="000252DE">
        <w:rPr>
          <w:szCs w:val="24"/>
          <w:lang w:val="en-US"/>
        </w:rPr>
        <w:t>doi</w:t>
      </w:r>
      <w:proofErr w:type="spellEnd"/>
      <w:r w:rsidRPr="000252DE">
        <w:rPr>
          <w:szCs w:val="24"/>
          <w:lang w:val="en-US"/>
        </w:rPr>
        <w:t xml:space="preserve">: https://doi.org/10.1177/0743915620975415.   </w:t>
      </w:r>
    </w:p>
    <w:p w14:paraId="4B2EA798" w14:textId="77777777" w:rsidR="00FF2839" w:rsidRPr="000252DE" w:rsidRDefault="00FF2839" w:rsidP="000252DE">
      <w:pPr>
        <w:spacing w:beforeLines="160" w:before="384" w:afterLines="160" w:after="384"/>
        <w:ind w:left="720" w:hanging="720"/>
        <w:rPr>
          <w:rFonts w:cs="Times New Roman"/>
          <w:szCs w:val="24"/>
        </w:rPr>
      </w:pPr>
      <w:r w:rsidRPr="000252DE">
        <w:rPr>
          <w:szCs w:val="24"/>
          <w:lang w:val="en-US"/>
        </w:rPr>
        <w:t xml:space="preserve">Limevenueportfolio.com. (2019). </w:t>
      </w:r>
      <w:r w:rsidRPr="000252DE">
        <w:rPr>
          <w:i/>
          <w:iCs/>
          <w:szCs w:val="24"/>
          <w:lang w:val="en-US"/>
        </w:rPr>
        <w:t>QEII Centre Events | Lime Venue Portfolio</w:t>
      </w:r>
      <w:r w:rsidRPr="000252DE">
        <w:rPr>
          <w:szCs w:val="24"/>
          <w:lang w:val="en-US"/>
        </w:rPr>
        <w:t>. [online] Available at: https://www.limevenueportfolio.com/qeii-centre/ [Accessed 13 Feb. 2025].</w:t>
      </w:r>
    </w:p>
    <w:p w14:paraId="4B2EA799"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O’Toole, W. (2021) Events feasibility and development: from strategy to operations. Elsevier: Oxford</w:t>
      </w:r>
    </w:p>
    <w:p w14:paraId="4B2EA79A"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QEII Centre. (2025). Conference Events Meetings Exhibition Venue Hire London. [Online] Available at: </w:t>
      </w:r>
      <w:hyperlink r:id="rId17" w:history="1">
        <w:r w:rsidRPr="000252DE">
          <w:rPr>
            <w:rStyle w:val="Hyperlink"/>
            <w:rFonts w:cs="Times New Roman"/>
            <w:color w:val="auto"/>
            <w:szCs w:val="24"/>
            <w:lang w:val="en-US"/>
          </w:rPr>
          <w:t>https://qeiicentre.london/</w:t>
        </w:r>
      </w:hyperlink>
      <w:r w:rsidRPr="000252DE">
        <w:rPr>
          <w:szCs w:val="24"/>
          <w:lang w:val="en-US"/>
        </w:rPr>
        <w:t xml:space="preserve">. </w:t>
      </w:r>
    </w:p>
    <w:p w14:paraId="4B2EA79B" w14:textId="77777777" w:rsidR="00FF2839" w:rsidRPr="000252DE" w:rsidRDefault="00FF2839" w:rsidP="000252DE">
      <w:pPr>
        <w:spacing w:beforeLines="160" w:before="384" w:afterLines="160" w:after="384"/>
        <w:ind w:left="720" w:hanging="720"/>
        <w:rPr>
          <w:szCs w:val="24"/>
        </w:rPr>
      </w:pPr>
      <w:r w:rsidRPr="000252DE">
        <w:rPr>
          <w:szCs w:val="24"/>
        </w:rPr>
        <w:t>Salama, M. (2021). Event project management. </w:t>
      </w:r>
      <w:r w:rsidRPr="000252DE">
        <w:rPr>
          <w:i/>
          <w:iCs/>
          <w:szCs w:val="24"/>
        </w:rPr>
        <w:t>Risk Management and Agile Project Management</w:t>
      </w:r>
      <w:r w:rsidRPr="000252DE">
        <w:rPr>
          <w:szCs w:val="24"/>
        </w:rPr>
        <w:t>, 73-76.</w:t>
      </w:r>
    </w:p>
    <w:p w14:paraId="4B2EA79C"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Shams, R.A., </w:t>
      </w:r>
      <w:proofErr w:type="spellStart"/>
      <w:r w:rsidRPr="000252DE">
        <w:rPr>
          <w:szCs w:val="24"/>
          <w:lang w:val="en-US"/>
        </w:rPr>
        <w:t>Zowghi</w:t>
      </w:r>
      <w:proofErr w:type="spellEnd"/>
      <w:r w:rsidRPr="000252DE">
        <w:rPr>
          <w:szCs w:val="24"/>
          <w:lang w:val="en-US"/>
        </w:rPr>
        <w:t xml:space="preserve">, D. and Bano, M. (2023). AI and the quest for diversity and inclusion: a systematic literature review. AI and Ethics. </w:t>
      </w:r>
      <w:proofErr w:type="spellStart"/>
      <w:r w:rsidRPr="000252DE">
        <w:rPr>
          <w:szCs w:val="24"/>
          <w:lang w:val="en-US"/>
        </w:rPr>
        <w:t>doi</w:t>
      </w:r>
      <w:proofErr w:type="spellEnd"/>
      <w:r w:rsidRPr="000252DE">
        <w:rPr>
          <w:szCs w:val="24"/>
          <w:lang w:val="en-US"/>
        </w:rPr>
        <w:t xml:space="preserve">: https://doi.org/10.1007/s43681-023-00362-w. </w:t>
      </w:r>
    </w:p>
    <w:p w14:paraId="4B2EA79D"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Statista (2025). </w:t>
      </w:r>
      <w:r w:rsidRPr="000252DE">
        <w:rPr>
          <w:i/>
          <w:iCs/>
          <w:szCs w:val="24"/>
          <w:lang w:val="en-US"/>
        </w:rPr>
        <w:t>Personal actions to support diversity and inclusion UK 2021</w:t>
      </w:r>
      <w:r w:rsidRPr="000252DE">
        <w:rPr>
          <w:szCs w:val="24"/>
          <w:lang w:val="en-US"/>
        </w:rPr>
        <w:t>. [online] Statista. Available at: https://www.statista.com/statistics/1257393/diversity-and-inclusion-workplace/ [Accessed 13 Feb. 2025].</w:t>
      </w:r>
    </w:p>
    <w:p w14:paraId="4B2EA79E"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Statista (2025a). </w:t>
      </w:r>
      <w:r w:rsidRPr="000252DE">
        <w:rPr>
          <w:i/>
          <w:iCs/>
          <w:szCs w:val="24"/>
          <w:lang w:val="en-US"/>
        </w:rPr>
        <w:t>UK inflation rate forecast 2019-2024</w:t>
      </w:r>
      <w:r w:rsidRPr="000252DE">
        <w:rPr>
          <w:szCs w:val="24"/>
          <w:lang w:val="en-US"/>
        </w:rPr>
        <w:t>. [online] Statista. Available at: https://www.statista.com/statistics/306720/cpi-rate-forecast-uk/ [Accessed 13 Feb. 2025].</w:t>
      </w:r>
    </w:p>
    <w:p w14:paraId="4B2EA79F"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lastRenderedPageBreak/>
        <w:t xml:space="preserve">Statista (2025b). </w:t>
      </w:r>
      <w:r w:rsidRPr="000252DE">
        <w:rPr>
          <w:i/>
          <w:iCs/>
          <w:szCs w:val="24"/>
          <w:lang w:val="en-US"/>
        </w:rPr>
        <w:t>Virtual events with most impact on buying decisions U.S. &amp; UK 2021</w:t>
      </w:r>
      <w:r w:rsidRPr="000252DE">
        <w:rPr>
          <w:szCs w:val="24"/>
          <w:lang w:val="en-US"/>
        </w:rPr>
        <w:t>. [online] Statista. Available at: https://www.statista.com/statistics/1316665/virtual-event-sessions-impact-buying-decisions-us-uk/ [Accessed 13 Feb. 2025].</w:t>
      </w:r>
    </w:p>
    <w:p w14:paraId="4B2EA7A0"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Statista (2025d). </w:t>
      </w:r>
      <w:r w:rsidRPr="000252DE">
        <w:rPr>
          <w:i/>
          <w:iCs/>
          <w:szCs w:val="24"/>
          <w:lang w:val="en-US"/>
        </w:rPr>
        <w:t>Attitudes towards digital media in the UK 2024 | Statista</w:t>
      </w:r>
      <w:r w:rsidRPr="000252DE">
        <w:rPr>
          <w:szCs w:val="24"/>
          <w:lang w:val="en-US"/>
        </w:rPr>
        <w:t>. [online] Statista. Available at: https://www.statista.com/forecasts/997899/attitudes-towards-digital-media-in-the-uk [Accessed 13 Feb. 2025].</w:t>
      </w:r>
    </w:p>
    <w:p w14:paraId="4B2EA7A1" w14:textId="77777777" w:rsidR="00FF2839" w:rsidRPr="000252DE" w:rsidRDefault="00FF2839" w:rsidP="000252DE">
      <w:pPr>
        <w:spacing w:beforeLines="160" w:before="384" w:afterLines="160" w:after="384"/>
        <w:ind w:left="720" w:hanging="720"/>
        <w:rPr>
          <w:szCs w:val="24"/>
        </w:rPr>
      </w:pPr>
      <w:r w:rsidRPr="000252DE">
        <w:rPr>
          <w:szCs w:val="24"/>
        </w:rPr>
        <w:t xml:space="preserve">Statista (2025e). </w:t>
      </w:r>
      <w:r w:rsidRPr="000252DE">
        <w:rPr>
          <w:i/>
          <w:iCs/>
          <w:szCs w:val="24"/>
        </w:rPr>
        <w:t>Requirements for sustainable living UK 2022</w:t>
      </w:r>
      <w:r w:rsidRPr="000252DE">
        <w:rPr>
          <w:szCs w:val="24"/>
        </w:rPr>
        <w:t xml:space="preserve">. [online] Statista. Available at: </w:t>
      </w:r>
      <w:hyperlink r:id="rId18" w:history="1">
        <w:r w:rsidRPr="000252DE">
          <w:rPr>
            <w:rStyle w:val="Hyperlink"/>
            <w:color w:val="auto"/>
            <w:szCs w:val="24"/>
          </w:rPr>
          <w:t>https://www.statista.com/statistics/1325318/prerequisites-for-living-a-more-sustainable-lifestyle-uk/</w:t>
        </w:r>
      </w:hyperlink>
      <w:r w:rsidRPr="000252DE">
        <w:rPr>
          <w:szCs w:val="24"/>
        </w:rPr>
        <w:t>.</w:t>
      </w:r>
    </w:p>
    <w:p w14:paraId="4B2EA7A2"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The National Diversity &amp; Inclusion Conference (2025). 21st Annual National Diversity &amp; Leadership Conference - NDLC (Los Angeles, CA) | 2025 |. [Online] Available at: </w:t>
      </w:r>
      <w:hyperlink r:id="rId19" w:history="1">
        <w:r w:rsidRPr="000252DE">
          <w:rPr>
            <w:rStyle w:val="Hyperlink"/>
            <w:rFonts w:cs="Times New Roman"/>
            <w:color w:val="auto"/>
            <w:szCs w:val="24"/>
            <w:lang w:val="en-US"/>
          </w:rPr>
          <w:t>https://nationaldiversityconference.com/2025/</w:t>
        </w:r>
      </w:hyperlink>
      <w:r w:rsidRPr="000252DE">
        <w:rPr>
          <w:szCs w:val="24"/>
          <w:lang w:val="en-US"/>
        </w:rPr>
        <w:t xml:space="preserve"> [Accessed 13th February 2025].</w:t>
      </w:r>
    </w:p>
    <w:p w14:paraId="4B2EA7A3" w14:textId="77777777" w:rsidR="00FF2839" w:rsidRPr="000252DE" w:rsidRDefault="00FF2839" w:rsidP="000252DE">
      <w:pPr>
        <w:spacing w:beforeLines="160" w:before="384" w:afterLines="160" w:after="384"/>
        <w:ind w:left="720" w:hanging="720"/>
        <w:rPr>
          <w:szCs w:val="24"/>
          <w:lang w:val="en-US"/>
        </w:rPr>
      </w:pPr>
      <w:proofErr w:type="spellStart"/>
      <w:r w:rsidRPr="000252DE">
        <w:rPr>
          <w:szCs w:val="24"/>
          <w:lang w:val="en-US"/>
        </w:rPr>
        <w:t>Wolbring</w:t>
      </w:r>
      <w:proofErr w:type="spellEnd"/>
      <w:r w:rsidRPr="000252DE">
        <w:rPr>
          <w:szCs w:val="24"/>
          <w:lang w:val="en-US"/>
        </w:rPr>
        <w:t xml:space="preserve">, G. and Lillywhite, A. (2021). Equity/Equality, Diversity, and Inclusion (EDI) in Universities: </w:t>
      </w:r>
      <w:proofErr w:type="gramStart"/>
      <w:r w:rsidRPr="000252DE">
        <w:rPr>
          <w:szCs w:val="24"/>
          <w:lang w:val="en-US"/>
        </w:rPr>
        <w:t>the</w:t>
      </w:r>
      <w:proofErr w:type="gramEnd"/>
      <w:r w:rsidRPr="000252DE">
        <w:rPr>
          <w:szCs w:val="24"/>
          <w:lang w:val="en-US"/>
        </w:rPr>
        <w:t xml:space="preserve"> Case of Disabled People. Societies, 11(2), p.49. </w:t>
      </w:r>
      <w:proofErr w:type="spellStart"/>
      <w:r w:rsidRPr="000252DE">
        <w:rPr>
          <w:szCs w:val="24"/>
          <w:lang w:val="en-US"/>
        </w:rPr>
        <w:t>doi</w:t>
      </w:r>
      <w:proofErr w:type="spellEnd"/>
      <w:r w:rsidRPr="000252DE">
        <w:rPr>
          <w:szCs w:val="24"/>
          <w:lang w:val="en-US"/>
        </w:rPr>
        <w:t xml:space="preserve">: </w:t>
      </w:r>
      <w:hyperlink r:id="rId20" w:history="1">
        <w:r w:rsidRPr="000252DE">
          <w:rPr>
            <w:rStyle w:val="Hyperlink"/>
            <w:rFonts w:cs="Times New Roman"/>
            <w:color w:val="auto"/>
            <w:szCs w:val="24"/>
            <w:lang w:val="en-US"/>
          </w:rPr>
          <w:t>https://doi.org/10.3390/soc11020049</w:t>
        </w:r>
      </w:hyperlink>
      <w:r w:rsidRPr="000252DE">
        <w:rPr>
          <w:szCs w:val="24"/>
          <w:lang w:val="en-US"/>
        </w:rPr>
        <w:t xml:space="preserve">. </w:t>
      </w:r>
    </w:p>
    <w:sectPr w:rsidR="00FF2839" w:rsidRPr="000252DE" w:rsidSect="006C7C58">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FEC42" w14:textId="77777777" w:rsidR="00BF3EE2" w:rsidRDefault="00BF3EE2">
      <w:pPr>
        <w:spacing w:line="240" w:lineRule="auto"/>
      </w:pPr>
      <w:r>
        <w:separator/>
      </w:r>
    </w:p>
  </w:endnote>
  <w:endnote w:type="continuationSeparator" w:id="0">
    <w:p w14:paraId="00C48788" w14:textId="77777777" w:rsidR="00BF3EE2" w:rsidRDefault="00BF3E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EA7B1" w14:textId="77777777" w:rsidR="00A81A36" w:rsidRDefault="00A81A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EA7B2" w14:textId="77777777" w:rsidR="00A81A36" w:rsidRDefault="00A81A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EA7B4" w14:textId="77777777" w:rsidR="00A81A36" w:rsidRDefault="00A81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20F524" w14:textId="77777777" w:rsidR="00BF3EE2" w:rsidRDefault="00BF3EE2">
      <w:pPr>
        <w:spacing w:line="240" w:lineRule="auto"/>
      </w:pPr>
      <w:r>
        <w:separator/>
      </w:r>
    </w:p>
  </w:footnote>
  <w:footnote w:type="continuationSeparator" w:id="0">
    <w:p w14:paraId="559E04DF" w14:textId="77777777" w:rsidR="00BF3EE2" w:rsidRDefault="00BF3EE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EA7AE" w14:textId="77777777" w:rsidR="00A81A36" w:rsidRDefault="00A81A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3553755"/>
      <w:docPartObj>
        <w:docPartGallery w:val="Page Numbers (Top of Page)"/>
        <w:docPartUnique/>
      </w:docPartObj>
    </w:sdtPr>
    <w:sdtContent>
      <w:p w14:paraId="4B2EA7AF" w14:textId="77777777" w:rsidR="00A81A36" w:rsidRDefault="00A81A36">
        <w:pPr>
          <w:pStyle w:val="Header"/>
          <w:jc w:val="right"/>
        </w:pPr>
        <w:r>
          <w:fldChar w:fldCharType="begin"/>
        </w:r>
        <w:r>
          <w:instrText xml:space="preserve"> PAGE   \* MERGEFORMAT </w:instrText>
        </w:r>
        <w:r>
          <w:fldChar w:fldCharType="separate"/>
        </w:r>
        <w:r w:rsidR="001B5798">
          <w:t>24</w:t>
        </w:r>
        <w:r>
          <w:fldChar w:fldCharType="end"/>
        </w:r>
      </w:p>
    </w:sdtContent>
  </w:sdt>
  <w:p w14:paraId="4B2EA7B0" w14:textId="77777777" w:rsidR="00A81A36" w:rsidRDefault="00A81A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EA7B3" w14:textId="77777777" w:rsidR="00A81A36" w:rsidRDefault="00A81A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77172"/>
    <w:multiLevelType w:val="hybridMultilevel"/>
    <w:tmpl w:val="FD622B34"/>
    <w:lvl w:ilvl="0" w:tplc="0409000F">
      <w:start w:val="1"/>
      <w:numFmt w:val="decimal"/>
      <w:lvlText w:val="%1."/>
      <w:lvlJc w:val="left"/>
      <w:pPr>
        <w:tabs>
          <w:tab w:val="num" w:pos="720"/>
        </w:tabs>
        <w:ind w:left="720" w:hanging="360"/>
      </w:pPr>
      <w:rPr>
        <w:rFonts w:hint="default"/>
      </w:rPr>
    </w:lvl>
    <w:lvl w:ilvl="1" w:tplc="8B1C56D2" w:tentative="1">
      <w:start w:val="1"/>
      <w:numFmt w:val="bullet"/>
      <w:lvlText w:val=""/>
      <w:lvlJc w:val="left"/>
      <w:pPr>
        <w:tabs>
          <w:tab w:val="num" w:pos="1440"/>
        </w:tabs>
        <w:ind w:left="1440" w:hanging="360"/>
      </w:pPr>
      <w:rPr>
        <w:rFonts w:ascii="Wingdings" w:hAnsi="Wingdings" w:hint="default"/>
      </w:rPr>
    </w:lvl>
    <w:lvl w:ilvl="2" w:tplc="21342750" w:tentative="1">
      <w:start w:val="1"/>
      <w:numFmt w:val="bullet"/>
      <w:lvlText w:val=""/>
      <w:lvlJc w:val="left"/>
      <w:pPr>
        <w:tabs>
          <w:tab w:val="num" w:pos="2160"/>
        </w:tabs>
        <w:ind w:left="2160" w:hanging="360"/>
      </w:pPr>
      <w:rPr>
        <w:rFonts w:ascii="Wingdings" w:hAnsi="Wingdings" w:hint="default"/>
      </w:rPr>
    </w:lvl>
    <w:lvl w:ilvl="3" w:tplc="A76C4DC2" w:tentative="1">
      <w:start w:val="1"/>
      <w:numFmt w:val="bullet"/>
      <w:lvlText w:val=""/>
      <w:lvlJc w:val="left"/>
      <w:pPr>
        <w:tabs>
          <w:tab w:val="num" w:pos="2880"/>
        </w:tabs>
        <w:ind w:left="2880" w:hanging="360"/>
      </w:pPr>
      <w:rPr>
        <w:rFonts w:ascii="Wingdings" w:hAnsi="Wingdings" w:hint="default"/>
      </w:rPr>
    </w:lvl>
    <w:lvl w:ilvl="4" w:tplc="5A5CE3C8" w:tentative="1">
      <w:start w:val="1"/>
      <w:numFmt w:val="bullet"/>
      <w:lvlText w:val=""/>
      <w:lvlJc w:val="left"/>
      <w:pPr>
        <w:tabs>
          <w:tab w:val="num" w:pos="3600"/>
        </w:tabs>
        <w:ind w:left="3600" w:hanging="360"/>
      </w:pPr>
      <w:rPr>
        <w:rFonts w:ascii="Wingdings" w:hAnsi="Wingdings" w:hint="default"/>
      </w:rPr>
    </w:lvl>
    <w:lvl w:ilvl="5" w:tplc="FC109890" w:tentative="1">
      <w:start w:val="1"/>
      <w:numFmt w:val="bullet"/>
      <w:lvlText w:val=""/>
      <w:lvlJc w:val="left"/>
      <w:pPr>
        <w:tabs>
          <w:tab w:val="num" w:pos="4320"/>
        </w:tabs>
        <w:ind w:left="4320" w:hanging="360"/>
      </w:pPr>
      <w:rPr>
        <w:rFonts w:ascii="Wingdings" w:hAnsi="Wingdings" w:hint="default"/>
      </w:rPr>
    </w:lvl>
    <w:lvl w:ilvl="6" w:tplc="62FA9894" w:tentative="1">
      <w:start w:val="1"/>
      <w:numFmt w:val="bullet"/>
      <w:lvlText w:val=""/>
      <w:lvlJc w:val="left"/>
      <w:pPr>
        <w:tabs>
          <w:tab w:val="num" w:pos="5040"/>
        </w:tabs>
        <w:ind w:left="5040" w:hanging="360"/>
      </w:pPr>
      <w:rPr>
        <w:rFonts w:ascii="Wingdings" w:hAnsi="Wingdings" w:hint="default"/>
      </w:rPr>
    </w:lvl>
    <w:lvl w:ilvl="7" w:tplc="D364308E" w:tentative="1">
      <w:start w:val="1"/>
      <w:numFmt w:val="bullet"/>
      <w:lvlText w:val=""/>
      <w:lvlJc w:val="left"/>
      <w:pPr>
        <w:tabs>
          <w:tab w:val="num" w:pos="5760"/>
        </w:tabs>
        <w:ind w:left="5760" w:hanging="360"/>
      </w:pPr>
      <w:rPr>
        <w:rFonts w:ascii="Wingdings" w:hAnsi="Wingdings" w:hint="default"/>
      </w:rPr>
    </w:lvl>
    <w:lvl w:ilvl="8" w:tplc="3AB8376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697C13"/>
    <w:multiLevelType w:val="hybridMultilevel"/>
    <w:tmpl w:val="7D7679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E9F25D9"/>
    <w:multiLevelType w:val="hybridMultilevel"/>
    <w:tmpl w:val="4CEA01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54D7017"/>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ADA4FC9"/>
    <w:multiLevelType w:val="hybridMultilevel"/>
    <w:tmpl w:val="511C1F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8336879"/>
    <w:multiLevelType w:val="hybridMultilevel"/>
    <w:tmpl w:val="82A0CD6C"/>
    <w:lvl w:ilvl="0" w:tplc="C73AB170">
      <w:start w:val="1"/>
      <w:numFmt w:val="bullet"/>
      <w:lvlText w:val=""/>
      <w:lvlJc w:val="left"/>
      <w:pPr>
        <w:ind w:left="360" w:hanging="360"/>
      </w:pPr>
      <w:rPr>
        <w:rFonts w:ascii="Symbol" w:hAnsi="Symbol" w:hint="default"/>
      </w:rPr>
    </w:lvl>
    <w:lvl w:ilvl="1" w:tplc="8A6A8694" w:tentative="1">
      <w:start w:val="1"/>
      <w:numFmt w:val="bullet"/>
      <w:lvlText w:val="o"/>
      <w:lvlJc w:val="left"/>
      <w:pPr>
        <w:ind w:left="1440" w:hanging="360"/>
      </w:pPr>
      <w:rPr>
        <w:rFonts w:ascii="Courier New" w:hAnsi="Courier New" w:cs="Courier New" w:hint="default"/>
      </w:rPr>
    </w:lvl>
    <w:lvl w:ilvl="2" w:tplc="6DF4A99A" w:tentative="1">
      <w:start w:val="1"/>
      <w:numFmt w:val="bullet"/>
      <w:lvlText w:val=""/>
      <w:lvlJc w:val="left"/>
      <w:pPr>
        <w:ind w:left="2160" w:hanging="360"/>
      </w:pPr>
      <w:rPr>
        <w:rFonts w:ascii="Wingdings" w:hAnsi="Wingdings" w:hint="default"/>
      </w:rPr>
    </w:lvl>
    <w:lvl w:ilvl="3" w:tplc="1070FDC0" w:tentative="1">
      <w:start w:val="1"/>
      <w:numFmt w:val="bullet"/>
      <w:lvlText w:val=""/>
      <w:lvlJc w:val="left"/>
      <w:pPr>
        <w:ind w:left="2880" w:hanging="360"/>
      </w:pPr>
      <w:rPr>
        <w:rFonts w:ascii="Symbol" w:hAnsi="Symbol" w:hint="default"/>
      </w:rPr>
    </w:lvl>
    <w:lvl w:ilvl="4" w:tplc="6540DF82" w:tentative="1">
      <w:start w:val="1"/>
      <w:numFmt w:val="bullet"/>
      <w:lvlText w:val="o"/>
      <w:lvlJc w:val="left"/>
      <w:pPr>
        <w:ind w:left="3600" w:hanging="360"/>
      </w:pPr>
      <w:rPr>
        <w:rFonts w:ascii="Courier New" w:hAnsi="Courier New" w:cs="Courier New" w:hint="default"/>
      </w:rPr>
    </w:lvl>
    <w:lvl w:ilvl="5" w:tplc="3FEE0FDE" w:tentative="1">
      <w:start w:val="1"/>
      <w:numFmt w:val="bullet"/>
      <w:lvlText w:val=""/>
      <w:lvlJc w:val="left"/>
      <w:pPr>
        <w:ind w:left="4320" w:hanging="360"/>
      </w:pPr>
      <w:rPr>
        <w:rFonts w:ascii="Wingdings" w:hAnsi="Wingdings" w:hint="default"/>
      </w:rPr>
    </w:lvl>
    <w:lvl w:ilvl="6" w:tplc="245680DA" w:tentative="1">
      <w:start w:val="1"/>
      <w:numFmt w:val="bullet"/>
      <w:lvlText w:val=""/>
      <w:lvlJc w:val="left"/>
      <w:pPr>
        <w:ind w:left="5040" w:hanging="360"/>
      </w:pPr>
      <w:rPr>
        <w:rFonts w:ascii="Symbol" w:hAnsi="Symbol" w:hint="default"/>
      </w:rPr>
    </w:lvl>
    <w:lvl w:ilvl="7" w:tplc="C7523696" w:tentative="1">
      <w:start w:val="1"/>
      <w:numFmt w:val="bullet"/>
      <w:lvlText w:val="o"/>
      <w:lvlJc w:val="left"/>
      <w:pPr>
        <w:ind w:left="5760" w:hanging="360"/>
      </w:pPr>
      <w:rPr>
        <w:rFonts w:ascii="Courier New" w:hAnsi="Courier New" w:cs="Courier New" w:hint="default"/>
      </w:rPr>
    </w:lvl>
    <w:lvl w:ilvl="8" w:tplc="6504E170" w:tentative="1">
      <w:start w:val="1"/>
      <w:numFmt w:val="bullet"/>
      <w:lvlText w:val=""/>
      <w:lvlJc w:val="left"/>
      <w:pPr>
        <w:ind w:left="6480" w:hanging="360"/>
      </w:pPr>
      <w:rPr>
        <w:rFonts w:ascii="Wingdings" w:hAnsi="Wingdings" w:hint="default"/>
      </w:rPr>
    </w:lvl>
  </w:abstractNum>
  <w:abstractNum w:abstractNumId="6" w15:restartNumberingAfterBreak="0">
    <w:nsid w:val="36DC5CD9"/>
    <w:multiLevelType w:val="hybridMultilevel"/>
    <w:tmpl w:val="7F6E36FC"/>
    <w:lvl w:ilvl="0" w:tplc="3FFC1680">
      <w:start w:val="1"/>
      <w:numFmt w:val="bullet"/>
      <w:lvlText w:val=""/>
      <w:lvlJc w:val="left"/>
      <w:pPr>
        <w:ind w:left="928" w:hanging="360"/>
      </w:pPr>
      <w:rPr>
        <w:rFonts w:ascii="Symbol" w:hAnsi="Symbol" w:hint="default"/>
      </w:rPr>
    </w:lvl>
    <w:lvl w:ilvl="1" w:tplc="78C2499A" w:tentative="1">
      <w:start w:val="1"/>
      <w:numFmt w:val="bullet"/>
      <w:lvlText w:val="o"/>
      <w:lvlJc w:val="left"/>
      <w:pPr>
        <w:ind w:left="1648" w:hanging="360"/>
      </w:pPr>
      <w:rPr>
        <w:rFonts w:ascii="Courier New" w:hAnsi="Courier New" w:cs="Courier New" w:hint="default"/>
      </w:rPr>
    </w:lvl>
    <w:lvl w:ilvl="2" w:tplc="2B4C8416" w:tentative="1">
      <w:start w:val="1"/>
      <w:numFmt w:val="bullet"/>
      <w:lvlText w:val=""/>
      <w:lvlJc w:val="left"/>
      <w:pPr>
        <w:ind w:left="2368" w:hanging="360"/>
      </w:pPr>
      <w:rPr>
        <w:rFonts w:ascii="Wingdings" w:hAnsi="Wingdings" w:hint="default"/>
      </w:rPr>
    </w:lvl>
    <w:lvl w:ilvl="3" w:tplc="C200102E" w:tentative="1">
      <w:start w:val="1"/>
      <w:numFmt w:val="bullet"/>
      <w:lvlText w:val=""/>
      <w:lvlJc w:val="left"/>
      <w:pPr>
        <w:ind w:left="3088" w:hanging="360"/>
      </w:pPr>
      <w:rPr>
        <w:rFonts w:ascii="Symbol" w:hAnsi="Symbol" w:hint="default"/>
      </w:rPr>
    </w:lvl>
    <w:lvl w:ilvl="4" w:tplc="3BD26A1C" w:tentative="1">
      <w:start w:val="1"/>
      <w:numFmt w:val="bullet"/>
      <w:lvlText w:val="o"/>
      <w:lvlJc w:val="left"/>
      <w:pPr>
        <w:ind w:left="3808" w:hanging="360"/>
      </w:pPr>
      <w:rPr>
        <w:rFonts w:ascii="Courier New" w:hAnsi="Courier New" w:cs="Courier New" w:hint="default"/>
      </w:rPr>
    </w:lvl>
    <w:lvl w:ilvl="5" w:tplc="43C41878" w:tentative="1">
      <w:start w:val="1"/>
      <w:numFmt w:val="bullet"/>
      <w:lvlText w:val=""/>
      <w:lvlJc w:val="left"/>
      <w:pPr>
        <w:ind w:left="4528" w:hanging="360"/>
      </w:pPr>
      <w:rPr>
        <w:rFonts w:ascii="Wingdings" w:hAnsi="Wingdings" w:hint="default"/>
      </w:rPr>
    </w:lvl>
    <w:lvl w:ilvl="6" w:tplc="FA6A4588" w:tentative="1">
      <w:start w:val="1"/>
      <w:numFmt w:val="bullet"/>
      <w:lvlText w:val=""/>
      <w:lvlJc w:val="left"/>
      <w:pPr>
        <w:ind w:left="5248" w:hanging="360"/>
      </w:pPr>
      <w:rPr>
        <w:rFonts w:ascii="Symbol" w:hAnsi="Symbol" w:hint="default"/>
      </w:rPr>
    </w:lvl>
    <w:lvl w:ilvl="7" w:tplc="D3A86AB6" w:tentative="1">
      <w:start w:val="1"/>
      <w:numFmt w:val="bullet"/>
      <w:lvlText w:val="o"/>
      <w:lvlJc w:val="left"/>
      <w:pPr>
        <w:ind w:left="5968" w:hanging="360"/>
      </w:pPr>
      <w:rPr>
        <w:rFonts w:ascii="Courier New" w:hAnsi="Courier New" w:cs="Courier New" w:hint="default"/>
      </w:rPr>
    </w:lvl>
    <w:lvl w:ilvl="8" w:tplc="4C5266D2" w:tentative="1">
      <w:start w:val="1"/>
      <w:numFmt w:val="bullet"/>
      <w:lvlText w:val=""/>
      <w:lvlJc w:val="left"/>
      <w:pPr>
        <w:ind w:left="6688" w:hanging="360"/>
      </w:pPr>
      <w:rPr>
        <w:rFonts w:ascii="Wingdings" w:hAnsi="Wingdings" w:hint="default"/>
      </w:rPr>
    </w:lvl>
  </w:abstractNum>
  <w:abstractNum w:abstractNumId="7" w15:restartNumberingAfterBreak="0">
    <w:nsid w:val="423F2262"/>
    <w:multiLevelType w:val="hybridMultilevel"/>
    <w:tmpl w:val="70EEF2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2E44D52"/>
    <w:multiLevelType w:val="hybridMultilevel"/>
    <w:tmpl w:val="1E52B9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A3736BF"/>
    <w:multiLevelType w:val="hybridMultilevel"/>
    <w:tmpl w:val="DE3C24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B9E796A"/>
    <w:multiLevelType w:val="multilevel"/>
    <w:tmpl w:val="60564F22"/>
    <w:lvl w:ilvl="0">
      <w:start w:val="1"/>
      <w:numFmt w:val="decimal"/>
      <w:lvlText w:val="%1"/>
      <w:lvlJc w:val="left"/>
      <w:pPr>
        <w:ind w:left="432" w:hanging="432"/>
      </w:pPr>
    </w:lvl>
    <w:lvl w:ilvl="1">
      <w:start w:val="1"/>
      <w:numFmt w:val="decimal"/>
      <w:pStyle w:val="Heading2"/>
      <w:lvlText w:val="%1.%2"/>
      <w:lvlJc w:val="left"/>
      <w:pPr>
        <w:ind w:left="576" w:hanging="576"/>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64EF7805"/>
    <w:multiLevelType w:val="multilevel"/>
    <w:tmpl w:val="9360687C"/>
    <w:lvl w:ilvl="0">
      <w:start w:val="1"/>
      <w:numFmt w:val="decimal"/>
      <w:pStyle w:val="Heading1"/>
      <w:lvlText w:val="%1"/>
      <w:lvlJc w:val="left"/>
      <w:pPr>
        <w:ind w:left="432" w:hanging="432"/>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1">
      <w:start w:val="1"/>
      <w:numFmt w:val="decimal"/>
      <w:lvlText w:val="%1.%2"/>
      <w:lvlJc w:val="left"/>
      <w:pPr>
        <w:ind w:left="576" w:hanging="576"/>
      </w:pPr>
      <w:rPr>
        <w:b/>
      </w:rPr>
    </w:lvl>
    <w:lvl w:ilvl="2">
      <w:start w:val="1"/>
      <w:numFmt w:val="decimal"/>
      <w:pStyle w:val="Heading3"/>
      <w:lvlText w:val="%1.%2.%3"/>
      <w:lvlJc w:val="left"/>
      <w:pPr>
        <w:ind w:left="2989" w:hanging="720"/>
      </w:pPr>
      <w:rPr>
        <w:rFonts w:ascii="Times New Roman" w:hAnsi="Times New Roman"/>
        <w:b w:val="0"/>
        <w:bCs w:val="0"/>
        <w:i w:val="0"/>
        <w:iCs w:val="0"/>
        <w:caps w:val="0"/>
        <w:smallCaps w:val="0"/>
        <w:strike w:val="0"/>
        <w:dstrike w:val="0"/>
        <w:outline w:val="0"/>
        <w:shadow w:val="0"/>
        <w:emboss w:val="0"/>
        <w:imprint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656068AC"/>
    <w:multiLevelType w:val="hybridMultilevel"/>
    <w:tmpl w:val="A4EEF1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6A1F0669"/>
    <w:multiLevelType w:val="hybridMultilevel"/>
    <w:tmpl w:val="2E8AB8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784641C"/>
    <w:multiLevelType w:val="hybridMultilevel"/>
    <w:tmpl w:val="A49A31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416C22"/>
    <w:multiLevelType w:val="hybridMultilevel"/>
    <w:tmpl w:val="4F2CA9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05667081">
    <w:abstractNumId w:val="10"/>
  </w:num>
  <w:num w:numId="2" w16cid:durableId="1950156500">
    <w:abstractNumId w:val="11"/>
  </w:num>
  <w:num w:numId="3" w16cid:durableId="1199322087">
    <w:abstractNumId w:val="5"/>
  </w:num>
  <w:num w:numId="4" w16cid:durableId="330181607">
    <w:abstractNumId w:val="6"/>
  </w:num>
  <w:num w:numId="5" w16cid:durableId="1874347807">
    <w:abstractNumId w:val="9"/>
  </w:num>
  <w:num w:numId="6" w16cid:durableId="967589355">
    <w:abstractNumId w:val="8"/>
  </w:num>
  <w:num w:numId="7" w16cid:durableId="721444811">
    <w:abstractNumId w:val="1"/>
  </w:num>
  <w:num w:numId="8" w16cid:durableId="512720501">
    <w:abstractNumId w:val="12"/>
  </w:num>
  <w:num w:numId="9" w16cid:durableId="1602176155">
    <w:abstractNumId w:val="3"/>
  </w:num>
  <w:num w:numId="10" w16cid:durableId="1219904424">
    <w:abstractNumId w:val="15"/>
  </w:num>
  <w:num w:numId="11" w16cid:durableId="309554813">
    <w:abstractNumId w:val="4"/>
  </w:num>
  <w:num w:numId="12" w16cid:durableId="91358309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62614231">
    <w:abstractNumId w:val="7"/>
  </w:num>
  <w:num w:numId="14" w16cid:durableId="1470710004">
    <w:abstractNumId w:val="13"/>
  </w:num>
  <w:num w:numId="15" w16cid:durableId="1169521920">
    <w:abstractNumId w:val="14"/>
  </w:num>
  <w:num w:numId="16" w16cid:durableId="2086876294">
    <w:abstractNumId w:val="0"/>
  </w:num>
  <w:num w:numId="17" w16cid:durableId="2013213493">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9B6"/>
    <w:rsid w:val="0000055E"/>
    <w:rsid w:val="000010FF"/>
    <w:rsid w:val="00001111"/>
    <w:rsid w:val="00002C5A"/>
    <w:rsid w:val="00002ED8"/>
    <w:rsid w:val="00003945"/>
    <w:rsid w:val="000044A8"/>
    <w:rsid w:val="00005440"/>
    <w:rsid w:val="00006F57"/>
    <w:rsid w:val="0001188C"/>
    <w:rsid w:val="00011994"/>
    <w:rsid w:val="00012D10"/>
    <w:rsid w:val="000133CD"/>
    <w:rsid w:val="00013B4C"/>
    <w:rsid w:val="000159CA"/>
    <w:rsid w:val="00015D20"/>
    <w:rsid w:val="00016697"/>
    <w:rsid w:val="00016EBE"/>
    <w:rsid w:val="00020109"/>
    <w:rsid w:val="00020DB4"/>
    <w:rsid w:val="00021917"/>
    <w:rsid w:val="000227EA"/>
    <w:rsid w:val="00023B36"/>
    <w:rsid w:val="000246C9"/>
    <w:rsid w:val="00024E74"/>
    <w:rsid w:val="000252DE"/>
    <w:rsid w:val="00026FD7"/>
    <w:rsid w:val="00030EC3"/>
    <w:rsid w:val="0003173F"/>
    <w:rsid w:val="00032304"/>
    <w:rsid w:val="000331C9"/>
    <w:rsid w:val="0003477D"/>
    <w:rsid w:val="000353A6"/>
    <w:rsid w:val="0003786D"/>
    <w:rsid w:val="000412E5"/>
    <w:rsid w:val="00042082"/>
    <w:rsid w:val="00044039"/>
    <w:rsid w:val="00044D6E"/>
    <w:rsid w:val="000452FF"/>
    <w:rsid w:val="00046487"/>
    <w:rsid w:val="00050FBB"/>
    <w:rsid w:val="00052526"/>
    <w:rsid w:val="00054B14"/>
    <w:rsid w:val="0005698E"/>
    <w:rsid w:val="00056D8E"/>
    <w:rsid w:val="00057CA1"/>
    <w:rsid w:val="00060D4B"/>
    <w:rsid w:val="000621E6"/>
    <w:rsid w:val="000649B6"/>
    <w:rsid w:val="00064A42"/>
    <w:rsid w:val="00066222"/>
    <w:rsid w:val="0006672C"/>
    <w:rsid w:val="00070886"/>
    <w:rsid w:val="00070902"/>
    <w:rsid w:val="00071523"/>
    <w:rsid w:val="00072321"/>
    <w:rsid w:val="00073DD5"/>
    <w:rsid w:val="000743D7"/>
    <w:rsid w:val="000755FF"/>
    <w:rsid w:val="00075EF1"/>
    <w:rsid w:val="000779BC"/>
    <w:rsid w:val="00077B89"/>
    <w:rsid w:val="00080620"/>
    <w:rsid w:val="00082079"/>
    <w:rsid w:val="00082EE8"/>
    <w:rsid w:val="000835F8"/>
    <w:rsid w:val="00083A55"/>
    <w:rsid w:val="00083C0F"/>
    <w:rsid w:val="0008406F"/>
    <w:rsid w:val="00087A54"/>
    <w:rsid w:val="000912DF"/>
    <w:rsid w:val="0009182B"/>
    <w:rsid w:val="00091900"/>
    <w:rsid w:val="0009199E"/>
    <w:rsid w:val="0009476B"/>
    <w:rsid w:val="00095AEA"/>
    <w:rsid w:val="00096199"/>
    <w:rsid w:val="000962F8"/>
    <w:rsid w:val="00096389"/>
    <w:rsid w:val="0009691B"/>
    <w:rsid w:val="000A0458"/>
    <w:rsid w:val="000A124E"/>
    <w:rsid w:val="000A2623"/>
    <w:rsid w:val="000A300C"/>
    <w:rsid w:val="000A3556"/>
    <w:rsid w:val="000A3F43"/>
    <w:rsid w:val="000A45BF"/>
    <w:rsid w:val="000A45EC"/>
    <w:rsid w:val="000A5325"/>
    <w:rsid w:val="000A7B32"/>
    <w:rsid w:val="000B0197"/>
    <w:rsid w:val="000B36A6"/>
    <w:rsid w:val="000B54AD"/>
    <w:rsid w:val="000B7152"/>
    <w:rsid w:val="000C0801"/>
    <w:rsid w:val="000C0ABB"/>
    <w:rsid w:val="000C21F6"/>
    <w:rsid w:val="000C24C5"/>
    <w:rsid w:val="000C2ECE"/>
    <w:rsid w:val="000C426D"/>
    <w:rsid w:val="000C5807"/>
    <w:rsid w:val="000C5DA1"/>
    <w:rsid w:val="000C6510"/>
    <w:rsid w:val="000D0197"/>
    <w:rsid w:val="000D02AB"/>
    <w:rsid w:val="000D09F2"/>
    <w:rsid w:val="000D2D59"/>
    <w:rsid w:val="000D3CFD"/>
    <w:rsid w:val="000D4A80"/>
    <w:rsid w:val="000D61B8"/>
    <w:rsid w:val="000E0920"/>
    <w:rsid w:val="000E11E3"/>
    <w:rsid w:val="000E3686"/>
    <w:rsid w:val="000E3ADD"/>
    <w:rsid w:val="000E4C7A"/>
    <w:rsid w:val="000E6AEE"/>
    <w:rsid w:val="000E74CB"/>
    <w:rsid w:val="000E7764"/>
    <w:rsid w:val="000F1344"/>
    <w:rsid w:val="000F3B57"/>
    <w:rsid w:val="000F48E3"/>
    <w:rsid w:val="000F58EF"/>
    <w:rsid w:val="000F5925"/>
    <w:rsid w:val="000F7064"/>
    <w:rsid w:val="00100139"/>
    <w:rsid w:val="00100BF4"/>
    <w:rsid w:val="001038B7"/>
    <w:rsid w:val="00104DE0"/>
    <w:rsid w:val="0010658F"/>
    <w:rsid w:val="00106E4E"/>
    <w:rsid w:val="001077FD"/>
    <w:rsid w:val="00107F99"/>
    <w:rsid w:val="00110E1E"/>
    <w:rsid w:val="001111E5"/>
    <w:rsid w:val="0011130C"/>
    <w:rsid w:val="00111D19"/>
    <w:rsid w:val="0011377B"/>
    <w:rsid w:val="001154E2"/>
    <w:rsid w:val="00121745"/>
    <w:rsid w:val="00122310"/>
    <w:rsid w:val="00124088"/>
    <w:rsid w:val="001253C6"/>
    <w:rsid w:val="00126FA3"/>
    <w:rsid w:val="00127A96"/>
    <w:rsid w:val="00127C2F"/>
    <w:rsid w:val="00127F3D"/>
    <w:rsid w:val="001300F6"/>
    <w:rsid w:val="00130750"/>
    <w:rsid w:val="00130A30"/>
    <w:rsid w:val="00130CCF"/>
    <w:rsid w:val="00133EF3"/>
    <w:rsid w:val="00135D3D"/>
    <w:rsid w:val="00136007"/>
    <w:rsid w:val="001367E4"/>
    <w:rsid w:val="00136F23"/>
    <w:rsid w:val="001378E1"/>
    <w:rsid w:val="00140B0E"/>
    <w:rsid w:val="00141343"/>
    <w:rsid w:val="00142AFD"/>
    <w:rsid w:val="00143D86"/>
    <w:rsid w:val="001445DE"/>
    <w:rsid w:val="001460E7"/>
    <w:rsid w:val="00146B59"/>
    <w:rsid w:val="00147431"/>
    <w:rsid w:val="00147C20"/>
    <w:rsid w:val="00147EE9"/>
    <w:rsid w:val="00150F5C"/>
    <w:rsid w:val="0015161B"/>
    <w:rsid w:val="00151905"/>
    <w:rsid w:val="00151EAE"/>
    <w:rsid w:val="00152C48"/>
    <w:rsid w:val="00153F1F"/>
    <w:rsid w:val="00153F3F"/>
    <w:rsid w:val="00155FBA"/>
    <w:rsid w:val="00156964"/>
    <w:rsid w:val="001577F0"/>
    <w:rsid w:val="00163BAF"/>
    <w:rsid w:val="0017110E"/>
    <w:rsid w:val="00171681"/>
    <w:rsid w:val="00171A2E"/>
    <w:rsid w:val="00171C15"/>
    <w:rsid w:val="001724E2"/>
    <w:rsid w:val="00172B94"/>
    <w:rsid w:val="001730B3"/>
    <w:rsid w:val="00173611"/>
    <w:rsid w:val="00175596"/>
    <w:rsid w:val="00175DD2"/>
    <w:rsid w:val="001761C8"/>
    <w:rsid w:val="001771A0"/>
    <w:rsid w:val="00177AB8"/>
    <w:rsid w:val="00180747"/>
    <w:rsid w:val="0018106C"/>
    <w:rsid w:val="00181252"/>
    <w:rsid w:val="00183105"/>
    <w:rsid w:val="001831BF"/>
    <w:rsid w:val="001833F7"/>
    <w:rsid w:val="001854CA"/>
    <w:rsid w:val="00187087"/>
    <w:rsid w:val="001914F6"/>
    <w:rsid w:val="00191CD1"/>
    <w:rsid w:val="00191EBE"/>
    <w:rsid w:val="001929B1"/>
    <w:rsid w:val="00197EEB"/>
    <w:rsid w:val="001A0C08"/>
    <w:rsid w:val="001A276A"/>
    <w:rsid w:val="001A3D4C"/>
    <w:rsid w:val="001A40D3"/>
    <w:rsid w:val="001A4526"/>
    <w:rsid w:val="001A53E4"/>
    <w:rsid w:val="001A58BF"/>
    <w:rsid w:val="001A5E71"/>
    <w:rsid w:val="001A6188"/>
    <w:rsid w:val="001A6B46"/>
    <w:rsid w:val="001A6E88"/>
    <w:rsid w:val="001A7CA7"/>
    <w:rsid w:val="001B0906"/>
    <w:rsid w:val="001B1A3A"/>
    <w:rsid w:val="001B2B7C"/>
    <w:rsid w:val="001B389A"/>
    <w:rsid w:val="001B458D"/>
    <w:rsid w:val="001B4D15"/>
    <w:rsid w:val="001B56D2"/>
    <w:rsid w:val="001B5798"/>
    <w:rsid w:val="001B6A07"/>
    <w:rsid w:val="001B6CE2"/>
    <w:rsid w:val="001B7324"/>
    <w:rsid w:val="001B7618"/>
    <w:rsid w:val="001C1EB0"/>
    <w:rsid w:val="001C43C4"/>
    <w:rsid w:val="001C4576"/>
    <w:rsid w:val="001C58EE"/>
    <w:rsid w:val="001C7E6A"/>
    <w:rsid w:val="001D0F1B"/>
    <w:rsid w:val="001D1978"/>
    <w:rsid w:val="001D2552"/>
    <w:rsid w:val="001D38A7"/>
    <w:rsid w:val="001D4B44"/>
    <w:rsid w:val="001D5F9C"/>
    <w:rsid w:val="001D6206"/>
    <w:rsid w:val="001D671C"/>
    <w:rsid w:val="001D7285"/>
    <w:rsid w:val="001D75CD"/>
    <w:rsid w:val="001D76D2"/>
    <w:rsid w:val="001E0994"/>
    <w:rsid w:val="001E14E2"/>
    <w:rsid w:val="001E2956"/>
    <w:rsid w:val="001E31EA"/>
    <w:rsid w:val="001E35D6"/>
    <w:rsid w:val="001E3B4E"/>
    <w:rsid w:val="001E66D3"/>
    <w:rsid w:val="001E6788"/>
    <w:rsid w:val="001E6886"/>
    <w:rsid w:val="001F00DC"/>
    <w:rsid w:val="001F01E2"/>
    <w:rsid w:val="001F0973"/>
    <w:rsid w:val="001F0D57"/>
    <w:rsid w:val="001F1442"/>
    <w:rsid w:val="001F281A"/>
    <w:rsid w:val="001F5C3F"/>
    <w:rsid w:val="001F6B09"/>
    <w:rsid w:val="001F7378"/>
    <w:rsid w:val="001F756B"/>
    <w:rsid w:val="002028BA"/>
    <w:rsid w:val="00202E34"/>
    <w:rsid w:val="00203FD9"/>
    <w:rsid w:val="00205AF0"/>
    <w:rsid w:val="002065C8"/>
    <w:rsid w:val="00206BF9"/>
    <w:rsid w:val="00213E60"/>
    <w:rsid w:val="00214056"/>
    <w:rsid w:val="00214DD3"/>
    <w:rsid w:val="00215A44"/>
    <w:rsid w:val="00216373"/>
    <w:rsid w:val="002168BC"/>
    <w:rsid w:val="002171B0"/>
    <w:rsid w:val="00217295"/>
    <w:rsid w:val="002172E6"/>
    <w:rsid w:val="0021778A"/>
    <w:rsid w:val="0022063F"/>
    <w:rsid w:val="00220786"/>
    <w:rsid w:val="00220BE0"/>
    <w:rsid w:val="00224846"/>
    <w:rsid w:val="002259EF"/>
    <w:rsid w:val="00225C67"/>
    <w:rsid w:val="00225D69"/>
    <w:rsid w:val="002271EB"/>
    <w:rsid w:val="0023141B"/>
    <w:rsid w:val="00233462"/>
    <w:rsid w:val="00233890"/>
    <w:rsid w:val="00234206"/>
    <w:rsid w:val="00234C3D"/>
    <w:rsid w:val="0023524F"/>
    <w:rsid w:val="00235318"/>
    <w:rsid w:val="00236849"/>
    <w:rsid w:val="00240109"/>
    <w:rsid w:val="00240250"/>
    <w:rsid w:val="00240DC5"/>
    <w:rsid w:val="00241862"/>
    <w:rsid w:val="00241C51"/>
    <w:rsid w:val="002430E0"/>
    <w:rsid w:val="00243A75"/>
    <w:rsid w:val="0024426B"/>
    <w:rsid w:val="002443FE"/>
    <w:rsid w:val="00250B8F"/>
    <w:rsid w:val="00252B3A"/>
    <w:rsid w:val="00253A1F"/>
    <w:rsid w:val="00253AB2"/>
    <w:rsid w:val="002548FD"/>
    <w:rsid w:val="00254CED"/>
    <w:rsid w:val="002560FE"/>
    <w:rsid w:val="00256C59"/>
    <w:rsid w:val="00257542"/>
    <w:rsid w:val="00257939"/>
    <w:rsid w:val="00262640"/>
    <w:rsid w:val="00262DF1"/>
    <w:rsid w:val="00264373"/>
    <w:rsid w:val="002648D0"/>
    <w:rsid w:val="00266087"/>
    <w:rsid w:val="0027017A"/>
    <w:rsid w:val="002701C7"/>
    <w:rsid w:val="00273112"/>
    <w:rsid w:val="00274BD4"/>
    <w:rsid w:val="0027529D"/>
    <w:rsid w:val="0027663B"/>
    <w:rsid w:val="00280635"/>
    <w:rsid w:val="002808BC"/>
    <w:rsid w:val="00280AD6"/>
    <w:rsid w:val="00280D71"/>
    <w:rsid w:val="00281213"/>
    <w:rsid w:val="0028286F"/>
    <w:rsid w:val="002839C1"/>
    <w:rsid w:val="00285524"/>
    <w:rsid w:val="00285EB5"/>
    <w:rsid w:val="0028781A"/>
    <w:rsid w:val="002903A5"/>
    <w:rsid w:val="002908B2"/>
    <w:rsid w:val="00292265"/>
    <w:rsid w:val="00292545"/>
    <w:rsid w:val="00294D13"/>
    <w:rsid w:val="002A0FA8"/>
    <w:rsid w:val="002A2711"/>
    <w:rsid w:val="002A323C"/>
    <w:rsid w:val="002A3963"/>
    <w:rsid w:val="002A5321"/>
    <w:rsid w:val="002B0FF1"/>
    <w:rsid w:val="002B2FA3"/>
    <w:rsid w:val="002B3B3A"/>
    <w:rsid w:val="002B4A79"/>
    <w:rsid w:val="002B4DFF"/>
    <w:rsid w:val="002B6853"/>
    <w:rsid w:val="002B7976"/>
    <w:rsid w:val="002C03A4"/>
    <w:rsid w:val="002C0BFB"/>
    <w:rsid w:val="002C0F11"/>
    <w:rsid w:val="002C144E"/>
    <w:rsid w:val="002C1603"/>
    <w:rsid w:val="002C297A"/>
    <w:rsid w:val="002C3519"/>
    <w:rsid w:val="002C44A3"/>
    <w:rsid w:val="002C54EB"/>
    <w:rsid w:val="002C6780"/>
    <w:rsid w:val="002C69C8"/>
    <w:rsid w:val="002C6F45"/>
    <w:rsid w:val="002D0988"/>
    <w:rsid w:val="002D11F1"/>
    <w:rsid w:val="002D13DE"/>
    <w:rsid w:val="002D161D"/>
    <w:rsid w:val="002D3867"/>
    <w:rsid w:val="002D3DFF"/>
    <w:rsid w:val="002D4527"/>
    <w:rsid w:val="002D4538"/>
    <w:rsid w:val="002D5561"/>
    <w:rsid w:val="002D7F52"/>
    <w:rsid w:val="002E1217"/>
    <w:rsid w:val="002E1680"/>
    <w:rsid w:val="002E4516"/>
    <w:rsid w:val="002E490F"/>
    <w:rsid w:val="002E4A3C"/>
    <w:rsid w:val="002E56AB"/>
    <w:rsid w:val="002E5ED5"/>
    <w:rsid w:val="002E6329"/>
    <w:rsid w:val="002E6E0C"/>
    <w:rsid w:val="002E7DDC"/>
    <w:rsid w:val="002F11D1"/>
    <w:rsid w:val="002F1D0D"/>
    <w:rsid w:val="002F2C13"/>
    <w:rsid w:val="002F2DF0"/>
    <w:rsid w:val="002F31F3"/>
    <w:rsid w:val="002F335F"/>
    <w:rsid w:val="002F37F2"/>
    <w:rsid w:val="002F61C1"/>
    <w:rsid w:val="00301A1E"/>
    <w:rsid w:val="00301FC8"/>
    <w:rsid w:val="003022ED"/>
    <w:rsid w:val="00302F13"/>
    <w:rsid w:val="003031F3"/>
    <w:rsid w:val="00303D77"/>
    <w:rsid w:val="003042B7"/>
    <w:rsid w:val="00304A17"/>
    <w:rsid w:val="00304A67"/>
    <w:rsid w:val="00304C0C"/>
    <w:rsid w:val="00305286"/>
    <w:rsid w:val="00307468"/>
    <w:rsid w:val="0031347F"/>
    <w:rsid w:val="00314C08"/>
    <w:rsid w:val="00315E70"/>
    <w:rsid w:val="00315F3C"/>
    <w:rsid w:val="00316288"/>
    <w:rsid w:val="00316EDE"/>
    <w:rsid w:val="00320388"/>
    <w:rsid w:val="00320815"/>
    <w:rsid w:val="00320A31"/>
    <w:rsid w:val="00322C5E"/>
    <w:rsid w:val="003260FA"/>
    <w:rsid w:val="00326A02"/>
    <w:rsid w:val="00326E3B"/>
    <w:rsid w:val="003279F5"/>
    <w:rsid w:val="00327AB0"/>
    <w:rsid w:val="0033320E"/>
    <w:rsid w:val="0033363D"/>
    <w:rsid w:val="00335A62"/>
    <w:rsid w:val="0033795B"/>
    <w:rsid w:val="00337D3F"/>
    <w:rsid w:val="0034189D"/>
    <w:rsid w:val="00342F3F"/>
    <w:rsid w:val="00342F6E"/>
    <w:rsid w:val="00346348"/>
    <w:rsid w:val="00347326"/>
    <w:rsid w:val="00350F16"/>
    <w:rsid w:val="00353833"/>
    <w:rsid w:val="00353BBB"/>
    <w:rsid w:val="0035442D"/>
    <w:rsid w:val="00354D77"/>
    <w:rsid w:val="003550FC"/>
    <w:rsid w:val="0035630B"/>
    <w:rsid w:val="003572ED"/>
    <w:rsid w:val="003628FB"/>
    <w:rsid w:val="00362926"/>
    <w:rsid w:val="00363C6B"/>
    <w:rsid w:val="00363C9C"/>
    <w:rsid w:val="00364BEE"/>
    <w:rsid w:val="00364E96"/>
    <w:rsid w:val="00371A4D"/>
    <w:rsid w:val="0037217E"/>
    <w:rsid w:val="00372213"/>
    <w:rsid w:val="003748C6"/>
    <w:rsid w:val="00374ABB"/>
    <w:rsid w:val="003750CC"/>
    <w:rsid w:val="00375AB0"/>
    <w:rsid w:val="003766A7"/>
    <w:rsid w:val="003803CE"/>
    <w:rsid w:val="003809A7"/>
    <w:rsid w:val="00380BDA"/>
    <w:rsid w:val="00381A4B"/>
    <w:rsid w:val="00382398"/>
    <w:rsid w:val="003829FF"/>
    <w:rsid w:val="0038300F"/>
    <w:rsid w:val="003833A3"/>
    <w:rsid w:val="00383CA4"/>
    <w:rsid w:val="00385C5E"/>
    <w:rsid w:val="00386651"/>
    <w:rsid w:val="003908E5"/>
    <w:rsid w:val="003909E6"/>
    <w:rsid w:val="00391031"/>
    <w:rsid w:val="0039127D"/>
    <w:rsid w:val="003930BF"/>
    <w:rsid w:val="00393682"/>
    <w:rsid w:val="0039433A"/>
    <w:rsid w:val="00394C75"/>
    <w:rsid w:val="00394F77"/>
    <w:rsid w:val="00397C33"/>
    <w:rsid w:val="003A0DF8"/>
    <w:rsid w:val="003A2B52"/>
    <w:rsid w:val="003A4717"/>
    <w:rsid w:val="003A4BAA"/>
    <w:rsid w:val="003A6F76"/>
    <w:rsid w:val="003A7D51"/>
    <w:rsid w:val="003B07D5"/>
    <w:rsid w:val="003B5D4F"/>
    <w:rsid w:val="003B6486"/>
    <w:rsid w:val="003B6999"/>
    <w:rsid w:val="003B6B73"/>
    <w:rsid w:val="003B7A2E"/>
    <w:rsid w:val="003C15CF"/>
    <w:rsid w:val="003C319D"/>
    <w:rsid w:val="003C334F"/>
    <w:rsid w:val="003C3429"/>
    <w:rsid w:val="003C39C1"/>
    <w:rsid w:val="003C57B4"/>
    <w:rsid w:val="003D00AD"/>
    <w:rsid w:val="003D082D"/>
    <w:rsid w:val="003D2318"/>
    <w:rsid w:val="003D2C80"/>
    <w:rsid w:val="003D2CE4"/>
    <w:rsid w:val="003D3517"/>
    <w:rsid w:val="003D52EF"/>
    <w:rsid w:val="003D79A2"/>
    <w:rsid w:val="003E0112"/>
    <w:rsid w:val="003E0FB5"/>
    <w:rsid w:val="003E12C1"/>
    <w:rsid w:val="003E2E45"/>
    <w:rsid w:val="003E349E"/>
    <w:rsid w:val="003E4E8E"/>
    <w:rsid w:val="003E6EAA"/>
    <w:rsid w:val="003E7DF8"/>
    <w:rsid w:val="003F0B99"/>
    <w:rsid w:val="003F1947"/>
    <w:rsid w:val="003F2729"/>
    <w:rsid w:val="003F7F30"/>
    <w:rsid w:val="00400634"/>
    <w:rsid w:val="004007FF"/>
    <w:rsid w:val="00401003"/>
    <w:rsid w:val="00401798"/>
    <w:rsid w:val="004024AD"/>
    <w:rsid w:val="00402823"/>
    <w:rsid w:val="00403109"/>
    <w:rsid w:val="00403384"/>
    <w:rsid w:val="00403A4A"/>
    <w:rsid w:val="00405F5E"/>
    <w:rsid w:val="00410034"/>
    <w:rsid w:val="00411123"/>
    <w:rsid w:val="00411ED6"/>
    <w:rsid w:val="00411EE7"/>
    <w:rsid w:val="00412385"/>
    <w:rsid w:val="004130EA"/>
    <w:rsid w:val="00413ED4"/>
    <w:rsid w:val="00416088"/>
    <w:rsid w:val="00416645"/>
    <w:rsid w:val="00420318"/>
    <w:rsid w:val="00420B5D"/>
    <w:rsid w:val="00423DF1"/>
    <w:rsid w:val="004242C3"/>
    <w:rsid w:val="00425325"/>
    <w:rsid w:val="00430A18"/>
    <w:rsid w:val="0043191A"/>
    <w:rsid w:val="00431B53"/>
    <w:rsid w:val="00432129"/>
    <w:rsid w:val="0043281E"/>
    <w:rsid w:val="00433935"/>
    <w:rsid w:val="0043455B"/>
    <w:rsid w:val="00434822"/>
    <w:rsid w:val="0043658E"/>
    <w:rsid w:val="00437010"/>
    <w:rsid w:val="00437F16"/>
    <w:rsid w:val="00441545"/>
    <w:rsid w:val="00443180"/>
    <w:rsid w:val="00444D4B"/>
    <w:rsid w:val="00445C22"/>
    <w:rsid w:val="00445E9E"/>
    <w:rsid w:val="00447F7C"/>
    <w:rsid w:val="00450353"/>
    <w:rsid w:val="00451106"/>
    <w:rsid w:val="004563EC"/>
    <w:rsid w:val="0046030E"/>
    <w:rsid w:val="0046048E"/>
    <w:rsid w:val="00460541"/>
    <w:rsid w:val="00460FE4"/>
    <w:rsid w:val="00461592"/>
    <w:rsid w:val="004625DC"/>
    <w:rsid w:val="00463256"/>
    <w:rsid w:val="00463324"/>
    <w:rsid w:val="00464740"/>
    <w:rsid w:val="0046617F"/>
    <w:rsid w:val="00466737"/>
    <w:rsid w:val="004668E5"/>
    <w:rsid w:val="004676B6"/>
    <w:rsid w:val="00467C70"/>
    <w:rsid w:val="004700AC"/>
    <w:rsid w:val="00471A35"/>
    <w:rsid w:val="0047241B"/>
    <w:rsid w:val="00473961"/>
    <w:rsid w:val="00473EB7"/>
    <w:rsid w:val="00473FE9"/>
    <w:rsid w:val="0047512B"/>
    <w:rsid w:val="00476B4B"/>
    <w:rsid w:val="00481BB3"/>
    <w:rsid w:val="00482317"/>
    <w:rsid w:val="0048341F"/>
    <w:rsid w:val="00483B5C"/>
    <w:rsid w:val="00484EFA"/>
    <w:rsid w:val="00485F5D"/>
    <w:rsid w:val="00487795"/>
    <w:rsid w:val="00490C60"/>
    <w:rsid w:val="00490C6C"/>
    <w:rsid w:val="004910A0"/>
    <w:rsid w:val="004918E0"/>
    <w:rsid w:val="00491DA3"/>
    <w:rsid w:val="00492B67"/>
    <w:rsid w:val="00496932"/>
    <w:rsid w:val="00497B86"/>
    <w:rsid w:val="004A1E80"/>
    <w:rsid w:val="004A2539"/>
    <w:rsid w:val="004A349D"/>
    <w:rsid w:val="004A6247"/>
    <w:rsid w:val="004A64BB"/>
    <w:rsid w:val="004B0197"/>
    <w:rsid w:val="004B1303"/>
    <w:rsid w:val="004B165B"/>
    <w:rsid w:val="004B165F"/>
    <w:rsid w:val="004B1D3A"/>
    <w:rsid w:val="004B23A9"/>
    <w:rsid w:val="004B26A2"/>
    <w:rsid w:val="004B44B1"/>
    <w:rsid w:val="004B4726"/>
    <w:rsid w:val="004B4D15"/>
    <w:rsid w:val="004B5205"/>
    <w:rsid w:val="004B5BA3"/>
    <w:rsid w:val="004B6CD0"/>
    <w:rsid w:val="004C0ABB"/>
    <w:rsid w:val="004C0DBC"/>
    <w:rsid w:val="004C2480"/>
    <w:rsid w:val="004C2861"/>
    <w:rsid w:val="004C337E"/>
    <w:rsid w:val="004C40AE"/>
    <w:rsid w:val="004C4645"/>
    <w:rsid w:val="004C6110"/>
    <w:rsid w:val="004C615C"/>
    <w:rsid w:val="004C7260"/>
    <w:rsid w:val="004D048E"/>
    <w:rsid w:val="004D3109"/>
    <w:rsid w:val="004D3585"/>
    <w:rsid w:val="004D36CC"/>
    <w:rsid w:val="004D4C84"/>
    <w:rsid w:val="004D54C0"/>
    <w:rsid w:val="004D5BA7"/>
    <w:rsid w:val="004D64B3"/>
    <w:rsid w:val="004E3AF2"/>
    <w:rsid w:val="004E70F1"/>
    <w:rsid w:val="004F150C"/>
    <w:rsid w:val="004F1E73"/>
    <w:rsid w:val="004F2E53"/>
    <w:rsid w:val="004F3BA6"/>
    <w:rsid w:val="004F4ED6"/>
    <w:rsid w:val="005005CB"/>
    <w:rsid w:val="00501650"/>
    <w:rsid w:val="00501E25"/>
    <w:rsid w:val="00502565"/>
    <w:rsid w:val="005027A3"/>
    <w:rsid w:val="005030A8"/>
    <w:rsid w:val="00503111"/>
    <w:rsid w:val="0050352B"/>
    <w:rsid w:val="005039DC"/>
    <w:rsid w:val="005060D5"/>
    <w:rsid w:val="0050652B"/>
    <w:rsid w:val="00507017"/>
    <w:rsid w:val="0050764E"/>
    <w:rsid w:val="00510400"/>
    <w:rsid w:val="00510645"/>
    <w:rsid w:val="005118B5"/>
    <w:rsid w:val="00511BFE"/>
    <w:rsid w:val="0051393C"/>
    <w:rsid w:val="00517E0C"/>
    <w:rsid w:val="00517E92"/>
    <w:rsid w:val="00517F91"/>
    <w:rsid w:val="00521946"/>
    <w:rsid w:val="00522842"/>
    <w:rsid w:val="00524B73"/>
    <w:rsid w:val="005267B7"/>
    <w:rsid w:val="005267C7"/>
    <w:rsid w:val="00526BBC"/>
    <w:rsid w:val="00530EF1"/>
    <w:rsid w:val="005332CE"/>
    <w:rsid w:val="00533387"/>
    <w:rsid w:val="005336E4"/>
    <w:rsid w:val="005346E2"/>
    <w:rsid w:val="0053481F"/>
    <w:rsid w:val="00534986"/>
    <w:rsid w:val="00534C6B"/>
    <w:rsid w:val="00536942"/>
    <w:rsid w:val="0053740F"/>
    <w:rsid w:val="00542C6F"/>
    <w:rsid w:val="00543B0D"/>
    <w:rsid w:val="00544A49"/>
    <w:rsid w:val="00544AAE"/>
    <w:rsid w:val="00545340"/>
    <w:rsid w:val="00545487"/>
    <w:rsid w:val="00547756"/>
    <w:rsid w:val="00547819"/>
    <w:rsid w:val="00547C40"/>
    <w:rsid w:val="00551683"/>
    <w:rsid w:val="0055575D"/>
    <w:rsid w:val="00555821"/>
    <w:rsid w:val="00555EEC"/>
    <w:rsid w:val="0055710E"/>
    <w:rsid w:val="0056005E"/>
    <w:rsid w:val="005605C6"/>
    <w:rsid w:val="00560F75"/>
    <w:rsid w:val="005615B7"/>
    <w:rsid w:val="005636B4"/>
    <w:rsid w:val="0056449A"/>
    <w:rsid w:val="005652EA"/>
    <w:rsid w:val="005656EB"/>
    <w:rsid w:val="0056584B"/>
    <w:rsid w:val="00566774"/>
    <w:rsid w:val="005672A5"/>
    <w:rsid w:val="00572B02"/>
    <w:rsid w:val="005731DF"/>
    <w:rsid w:val="005736D4"/>
    <w:rsid w:val="005749F7"/>
    <w:rsid w:val="00576210"/>
    <w:rsid w:val="005762EF"/>
    <w:rsid w:val="00581202"/>
    <w:rsid w:val="00581B38"/>
    <w:rsid w:val="00582227"/>
    <w:rsid w:val="005824B9"/>
    <w:rsid w:val="005826DB"/>
    <w:rsid w:val="005827AE"/>
    <w:rsid w:val="00582E55"/>
    <w:rsid w:val="00583220"/>
    <w:rsid w:val="005836B6"/>
    <w:rsid w:val="00584304"/>
    <w:rsid w:val="00584A8B"/>
    <w:rsid w:val="00585206"/>
    <w:rsid w:val="00585898"/>
    <w:rsid w:val="005858C1"/>
    <w:rsid w:val="00585AD1"/>
    <w:rsid w:val="005860DB"/>
    <w:rsid w:val="005867E2"/>
    <w:rsid w:val="005869F0"/>
    <w:rsid w:val="005871D2"/>
    <w:rsid w:val="00591C44"/>
    <w:rsid w:val="005920F0"/>
    <w:rsid w:val="00594E87"/>
    <w:rsid w:val="00596976"/>
    <w:rsid w:val="00597279"/>
    <w:rsid w:val="005A081B"/>
    <w:rsid w:val="005A0AC9"/>
    <w:rsid w:val="005A4635"/>
    <w:rsid w:val="005A4F01"/>
    <w:rsid w:val="005A55F1"/>
    <w:rsid w:val="005A7803"/>
    <w:rsid w:val="005B07B5"/>
    <w:rsid w:val="005B1C28"/>
    <w:rsid w:val="005B1C6A"/>
    <w:rsid w:val="005B359E"/>
    <w:rsid w:val="005B39CD"/>
    <w:rsid w:val="005B4904"/>
    <w:rsid w:val="005B54A4"/>
    <w:rsid w:val="005B5EF0"/>
    <w:rsid w:val="005C05E5"/>
    <w:rsid w:val="005C068F"/>
    <w:rsid w:val="005C15B8"/>
    <w:rsid w:val="005C2D20"/>
    <w:rsid w:val="005C3907"/>
    <w:rsid w:val="005C4291"/>
    <w:rsid w:val="005C45F4"/>
    <w:rsid w:val="005C5F75"/>
    <w:rsid w:val="005C65B5"/>
    <w:rsid w:val="005C68BB"/>
    <w:rsid w:val="005C6D90"/>
    <w:rsid w:val="005D0735"/>
    <w:rsid w:val="005D6ABE"/>
    <w:rsid w:val="005D6D16"/>
    <w:rsid w:val="005D7559"/>
    <w:rsid w:val="005D791B"/>
    <w:rsid w:val="005D7A05"/>
    <w:rsid w:val="005E017D"/>
    <w:rsid w:val="005E11BD"/>
    <w:rsid w:val="005E1911"/>
    <w:rsid w:val="005E2E6B"/>
    <w:rsid w:val="005E4B76"/>
    <w:rsid w:val="005E5690"/>
    <w:rsid w:val="005E6DEB"/>
    <w:rsid w:val="005E7849"/>
    <w:rsid w:val="005F0833"/>
    <w:rsid w:val="005F1C79"/>
    <w:rsid w:val="005F1E5C"/>
    <w:rsid w:val="005F23D4"/>
    <w:rsid w:val="005F2523"/>
    <w:rsid w:val="005F41B6"/>
    <w:rsid w:val="005F4C46"/>
    <w:rsid w:val="005F7C0A"/>
    <w:rsid w:val="00601324"/>
    <w:rsid w:val="00604327"/>
    <w:rsid w:val="00604E57"/>
    <w:rsid w:val="00610601"/>
    <w:rsid w:val="00611D16"/>
    <w:rsid w:val="00613664"/>
    <w:rsid w:val="00613D66"/>
    <w:rsid w:val="00613F58"/>
    <w:rsid w:val="006151B4"/>
    <w:rsid w:val="00615A80"/>
    <w:rsid w:val="006166D8"/>
    <w:rsid w:val="00616ECF"/>
    <w:rsid w:val="0062042B"/>
    <w:rsid w:val="0062095E"/>
    <w:rsid w:val="00621D63"/>
    <w:rsid w:val="00622620"/>
    <w:rsid w:val="00624F6F"/>
    <w:rsid w:val="00626E21"/>
    <w:rsid w:val="00627CD9"/>
    <w:rsid w:val="00630242"/>
    <w:rsid w:val="00630248"/>
    <w:rsid w:val="00631431"/>
    <w:rsid w:val="00631E95"/>
    <w:rsid w:val="0063206D"/>
    <w:rsid w:val="006360F3"/>
    <w:rsid w:val="00636C6A"/>
    <w:rsid w:val="006372F2"/>
    <w:rsid w:val="00637E23"/>
    <w:rsid w:val="00637F5E"/>
    <w:rsid w:val="00641760"/>
    <w:rsid w:val="00641899"/>
    <w:rsid w:val="00641FBB"/>
    <w:rsid w:val="00642923"/>
    <w:rsid w:val="0064367F"/>
    <w:rsid w:val="00643E29"/>
    <w:rsid w:val="006444C1"/>
    <w:rsid w:val="00644FD4"/>
    <w:rsid w:val="006468C6"/>
    <w:rsid w:val="006471D6"/>
    <w:rsid w:val="006518B9"/>
    <w:rsid w:val="00651A58"/>
    <w:rsid w:val="00652C29"/>
    <w:rsid w:val="00652CC1"/>
    <w:rsid w:val="006532AF"/>
    <w:rsid w:val="006537AF"/>
    <w:rsid w:val="0065424B"/>
    <w:rsid w:val="006546A4"/>
    <w:rsid w:val="0065594F"/>
    <w:rsid w:val="00655DD7"/>
    <w:rsid w:val="006575D0"/>
    <w:rsid w:val="00660B42"/>
    <w:rsid w:val="006648D0"/>
    <w:rsid w:val="00664D1C"/>
    <w:rsid w:val="00664D75"/>
    <w:rsid w:val="006650F9"/>
    <w:rsid w:val="006658B5"/>
    <w:rsid w:val="006664E3"/>
    <w:rsid w:val="006664EC"/>
    <w:rsid w:val="00666D7F"/>
    <w:rsid w:val="00667250"/>
    <w:rsid w:val="00670E81"/>
    <w:rsid w:val="006719D4"/>
    <w:rsid w:val="00675CDE"/>
    <w:rsid w:val="00675F60"/>
    <w:rsid w:val="00676659"/>
    <w:rsid w:val="0067786E"/>
    <w:rsid w:val="00677A18"/>
    <w:rsid w:val="006813E1"/>
    <w:rsid w:val="0068337D"/>
    <w:rsid w:val="0068368B"/>
    <w:rsid w:val="006845E0"/>
    <w:rsid w:val="00684A0C"/>
    <w:rsid w:val="006850D7"/>
    <w:rsid w:val="006852B7"/>
    <w:rsid w:val="006854B1"/>
    <w:rsid w:val="00685AD9"/>
    <w:rsid w:val="00686434"/>
    <w:rsid w:val="0068666A"/>
    <w:rsid w:val="006868FF"/>
    <w:rsid w:val="00686AF1"/>
    <w:rsid w:val="00686D88"/>
    <w:rsid w:val="0068737C"/>
    <w:rsid w:val="006902C1"/>
    <w:rsid w:val="00692EFF"/>
    <w:rsid w:val="00693C9E"/>
    <w:rsid w:val="00696450"/>
    <w:rsid w:val="00697EFB"/>
    <w:rsid w:val="006A1C36"/>
    <w:rsid w:val="006A2279"/>
    <w:rsid w:val="006A2FA7"/>
    <w:rsid w:val="006A402E"/>
    <w:rsid w:val="006A41F3"/>
    <w:rsid w:val="006A520E"/>
    <w:rsid w:val="006A6482"/>
    <w:rsid w:val="006A7767"/>
    <w:rsid w:val="006A79D1"/>
    <w:rsid w:val="006B19D1"/>
    <w:rsid w:val="006B1E8B"/>
    <w:rsid w:val="006B22EA"/>
    <w:rsid w:val="006B541B"/>
    <w:rsid w:val="006B61BA"/>
    <w:rsid w:val="006B68D8"/>
    <w:rsid w:val="006B7949"/>
    <w:rsid w:val="006B7DFA"/>
    <w:rsid w:val="006C19CB"/>
    <w:rsid w:val="006C2234"/>
    <w:rsid w:val="006C25B0"/>
    <w:rsid w:val="006C5269"/>
    <w:rsid w:val="006C59D1"/>
    <w:rsid w:val="006C65A5"/>
    <w:rsid w:val="006C66B9"/>
    <w:rsid w:val="006C7C58"/>
    <w:rsid w:val="006D00A2"/>
    <w:rsid w:val="006D07C5"/>
    <w:rsid w:val="006D0992"/>
    <w:rsid w:val="006D1635"/>
    <w:rsid w:val="006D192D"/>
    <w:rsid w:val="006D21A2"/>
    <w:rsid w:val="006D3E56"/>
    <w:rsid w:val="006D5353"/>
    <w:rsid w:val="006D5DA1"/>
    <w:rsid w:val="006D6B43"/>
    <w:rsid w:val="006D6E24"/>
    <w:rsid w:val="006D6F94"/>
    <w:rsid w:val="006D763A"/>
    <w:rsid w:val="006E1F72"/>
    <w:rsid w:val="006E2C66"/>
    <w:rsid w:val="006E2F47"/>
    <w:rsid w:val="006E38AA"/>
    <w:rsid w:val="006E4770"/>
    <w:rsid w:val="006E47BE"/>
    <w:rsid w:val="006E4A1D"/>
    <w:rsid w:val="006E7E6A"/>
    <w:rsid w:val="006E7EBF"/>
    <w:rsid w:val="006F135D"/>
    <w:rsid w:val="006F1779"/>
    <w:rsid w:val="006F2C3E"/>
    <w:rsid w:val="006F2EAF"/>
    <w:rsid w:val="006F3A7D"/>
    <w:rsid w:val="006F4EB7"/>
    <w:rsid w:val="006F6401"/>
    <w:rsid w:val="006F6EFE"/>
    <w:rsid w:val="006F7A65"/>
    <w:rsid w:val="007001ED"/>
    <w:rsid w:val="0070034A"/>
    <w:rsid w:val="0070235E"/>
    <w:rsid w:val="007026E0"/>
    <w:rsid w:val="00704456"/>
    <w:rsid w:val="00704E77"/>
    <w:rsid w:val="00706C8B"/>
    <w:rsid w:val="007071A0"/>
    <w:rsid w:val="00710128"/>
    <w:rsid w:val="00712ABA"/>
    <w:rsid w:val="00713C9F"/>
    <w:rsid w:val="00714583"/>
    <w:rsid w:val="00715987"/>
    <w:rsid w:val="00716C30"/>
    <w:rsid w:val="00717DD9"/>
    <w:rsid w:val="007200A8"/>
    <w:rsid w:val="007200D4"/>
    <w:rsid w:val="00721A36"/>
    <w:rsid w:val="0072226E"/>
    <w:rsid w:val="00723101"/>
    <w:rsid w:val="007232C0"/>
    <w:rsid w:val="00723481"/>
    <w:rsid w:val="00724B32"/>
    <w:rsid w:val="00724E43"/>
    <w:rsid w:val="007255A0"/>
    <w:rsid w:val="007255AA"/>
    <w:rsid w:val="007258B8"/>
    <w:rsid w:val="00725954"/>
    <w:rsid w:val="0073008C"/>
    <w:rsid w:val="00730E78"/>
    <w:rsid w:val="007331C5"/>
    <w:rsid w:val="007336EA"/>
    <w:rsid w:val="00735E00"/>
    <w:rsid w:val="0073618E"/>
    <w:rsid w:val="00736319"/>
    <w:rsid w:val="00737C6F"/>
    <w:rsid w:val="00740290"/>
    <w:rsid w:val="00743210"/>
    <w:rsid w:val="00743AD6"/>
    <w:rsid w:val="00743B2A"/>
    <w:rsid w:val="00747AD3"/>
    <w:rsid w:val="00751338"/>
    <w:rsid w:val="0075150E"/>
    <w:rsid w:val="00751B82"/>
    <w:rsid w:val="007535E1"/>
    <w:rsid w:val="0075464F"/>
    <w:rsid w:val="00754F48"/>
    <w:rsid w:val="0075655B"/>
    <w:rsid w:val="00756819"/>
    <w:rsid w:val="0075757E"/>
    <w:rsid w:val="00757721"/>
    <w:rsid w:val="00760686"/>
    <w:rsid w:val="007613DC"/>
    <w:rsid w:val="00761583"/>
    <w:rsid w:val="00762C81"/>
    <w:rsid w:val="00763021"/>
    <w:rsid w:val="00764320"/>
    <w:rsid w:val="00764B99"/>
    <w:rsid w:val="00764F24"/>
    <w:rsid w:val="00765605"/>
    <w:rsid w:val="0076593B"/>
    <w:rsid w:val="0076609F"/>
    <w:rsid w:val="00766449"/>
    <w:rsid w:val="00766E18"/>
    <w:rsid w:val="00770269"/>
    <w:rsid w:val="007705A4"/>
    <w:rsid w:val="00770D42"/>
    <w:rsid w:val="007724FE"/>
    <w:rsid w:val="00772769"/>
    <w:rsid w:val="00772C2C"/>
    <w:rsid w:val="00773B0B"/>
    <w:rsid w:val="00775C94"/>
    <w:rsid w:val="007769FD"/>
    <w:rsid w:val="00776BE1"/>
    <w:rsid w:val="0077718B"/>
    <w:rsid w:val="0077749E"/>
    <w:rsid w:val="007832D0"/>
    <w:rsid w:val="00784456"/>
    <w:rsid w:val="00784D5E"/>
    <w:rsid w:val="00785237"/>
    <w:rsid w:val="00786313"/>
    <w:rsid w:val="007900BF"/>
    <w:rsid w:val="0079111D"/>
    <w:rsid w:val="00791736"/>
    <w:rsid w:val="00791803"/>
    <w:rsid w:val="00792D70"/>
    <w:rsid w:val="00792E72"/>
    <w:rsid w:val="007939AA"/>
    <w:rsid w:val="00794A4D"/>
    <w:rsid w:val="007956A3"/>
    <w:rsid w:val="007974F9"/>
    <w:rsid w:val="00797E0B"/>
    <w:rsid w:val="00797E1E"/>
    <w:rsid w:val="007A31B7"/>
    <w:rsid w:val="007A3E1B"/>
    <w:rsid w:val="007A57A2"/>
    <w:rsid w:val="007A618D"/>
    <w:rsid w:val="007B2CC1"/>
    <w:rsid w:val="007B3B18"/>
    <w:rsid w:val="007B41E2"/>
    <w:rsid w:val="007B6ACB"/>
    <w:rsid w:val="007B760D"/>
    <w:rsid w:val="007C04D1"/>
    <w:rsid w:val="007C1552"/>
    <w:rsid w:val="007C1D9D"/>
    <w:rsid w:val="007C3B0A"/>
    <w:rsid w:val="007C594B"/>
    <w:rsid w:val="007C5F17"/>
    <w:rsid w:val="007C6E4E"/>
    <w:rsid w:val="007D1137"/>
    <w:rsid w:val="007D20F3"/>
    <w:rsid w:val="007D22C4"/>
    <w:rsid w:val="007D2A06"/>
    <w:rsid w:val="007D2E8A"/>
    <w:rsid w:val="007D3971"/>
    <w:rsid w:val="007D590B"/>
    <w:rsid w:val="007D7C98"/>
    <w:rsid w:val="007E1446"/>
    <w:rsid w:val="007E6B60"/>
    <w:rsid w:val="007E7C4D"/>
    <w:rsid w:val="007E7EBF"/>
    <w:rsid w:val="007F07C6"/>
    <w:rsid w:val="007F07E4"/>
    <w:rsid w:val="007F0C6E"/>
    <w:rsid w:val="007F0DD4"/>
    <w:rsid w:val="007F10C3"/>
    <w:rsid w:val="007F11B7"/>
    <w:rsid w:val="007F2D51"/>
    <w:rsid w:val="007F2DF4"/>
    <w:rsid w:val="007F3894"/>
    <w:rsid w:val="007F46FF"/>
    <w:rsid w:val="007F55DD"/>
    <w:rsid w:val="007F562F"/>
    <w:rsid w:val="00800AA7"/>
    <w:rsid w:val="00800D1A"/>
    <w:rsid w:val="0080184E"/>
    <w:rsid w:val="00802372"/>
    <w:rsid w:val="0080263D"/>
    <w:rsid w:val="0080278F"/>
    <w:rsid w:val="008028D9"/>
    <w:rsid w:val="00802CBC"/>
    <w:rsid w:val="00804994"/>
    <w:rsid w:val="0080596A"/>
    <w:rsid w:val="00805AE3"/>
    <w:rsid w:val="00805BB3"/>
    <w:rsid w:val="0080656B"/>
    <w:rsid w:val="00810859"/>
    <w:rsid w:val="008139FA"/>
    <w:rsid w:val="00816C40"/>
    <w:rsid w:val="0082074A"/>
    <w:rsid w:val="008212B0"/>
    <w:rsid w:val="00821A6C"/>
    <w:rsid w:val="00824060"/>
    <w:rsid w:val="0082458F"/>
    <w:rsid w:val="0082496F"/>
    <w:rsid w:val="00825466"/>
    <w:rsid w:val="00826B44"/>
    <w:rsid w:val="00826DE4"/>
    <w:rsid w:val="008270E9"/>
    <w:rsid w:val="0083351E"/>
    <w:rsid w:val="00833BDE"/>
    <w:rsid w:val="00835374"/>
    <w:rsid w:val="00835E0B"/>
    <w:rsid w:val="00836543"/>
    <w:rsid w:val="0083684B"/>
    <w:rsid w:val="008410D9"/>
    <w:rsid w:val="0084110C"/>
    <w:rsid w:val="0084212B"/>
    <w:rsid w:val="008426F6"/>
    <w:rsid w:val="00844419"/>
    <w:rsid w:val="00844862"/>
    <w:rsid w:val="00845211"/>
    <w:rsid w:val="00845485"/>
    <w:rsid w:val="00846851"/>
    <w:rsid w:val="00847F22"/>
    <w:rsid w:val="00850603"/>
    <w:rsid w:val="00852F6D"/>
    <w:rsid w:val="008533F7"/>
    <w:rsid w:val="00853DE1"/>
    <w:rsid w:val="00854F5C"/>
    <w:rsid w:val="00857640"/>
    <w:rsid w:val="00860E00"/>
    <w:rsid w:val="00860EC7"/>
    <w:rsid w:val="00862E56"/>
    <w:rsid w:val="0086431B"/>
    <w:rsid w:val="0086489F"/>
    <w:rsid w:val="008660FA"/>
    <w:rsid w:val="0086670A"/>
    <w:rsid w:val="00866F1F"/>
    <w:rsid w:val="00870DBA"/>
    <w:rsid w:val="00871828"/>
    <w:rsid w:val="0087228A"/>
    <w:rsid w:val="00872426"/>
    <w:rsid w:val="00873643"/>
    <w:rsid w:val="008737C0"/>
    <w:rsid w:val="00875693"/>
    <w:rsid w:val="00876008"/>
    <w:rsid w:val="008769B0"/>
    <w:rsid w:val="00881167"/>
    <w:rsid w:val="008813B2"/>
    <w:rsid w:val="00882188"/>
    <w:rsid w:val="0088242B"/>
    <w:rsid w:val="008825E4"/>
    <w:rsid w:val="00882E4B"/>
    <w:rsid w:val="00883613"/>
    <w:rsid w:val="00886624"/>
    <w:rsid w:val="0089070B"/>
    <w:rsid w:val="00891265"/>
    <w:rsid w:val="008915B7"/>
    <w:rsid w:val="00891EE0"/>
    <w:rsid w:val="008936D1"/>
    <w:rsid w:val="00893B84"/>
    <w:rsid w:val="00896135"/>
    <w:rsid w:val="0089620D"/>
    <w:rsid w:val="0089636C"/>
    <w:rsid w:val="00896A5F"/>
    <w:rsid w:val="008970FE"/>
    <w:rsid w:val="00897322"/>
    <w:rsid w:val="00897960"/>
    <w:rsid w:val="00897BF3"/>
    <w:rsid w:val="008A1F02"/>
    <w:rsid w:val="008A4120"/>
    <w:rsid w:val="008A4352"/>
    <w:rsid w:val="008B148B"/>
    <w:rsid w:val="008B1B37"/>
    <w:rsid w:val="008B2C27"/>
    <w:rsid w:val="008B33A1"/>
    <w:rsid w:val="008B39CE"/>
    <w:rsid w:val="008B39F3"/>
    <w:rsid w:val="008B48C0"/>
    <w:rsid w:val="008B5A21"/>
    <w:rsid w:val="008B5A8E"/>
    <w:rsid w:val="008B5FB4"/>
    <w:rsid w:val="008B66D9"/>
    <w:rsid w:val="008B6E62"/>
    <w:rsid w:val="008B6FBF"/>
    <w:rsid w:val="008C09B8"/>
    <w:rsid w:val="008C0BED"/>
    <w:rsid w:val="008C15AC"/>
    <w:rsid w:val="008C1CA3"/>
    <w:rsid w:val="008C328B"/>
    <w:rsid w:val="008C40CF"/>
    <w:rsid w:val="008C6875"/>
    <w:rsid w:val="008D02F3"/>
    <w:rsid w:val="008D14B8"/>
    <w:rsid w:val="008D1831"/>
    <w:rsid w:val="008D34A3"/>
    <w:rsid w:val="008E0327"/>
    <w:rsid w:val="008E07CC"/>
    <w:rsid w:val="008E11CF"/>
    <w:rsid w:val="008E18C1"/>
    <w:rsid w:val="008E1C7D"/>
    <w:rsid w:val="008E26D7"/>
    <w:rsid w:val="008E41C9"/>
    <w:rsid w:val="008E686D"/>
    <w:rsid w:val="008E7445"/>
    <w:rsid w:val="008E7FEF"/>
    <w:rsid w:val="008F1850"/>
    <w:rsid w:val="008F3806"/>
    <w:rsid w:val="008F3FBA"/>
    <w:rsid w:val="008F4390"/>
    <w:rsid w:val="008F4495"/>
    <w:rsid w:val="0090412E"/>
    <w:rsid w:val="00904933"/>
    <w:rsid w:val="00904F95"/>
    <w:rsid w:val="009051D4"/>
    <w:rsid w:val="009059DA"/>
    <w:rsid w:val="00905B1F"/>
    <w:rsid w:val="00907325"/>
    <w:rsid w:val="0090777C"/>
    <w:rsid w:val="00910105"/>
    <w:rsid w:val="0091116B"/>
    <w:rsid w:val="009122FD"/>
    <w:rsid w:val="00914B8E"/>
    <w:rsid w:val="00915400"/>
    <w:rsid w:val="00915784"/>
    <w:rsid w:val="009157EE"/>
    <w:rsid w:val="00915BB8"/>
    <w:rsid w:val="00916E60"/>
    <w:rsid w:val="009201C8"/>
    <w:rsid w:val="00923BDA"/>
    <w:rsid w:val="00924BB4"/>
    <w:rsid w:val="0092513C"/>
    <w:rsid w:val="00926421"/>
    <w:rsid w:val="00926F72"/>
    <w:rsid w:val="00927A38"/>
    <w:rsid w:val="009302E7"/>
    <w:rsid w:val="00930494"/>
    <w:rsid w:val="009311E2"/>
    <w:rsid w:val="00931F4C"/>
    <w:rsid w:val="00935B33"/>
    <w:rsid w:val="00935F59"/>
    <w:rsid w:val="00936E0E"/>
    <w:rsid w:val="00937290"/>
    <w:rsid w:val="00940F19"/>
    <w:rsid w:val="009425C0"/>
    <w:rsid w:val="00944A71"/>
    <w:rsid w:val="00944F99"/>
    <w:rsid w:val="009450CC"/>
    <w:rsid w:val="0094541A"/>
    <w:rsid w:val="00946224"/>
    <w:rsid w:val="00946947"/>
    <w:rsid w:val="00946B8E"/>
    <w:rsid w:val="009500D9"/>
    <w:rsid w:val="009512F7"/>
    <w:rsid w:val="00951A19"/>
    <w:rsid w:val="009527DC"/>
    <w:rsid w:val="0095407A"/>
    <w:rsid w:val="00955B1D"/>
    <w:rsid w:val="00956D7F"/>
    <w:rsid w:val="00957575"/>
    <w:rsid w:val="0096054F"/>
    <w:rsid w:val="00960AFE"/>
    <w:rsid w:val="0096277F"/>
    <w:rsid w:val="00964258"/>
    <w:rsid w:val="00964F6D"/>
    <w:rsid w:val="00965305"/>
    <w:rsid w:val="00966963"/>
    <w:rsid w:val="00970550"/>
    <w:rsid w:val="00972A40"/>
    <w:rsid w:val="009739E2"/>
    <w:rsid w:val="009746AE"/>
    <w:rsid w:val="00977F26"/>
    <w:rsid w:val="00977F9A"/>
    <w:rsid w:val="00982AD5"/>
    <w:rsid w:val="00983452"/>
    <w:rsid w:val="00984522"/>
    <w:rsid w:val="00986553"/>
    <w:rsid w:val="00991E62"/>
    <w:rsid w:val="0099269E"/>
    <w:rsid w:val="00995431"/>
    <w:rsid w:val="009959B0"/>
    <w:rsid w:val="0099602C"/>
    <w:rsid w:val="00996EAE"/>
    <w:rsid w:val="009971D3"/>
    <w:rsid w:val="009A1D6E"/>
    <w:rsid w:val="009A23D7"/>
    <w:rsid w:val="009A2C0E"/>
    <w:rsid w:val="009A38CF"/>
    <w:rsid w:val="009A3FA3"/>
    <w:rsid w:val="009A4AC6"/>
    <w:rsid w:val="009A5D41"/>
    <w:rsid w:val="009B086F"/>
    <w:rsid w:val="009B0890"/>
    <w:rsid w:val="009B1787"/>
    <w:rsid w:val="009B1A89"/>
    <w:rsid w:val="009B6422"/>
    <w:rsid w:val="009C11E2"/>
    <w:rsid w:val="009C12F0"/>
    <w:rsid w:val="009C2D1B"/>
    <w:rsid w:val="009C3A6A"/>
    <w:rsid w:val="009C3A8F"/>
    <w:rsid w:val="009C4CED"/>
    <w:rsid w:val="009C6045"/>
    <w:rsid w:val="009C6058"/>
    <w:rsid w:val="009D0F54"/>
    <w:rsid w:val="009D1A89"/>
    <w:rsid w:val="009D26F2"/>
    <w:rsid w:val="009D292A"/>
    <w:rsid w:val="009D2C36"/>
    <w:rsid w:val="009D3BA5"/>
    <w:rsid w:val="009D43F5"/>
    <w:rsid w:val="009D591A"/>
    <w:rsid w:val="009D6B4E"/>
    <w:rsid w:val="009D7F01"/>
    <w:rsid w:val="009E0817"/>
    <w:rsid w:val="009E0C93"/>
    <w:rsid w:val="009E0D39"/>
    <w:rsid w:val="009E1954"/>
    <w:rsid w:val="009F116F"/>
    <w:rsid w:val="009F1911"/>
    <w:rsid w:val="009F2213"/>
    <w:rsid w:val="009F35D9"/>
    <w:rsid w:val="009F3E1B"/>
    <w:rsid w:val="009F4AF0"/>
    <w:rsid w:val="009F76F6"/>
    <w:rsid w:val="009F7E9E"/>
    <w:rsid w:val="00A00FA2"/>
    <w:rsid w:val="00A0230D"/>
    <w:rsid w:val="00A02935"/>
    <w:rsid w:val="00A02A52"/>
    <w:rsid w:val="00A0397F"/>
    <w:rsid w:val="00A0406B"/>
    <w:rsid w:val="00A0546A"/>
    <w:rsid w:val="00A05614"/>
    <w:rsid w:val="00A05B38"/>
    <w:rsid w:val="00A060B8"/>
    <w:rsid w:val="00A06807"/>
    <w:rsid w:val="00A10D20"/>
    <w:rsid w:val="00A132BF"/>
    <w:rsid w:val="00A1406C"/>
    <w:rsid w:val="00A14E35"/>
    <w:rsid w:val="00A15E77"/>
    <w:rsid w:val="00A20179"/>
    <w:rsid w:val="00A20939"/>
    <w:rsid w:val="00A22754"/>
    <w:rsid w:val="00A249BE"/>
    <w:rsid w:val="00A24F16"/>
    <w:rsid w:val="00A31090"/>
    <w:rsid w:val="00A317C2"/>
    <w:rsid w:val="00A31B85"/>
    <w:rsid w:val="00A32140"/>
    <w:rsid w:val="00A32550"/>
    <w:rsid w:val="00A34F49"/>
    <w:rsid w:val="00A35DAC"/>
    <w:rsid w:val="00A40CAF"/>
    <w:rsid w:val="00A42C94"/>
    <w:rsid w:val="00A43AFC"/>
    <w:rsid w:val="00A4467A"/>
    <w:rsid w:val="00A45693"/>
    <w:rsid w:val="00A47C2E"/>
    <w:rsid w:val="00A50CAE"/>
    <w:rsid w:val="00A51AC0"/>
    <w:rsid w:val="00A52586"/>
    <w:rsid w:val="00A52975"/>
    <w:rsid w:val="00A52D97"/>
    <w:rsid w:val="00A5403E"/>
    <w:rsid w:val="00A542F1"/>
    <w:rsid w:val="00A564BB"/>
    <w:rsid w:val="00A578BF"/>
    <w:rsid w:val="00A613D4"/>
    <w:rsid w:val="00A61961"/>
    <w:rsid w:val="00A61D10"/>
    <w:rsid w:val="00A62E04"/>
    <w:rsid w:val="00A64070"/>
    <w:rsid w:val="00A643F2"/>
    <w:rsid w:val="00A64C23"/>
    <w:rsid w:val="00A67E79"/>
    <w:rsid w:val="00A70D24"/>
    <w:rsid w:val="00A70EDF"/>
    <w:rsid w:val="00A71D19"/>
    <w:rsid w:val="00A7353E"/>
    <w:rsid w:val="00A751DF"/>
    <w:rsid w:val="00A75940"/>
    <w:rsid w:val="00A76C93"/>
    <w:rsid w:val="00A76DF2"/>
    <w:rsid w:val="00A80E94"/>
    <w:rsid w:val="00A81203"/>
    <w:rsid w:val="00A81A36"/>
    <w:rsid w:val="00A82177"/>
    <w:rsid w:val="00A8298C"/>
    <w:rsid w:val="00A83FD6"/>
    <w:rsid w:val="00A84E7E"/>
    <w:rsid w:val="00A85354"/>
    <w:rsid w:val="00A85893"/>
    <w:rsid w:val="00A85E12"/>
    <w:rsid w:val="00A86133"/>
    <w:rsid w:val="00A86A73"/>
    <w:rsid w:val="00A86AA9"/>
    <w:rsid w:val="00A8736A"/>
    <w:rsid w:val="00A87688"/>
    <w:rsid w:val="00A902CC"/>
    <w:rsid w:val="00A93144"/>
    <w:rsid w:val="00A94860"/>
    <w:rsid w:val="00A959D6"/>
    <w:rsid w:val="00A96B7B"/>
    <w:rsid w:val="00A97FD2"/>
    <w:rsid w:val="00AA1F0B"/>
    <w:rsid w:val="00AA3C59"/>
    <w:rsid w:val="00AA6220"/>
    <w:rsid w:val="00AA6868"/>
    <w:rsid w:val="00AA6A3E"/>
    <w:rsid w:val="00AB01D3"/>
    <w:rsid w:val="00AB06E4"/>
    <w:rsid w:val="00AB20C7"/>
    <w:rsid w:val="00AB28AD"/>
    <w:rsid w:val="00AB34C8"/>
    <w:rsid w:val="00AB6771"/>
    <w:rsid w:val="00AC4C8F"/>
    <w:rsid w:val="00AC5E1E"/>
    <w:rsid w:val="00AC659E"/>
    <w:rsid w:val="00AC7379"/>
    <w:rsid w:val="00AC7D8C"/>
    <w:rsid w:val="00AD15A9"/>
    <w:rsid w:val="00AD3794"/>
    <w:rsid w:val="00AE0EC2"/>
    <w:rsid w:val="00AE0F18"/>
    <w:rsid w:val="00AE15EA"/>
    <w:rsid w:val="00AE2C11"/>
    <w:rsid w:val="00AE3DF4"/>
    <w:rsid w:val="00AE42FE"/>
    <w:rsid w:val="00AE63FC"/>
    <w:rsid w:val="00AE7C87"/>
    <w:rsid w:val="00AF38BF"/>
    <w:rsid w:val="00AF472C"/>
    <w:rsid w:val="00AF4E89"/>
    <w:rsid w:val="00AF53C9"/>
    <w:rsid w:val="00AF5421"/>
    <w:rsid w:val="00AF7E1A"/>
    <w:rsid w:val="00B02B12"/>
    <w:rsid w:val="00B0414D"/>
    <w:rsid w:val="00B06211"/>
    <w:rsid w:val="00B06E47"/>
    <w:rsid w:val="00B07167"/>
    <w:rsid w:val="00B1262B"/>
    <w:rsid w:val="00B12F1B"/>
    <w:rsid w:val="00B14ADF"/>
    <w:rsid w:val="00B16890"/>
    <w:rsid w:val="00B16B6B"/>
    <w:rsid w:val="00B16E2A"/>
    <w:rsid w:val="00B175C7"/>
    <w:rsid w:val="00B17A2F"/>
    <w:rsid w:val="00B2097E"/>
    <w:rsid w:val="00B20B17"/>
    <w:rsid w:val="00B20B1A"/>
    <w:rsid w:val="00B213D1"/>
    <w:rsid w:val="00B2264F"/>
    <w:rsid w:val="00B22B9F"/>
    <w:rsid w:val="00B236F1"/>
    <w:rsid w:val="00B27B7E"/>
    <w:rsid w:val="00B3039B"/>
    <w:rsid w:val="00B327B7"/>
    <w:rsid w:val="00B32DAE"/>
    <w:rsid w:val="00B34094"/>
    <w:rsid w:val="00B340AC"/>
    <w:rsid w:val="00B340D4"/>
    <w:rsid w:val="00B35087"/>
    <w:rsid w:val="00B3644A"/>
    <w:rsid w:val="00B36F0F"/>
    <w:rsid w:val="00B370B5"/>
    <w:rsid w:val="00B41DE0"/>
    <w:rsid w:val="00B42011"/>
    <w:rsid w:val="00B4211A"/>
    <w:rsid w:val="00B43724"/>
    <w:rsid w:val="00B45AF1"/>
    <w:rsid w:val="00B46ACD"/>
    <w:rsid w:val="00B46DDF"/>
    <w:rsid w:val="00B47A73"/>
    <w:rsid w:val="00B5002C"/>
    <w:rsid w:val="00B517C6"/>
    <w:rsid w:val="00B52025"/>
    <w:rsid w:val="00B52258"/>
    <w:rsid w:val="00B52E12"/>
    <w:rsid w:val="00B54A2B"/>
    <w:rsid w:val="00B54A67"/>
    <w:rsid w:val="00B56D4E"/>
    <w:rsid w:val="00B5722E"/>
    <w:rsid w:val="00B5771F"/>
    <w:rsid w:val="00B57BC7"/>
    <w:rsid w:val="00B64356"/>
    <w:rsid w:val="00B67297"/>
    <w:rsid w:val="00B72BA7"/>
    <w:rsid w:val="00B734FC"/>
    <w:rsid w:val="00B73942"/>
    <w:rsid w:val="00B74903"/>
    <w:rsid w:val="00B777EA"/>
    <w:rsid w:val="00B804E0"/>
    <w:rsid w:val="00B80515"/>
    <w:rsid w:val="00B8061A"/>
    <w:rsid w:val="00B816F7"/>
    <w:rsid w:val="00B83CE1"/>
    <w:rsid w:val="00B83E15"/>
    <w:rsid w:val="00B84007"/>
    <w:rsid w:val="00B85AB9"/>
    <w:rsid w:val="00B85B9E"/>
    <w:rsid w:val="00B869EC"/>
    <w:rsid w:val="00B908C1"/>
    <w:rsid w:val="00B92BCE"/>
    <w:rsid w:val="00B92C93"/>
    <w:rsid w:val="00B94487"/>
    <w:rsid w:val="00B9623D"/>
    <w:rsid w:val="00B96884"/>
    <w:rsid w:val="00B96A92"/>
    <w:rsid w:val="00B9712F"/>
    <w:rsid w:val="00BA36E3"/>
    <w:rsid w:val="00BA372A"/>
    <w:rsid w:val="00BA41C1"/>
    <w:rsid w:val="00BA4F04"/>
    <w:rsid w:val="00BA5858"/>
    <w:rsid w:val="00BA7B24"/>
    <w:rsid w:val="00BB0D67"/>
    <w:rsid w:val="00BB126C"/>
    <w:rsid w:val="00BB66E1"/>
    <w:rsid w:val="00BB7644"/>
    <w:rsid w:val="00BB79CC"/>
    <w:rsid w:val="00BC0008"/>
    <w:rsid w:val="00BC0EE0"/>
    <w:rsid w:val="00BC20B5"/>
    <w:rsid w:val="00BC2842"/>
    <w:rsid w:val="00BC2994"/>
    <w:rsid w:val="00BC4ACA"/>
    <w:rsid w:val="00BC5D02"/>
    <w:rsid w:val="00BC683A"/>
    <w:rsid w:val="00BC6DF7"/>
    <w:rsid w:val="00BC7CB3"/>
    <w:rsid w:val="00BD2804"/>
    <w:rsid w:val="00BD4DE2"/>
    <w:rsid w:val="00BE0F8A"/>
    <w:rsid w:val="00BE17BB"/>
    <w:rsid w:val="00BE2053"/>
    <w:rsid w:val="00BE2582"/>
    <w:rsid w:val="00BE39D8"/>
    <w:rsid w:val="00BE4C99"/>
    <w:rsid w:val="00BE6000"/>
    <w:rsid w:val="00BE6ACF"/>
    <w:rsid w:val="00BF02AC"/>
    <w:rsid w:val="00BF0E06"/>
    <w:rsid w:val="00BF29B7"/>
    <w:rsid w:val="00BF3369"/>
    <w:rsid w:val="00BF3EE2"/>
    <w:rsid w:val="00BF4118"/>
    <w:rsid w:val="00BF4F8F"/>
    <w:rsid w:val="00BF7182"/>
    <w:rsid w:val="00C01351"/>
    <w:rsid w:val="00C02852"/>
    <w:rsid w:val="00C0415C"/>
    <w:rsid w:val="00C0522A"/>
    <w:rsid w:val="00C10D58"/>
    <w:rsid w:val="00C11A16"/>
    <w:rsid w:val="00C122C7"/>
    <w:rsid w:val="00C12692"/>
    <w:rsid w:val="00C144A8"/>
    <w:rsid w:val="00C17285"/>
    <w:rsid w:val="00C17807"/>
    <w:rsid w:val="00C17EB7"/>
    <w:rsid w:val="00C2068C"/>
    <w:rsid w:val="00C21065"/>
    <w:rsid w:val="00C214A0"/>
    <w:rsid w:val="00C234F4"/>
    <w:rsid w:val="00C23CD4"/>
    <w:rsid w:val="00C23ED7"/>
    <w:rsid w:val="00C264A5"/>
    <w:rsid w:val="00C3236E"/>
    <w:rsid w:val="00C32483"/>
    <w:rsid w:val="00C3393E"/>
    <w:rsid w:val="00C33DA2"/>
    <w:rsid w:val="00C34C3C"/>
    <w:rsid w:val="00C35795"/>
    <w:rsid w:val="00C36C68"/>
    <w:rsid w:val="00C36F75"/>
    <w:rsid w:val="00C40EDA"/>
    <w:rsid w:val="00C4152B"/>
    <w:rsid w:val="00C419B5"/>
    <w:rsid w:val="00C41CF5"/>
    <w:rsid w:val="00C4432B"/>
    <w:rsid w:val="00C472EB"/>
    <w:rsid w:val="00C47355"/>
    <w:rsid w:val="00C50859"/>
    <w:rsid w:val="00C50CE7"/>
    <w:rsid w:val="00C53F29"/>
    <w:rsid w:val="00C54A94"/>
    <w:rsid w:val="00C56876"/>
    <w:rsid w:val="00C60F7D"/>
    <w:rsid w:val="00C61429"/>
    <w:rsid w:val="00C62425"/>
    <w:rsid w:val="00C62627"/>
    <w:rsid w:val="00C667F2"/>
    <w:rsid w:val="00C72961"/>
    <w:rsid w:val="00C72999"/>
    <w:rsid w:val="00C75DA8"/>
    <w:rsid w:val="00C8091D"/>
    <w:rsid w:val="00C80A34"/>
    <w:rsid w:val="00C80A8D"/>
    <w:rsid w:val="00C8170C"/>
    <w:rsid w:val="00C81789"/>
    <w:rsid w:val="00C82598"/>
    <w:rsid w:val="00C827D3"/>
    <w:rsid w:val="00C83C11"/>
    <w:rsid w:val="00C84135"/>
    <w:rsid w:val="00C84369"/>
    <w:rsid w:val="00C84A8C"/>
    <w:rsid w:val="00C8507E"/>
    <w:rsid w:val="00C85444"/>
    <w:rsid w:val="00C8559C"/>
    <w:rsid w:val="00C860FB"/>
    <w:rsid w:val="00C86608"/>
    <w:rsid w:val="00C86BE7"/>
    <w:rsid w:val="00C9313E"/>
    <w:rsid w:val="00C9380A"/>
    <w:rsid w:val="00C947E9"/>
    <w:rsid w:val="00C959A3"/>
    <w:rsid w:val="00C96A3E"/>
    <w:rsid w:val="00C97113"/>
    <w:rsid w:val="00C9761A"/>
    <w:rsid w:val="00CA0BF1"/>
    <w:rsid w:val="00CA1569"/>
    <w:rsid w:val="00CA18E8"/>
    <w:rsid w:val="00CA3314"/>
    <w:rsid w:val="00CA41E9"/>
    <w:rsid w:val="00CA5254"/>
    <w:rsid w:val="00CA726E"/>
    <w:rsid w:val="00CA77E6"/>
    <w:rsid w:val="00CB05A7"/>
    <w:rsid w:val="00CB0B52"/>
    <w:rsid w:val="00CB4116"/>
    <w:rsid w:val="00CB4937"/>
    <w:rsid w:val="00CB5605"/>
    <w:rsid w:val="00CB61ED"/>
    <w:rsid w:val="00CB7B08"/>
    <w:rsid w:val="00CB7D72"/>
    <w:rsid w:val="00CC0F37"/>
    <w:rsid w:val="00CC1FB0"/>
    <w:rsid w:val="00CC37E6"/>
    <w:rsid w:val="00CC3AB2"/>
    <w:rsid w:val="00CC404C"/>
    <w:rsid w:val="00CC435B"/>
    <w:rsid w:val="00CC4DA7"/>
    <w:rsid w:val="00CC4F2A"/>
    <w:rsid w:val="00CC5431"/>
    <w:rsid w:val="00CC619C"/>
    <w:rsid w:val="00CC6C21"/>
    <w:rsid w:val="00CD2558"/>
    <w:rsid w:val="00CD2BE0"/>
    <w:rsid w:val="00CD34C1"/>
    <w:rsid w:val="00CD4DBE"/>
    <w:rsid w:val="00CD59C3"/>
    <w:rsid w:val="00CD6C66"/>
    <w:rsid w:val="00CD7176"/>
    <w:rsid w:val="00CE0363"/>
    <w:rsid w:val="00CE044B"/>
    <w:rsid w:val="00CE0F0F"/>
    <w:rsid w:val="00CE18D6"/>
    <w:rsid w:val="00CE264F"/>
    <w:rsid w:val="00CE57C8"/>
    <w:rsid w:val="00CE5B71"/>
    <w:rsid w:val="00CE5BD6"/>
    <w:rsid w:val="00CE6BF5"/>
    <w:rsid w:val="00CE7D49"/>
    <w:rsid w:val="00CF0444"/>
    <w:rsid w:val="00CF0850"/>
    <w:rsid w:val="00CF1E32"/>
    <w:rsid w:val="00CF35E1"/>
    <w:rsid w:val="00CF3FB2"/>
    <w:rsid w:val="00CF5227"/>
    <w:rsid w:val="00CF65A1"/>
    <w:rsid w:val="00CF6E32"/>
    <w:rsid w:val="00D02D2B"/>
    <w:rsid w:val="00D03015"/>
    <w:rsid w:val="00D04756"/>
    <w:rsid w:val="00D055FE"/>
    <w:rsid w:val="00D05BB0"/>
    <w:rsid w:val="00D0642E"/>
    <w:rsid w:val="00D13150"/>
    <w:rsid w:val="00D13484"/>
    <w:rsid w:val="00D150D6"/>
    <w:rsid w:val="00D15F4E"/>
    <w:rsid w:val="00D1648F"/>
    <w:rsid w:val="00D2088A"/>
    <w:rsid w:val="00D20CD6"/>
    <w:rsid w:val="00D21148"/>
    <w:rsid w:val="00D228A7"/>
    <w:rsid w:val="00D22F23"/>
    <w:rsid w:val="00D23750"/>
    <w:rsid w:val="00D23BEE"/>
    <w:rsid w:val="00D26079"/>
    <w:rsid w:val="00D270D8"/>
    <w:rsid w:val="00D2762C"/>
    <w:rsid w:val="00D30CFD"/>
    <w:rsid w:val="00D3141B"/>
    <w:rsid w:val="00D31852"/>
    <w:rsid w:val="00D3339D"/>
    <w:rsid w:val="00D338D4"/>
    <w:rsid w:val="00D34724"/>
    <w:rsid w:val="00D353D8"/>
    <w:rsid w:val="00D40005"/>
    <w:rsid w:val="00D42825"/>
    <w:rsid w:val="00D42960"/>
    <w:rsid w:val="00D4319E"/>
    <w:rsid w:val="00D43D06"/>
    <w:rsid w:val="00D45C1C"/>
    <w:rsid w:val="00D4621E"/>
    <w:rsid w:val="00D4633E"/>
    <w:rsid w:val="00D505C1"/>
    <w:rsid w:val="00D50960"/>
    <w:rsid w:val="00D50EF6"/>
    <w:rsid w:val="00D528E8"/>
    <w:rsid w:val="00D53231"/>
    <w:rsid w:val="00D5348A"/>
    <w:rsid w:val="00D55454"/>
    <w:rsid w:val="00D60194"/>
    <w:rsid w:val="00D62071"/>
    <w:rsid w:val="00D62821"/>
    <w:rsid w:val="00D6483A"/>
    <w:rsid w:val="00D66D3C"/>
    <w:rsid w:val="00D67DA4"/>
    <w:rsid w:val="00D70D34"/>
    <w:rsid w:val="00D71081"/>
    <w:rsid w:val="00D71DF1"/>
    <w:rsid w:val="00D75D13"/>
    <w:rsid w:val="00D7754E"/>
    <w:rsid w:val="00D778F3"/>
    <w:rsid w:val="00D77FDA"/>
    <w:rsid w:val="00D813B1"/>
    <w:rsid w:val="00D822C8"/>
    <w:rsid w:val="00D82AA0"/>
    <w:rsid w:val="00D85AE1"/>
    <w:rsid w:val="00D8638C"/>
    <w:rsid w:val="00D86591"/>
    <w:rsid w:val="00D86925"/>
    <w:rsid w:val="00D87A99"/>
    <w:rsid w:val="00D92087"/>
    <w:rsid w:val="00D931DA"/>
    <w:rsid w:val="00D93326"/>
    <w:rsid w:val="00D94199"/>
    <w:rsid w:val="00D9470C"/>
    <w:rsid w:val="00D974EB"/>
    <w:rsid w:val="00DA0DEC"/>
    <w:rsid w:val="00DA1095"/>
    <w:rsid w:val="00DA3B83"/>
    <w:rsid w:val="00DA5A35"/>
    <w:rsid w:val="00DA6666"/>
    <w:rsid w:val="00DB0C09"/>
    <w:rsid w:val="00DB398A"/>
    <w:rsid w:val="00DB3C07"/>
    <w:rsid w:val="00DB3E36"/>
    <w:rsid w:val="00DC1902"/>
    <w:rsid w:val="00DC2135"/>
    <w:rsid w:val="00DC27D8"/>
    <w:rsid w:val="00DC43CE"/>
    <w:rsid w:val="00DC44D6"/>
    <w:rsid w:val="00DC45AE"/>
    <w:rsid w:val="00DC54B4"/>
    <w:rsid w:val="00DC5C25"/>
    <w:rsid w:val="00DC69DF"/>
    <w:rsid w:val="00DC7564"/>
    <w:rsid w:val="00DD004D"/>
    <w:rsid w:val="00DD0115"/>
    <w:rsid w:val="00DD0988"/>
    <w:rsid w:val="00DD0A52"/>
    <w:rsid w:val="00DD1174"/>
    <w:rsid w:val="00DD2538"/>
    <w:rsid w:val="00DD38DE"/>
    <w:rsid w:val="00DD435E"/>
    <w:rsid w:val="00DD4B32"/>
    <w:rsid w:val="00DD7ACC"/>
    <w:rsid w:val="00DE023B"/>
    <w:rsid w:val="00DE0A58"/>
    <w:rsid w:val="00DE0E1E"/>
    <w:rsid w:val="00DE2E6F"/>
    <w:rsid w:val="00DE3305"/>
    <w:rsid w:val="00DE521A"/>
    <w:rsid w:val="00DE55AB"/>
    <w:rsid w:val="00DF0221"/>
    <w:rsid w:val="00DF077F"/>
    <w:rsid w:val="00DF0A24"/>
    <w:rsid w:val="00DF211D"/>
    <w:rsid w:val="00DF4060"/>
    <w:rsid w:val="00DF4711"/>
    <w:rsid w:val="00DF510C"/>
    <w:rsid w:val="00DF5C5D"/>
    <w:rsid w:val="00DF61AA"/>
    <w:rsid w:val="00DF704D"/>
    <w:rsid w:val="00DF70F4"/>
    <w:rsid w:val="00E006CF"/>
    <w:rsid w:val="00E0212C"/>
    <w:rsid w:val="00E0401C"/>
    <w:rsid w:val="00E04FE4"/>
    <w:rsid w:val="00E05B76"/>
    <w:rsid w:val="00E0603A"/>
    <w:rsid w:val="00E078CC"/>
    <w:rsid w:val="00E16BA8"/>
    <w:rsid w:val="00E16BBF"/>
    <w:rsid w:val="00E16D18"/>
    <w:rsid w:val="00E205EA"/>
    <w:rsid w:val="00E20AD1"/>
    <w:rsid w:val="00E21C3B"/>
    <w:rsid w:val="00E2675B"/>
    <w:rsid w:val="00E32714"/>
    <w:rsid w:val="00E3531A"/>
    <w:rsid w:val="00E354D1"/>
    <w:rsid w:val="00E354F5"/>
    <w:rsid w:val="00E3601E"/>
    <w:rsid w:val="00E3706E"/>
    <w:rsid w:val="00E374F8"/>
    <w:rsid w:val="00E37B43"/>
    <w:rsid w:val="00E41A44"/>
    <w:rsid w:val="00E425D6"/>
    <w:rsid w:val="00E43C97"/>
    <w:rsid w:val="00E446E8"/>
    <w:rsid w:val="00E44FEB"/>
    <w:rsid w:val="00E45869"/>
    <w:rsid w:val="00E460E8"/>
    <w:rsid w:val="00E46A22"/>
    <w:rsid w:val="00E46A58"/>
    <w:rsid w:val="00E478DC"/>
    <w:rsid w:val="00E47CF8"/>
    <w:rsid w:val="00E54F56"/>
    <w:rsid w:val="00E5535A"/>
    <w:rsid w:val="00E55784"/>
    <w:rsid w:val="00E55CCD"/>
    <w:rsid w:val="00E5618C"/>
    <w:rsid w:val="00E569B6"/>
    <w:rsid w:val="00E57302"/>
    <w:rsid w:val="00E57ADB"/>
    <w:rsid w:val="00E62E5A"/>
    <w:rsid w:val="00E63087"/>
    <w:rsid w:val="00E640C4"/>
    <w:rsid w:val="00E645FB"/>
    <w:rsid w:val="00E65CEF"/>
    <w:rsid w:val="00E66853"/>
    <w:rsid w:val="00E6685E"/>
    <w:rsid w:val="00E672A8"/>
    <w:rsid w:val="00E67557"/>
    <w:rsid w:val="00E700BC"/>
    <w:rsid w:val="00E7043D"/>
    <w:rsid w:val="00E70551"/>
    <w:rsid w:val="00E7092D"/>
    <w:rsid w:val="00E751B8"/>
    <w:rsid w:val="00E75542"/>
    <w:rsid w:val="00E76808"/>
    <w:rsid w:val="00E77819"/>
    <w:rsid w:val="00E77BDA"/>
    <w:rsid w:val="00E80C35"/>
    <w:rsid w:val="00E81209"/>
    <w:rsid w:val="00E82E20"/>
    <w:rsid w:val="00E83040"/>
    <w:rsid w:val="00E83649"/>
    <w:rsid w:val="00E83CA7"/>
    <w:rsid w:val="00E83F24"/>
    <w:rsid w:val="00E85264"/>
    <w:rsid w:val="00E85D9B"/>
    <w:rsid w:val="00E874BB"/>
    <w:rsid w:val="00E878DF"/>
    <w:rsid w:val="00E903B0"/>
    <w:rsid w:val="00E9065A"/>
    <w:rsid w:val="00E90E7F"/>
    <w:rsid w:val="00E91005"/>
    <w:rsid w:val="00E91663"/>
    <w:rsid w:val="00E9222E"/>
    <w:rsid w:val="00E93229"/>
    <w:rsid w:val="00E964F9"/>
    <w:rsid w:val="00E96530"/>
    <w:rsid w:val="00E974A1"/>
    <w:rsid w:val="00EA13D9"/>
    <w:rsid w:val="00EA1D1C"/>
    <w:rsid w:val="00EA2657"/>
    <w:rsid w:val="00EA27F7"/>
    <w:rsid w:val="00EA3A85"/>
    <w:rsid w:val="00EA4994"/>
    <w:rsid w:val="00EA4A77"/>
    <w:rsid w:val="00EA6503"/>
    <w:rsid w:val="00EA6882"/>
    <w:rsid w:val="00EA6931"/>
    <w:rsid w:val="00EA71AC"/>
    <w:rsid w:val="00EA7D41"/>
    <w:rsid w:val="00EB6598"/>
    <w:rsid w:val="00EB72EE"/>
    <w:rsid w:val="00EC16CE"/>
    <w:rsid w:val="00EC2440"/>
    <w:rsid w:val="00EC6350"/>
    <w:rsid w:val="00EC7C2D"/>
    <w:rsid w:val="00ED099A"/>
    <w:rsid w:val="00ED0D0C"/>
    <w:rsid w:val="00ED1168"/>
    <w:rsid w:val="00ED1385"/>
    <w:rsid w:val="00ED3018"/>
    <w:rsid w:val="00ED3369"/>
    <w:rsid w:val="00ED365B"/>
    <w:rsid w:val="00ED4189"/>
    <w:rsid w:val="00ED5169"/>
    <w:rsid w:val="00ED55E9"/>
    <w:rsid w:val="00ED5F6A"/>
    <w:rsid w:val="00ED60DB"/>
    <w:rsid w:val="00ED7467"/>
    <w:rsid w:val="00EE2068"/>
    <w:rsid w:val="00EE2CC5"/>
    <w:rsid w:val="00EE3532"/>
    <w:rsid w:val="00EE4112"/>
    <w:rsid w:val="00EE47CF"/>
    <w:rsid w:val="00EE52E9"/>
    <w:rsid w:val="00EE5BAD"/>
    <w:rsid w:val="00EE7F8F"/>
    <w:rsid w:val="00EF0073"/>
    <w:rsid w:val="00EF145B"/>
    <w:rsid w:val="00EF159A"/>
    <w:rsid w:val="00EF2119"/>
    <w:rsid w:val="00EF3462"/>
    <w:rsid w:val="00EF612D"/>
    <w:rsid w:val="00EF6139"/>
    <w:rsid w:val="00EF6417"/>
    <w:rsid w:val="00EF6E8C"/>
    <w:rsid w:val="00F00FF3"/>
    <w:rsid w:val="00F01059"/>
    <w:rsid w:val="00F018C9"/>
    <w:rsid w:val="00F01A6A"/>
    <w:rsid w:val="00F02DDB"/>
    <w:rsid w:val="00F03BEB"/>
    <w:rsid w:val="00F0418B"/>
    <w:rsid w:val="00F0499F"/>
    <w:rsid w:val="00F053AA"/>
    <w:rsid w:val="00F05B31"/>
    <w:rsid w:val="00F07EB8"/>
    <w:rsid w:val="00F10F65"/>
    <w:rsid w:val="00F11F62"/>
    <w:rsid w:val="00F12224"/>
    <w:rsid w:val="00F13431"/>
    <w:rsid w:val="00F13BB8"/>
    <w:rsid w:val="00F158A0"/>
    <w:rsid w:val="00F15ABA"/>
    <w:rsid w:val="00F1781A"/>
    <w:rsid w:val="00F20A06"/>
    <w:rsid w:val="00F21DBA"/>
    <w:rsid w:val="00F232BE"/>
    <w:rsid w:val="00F240AB"/>
    <w:rsid w:val="00F24A68"/>
    <w:rsid w:val="00F24D8C"/>
    <w:rsid w:val="00F2597B"/>
    <w:rsid w:val="00F25BE5"/>
    <w:rsid w:val="00F25C95"/>
    <w:rsid w:val="00F26505"/>
    <w:rsid w:val="00F26F0C"/>
    <w:rsid w:val="00F27496"/>
    <w:rsid w:val="00F31802"/>
    <w:rsid w:val="00F32632"/>
    <w:rsid w:val="00F335AE"/>
    <w:rsid w:val="00F33DA1"/>
    <w:rsid w:val="00F340D3"/>
    <w:rsid w:val="00F34F6D"/>
    <w:rsid w:val="00F35825"/>
    <w:rsid w:val="00F3588D"/>
    <w:rsid w:val="00F368D3"/>
    <w:rsid w:val="00F36CB0"/>
    <w:rsid w:val="00F370D2"/>
    <w:rsid w:val="00F3788E"/>
    <w:rsid w:val="00F37B0A"/>
    <w:rsid w:val="00F4362F"/>
    <w:rsid w:val="00F444EC"/>
    <w:rsid w:val="00F44985"/>
    <w:rsid w:val="00F44EBC"/>
    <w:rsid w:val="00F44F1B"/>
    <w:rsid w:val="00F455A0"/>
    <w:rsid w:val="00F45CB1"/>
    <w:rsid w:val="00F47994"/>
    <w:rsid w:val="00F47DFE"/>
    <w:rsid w:val="00F50643"/>
    <w:rsid w:val="00F50868"/>
    <w:rsid w:val="00F51013"/>
    <w:rsid w:val="00F5421E"/>
    <w:rsid w:val="00F56C06"/>
    <w:rsid w:val="00F56D98"/>
    <w:rsid w:val="00F573DB"/>
    <w:rsid w:val="00F60696"/>
    <w:rsid w:val="00F60AF5"/>
    <w:rsid w:val="00F61A49"/>
    <w:rsid w:val="00F625D8"/>
    <w:rsid w:val="00F628B3"/>
    <w:rsid w:val="00F62E3C"/>
    <w:rsid w:val="00F63026"/>
    <w:rsid w:val="00F63763"/>
    <w:rsid w:val="00F63DED"/>
    <w:rsid w:val="00F65849"/>
    <w:rsid w:val="00F66AE3"/>
    <w:rsid w:val="00F7109F"/>
    <w:rsid w:val="00F7165C"/>
    <w:rsid w:val="00F717E1"/>
    <w:rsid w:val="00F729C3"/>
    <w:rsid w:val="00F7323C"/>
    <w:rsid w:val="00F73DB2"/>
    <w:rsid w:val="00F74701"/>
    <w:rsid w:val="00F76105"/>
    <w:rsid w:val="00F763BF"/>
    <w:rsid w:val="00F777C8"/>
    <w:rsid w:val="00F80EB3"/>
    <w:rsid w:val="00F81169"/>
    <w:rsid w:val="00F82F45"/>
    <w:rsid w:val="00F83072"/>
    <w:rsid w:val="00F83218"/>
    <w:rsid w:val="00F8367E"/>
    <w:rsid w:val="00F8518A"/>
    <w:rsid w:val="00F855CA"/>
    <w:rsid w:val="00F867CF"/>
    <w:rsid w:val="00F86CC6"/>
    <w:rsid w:val="00F9065C"/>
    <w:rsid w:val="00F90775"/>
    <w:rsid w:val="00F913A3"/>
    <w:rsid w:val="00F91BF7"/>
    <w:rsid w:val="00F92371"/>
    <w:rsid w:val="00F92782"/>
    <w:rsid w:val="00F95D1A"/>
    <w:rsid w:val="00F95D7F"/>
    <w:rsid w:val="00F9713F"/>
    <w:rsid w:val="00F97A52"/>
    <w:rsid w:val="00FA1DCF"/>
    <w:rsid w:val="00FA3049"/>
    <w:rsid w:val="00FA3AC7"/>
    <w:rsid w:val="00FA5CCC"/>
    <w:rsid w:val="00FA6777"/>
    <w:rsid w:val="00FB0790"/>
    <w:rsid w:val="00FB0FED"/>
    <w:rsid w:val="00FB1691"/>
    <w:rsid w:val="00FB277C"/>
    <w:rsid w:val="00FB2CF5"/>
    <w:rsid w:val="00FB34CF"/>
    <w:rsid w:val="00FB3EEF"/>
    <w:rsid w:val="00FB48D1"/>
    <w:rsid w:val="00FB5CF9"/>
    <w:rsid w:val="00FB63B6"/>
    <w:rsid w:val="00FC0329"/>
    <w:rsid w:val="00FC07C7"/>
    <w:rsid w:val="00FC09B7"/>
    <w:rsid w:val="00FC133C"/>
    <w:rsid w:val="00FC139F"/>
    <w:rsid w:val="00FC2567"/>
    <w:rsid w:val="00FC2E7A"/>
    <w:rsid w:val="00FC4E08"/>
    <w:rsid w:val="00FC4E62"/>
    <w:rsid w:val="00FC5728"/>
    <w:rsid w:val="00FD2345"/>
    <w:rsid w:val="00FD37A0"/>
    <w:rsid w:val="00FD5866"/>
    <w:rsid w:val="00FD6302"/>
    <w:rsid w:val="00FE0365"/>
    <w:rsid w:val="00FE1A63"/>
    <w:rsid w:val="00FE1A95"/>
    <w:rsid w:val="00FE3A78"/>
    <w:rsid w:val="00FE4DE9"/>
    <w:rsid w:val="00FE5760"/>
    <w:rsid w:val="00FE7701"/>
    <w:rsid w:val="00FF037C"/>
    <w:rsid w:val="00FF19A4"/>
    <w:rsid w:val="00FF1A82"/>
    <w:rsid w:val="00FF2839"/>
    <w:rsid w:val="00FF2B06"/>
    <w:rsid w:val="00FF32CB"/>
    <w:rsid w:val="00FF3370"/>
    <w:rsid w:val="00FF3FC6"/>
    <w:rsid w:val="00FF60C4"/>
    <w:rsid w:val="00FF71D2"/>
    <w:rsid w:val="00FF73B7"/>
    <w:rsid w:val="00FF74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EA5EA"/>
  <w15:chartTrackingRefBased/>
  <w15:docId w15:val="{A36725DC-FCD9-4C1C-8FDC-28B69E896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56B"/>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45693"/>
    <w:pPr>
      <w:keepNext/>
      <w:keepLines/>
      <w:numPr>
        <w:numId w:val="2"/>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2"/>
      </w:numPr>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E0920"/>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E0920"/>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C7564"/>
    <w:pPr>
      <w:keepNext/>
      <w:keepLines/>
      <w:spacing w:before="40"/>
      <w:ind w:left="1296" w:hanging="1296"/>
      <w:outlineLvl w:val="6"/>
    </w:pPr>
    <w:rPr>
      <w:rFonts w:asciiTheme="majorHAnsi" w:eastAsiaTheme="majorEastAsia" w:hAnsiTheme="majorHAnsi" w:cstheme="majorBidi"/>
      <w:i/>
      <w:iCs/>
      <w:color w:val="1F4D78" w:themeColor="accent1" w:themeShade="7F"/>
      <w:szCs w:val="24"/>
      <w:lang w:val="en-US"/>
    </w:rPr>
  </w:style>
  <w:style w:type="paragraph" w:styleId="Heading8">
    <w:name w:val="heading 8"/>
    <w:basedOn w:val="Normal"/>
    <w:next w:val="Normal"/>
    <w:link w:val="Heading8Char"/>
    <w:uiPriority w:val="9"/>
    <w:semiHidden/>
    <w:unhideWhenUsed/>
    <w:qFormat/>
    <w:rsid w:val="00DC7564"/>
    <w:pPr>
      <w:keepNext/>
      <w:keepLines/>
      <w:spacing w:before="40"/>
      <w:ind w:left="1440" w:hanging="1440"/>
      <w:outlineLvl w:val="7"/>
    </w:pPr>
    <w:rPr>
      <w:rFonts w:asciiTheme="majorHAnsi" w:eastAsiaTheme="majorEastAsia" w:hAnsiTheme="majorHAnsi" w:cstheme="majorBidi"/>
      <w:color w:val="272727" w:themeColor="text1" w:themeTint="D8"/>
      <w:sz w:val="21"/>
      <w:szCs w:val="21"/>
      <w:lang w:val="en-US"/>
    </w:rPr>
  </w:style>
  <w:style w:type="paragraph" w:styleId="Heading9">
    <w:name w:val="heading 9"/>
    <w:basedOn w:val="Normal"/>
    <w:next w:val="Normal"/>
    <w:link w:val="Heading9Char"/>
    <w:uiPriority w:val="9"/>
    <w:semiHidden/>
    <w:unhideWhenUsed/>
    <w:qFormat/>
    <w:rsid w:val="00DC7564"/>
    <w:pPr>
      <w:keepNext/>
      <w:keepLines/>
      <w:spacing w:before="40"/>
      <w:ind w:left="1584" w:hanging="1584"/>
      <w:outlineLvl w:val="8"/>
    </w:pPr>
    <w:rPr>
      <w:rFonts w:asciiTheme="majorHAnsi" w:eastAsiaTheme="majorEastAsia" w:hAnsiTheme="majorHAnsi" w:cstheme="majorBidi"/>
      <w:i/>
      <w:iCs/>
      <w:color w:val="272727" w:themeColor="text1" w:themeTint="D8"/>
      <w:sz w:val="21"/>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uiPriority w:val="39"/>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customStyle="1" w:styleId="CommentTextChar">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customStyle="1" w:styleId="CommentSubjectChar">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C58"/>
    <w:rPr>
      <w:rFonts w:ascii="Segoe UI" w:hAnsi="Segoe UI" w:cs="Segoe UI"/>
      <w:sz w:val="18"/>
      <w:szCs w:val="18"/>
      <w:lang w:val="en-GB"/>
    </w:rPr>
  </w:style>
  <w:style w:type="character" w:customStyle="1" w:styleId="Heading4Char">
    <w:name w:val="Heading 4 Char"/>
    <w:basedOn w:val="DefaultParagraphFont"/>
    <w:link w:val="Heading4"/>
    <w:uiPriority w:val="9"/>
    <w:rsid w:val="00935B33"/>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styleId="GridTable3-Accent5">
    <w:name w:val="Grid Table 3 Accent 5"/>
    <w:basedOn w:val="TableNormal"/>
    <w:uiPriority w:val="48"/>
    <w:rsid w:val="003C15C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asciiTheme="minorHAnsi" w:eastAsiaTheme="minorEastAsia" w:hAnsiTheme="minorHAnsi" w:cs="Times New Roman"/>
      <w:sz w:val="22"/>
      <w:lang w:val="en-US"/>
    </w:rPr>
  </w:style>
  <w:style w:type="table" w:styleId="GridTable5Dark-Accent3">
    <w:name w:val="Grid Table 5 Dark Accent 3"/>
    <w:basedOn w:val="TableNormal"/>
    <w:uiPriority w:val="50"/>
    <w:rsid w:val="00977F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171C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 w:type="table" w:styleId="GridTable4-Accent5">
    <w:name w:val="Grid Table 4 Accent 5"/>
    <w:basedOn w:val="TableNormal"/>
    <w:uiPriority w:val="49"/>
    <w:rsid w:val="009302E7"/>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D974E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5Char">
    <w:name w:val="Heading 5 Char"/>
    <w:basedOn w:val="DefaultParagraphFont"/>
    <w:link w:val="Heading5"/>
    <w:uiPriority w:val="9"/>
    <w:semiHidden/>
    <w:rsid w:val="000E0920"/>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0E0920"/>
    <w:rPr>
      <w:rFonts w:asciiTheme="majorHAnsi" w:eastAsiaTheme="majorEastAsia" w:hAnsiTheme="majorHAnsi" w:cstheme="majorBidi"/>
      <w:color w:val="1F4D78" w:themeColor="accent1" w:themeShade="7F"/>
      <w:sz w:val="24"/>
      <w:lang w:val="en-GB"/>
    </w:rPr>
  </w:style>
  <w:style w:type="character" w:customStyle="1" w:styleId="overflow-hidden">
    <w:name w:val="overflow-hidden"/>
    <w:basedOn w:val="DefaultParagraphFont"/>
    <w:rsid w:val="000E0920"/>
  </w:style>
  <w:style w:type="table" w:styleId="GridTable5Dark-Accent1">
    <w:name w:val="Grid Table 5 Dark Accent 1"/>
    <w:basedOn w:val="TableNormal"/>
    <w:uiPriority w:val="50"/>
    <w:rsid w:val="001F5C3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4-Accent1">
    <w:name w:val="Grid Table 4 Accent 1"/>
    <w:basedOn w:val="TableNormal"/>
    <w:uiPriority w:val="49"/>
    <w:rsid w:val="00764B9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Heading7Char">
    <w:name w:val="Heading 7 Char"/>
    <w:basedOn w:val="DefaultParagraphFont"/>
    <w:link w:val="Heading7"/>
    <w:uiPriority w:val="9"/>
    <w:semiHidden/>
    <w:rsid w:val="00DC7564"/>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DC756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7564"/>
    <w:rPr>
      <w:rFonts w:asciiTheme="majorHAnsi" w:eastAsiaTheme="majorEastAsia" w:hAnsiTheme="majorHAnsi" w:cstheme="majorBidi"/>
      <w:i/>
      <w:iCs/>
      <w:color w:val="272727" w:themeColor="text1" w:themeTint="D8"/>
      <w:sz w:val="21"/>
      <w:szCs w:val="21"/>
    </w:rPr>
  </w:style>
  <w:style w:type="table" w:styleId="GridTable4-Accent4">
    <w:name w:val="Grid Table 4 Accent 4"/>
    <w:basedOn w:val="TableNormal"/>
    <w:uiPriority w:val="49"/>
    <w:rsid w:val="00584A8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3">
    <w:name w:val="Grid Table 4 Accent 3"/>
    <w:basedOn w:val="TableNormal"/>
    <w:uiPriority w:val="49"/>
    <w:rsid w:val="00584A8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1B579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679317">
      <w:bodyDiv w:val="1"/>
      <w:marLeft w:val="0"/>
      <w:marRight w:val="0"/>
      <w:marTop w:val="0"/>
      <w:marBottom w:val="0"/>
      <w:divBdr>
        <w:top w:val="none" w:sz="0" w:space="0" w:color="auto"/>
        <w:left w:val="none" w:sz="0" w:space="0" w:color="auto"/>
        <w:bottom w:val="none" w:sz="0" w:space="0" w:color="auto"/>
        <w:right w:val="none" w:sz="0" w:space="0" w:color="auto"/>
      </w:divBdr>
    </w:div>
    <w:div w:id="166680444">
      <w:bodyDiv w:val="1"/>
      <w:marLeft w:val="0"/>
      <w:marRight w:val="0"/>
      <w:marTop w:val="0"/>
      <w:marBottom w:val="0"/>
      <w:divBdr>
        <w:top w:val="none" w:sz="0" w:space="0" w:color="auto"/>
        <w:left w:val="none" w:sz="0" w:space="0" w:color="auto"/>
        <w:bottom w:val="none" w:sz="0" w:space="0" w:color="auto"/>
        <w:right w:val="none" w:sz="0" w:space="0" w:color="auto"/>
      </w:divBdr>
    </w:div>
    <w:div w:id="372732319">
      <w:bodyDiv w:val="1"/>
      <w:marLeft w:val="0"/>
      <w:marRight w:val="0"/>
      <w:marTop w:val="0"/>
      <w:marBottom w:val="0"/>
      <w:divBdr>
        <w:top w:val="none" w:sz="0" w:space="0" w:color="auto"/>
        <w:left w:val="none" w:sz="0" w:space="0" w:color="auto"/>
        <w:bottom w:val="none" w:sz="0" w:space="0" w:color="auto"/>
        <w:right w:val="none" w:sz="0" w:space="0" w:color="auto"/>
      </w:divBdr>
    </w:div>
    <w:div w:id="506987124">
      <w:bodyDiv w:val="1"/>
      <w:marLeft w:val="0"/>
      <w:marRight w:val="0"/>
      <w:marTop w:val="0"/>
      <w:marBottom w:val="0"/>
      <w:divBdr>
        <w:top w:val="none" w:sz="0" w:space="0" w:color="auto"/>
        <w:left w:val="none" w:sz="0" w:space="0" w:color="auto"/>
        <w:bottom w:val="none" w:sz="0" w:space="0" w:color="auto"/>
        <w:right w:val="none" w:sz="0" w:space="0" w:color="auto"/>
      </w:divBdr>
    </w:div>
    <w:div w:id="640039372">
      <w:bodyDiv w:val="1"/>
      <w:marLeft w:val="0"/>
      <w:marRight w:val="0"/>
      <w:marTop w:val="0"/>
      <w:marBottom w:val="0"/>
      <w:divBdr>
        <w:top w:val="none" w:sz="0" w:space="0" w:color="auto"/>
        <w:left w:val="none" w:sz="0" w:space="0" w:color="auto"/>
        <w:bottom w:val="none" w:sz="0" w:space="0" w:color="auto"/>
        <w:right w:val="none" w:sz="0" w:space="0" w:color="auto"/>
      </w:divBdr>
      <w:divsChild>
        <w:div w:id="931164242">
          <w:marLeft w:val="0"/>
          <w:marRight w:val="0"/>
          <w:marTop w:val="0"/>
          <w:marBottom w:val="0"/>
          <w:divBdr>
            <w:top w:val="none" w:sz="0" w:space="0" w:color="auto"/>
            <w:left w:val="none" w:sz="0" w:space="0" w:color="auto"/>
            <w:bottom w:val="none" w:sz="0" w:space="0" w:color="auto"/>
            <w:right w:val="none" w:sz="0" w:space="0" w:color="auto"/>
          </w:divBdr>
        </w:div>
      </w:divsChild>
    </w:div>
    <w:div w:id="681131493">
      <w:bodyDiv w:val="1"/>
      <w:marLeft w:val="0"/>
      <w:marRight w:val="0"/>
      <w:marTop w:val="0"/>
      <w:marBottom w:val="0"/>
      <w:divBdr>
        <w:top w:val="none" w:sz="0" w:space="0" w:color="auto"/>
        <w:left w:val="none" w:sz="0" w:space="0" w:color="auto"/>
        <w:bottom w:val="none" w:sz="0" w:space="0" w:color="auto"/>
        <w:right w:val="none" w:sz="0" w:space="0" w:color="auto"/>
      </w:divBdr>
      <w:divsChild>
        <w:div w:id="1292903107">
          <w:marLeft w:val="0"/>
          <w:marRight w:val="0"/>
          <w:marTop w:val="0"/>
          <w:marBottom w:val="0"/>
          <w:divBdr>
            <w:top w:val="none" w:sz="0" w:space="0" w:color="auto"/>
            <w:left w:val="none" w:sz="0" w:space="0" w:color="auto"/>
            <w:bottom w:val="none" w:sz="0" w:space="0" w:color="auto"/>
            <w:right w:val="none" w:sz="0" w:space="0" w:color="auto"/>
          </w:divBdr>
        </w:div>
      </w:divsChild>
    </w:div>
    <w:div w:id="845368918">
      <w:bodyDiv w:val="1"/>
      <w:marLeft w:val="0"/>
      <w:marRight w:val="0"/>
      <w:marTop w:val="0"/>
      <w:marBottom w:val="0"/>
      <w:divBdr>
        <w:top w:val="none" w:sz="0" w:space="0" w:color="auto"/>
        <w:left w:val="none" w:sz="0" w:space="0" w:color="auto"/>
        <w:bottom w:val="none" w:sz="0" w:space="0" w:color="auto"/>
        <w:right w:val="none" w:sz="0" w:space="0" w:color="auto"/>
      </w:divBdr>
    </w:div>
    <w:div w:id="984895073">
      <w:bodyDiv w:val="1"/>
      <w:marLeft w:val="0"/>
      <w:marRight w:val="0"/>
      <w:marTop w:val="0"/>
      <w:marBottom w:val="0"/>
      <w:divBdr>
        <w:top w:val="none" w:sz="0" w:space="0" w:color="auto"/>
        <w:left w:val="none" w:sz="0" w:space="0" w:color="auto"/>
        <w:bottom w:val="none" w:sz="0" w:space="0" w:color="auto"/>
        <w:right w:val="none" w:sz="0" w:space="0" w:color="auto"/>
      </w:divBdr>
    </w:div>
    <w:div w:id="1132478374">
      <w:bodyDiv w:val="1"/>
      <w:marLeft w:val="0"/>
      <w:marRight w:val="0"/>
      <w:marTop w:val="0"/>
      <w:marBottom w:val="0"/>
      <w:divBdr>
        <w:top w:val="none" w:sz="0" w:space="0" w:color="auto"/>
        <w:left w:val="none" w:sz="0" w:space="0" w:color="auto"/>
        <w:bottom w:val="none" w:sz="0" w:space="0" w:color="auto"/>
        <w:right w:val="none" w:sz="0" w:space="0" w:color="auto"/>
      </w:divBdr>
      <w:divsChild>
        <w:div w:id="145128625">
          <w:marLeft w:val="0"/>
          <w:marRight w:val="0"/>
          <w:marTop w:val="0"/>
          <w:marBottom w:val="0"/>
          <w:divBdr>
            <w:top w:val="none" w:sz="0" w:space="0" w:color="auto"/>
            <w:left w:val="none" w:sz="0" w:space="0" w:color="auto"/>
            <w:bottom w:val="none" w:sz="0" w:space="0" w:color="auto"/>
            <w:right w:val="none" w:sz="0" w:space="0" w:color="auto"/>
          </w:divBdr>
        </w:div>
      </w:divsChild>
    </w:div>
    <w:div w:id="1156262658">
      <w:bodyDiv w:val="1"/>
      <w:marLeft w:val="0"/>
      <w:marRight w:val="0"/>
      <w:marTop w:val="0"/>
      <w:marBottom w:val="0"/>
      <w:divBdr>
        <w:top w:val="none" w:sz="0" w:space="0" w:color="auto"/>
        <w:left w:val="none" w:sz="0" w:space="0" w:color="auto"/>
        <w:bottom w:val="none" w:sz="0" w:space="0" w:color="auto"/>
        <w:right w:val="none" w:sz="0" w:space="0" w:color="auto"/>
      </w:divBdr>
      <w:divsChild>
        <w:div w:id="403601742">
          <w:marLeft w:val="0"/>
          <w:marRight w:val="0"/>
          <w:marTop w:val="0"/>
          <w:marBottom w:val="0"/>
          <w:divBdr>
            <w:top w:val="none" w:sz="0" w:space="0" w:color="auto"/>
            <w:left w:val="none" w:sz="0" w:space="0" w:color="auto"/>
            <w:bottom w:val="none" w:sz="0" w:space="0" w:color="auto"/>
            <w:right w:val="none" w:sz="0" w:space="0" w:color="auto"/>
          </w:divBdr>
        </w:div>
      </w:divsChild>
    </w:div>
    <w:div w:id="1169908621">
      <w:bodyDiv w:val="1"/>
      <w:marLeft w:val="0"/>
      <w:marRight w:val="0"/>
      <w:marTop w:val="0"/>
      <w:marBottom w:val="0"/>
      <w:divBdr>
        <w:top w:val="none" w:sz="0" w:space="0" w:color="auto"/>
        <w:left w:val="none" w:sz="0" w:space="0" w:color="auto"/>
        <w:bottom w:val="none" w:sz="0" w:space="0" w:color="auto"/>
        <w:right w:val="none" w:sz="0" w:space="0" w:color="auto"/>
      </w:divBdr>
      <w:divsChild>
        <w:div w:id="178128441">
          <w:marLeft w:val="0"/>
          <w:marRight w:val="0"/>
          <w:marTop w:val="0"/>
          <w:marBottom w:val="0"/>
          <w:divBdr>
            <w:top w:val="none" w:sz="0" w:space="0" w:color="auto"/>
            <w:left w:val="none" w:sz="0" w:space="0" w:color="auto"/>
            <w:bottom w:val="none" w:sz="0" w:space="0" w:color="auto"/>
            <w:right w:val="none" w:sz="0" w:space="0" w:color="auto"/>
          </w:divBdr>
        </w:div>
      </w:divsChild>
    </w:div>
    <w:div w:id="1321621040">
      <w:bodyDiv w:val="1"/>
      <w:marLeft w:val="0"/>
      <w:marRight w:val="0"/>
      <w:marTop w:val="0"/>
      <w:marBottom w:val="0"/>
      <w:divBdr>
        <w:top w:val="none" w:sz="0" w:space="0" w:color="auto"/>
        <w:left w:val="none" w:sz="0" w:space="0" w:color="auto"/>
        <w:bottom w:val="none" w:sz="0" w:space="0" w:color="auto"/>
        <w:right w:val="none" w:sz="0" w:space="0" w:color="auto"/>
      </w:divBdr>
    </w:div>
    <w:div w:id="1590312920">
      <w:bodyDiv w:val="1"/>
      <w:marLeft w:val="0"/>
      <w:marRight w:val="0"/>
      <w:marTop w:val="0"/>
      <w:marBottom w:val="0"/>
      <w:divBdr>
        <w:top w:val="none" w:sz="0" w:space="0" w:color="auto"/>
        <w:left w:val="none" w:sz="0" w:space="0" w:color="auto"/>
        <w:bottom w:val="none" w:sz="0" w:space="0" w:color="auto"/>
        <w:right w:val="none" w:sz="0" w:space="0" w:color="auto"/>
      </w:divBdr>
    </w:div>
    <w:div w:id="1651714762">
      <w:bodyDiv w:val="1"/>
      <w:marLeft w:val="0"/>
      <w:marRight w:val="0"/>
      <w:marTop w:val="0"/>
      <w:marBottom w:val="0"/>
      <w:divBdr>
        <w:top w:val="none" w:sz="0" w:space="0" w:color="auto"/>
        <w:left w:val="none" w:sz="0" w:space="0" w:color="auto"/>
        <w:bottom w:val="none" w:sz="0" w:space="0" w:color="auto"/>
        <w:right w:val="none" w:sz="0" w:space="0" w:color="auto"/>
      </w:divBdr>
      <w:divsChild>
        <w:div w:id="1066881990">
          <w:marLeft w:val="0"/>
          <w:marRight w:val="0"/>
          <w:marTop w:val="0"/>
          <w:marBottom w:val="0"/>
          <w:divBdr>
            <w:top w:val="none" w:sz="0" w:space="0" w:color="auto"/>
            <w:left w:val="none" w:sz="0" w:space="0" w:color="auto"/>
            <w:bottom w:val="none" w:sz="0" w:space="0" w:color="auto"/>
            <w:right w:val="none" w:sz="0" w:space="0" w:color="auto"/>
          </w:divBdr>
        </w:div>
      </w:divsChild>
    </w:div>
    <w:div w:id="1772820464">
      <w:bodyDiv w:val="1"/>
      <w:marLeft w:val="0"/>
      <w:marRight w:val="0"/>
      <w:marTop w:val="0"/>
      <w:marBottom w:val="0"/>
      <w:divBdr>
        <w:top w:val="none" w:sz="0" w:space="0" w:color="auto"/>
        <w:left w:val="none" w:sz="0" w:space="0" w:color="auto"/>
        <w:bottom w:val="none" w:sz="0" w:space="0" w:color="auto"/>
        <w:right w:val="none" w:sz="0" w:space="0" w:color="auto"/>
      </w:divBdr>
    </w:div>
    <w:div w:id="1888879855">
      <w:bodyDiv w:val="1"/>
      <w:marLeft w:val="0"/>
      <w:marRight w:val="0"/>
      <w:marTop w:val="0"/>
      <w:marBottom w:val="0"/>
      <w:divBdr>
        <w:top w:val="none" w:sz="0" w:space="0" w:color="auto"/>
        <w:left w:val="none" w:sz="0" w:space="0" w:color="auto"/>
        <w:bottom w:val="none" w:sz="0" w:space="0" w:color="auto"/>
        <w:right w:val="none" w:sz="0" w:space="0" w:color="auto"/>
      </w:divBdr>
      <w:divsChild>
        <w:div w:id="17175868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versityandinclusionsummit.com.au/" TargetMode="External"/><Relationship Id="rId18" Type="http://schemas.openxmlformats.org/officeDocument/2006/relationships/hyperlink" Target="https://www.statista.com/statistics/1325318/prerequisites-for-living-a-more-sustainable-lifestyle-uk/"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statista.com/statistics/1257404/perception-on-improvements-to-diversity-and-inclusion-uk/" TargetMode="External"/><Relationship Id="rId17" Type="http://schemas.openxmlformats.org/officeDocument/2006/relationships/hyperlink" Target="https://qeiicentre.london/"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reuters.com/sustainability/can-trump-crush-dei-look-data-ross-kerber-2025-01-29/" TargetMode="External"/><Relationship Id="rId20" Type="http://schemas.openxmlformats.org/officeDocument/2006/relationships/hyperlink" Target="https://doi.org/10.3390/soc110200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times.com/uk/society/article/gen-z-bisexual-gay-sex-relationships-kmj0pv6vq"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inclusiveemployers.co.uk/membership/all-event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nationaldiversityconference.com/20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seus.fi/handle/10024/854981"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98A276-5A4F-4EB1-94B2-8EDF02E47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4142</Words>
  <Characters>23611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antonela costiuc</cp:lastModifiedBy>
  <cp:revision>3</cp:revision>
  <dcterms:created xsi:type="dcterms:W3CDTF">2025-02-13T13:57:00Z</dcterms:created>
  <dcterms:modified xsi:type="dcterms:W3CDTF">2025-02-28T17:43:00Z</dcterms:modified>
</cp:coreProperties>
</file>