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2C80" w:rsidRDefault="00E32C80" w:rsidP="00E32C80">
      <w:pPr>
        <w:jc w:val="center"/>
      </w:pPr>
      <w:r w:rsidRPr="00B77E6D">
        <w:rPr>
          <w:rFonts w:ascii="Times New Roman" w:hAnsi="Times New Roman" w:cs="Times New Roman"/>
          <w:b/>
          <w:bCs/>
          <w:noProof/>
          <w:color w:val="000000" w:themeColor="text1"/>
        </w:rPr>
        <w:drawing>
          <wp:inline distT="0" distB="0" distL="0" distR="0" wp14:anchorId="338F656A" wp14:editId="1F3251C7">
            <wp:extent cx="4940300" cy="172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940300" cy="1727200"/>
                    </a:xfrm>
                    <a:prstGeom prst="rect">
                      <a:avLst/>
                    </a:prstGeom>
                  </pic:spPr>
                </pic:pic>
              </a:graphicData>
            </a:graphic>
          </wp:inline>
        </w:drawing>
      </w:r>
    </w:p>
    <w:p w:rsidR="00E32C80" w:rsidRDefault="00E32C80" w:rsidP="00E32C80">
      <w:pPr>
        <w:jc w:val="center"/>
      </w:pPr>
    </w:p>
    <w:p w:rsidR="00E32C80" w:rsidRDefault="00E32C80" w:rsidP="00E32C80">
      <w:pPr>
        <w:jc w:val="center"/>
      </w:pPr>
    </w:p>
    <w:p w:rsidR="00E32C80" w:rsidRDefault="00E32C80" w:rsidP="00E32C80">
      <w:pPr>
        <w:jc w:val="center"/>
      </w:pPr>
    </w:p>
    <w:p w:rsidR="00E32C80" w:rsidRDefault="00E32C80" w:rsidP="00E32C80">
      <w:pPr>
        <w:jc w:val="center"/>
      </w:pPr>
    </w:p>
    <w:p w:rsidR="00E32C80" w:rsidRDefault="00E32C80" w:rsidP="00E32C80">
      <w:pPr>
        <w:jc w:val="center"/>
        <w:rPr>
          <w:rFonts w:ascii="Times New Roman" w:eastAsia="Times New Roman" w:hAnsi="Times New Roman" w:cs="Times New Roman"/>
          <w:sz w:val="44"/>
          <w:szCs w:val="44"/>
          <w:lang w:eastAsia="en-GB"/>
        </w:rPr>
      </w:pPr>
      <w:r>
        <w:rPr>
          <w:rFonts w:ascii="Times New Roman" w:eastAsia="Times New Roman" w:hAnsi="Times New Roman" w:cs="Times New Roman"/>
          <w:sz w:val="44"/>
          <w:szCs w:val="44"/>
          <w:lang w:eastAsia="en-GB"/>
        </w:rPr>
        <w:t>ACADEMIC AND EMPLOYABILITY SKILLS</w:t>
      </w:r>
    </w:p>
    <w:p w:rsidR="00E32C80" w:rsidRDefault="00E32C80" w:rsidP="00E32C80">
      <w:pPr>
        <w:jc w:val="center"/>
        <w:rPr>
          <w:rFonts w:ascii="Times New Roman" w:eastAsia="Times New Roman" w:hAnsi="Times New Roman" w:cs="Times New Roman"/>
          <w:sz w:val="44"/>
          <w:szCs w:val="44"/>
          <w:lang w:eastAsia="en-GB"/>
        </w:rPr>
      </w:pPr>
      <w:r>
        <w:rPr>
          <w:rFonts w:ascii="Times New Roman" w:eastAsia="Times New Roman" w:hAnsi="Times New Roman" w:cs="Times New Roman"/>
          <w:sz w:val="44"/>
          <w:szCs w:val="44"/>
          <w:lang w:eastAsia="en-GB"/>
        </w:rPr>
        <w:t>(BMSW4001_LON)</w:t>
      </w:r>
    </w:p>
    <w:p w:rsidR="00E32C80" w:rsidRDefault="00E32C80" w:rsidP="00E32C80">
      <w:pPr>
        <w:jc w:val="center"/>
        <w:rPr>
          <w:rFonts w:ascii="Times New Roman" w:eastAsia="Times New Roman" w:hAnsi="Times New Roman" w:cs="Times New Roman"/>
          <w:sz w:val="44"/>
          <w:szCs w:val="44"/>
          <w:lang w:eastAsia="en-GB"/>
        </w:rPr>
      </w:pPr>
    </w:p>
    <w:p w:rsidR="00E32C80" w:rsidRDefault="00E32C80" w:rsidP="00E32C80">
      <w:pPr>
        <w:jc w:val="center"/>
        <w:rPr>
          <w:rFonts w:ascii="Times New Roman" w:eastAsia="Times New Roman" w:hAnsi="Times New Roman" w:cs="Times New Roman"/>
          <w:sz w:val="44"/>
          <w:szCs w:val="44"/>
          <w:lang w:eastAsia="en-GB"/>
        </w:rPr>
      </w:pPr>
      <w:r>
        <w:rPr>
          <w:rFonts w:ascii="Times New Roman" w:eastAsia="Times New Roman" w:hAnsi="Times New Roman" w:cs="Times New Roman"/>
          <w:sz w:val="44"/>
          <w:szCs w:val="44"/>
          <w:lang w:eastAsia="en-GB"/>
        </w:rPr>
        <w:tab/>
        <w:t>ACADEMIC REPORT</w:t>
      </w:r>
    </w:p>
    <w:p w:rsidR="00E32C80" w:rsidRDefault="00E32C80" w:rsidP="00E32C80">
      <w:pPr>
        <w:jc w:val="center"/>
        <w:rPr>
          <w:rFonts w:ascii="Times New Roman" w:eastAsia="Times New Roman" w:hAnsi="Times New Roman" w:cs="Times New Roman"/>
          <w:sz w:val="44"/>
          <w:szCs w:val="44"/>
          <w:lang w:eastAsia="en-GB"/>
        </w:rPr>
      </w:pPr>
    </w:p>
    <w:p w:rsidR="00E32C80" w:rsidRDefault="00E32C80" w:rsidP="00E32C80">
      <w:pPr>
        <w:jc w:val="center"/>
        <w:rPr>
          <w:rFonts w:ascii="Times New Roman" w:eastAsia="Times New Roman" w:hAnsi="Times New Roman" w:cs="Times New Roman"/>
          <w:sz w:val="44"/>
          <w:szCs w:val="44"/>
          <w:lang w:eastAsia="en-GB"/>
        </w:rPr>
      </w:pPr>
    </w:p>
    <w:p w:rsidR="00E32C80" w:rsidRDefault="00E32C80" w:rsidP="00E32C80">
      <w:pPr>
        <w:rPr>
          <w:rFonts w:ascii="Times New Roman" w:eastAsia="Times New Roman" w:hAnsi="Times New Roman" w:cs="Times New Roman"/>
          <w:sz w:val="36"/>
          <w:szCs w:val="36"/>
          <w:lang w:eastAsia="en-GB"/>
        </w:rPr>
      </w:pPr>
      <w:r w:rsidRPr="00E32C80">
        <w:rPr>
          <w:rFonts w:ascii="Times New Roman" w:eastAsia="Times New Roman" w:hAnsi="Times New Roman" w:cs="Times New Roman"/>
          <w:sz w:val="36"/>
          <w:szCs w:val="36"/>
          <w:lang w:eastAsia="en-GB"/>
        </w:rPr>
        <w:t>TUTOR:</w:t>
      </w:r>
      <w:r w:rsidRPr="00E32C80">
        <w:rPr>
          <w:rFonts w:ascii="Times New Roman" w:eastAsia="Times New Roman" w:hAnsi="Times New Roman" w:cs="Times New Roman"/>
          <w:sz w:val="36"/>
          <w:szCs w:val="36"/>
          <w:lang w:eastAsia="en-GB"/>
        </w:rPr>
        <w:tab/>
      </w:r>
      <w:r w:rsidRPr="00E32C80">
        <w:rPr>
          <w:rFonts w:ascii="Times New Roman" w:eastAsia="Times New Roman" w:hAnsi="Times New Roman" w:cs="Times New Roman"/>
          <w:sz w:val="36"/>
          <w:szCs w:val="36"/>
          <w:lang w:eastAsia="en-GB"/>
        </w:rPr>
        <w:tab/>
      </w:r>
      <w:r w:rsidRPr="00E32C80">
        <w:rPr>
          <w:rFonts w:ascii="Times New Roman" w:eastAsia="Times New Roman" w:hAnsi="Times New Roman" w:cs="Times New Roman"/>
          <w:sz w:val="36"/>
          <w:szCs w:val="36"/>
          <w:lang w:eastAsia="en-GB"/>
        </w:rPr>
        <w:tab/>
      </w:r>
      <w:r w:rsidRPr="00E32C80">
        <w:rPr>
          <w:rFonts w:ascii="Times New Roman" w:eastAsia="Times New Roman" w:hAnsi="Times New Roman" w:cs="Times New Roman"/>
          <w:sz w:val="36"/>
          <w:szCs w:val="36"/>
          <w:lang w:eastAsia="en-GB"/>
        </w:rPr>
        <w:tab/>
      </w:r>
      <w:r>
        <w:rPr>
          <w:rFonts w:ascii="Times New Roman" w:eastAsia="Times New Roman" w:hAnsi="Times New Roman" w:cs="Times New Roman"/>
          <w:sz w:val="36"/>
          <w:szCs w:val="36"/>
          <w:lang w:eastAsia="en-GB"/>
        </w:rPr>
        <w:t>Sylvia Hoffmann</w:t>
      </w: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STUDENT:</w:t>
      </w:r>
      <w:r>
        <w:rPr>
          <w:rFonts w:ascii="Times New Roman" w:eastAsia="Times New Roman" w:hAnsi="Times New Roman" w:cs="Times New Roman"/>
          <w:sz w:val="36"/>
          <w:szCs w:val="36"/>
          <w:lang w:eastAsia="en-GB"/>
        </w:rPr>
        <w:tab/>
      </w:r>
      <w:r>
        <w:rPr>
          <w:rFonts w:ascii="Times New Roman" w:eastAsia="Times New Roman" w:hAnsi="Times New Roman" w:cs="Times New Roman"/>
          <w:sz w:val="36"/>
          <w:szCs w:val="36"/>
          <w:lang w:eastAsia="en-GB"/>
        </w:rPr>
        <w:tab/>
      </w:r>
      <w:r>
        <w:rPr>
          <w:rFonts w:ascii="Times New Roman" w:eastAsia="Times New Roman" w:hAnsi="Times New Roman" w:cs="Times New Roman"/>
          <w:sz w:val="36"/>
          <w:szCs w:val="36"/>
          <w:lang w:eastAsia="en-GB"/>
        </w:rPr>
        <w:tab/>
      </w:r>
      <w:proofErr w:type="spellStart"/>
      <w:r>
        <w:rPr>
          <w:rFonts w:ascii="Times New Roman" w:eastAsia="Times New Roman" w:hAnsi="Times New Roman" w:cs="Times New Roman"/>
          <w:sz w:val="36"/>
          <w:szCs w:val="36"/>
          <w:lang w:eastAsia="en-GB"/>
        </w:rPr>
        <w:t>Plamen</w:t>
      </w:r>
      <w:proofErr w:type="spellEnd"/>
      <w:r>
        <w:rPr>
          <w:rFonts w:ascii="Times New Roman" w:eastAsia="Times New Roman" w:hAnsi="Times New Roman" w:cs="Times New Roman"/>
          <w:sz w:val="36"/>
          <w:szCs w:val="36"/>
          <w:lang w:eastAsia="en-GB"/>
        </w:rPr>
        <w:t xml:space="preserve"> </w:t>
      </w:r>
      <w:proofErr w:type="spellStart"/>
      <w:r>
        <w:rPr>
          <w:rFonts w:ascii="Times New Roman" w:eastAsia="Times New Roman" w:hAnsi="Times New Roman" w:cs="Times New Roman"/>
          <w:sz w:val="36"/>
          <w:szCs w:val="36"/>
          <w:lang w:eastAsia="en-GB"/>
        </w:rPr>
        <w:t>Penchev</w:t>
      </w:r>
      <w:proofErr w:type="spellEnd"/>
      <w:r>
        <w:rPr>
          <w:rFonts w:ascii="Times New Roman" w:eastAsia="Times New Roman" w:hAnsi="Times New Roman" w:cs="Times New Roman"/>
          <w:sz w:val="36"/>
          <w:szCs w:val="36"/>
          <w:lang w:eastAsia="en-GB"/>
        </w:rPr>
        <w:t xml:space="preserve"> (1910023)</w:t>
      </w: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lastRenderedPageBreak/>
        <w:t>Table of Content</w:t>
      </w: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663EBC">
      <w:pPr>
        <w:pStyle w:val="ListParagraph"/>
        <w:jc w:val="both"/>
        <w:rPr>
          <w:rFonts w:ascii="Times New Roman" w:eastAsia="Times New Roman" w:hAnsi="Times New Roman" w:cs="Times New Roman"/>
          <w:sz w:val="36"/>
          <w:szCs w:val="36"/>
          <w:lang w:eastAsia="en-GB"/>
        </w:rPr>
      </w:pPr>
    </w:p>
    <w:p w:rsidR="00E32C80" w:rsidRDefault="00E32C80" w:rsidP="00E32C80">
      <w:pPr>
        <w:pStyle w:val="ListParagraph"/>
        <w:numPr>
          <w:ilvl w:val="0"/>
          <w:numId w:val="1"/>
        </w:numPr>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Introduction</w:t>
      </w:r>
    </w:p>
    <w:p w:rsidR="00E32C80" w:rsidRDefault="00E32C80" w:rsidP="00E32C80">
      <w:pPr>
        <w:pStyle w:val="ListParagraph"/>
        <w:numPr>
          <w:ilvl w:val="0"/>
          <w:numId w:val="1"/>
        </w:numPr>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Methodology</w:t>
      </w:r>
    </w:p>
    <w:p w:rsidR="00E32C80" w:rsidRDefault="00E32C80" w:rsidP="00E32C80">
      <w:pPr>
        <w:pStyle w:val="ListParagraph"/>
        <w:numPr>
          <w:ilvl w:val="0"/>
          <w:numId w:val="1"/>
        </w:numPr>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Findings</w:t>
      </w:r>
    </w:p>
    <w:p w:rsidR="00E32C80" w:rsidRDefault="00E32C80" w:rsidP="00E32C80">
      <w:pPr>
        <w:pStyle w:val="ListParagraph"/>
        <w:numPr>
          <w:ilvl w:val="0"/>
          <w:numId w:val="1"/>
        </w:numPr>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Discussion </w:t>
      </w:r>
    </w:p>
    <w:p w:rsidR="00E32C80" w:rsidRDefault="00E32C80" w:rsidP="00E32C80">
      <w:pPr>
        <w:pStyle w:val="ListParagraph"/>
        <w:numPr>
          <w:ilvl w:val="0"/>
          <w:numId w:val="1"/>
        </w:numPr>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Conclusion</w:t>
      </w:r>
    </w:p>
    <w:p w:rsidR="00E32C80" w:rsidRDefault="00E32C80" w:rsidP="00E32C80">
      <w:pPr>
        <w:pStyle w:val="ListParagraph"/>
        <w:numPr>
          <w:ilvl w:val="0"/>
          <w:numId w:val="1"/>
        </w:numPr>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References</w:t>
      </w:r>
    </w:p>
    <w:p w:rsidR="00E32C80" w:rsidRPr="00E32C80" w:rsidRDefault="00E32C80" w:rsidP="00E32C80">
      <w:pPr>
        <w:pStyle w:val="ListParagraph"/>
        <w:numPr>
          <w:ilvl w:val="0"/>
          <w:numId w:val="1"/>
        </w:numPr>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Appendices</w:t>
      </w: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663EBC">
      <w:pPr>
        <w:rPr>
          <w:rFonts w:ascii="Times New Roman" w:eastAsia="Times New Roman" w:hAnsi="Times New Roman" w:cs="Times New Roman"/>
          <w:sz w:val="36"/>
          <w:szCs w:val="36"/>
          <w:lang w:eastAsia="en-GB"/>
        </w:rPr>
      </w:pPr>
    </w:p>
    <w:p w:rsidR="008353D4" w:rsidRDefault="008353D4" w:rsidP="008353D4">
      <w:pP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lastRenderedPageBreak/>
        <w:t>INTRODUCTION</w:t>
      </w: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This academic report has the purpose to demonstrate the learning of the module during terms one and two by using recognised methods of reflection on various topics.</w:t>
      </w:r>
    </w:p>
    <w:p w:rsidR="00E32C80" w:rsidRDefault="00663EBC"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It will show to what extend the learning materials and data analysed during class sessions to this point have contributed for my academic development  and day to day life.</w:t>
      </w:r>
    </w:p>
    <w:p w:rsidR="001B58C4" w:rsidRDefault="001B58C4"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METHODOLOGY</w:t>
      </w: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By using the available online resources on the university’s web portal and researching informed literature, I was able to identify my strengths and weaknesses using the unknown until before joining the course models of reflection and other academic tools and fill the gaps in my knowledge.</w:t>
      </w: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br w:type="page"/>
      </w:r>
    </w:p>
    <w:p w:rsidR="00E32C80" w:rsidRDefault="00E32C80" w:rsidP="00E32C80">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lastRenderedPageBreak/>
        <w:t>FINDINGS</w:t>
      </w:r>
    </w:p>
    <w:p w:rsidR="00E32C80" w:rsidRDefault="00E32C80" w:rsidP="00E32C80">
      <w:pPr>
        <w:jc w:val="center"/>
        <w:rPr>
          <w:rFonts w:ascii="Times New Roman" w:eastAsia="Times New Roman" w:hAnsi="Times New Roman" w:cs="Times New Roman"/>
          <w:sz w:val="36"/>
          <w:szCs w:val="36"/>
          <w:lang w:eastAsia="en-GB"/>
        </w:rPr>
      </w:pPr>
    </w:p>
    <w:p w:rsidR="00E32C80" w:rsidRPr="00E32C80" w:rsidRDefault="00E32C80" w:rsidP="00E32C80">
      <w:pPr>
        <w:rPr>
          <w:rFonts w:ascii="Times New Roman" w:eastAsia="Times New Roman" w:hAnsi="Times New Roman" w:cs="Times New Roman"/>
          <w:lang w:eastAsia="en-GB"/>
        </w:rPr>
      </w:pPr>
      <w:r w:rsidRPr="00E32C80">
        <w:rPr>
          <w:rFonts w:ascii="Times New Roman" w:eastAsia="Times New Roman" w:hAnsi="Times New Roman" w:cs="Times New Roman"/>
          <w:lang w:eastAsia="en-GB"/>
        </w:rPr>
        <w:fldChar w:fldCharType="begin"/>
      </w:r>
      <w:r w:rsidRPr="00E32C80">
        <w:rPr>
          <w:rFonts w:ascii="Times New Roman" w:eastAsia="Times New Roman" w:hAnsi="Times New Roman" w:cs="Times New Roman"/>
          <w:lang w:eastAsia="en-GB"/>
        </w:rPr>
        <w:instrText xml:space="preserve"> INCLUDEPICTURE "https://www.crowe-associates.co.uk/wp-content/uploads/2015/06/gibbs_reflective_cycle.png" \* MERGEFORMATINET </w:instrText>
      </w:r>
      <w:r w:rsidRPr="00E32C80">
        <w:rPr>
          <w:rFonts w:ascii="Times New Roman" w:eastAsia="Times New Roman" w:hAnsi="Times New Roman" w:cs="Times New Roman"/>
          <w:lang w:eastAsia="en-GB"/>
        </w:rPr>
        <w:fldChar w:fldCharType="separate"/>
      </w:r>
      <w:r w:rsidRPr="00E32C80">
        <w:rPr>
          <w:rFonts w:ascii="Times New Roman" w:eastAsia="Times New Roman" w:hAnsi="Times New Roman" w:cs="Times New Roman"/>
          <w:noProof/>
          <w:lang w:eastAsia="en-GB"/>
        </w:rPr>
        <w:drawing>
          <wp:inline distT="0" distB="0" distL="0" distR="0">
            <wp:extent cx="4696460" cy="4671695"/>
            <wp:effectExtent l="0" t="0" r="2540" b="1905"/>
            <wp:docPr id="2"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96460" cy="4671695"/>
                    </a:xfrm>
                    <a:prstGeom prst="rect">
                      <a:avLst/>
                    </a:prstGeom>
                    <a:noFill/>
                    <a:ln>
                      <a:noFill/>
                    </a:ln>
                  </pic:spPr>
                </pic:pic>
              </a:graphicData>
            </a:graphic>
          </wp:inline>
        </w:drawing>
      </w:r>
      <w:r w:rsidRPr="00E32C80">
        <w:rPr>
          <w:rFonts w:ascii="Times New Roman" w:eastAsia="Times New Roman" w:hAnsi="Times New Roman" w:cs="Times New Roman"/>
          <w:lang w:eastAsia="en-GB"/>
        </w:rPr>
        <w:fldChar w:fldCharType="end"/>
      </w: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By applying Gibbs’s Reflective cycle (Graham Gibbs 1988),</w:t>
      </w: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 was able to reflect on the learning from term one and two.</w:t>
      </w:r>
    </w:p>
    <w:p w:rsidR="00E32C80" w:rsidRDefault="00663EBC"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It helped me evaluate and analyse where my strengths are and most importantly, for me, where and what exactly my weaknesses are, particularly but not only when comes to my academic and employability skills. </w:t>
      </w:r>
    </w:p>
    <w:p w:rsidR="00E32C80" w:rsidRDefault="00663EBC"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During the class session and collaborations I have found that there is a number of my employability skills that are not good enough and that is the reason why I haven’t been very successful in my job hunting in the past. </w:t>
      </w:r>
    </w:p>
    <w:p w:rsidR="00E32C80" w:rsidRDefault="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br w:type="page"/>
      </w:r>
    </w:p>
    <w:p w:rsidR="00E32C80" w:rsidRDefault="00E32C80" w:rsidP="00E32C80">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lastRenderedPageBreak/>
        <w:t>DISCUSSION</w:t>
      </w: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jc w:val="cente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Reflecting on the learning and data collected during classes and researching the advised informed materials, I was able to identify what I knew, did not know and continuing to do incorrectly in terms of:</w:t>
      </w: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pStyle w:val="ListParagraph"/>
        <w:numPr>
          <w:ilvl w:val="0"/>
          <w:numId w:val="4"/>
        </w:num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Identifying</w:t>
      </w:r>
      <w:r w:rsidR="00AD772A">
        <w:rPr>
          <w:rFonts w:ascii="Times New Roman" w:eastAsia="Times New Roman" w:hAnsi="Times New Roman" w:cs="Times New Roman"/>
          <w:sz w:val="36"/>
          <w:szCs w:val="36"/>
          <w:lang w:eastAsia="en-GB"/>
        </w:rPr>
        <w:t xml:space="preserve"> and </w:t>
      </w:r>
      <w:r>
        <w:rPr>
          <w:rFonts w:ascii="Times New Roman" w:eastAsia="Times New Roman" w:hAnsi="Times New Roman" w:cs="Times New Roman"/>
          <w:sz w:val="36"/>
          <w:szCs w:val="36"/>
          <w:lang w:eastAsia="en-GB"/>
        </w:rPr>
        <w:t>prioritising my employability skills correctly</w:t>
      </w:r>
    </w:p>
    <w:p w:rsidR="00E32C80" w:rsidRDefault="00E32C80" w:rsidP="00E32C80">
      <w:pPr>
        <w:pStyle w:val="ListParagraph"/>
        <w:numPr>
          <w:ilvl w:val="0"/>
          <w:numId w:val="4"/>
        </w:num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Gathering, analysing and processing information</w:t>
      </w:r>
    </w:p>
    <w:p w:rsidR="00E32C80" w:rsidRDefault="00E32C80" w:rsidP="00E32C80">
      <w:pPr>
        <w:pStyle w:val="ListParagraph"/>
        <w:numPr>
          <w:ilvl w:val="0"/>
          <w:numId w:val="4"/>
        </w:num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Writing a successful cover letter</w:t>
      </w:r>
    </w:p>
    <w:p w:rsidR="00E32C80" w:rsidRDefault="00E32C80" w:rsidP="00E32C80">
      <w:pPr>
        <w:pStyle w:val="ListParagraph"/>
        <w:numPr>
          <w:ilvl w:val="0"/>
          <w:numId w:val="4"/>
        </w:num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Constructing a skill based and approachable CV</w:t>
      </w:r>
    </w:p>
    <w:p w:rsidR="00E32C80" w:rsidRDefault="00663EBC" w:rsidP="00E32C80">
      <w:pPr>
        <w:pStyle w:val="ListParagraph"/>
        <w:numPr>
          <w:ilvl w:val="0"/>
          <w:numId w:val="4"/>
        </w:num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The lacking of critical thinking</w:t>
      </w:r>
    </w:p>
    <w:p w:rsidR="00E32C80" w:rsidRDefault="00E32C80" w:rsidP="00E32C80">
      <w:pPr>
        <w:pStyle w:val="ListParagraph"/>
        <w:numPr>
          <w:ilvl w:val="0"/>
          <w:numId w:val="4"/>
        </w:num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Reflective thinking and writing</w:t>
      </w:r>
    </w:p>
    <w:p w:rsidR="00E32C80" w:rsidRDefault="00E32C80" w:rsidP="00E32C80">
      <w:pPr>
        <w:pStyle w:val="ListParagraph"/>
        <w:numPr>
          <w:ilvl w:val="0"/>
          <w:numId w:val="4"/>
        </w:num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 Presentation and public speaking skills</w:t>
      </w:r>
    </w:p>
    <w:p w:rsidR="00E32C80" w:rsidRPr="00E32C80" w:rsidRDefault="00E32C80" w:rsidP="00E32C80">
      <w:pPr>
        <w:pStyle w:val="ListParagraph"/>
        <w:rPr>
          <w:rFonts w:ascii="Times New Roman" w:eastAsia="Times New Roman" w:hAnsi="Times New Roman" w:cs="Times New Roman"/>
          <w:sz w:val="36"/>
          <w:szCs w:val="36"/>
          <w:lang w:eastAsia="en-GB"/>
        </w:rPr>
      </w:pPr>
    </w:p>
    <w:p w:rsidR="00E32C80" w:rsidRDefault="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r w:rsidRPr="00E32C80">
        <w:rPr>
          <w:rFonts w:ascii="Times New Roman" w:eastAsia="Times New Roman" w:hAnsi="Times New Roman" w:cs="Times New Roman"/>
          <w:sz w:val="36"/>
          <w:szCs w:val="36"/>
          <w:lang w:eastAsia="en-GB"/>
        </w:rPr>
        <w:t xml:space="preserve">‘It is not sufficient to have an experience in order to learn. </w:t>
      </w:r>
      <w:r w:rsidR="00663EBC" w:rsidRPr="00E32C80">
        <w:rPr>
          <w:rFonts w:ascii="Times New Roman" w:eastAsia="Times New Roman" w:hAnsi="Times New Roman" w:cs="Times New Roman"/>
          <w:sz w:val="36"/>
          <w:szCs w:val="36"/>
          <w:lang w:eastAsia="en-GB"/>
        </w:rPr>
        <w:t>Without reflecting on this experienc</w:t>
      </w:r>
      <w:r w:rsidR="00663EBC">
        <w:rPr>
          <w:rFonts w:ascii="Times New Roman" w:eastAsia="Times New Roman" w:hAnsi="Times New Roman" w:cs="Times New Roman"/>
          <w:sz w:val="36"/>
          <w:szCs w:val="36"/>
          <w:lang w:eastAsia="en-GB"/>
        </w:rPr>
        <w:t>e</w:t>
      </w:r>
      <w:r w:rsidR="00663EBC" w:rsidRPr="00E32C80">
        <w:rPr>
          <w:rFonts w:ascii="Times New Roman" w:eastAsia="Times New Roman" w:hAnsi="Times New Roman" w:cs="Times New Roman"/>
          <w:sz w:val="36"/>
          <w:szCs w:val="36"/>
          <w:lang w:eastAsia="en-GB"/>
        </w:rPr>
        <w:t xml:space="preserve"> it may quickly be forgotten, or its learning potential lost.’ </w:t>
      </w:r>
      <w:r w:rsidRPr="00E32C80">
        <w:rPr>
          <w:rFonts w:ascii="Times New Roman" w:eastAsia="Times New Roman" w:hAnsi="Times New Roman" w:cs="Times New Roman"/>
          <w:sz w:val="36"/>
          <w:szCs w:val="36"/>
          <w:lang w:eastAsia="en-GB"/>
        </w:rPr>
        <w:t>(Gibbs, 1988, p9)</w:t>
      </w:r>
    </w:p>
    <w:p w:rsidR="002C5FAD" w:rsidRDefault="002C5FAD" w:rsidP="00E32C80">
      <w:pPr>
        <w:rPr>
          <w:rFonts w:ascii="Times New Roman" w:eastAsia="Times New Roman" w:hAnsi="Times New Roman" w:cs="Times New Roman"/>
          <w:sz w:val="36"/>
          <w:szCs w:val="36"/>
          <w:lang w:eastAsia="en-GB"/>
        </w:rPr>
      </w:pP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Reflective thinking is a series of logical rational steps based on the scientific method of defining, analy</w:t>
      </w:r>
      <w:r w:rsidR="00E206AE">
        <w:rPr>
          <w:color w:val="202122"/>
          <w:sz w:val="36"/>
          <w:szCs w:val="36"/>
        </w:rPr>
        <w:t>s</w:t>
      </w:r>
      <w:r w:rsidRPr="002C5FAD">
        <w:rPr>
          <w:color w:val="202122"/>
          <w:sz w:val="36"/>
          <w:szCs w:val="36"/>
        </w:rPr>
        <w:t>ing, and solving a problem.</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What is the role of reflection in the learning process?</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Students sometimes view reflective writing as an annoying interruption to the serious business of developing content knowledge in their subject area. However, there are sound reasons why reflective writing is included in student assessment.</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lastRenderedPageBreak/>
        <w:t>"Reflection is indicative of deep learning, and where teaching and learning activities such as reflection are missing… only surface learning can result." Biggs 1999 in King 2002</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Reflective writing tasks are given to students to help students learn through reflection, precisely because of the established link between reflection and deeper learning. As well as facilitating learning and monitoring learning, the intention is to produce graduates who have acquired the habit of reflection as a means of continuing to learn and grow in their professions. Reflection can lead to:</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personal growth</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professional growth</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meaningful change.</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br/>
        <w:t xml:space="preserve">"Reflection leads to growth of the individual – morally, personally, psychologically, and emotionally, as well as </w:t>
      </w:r>
      <w:proofErr w:type="spellStart"/>
      <w:r w:rsidRPr="002C5FAD">
        <w:rPr>
          <w:color w:val="202122"/>
          <w:sz w:val="36"/>
          <w:szCs w:val="36"/>
        </w:rPr>
        <w:t>cognitivel</w:t>
      </w:r>
      <w:r>
        <w:rPr>
          <w:color w:val="202122"/>
          <w:sz w:val="36"/>
          <w:szCs w:val="36"/>
        </w:rPr>
        <w:t>l</w:t>
      </w:r>
      <w:r w:rsidRPr="002C5FAD">
        <w:rPr>
          <w:color w:val="202122"/>
          <w:sz w:val="36"/>
          <w:szCs w:val="36"/>
        </w:rPr>
        <w:t>y</w:t>
      </w:r>
      <w:proofErr w:type="spellEnd"/>
      <w:r w:rsidRPr="002C5FAD">
        <w:rPr>
          <w:color w:val="202122"/>
          <w:sz w:val="36"/>
          <w:szCs w:val="36"/>
        </w:rPr>
        <w:t>"</w:t>
      </w:r>
      <w:r>
        <w:rPr>
          <w:color w:val="202122"/>
          <w:sz w:val="36"/>
          <w:szCs w:val="36"/>
        </w:rPr>
        <w:t xml:space="preserve"> </w:t>
      </w:r>
      <w:r w:rsidRPr="002C5FAD">
        <w:rPr>
          <w:color w:val="202122"/>
          <w:sz w:val="36"/>
          <w:szCs w:val="36"/>
        </w:rPr>
        <w:t>.Branch &amp; Paranjape, 2002, p. 1187</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Reflection can help you to:</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better understand your strengths and weaknesses</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identify and question your underlying values and beliefs</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acknowledge and challenge possible assumptions on which you base your ideas, feelings and actions</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recognize areas of potential bias or discrimination</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acknowledge your fears, and</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identify possible inadequacies or areas for improvement.</w:t>
      </w:r>
    </w:p>
    <w:p w:rsidR="002C5FAD" w:rsidRPr="002C5FAD" w:rsidRDefault="002C5FAD" w:rsidP="002C5FAD">
      <w:pPr>
        <w:pStyle w:val="NormalWeb"/>
        <w:shd w:val="clear" w:color="auto" w:fill="FFFFFF"/>
        <w:spacing w:before="120" w:beforeAutospacing="0" w:after="120" w:afterAutospacing="0"/>
        <w:rPr>
          <w:color w:val="202122"/>
          <w:sz w:val="36"/>
          <w:szCs w:val="36"/>
        </w:rPr>
      </w:pPr>
      <w:r w:rsidRPr="002C5FAD">
        <w:rPr>
          <w:color w:val="202122"/>
          <w:sz w:val="36"/>
          <w:szCs w:val="36"/>
        </w:rPr>
        <w:t xml:space="preserve">Reflection can lead to greater self-awareness, which in turn is a first step to positive change – it is a necessary stage in identifying areas for improvement and growth in both personal and professional contexts. Taking time to reflect can </w:t>
      </w:r>
      <w:r w:rsidRPr="002C5FAD">
        <w:rPr>
          <w:color w:val="202122"/>
          <w:sz w:val="36"/>
          <w:szCs w:val="36"/>
        </w:rPr>
        <w:lastRenderedPageBreak/>
        <w:t>help you identify approaches that have worked well, and in that way reinforce good practice."</w:t>
      </w:r>
    </w:p>
    <w:p w:rsidR="002C5FAD" w:rsidRDefault="002C5FAD"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p>
    <w:p w:rsidR="00E73A79" w:rsidRDefault="00E32C80" w:rsidP="00E73A79">
      <w:r>
        <w:rPr>
          <w:rFonts w:ascii="Times New Roman" w:eastAsia="Times New Roman" w:hAnsi="Times New Roman" w:cs="Times New Roman"/>
          <w:sz w:val="36"/>
          <w:szCs w:val="36"/>
          <w:lang w:eastAsia="en-GB"/>
        </w:rPr>
        <w:t xml:space="preserve"> I did not realised how important and handy the reflective thinking is and what exactly it is before I have joined the course. Even though I have used it, I wasn’t aware of the full usefulness of the word “reflecting”.</w:t>
      </w:r>
      <w:r w:rsidR="00E73A79" w:rsidRPr="00E73A79">
        <w:t xml:space="preserve"> </w:t>
      </w:r>
    </w:p>
    <w:p w:rsidR="00E73A79" w:rsidRPr="00E73A79" w:rsidRDefault="00E73A79" w:rsidP="00E73A79">
      <w:pPr>
        <w:rPr>
          <w:rFonts w:ascii="Times New Roman" w:eastAsia="Times New Roman" w:hAnsi="Times New Roman" w:cs="Times New Roman"/>
          <w:sz w:val="36"/>
          <w:szCs w:val="36"/>
          <w:lang w:eastAsia="en-GB"/>
        </w:rPr>
      </w:pPr>
      <w:r w:rsidRPr="00E73A79">
        <w:rPr>
          <w:rFonts w:ascii="Times New Roman" w:eastAsia="Times New Roman" w:hAnsi="Times New Roman" w:cs="Times New Roman"/>
          <w:sz w:val="36"/>
          <w:szCs w:val="36"/>
          <w:lang w:eastAsia="en-GB"/>
        </w:rPr>
        <w:t xml:space="preserve">Basic reasoning is a significant component of every single proficient field and scholarly trains (by referencing their particular arrangements of admissible inquiries, proof sources, models, and so forth.). Inside the system of logical doubt, the procedure of basic reasoning includes the cautious procurement and understanding of data and utilisation of it to arrive at an </w:t>
      </w:r>
      <w:proofErr w:type="spellStart"/>
      <w:r w:rsidRPr="00E73A79">
        <w:rPr>
          <w:rFonts w:ascii="Times New Roman" w:eastAsia="Times New Roman" w:hAnsi="Times New Roman" w:cs="Times New Roman"/>
          <w:sz w:val="36"/>
          <w:szCs w:val="36"/>
          <w:lang w:eastAsia="en-GB"/>
        </w:rPr>
        <w:t>all around</w:t>
      </w:r>
      <w:proofErr w:type="spellEnd"/>
      <w:r w:rsidRPr="00E73A79">
        <w:rPr>
          <w:rFonts w:ascii="Times New Roman" w:eastAsia="Times New Roman" w:hAnsi="Times New Roman" w:cs="Times New Roman"/>
          <w:sz w:val="36"/>
          <w:szCs w:val="36"/>
          <w:lang w:eastAsia="en-GB"/>
        </w:rPr>
        <w:t xml:space="preserve"> defended end. The ideas and standards of basic reasoning can be applied to any unique situation or case however just by reflecting upon the idea of that application. Basic reasoning structures, consequently, an arrangement of related, and covering, methods of thought, for example, anthropological reasoning, sociological reasoning, chronicled thinking, political reasoning, mental reasoning, philosophical reasoning, numerical reasoning, concoction thinking, organic reasoning, natural reasoning, legitimate reasoning, moral reasoning, melodic reasoning, taking on a similar mindset as a painter, stone worker, engineer, representative, and so on. As such, however basic reasoning standards are all inclusive, their application to disciplines requires a procedure of intelligent contextualisation. Brain science contributions, for instance, have included courses, for example, Critical Thinking about the Paranormal, in which understudies are exposed to a progression of cold readings and tried on their conviction of the "clairvoyant", who is in the end reported to be a fake.</w:t>
      </w:r>
    </w:p>
    <w:p w:rsidR="00E73A79" w:rsidRPr="00E73A79" w:rsidRDefault="00E73A79" w:rsidP="00E73A79">
      <w:pPr>
        <w:rPr>
          <w:rFonts w:ascii="Times New Roman" w:eastAsia="Times New Roman" w:hAnsi="Times New Roman" w:cs="Times New Roman"/>
          <w:sz w:val="36"/>
          <w:szCs w:val="36"/>
          <w:lang w:eastAsia="en-GB"/>
        </w:rPr>
      </w:pPr>
    </w:p>
    <w:p w:rsidR="00E73A79" w:rsidRPr="00E73A79" w:rsidRDefault="00E73A79" w:rsidP="00E73A79">
      <w:pPr>
        <w:rPr>
          <w:rFonts w:ascii="Times New Roman" w:eastAsia="Times New Roman" w:hAnsi="Times New Roman" w:cs="Times New Roman"/>
          <w:sz w:val="36"/>
          <w:szCs w:val="36"/>
          <w:lang w:eastAsia="en-GB"/>
        </w:rPr>
      </w:pPr>
      <w:r w:rsidRPr="00E73A79">
        <w:rPr>
          <w:rFonts w:ascii="Times New Roman" w:eastAsia="Times New Roman" w:hAnsi="Times New Roman" w:cs="Times New Roman"/>
          <w:sz w:val="36"/>
          <w:szCs w:val="36"/>
          <w:lang w:eastAsia="en-GB"/>
        </w:rPr>
        <w:t xml:space="preserve">Basic reasoning is viewed as significant in the scholarly fields for empowering one to investigate, assess, clarify, and rebuild thinking, in this manner guaranteeing the demonstration of deduction without deception. In any case, even with information on the techniques for intelligent request and thinking, botches happen, and because of a mastermind's failure to apply the system reliably, and as a result of overruling character attributes, for example, egocentrism. Basic reasoning incorporates ID of preference, inclination, promulgation, self-duplicity, twisting, deception, etc </w:t>
      </w:r>
    </w:p>
    <w:p w:rsidR="00E73A79" w:rsidRPr="00E73A79" w:rsidRDefault="00E73A79" w:rsidP="00E73A79">
      <w:pPr>
        <w:rPr>
          <w:rFonts w:ascii="Times New Roman" w:eastAsia="Times New Roman" w:hAnsi="Times New Roman" w:cs="Times New Roman"/>
          <w:sz w:val="36"/>
          <w:szCs w:val="36"/>
          <w:lang w:eastAsia="en-GB"/>
        </w:rPr>
      </w:pPr>
    </w:p>
    <w:p w:rsidR="00E32C80" w:rsidRDefault="00E73A79" w:rsidP="00E32C80">
      <w:pPr>
        <w:rPr>
          <w:rFonts w:ascii="Times New Roman" w:eastAsia="Times New Roman" w:hAnsi="Times New Roman" w:cs="Times New Roman"/>
          <w:sz w:val="36"/>
          <w:szCs w:val="36"/>
          <w:lang w:eastAsia="en-GB"/>
        </w:rPr>
      </w:pPr>
      <w:r w:rsidRPr="00E73A79">
        <w:rPr>
          <w:rFonts w:ascii="Times New Roman" w:eastAsia="Times New Roman" w:hAnsi="Times New Roman" w:cs="Times New Roman"/>
          <w:sz w:val="36"/>
          <w:szCs w:val="36"/>
          <w:lang w:eastAsia="en-GB"/>
        </w:rPr>
        <w:t>Basic reasoning abilities can be utilised to help medical caretakers during the appraisal procedure. Using basic reasoning</w:t>
      </w:r>
      <w:r>
        <w:rPr>
          <w:rFonts w:ascii="Times New Roman" w:eastAsia="Times New Roman" w:hAnsi="Times New Roman" w:cs="Times New Roman"/>
          <w:sz w:val="36"/>
          <w:szCs w:val="36"/>
          <w:lang w:eastAsia="en-GB"/>
        </w:rPr>
        <w:t xml:space="preserve"> one</w:t>
      </w:r>
      <w:r w:rsidRPr="00E73A79">
        <w:rPr>
          <w:rFonts w:ascii="Times New Roman" w:eastAsia="Times New Roman" w:hAnsi="Times New Roman" w:cs="Times New Roman"/>
          <w:sz w:val="36"/>
          <w:szCs w:val="36"/>
          <w:lang w:eastAsia="en-GB"/>
        </w:rPr>
        <w:t xml:space="preserve"> can address, assess, and recreate </w:t>
      </w:r>
      <w:r>
        <w:rPr>
          <w:rFonts w:ascii="Times New Roman" w:eastAsia="Times New Roman" w:hAnsi="Times New Roman" w:cs="Times New Roman"/>
          <w:sz w:val="36"/>
          <w:szCs w:val="36"/>
          <w:lang w:eastAsia="en-GB"/>
        </w:rPr>
        <w:t xml:space="preserve">to </w:t>
      </w:r>
      <w:proofErr w:type="spellStart"/>
      <w:r w:rsidRPr="00E73A79">
        <w:rPr>
          <w:rFonts w:ascii="Times New Roman" w:eastAsia="Times New Roman" w:hAnsi="Times New Roman" w:cs="Times New Roman"/>
          <w:sz w:val="36"/>
          <w:szCs w:val="36"/>
          <w:lang w:eastAsia="en-GB"/>
        </w:rPr>
        <w:t>built</w:t>
      </w:r>
      <w:proofErr w:type="spellEnd"/>
      <w:r w:rsidRPr="00E73A79">
        <w:rPr>
          <w:rFonts w:ascii="Times New Roman" w:eastAsia="Times New Roman" w:hAnsi="Times New Roman" w:cs="Times New Roman"/>
          <w:sz w:val="36"/>
          <w:szCs w:val="36"/>
          <w:lang w:eastAsia="en-GB"/>
        </w:rPr>
        <w:t xml:space="preserve"> up hypothesis and practice. Basic reasoning abilities can help medical caretakers issue explain, reflect, and settle on a definitive choice about the present circumstance they face. Basic reasoning makes "additional opportunities for the advancement of the nursing </w:t>
      </w:r>
      <w:proofErr w:type="spellStart"/>
      <w:r w:rsidRPr="00E73A79">
        <w:rPr>
          <w:rFonts w:ascii="Times New Roman" w:eastAsia="Times New Roman" w:hAnsi="Times New Roman" w:cs="Times New Roman"/>
          <w:sz w:val="36"/>
          <w:szCs w:val="36"/>
          <w:lang w:eastAsia="en-GB"/>
        </w:rPr>
        <w:t>knowledge</w:t>
      </w:r>
      <w:r w:rsidR="00EE1B2B">
        <w:rPr>
          <w:rFonts w:ascii="Times New Roman" w:eastAsia="Times New Roman" w:hAnsi="Times New Roman" w:cs="Times New Roman"/>
          <w:sz w:val="36"/>
          <w:szCs w:val="36"/>
          <w:lang w:eastAsia="en-GB"/>
        </w:rPr>
        <w:t>.</w:t>
      </w:r>
      <w:r w:rsidR="00E32C80">
        <w:rPr>
          <w:rFonts w:ascii="Times New Roman" w:eastAsia="Times New Roman" w:hAnsi="Times New Roman" w:cs="Times New Roman"/>
          <w:sz w:val="36"/>
          <w:szCs w:val="36"/>
          <w:lang w:eastAsia="en-GB"/>
        </w:rPr>
        <w:t>The</w:t>
      </w:r>
      <w:proofErr w:type="spellEnd"/>
      <w:r w:rsidR="00E32C80">
        <w:rPr>
          <w:rFonts w:ascii="Times New Roman" w:eastAsia="Times New Roman" w:hAnsi="Times New Roman" w:cs="Times New Roman"/>
          <w:sz w:val="36"/>
          <w:szCs w:val="36"/>
          <w:lang w:eastAsia="en-GB"/>
        </w:rPr>
        <w:t xml:space="preserve"> cover letter seemed irrelevant to me before I decide to start studying.</w:t>
      </w:r>
    </w:p>
    <w:p w:rsidR="00E32C80" w:rsidRDefault="00E32C80" w:rsidP="00E32C80">
      <w:pPr>
        <w:rPr>
          <w:rFonts w:ascii="Times New Roman" w:eastAsia="Times New Roman" w:hAnsi="Times New Roman" w:cs="Times New Roman"/>
          <w:sz w:val="36"/>
          <w:szCs w:val="36"/>
          <w:lang w:eastAsia="en-GB"/>
        </w:rPr>
      </w:pPr>
      <w:r w:rsidRPr="00E32C80">
        <w:rPr>
          <w:rFonts w:ascii="Times New Roman" w:eastAsia="Times New Roman" w:hAnsi="Times New Roman" w:cs="Times New Roman"/>
          <w:sz w:val="36"/>
          <w:szCs w:val="36"/>
          <w:lang w:eastAsia="en-GB"/>
        </w:rPr>
        <w:t>But what about the cover letter?</w:t>
      </w: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 have found during classes that</w:t>
      </w:r>
      <w:r w:rsidRPr="00E32C80">
        <w:rPr>
          <w:rFonts w:ascii="Times New Roman" w:eastAsia="Times New Roman" w:hAnsi="Times New Roman" w:cs="Times New Roman"/>
          <w:sz w:val="36"/>
          <w:szCs w:val="36"/>
          <w:lang w:eastAsia="en-GB"/>
        </w:rPr>
        <w:t xml:space="preserve">, as the first contact with the employer, this document </w:t>
      </w:r>
      <w:r>
        <w:rPr>
          <w:rFonts w:ascii="Times New Roman" w:eastAsia="Times New Roman" w:hAnsi="Times New Roman" w:cs="Times New Roman"/>
          <w:sz w:val="36"/>
          <w:szCs w:val="36"/>
          <w:lang w:eastAsia="en-GB"/>
        </w:rPr>
        <w:t>will</w:t>
      </w:r>
      <w:r w:rsidRPr="00E32C80">
        <w:rPr>
          <w:rFonts w:ascii="Times New Roman" w:eastAsia="Times New Roman" w:hAnsi="Times New Roman" w:cs="Times New Roman"/>
          <w:sz w:val="36"/>
          <w:szCs w:val="36"/>
          <w:lang w:eastAsia="en-GB"/>
        </w:rPr>
        <w:t xml:space="preserve">  have a major impact (good or bad) on that employer’s initial impression of your candidacy</w:t>
      </w:r>
      <w:r>
        <w:rPr>
          <w:rFonts w:ascii="Times New Roman" w:eastAsia="Times New Roman" w:hAnsi="Times New Roman" w:cs="Times New Roman"/>
          <w:sz w:val="36"/>
          <w:szCs w:val="36"/>
          <w:lang w:eastAsia="en-GB"/>
        </w:rPr>
        <w:t>.</w:t>
      </w:r>
      <w:r w:rsidRPr="00E32C80">
        <w:rPr>
          <w:rFonts w:ascii="Times New Roman" w:eastAsia="Times New Roman" w:hAnsi="Times New Roman" w:cs="Times New Roman"/>
          <w:sz w:val="36"/>
          <w:szCs w:val="36"/>
          <w:lang w:eastAsia="en-GB"/>
        </w:rPr>
        <w:t xml:space="preserve"> The cover letter can have a </w:t>
      </w:r>
      <w:r>
        <w:rPr>
          <w:rFonts w:ascii="Times New Roman" w:eastAsia="Times New Roman" w:hAnsi="Times New Roman" w:cs="Times New Roman"/>
          <w:sz w:val="36"/>
          <w:szCs w:val="36"/>
          <w:lang w:eastAsia="en-GB"/>
        </w:rPr>
        <w:t>great</w:t>
      </w:r>
      <w:r w:rsidRPr="00E32C80">
        <w:rPr>
          <w:rFonts w:ascii="Times New Roman" w:eastAsia="Times New Roman" w:hAnsi="Times New Roman" w:cs="Times New Roman"/>
          <w:sz w:val="36"/>
          <w:szCs w:val="36"/>
          <w:lang w:eastAsia="en-GB"/>
        </w:rPr>
        <w:t xml:space="preserve"> impact on the outcome of the application process. If well written, it can create </w:t>
      </w:r>
      <w:r>
        <w:rPr>
          <w:rFonts w:ascii="Times New Roman" w:eastAsia="Times New Roman" w:hAnsi="Times New Roman" w:cs="Times New Roman"/>
          <w:sz w:val="36"/>
          <w:szCs w:val="36"/>
          <w:lang w:eastAsia="en-GB"/>
        </w:rPr>
        <w:t xml:space="preserve">an impression </w:t>
      </w:r>
      <w:r w:rsidRPr="00E32C80">
        <w:rPr>
          <w:rFonts w:ascii="Times New Roman" w:eastAsia="Times New Roman" w:hAnsi="Times New Roman" w:cs="Times New Roman"/>
          <w:sz w:val="36"/>
          <w:szCs w:val="36"/>
          <w:lang w:eastAsia="en-GB"/>
        </w:rPr>
        <w:t xml:space="preserve"> and interest in your employment candidacy, </w:t>
      </w:r>
      <w:r>
        <w:rPr>
          <w:rFonts w:ascii="Times New Roman" w:eastAsia="Times New Roman" w:hAnsi="Times New Roman" w:cs="Times New Roman"/>
          <w:sz w:val="36"/>
          <w:szCs w:val="36"/>
          <w:lang w:eastAsia="en-GB"/>
        </w:rPr>
        <w:t xml:space="preserve">persuading </w:t>
      </w:r>
      <w:r w:rsidRPr="00E32C80">
        <w:rPr>
          <w:rFonts w:ascii="Times New Roman" w:eastAsia="Times New Roman" w:hAnsi="Times New Roman" w:cs="Times New Roman"/>
          <w:sz w:val="36"/>
          <w:szCs w:val="36"/>
          <w:lang w:eastAsia="en-GB"/>
        </w:rPr>
        <w:t xml:space="preserve"> the employer to invite you for an interview. On the other hand, if poorly written, it can prove immediately </w:t>
      </w:r>
      <w:r>
        <w:rPr>
          <w:rFonts w:ascii="Times New Roman" w:eastAsia="Times New Roman" w:hAnsi="Times New Roman" w:cs="Times New Roman"/>
          <w:sz w:val="36"/>
          <w:szCs w:val="36"/>
          <w:lang w:eastAsia="en-GB"/>
        </w:rPr>
        <w:t xml:space="preserve">deadly </w:t>
      </w:r>
      <w:r w:rsidRPr="00E32C80">
        <w:rPr>
          <w:rFonts w:ascii="Times New Roman" w:eastAsia="Times New Roman" w:hAnsi="Times New Roman" w:cs="Times New Roman"/>
          <w:sz w:val="36"/>
          <w:szCs w:val="36"/>
          <w:lang w:eastAsia="en-GB"/>
        </w:rPr>
        <w:t>well-or</w:t>
      </w:r>
      <w:r>
        <w:rPr>
          <w:rFonts w:ascii="Times New Roman" w:eastAsia="Times New Roman" w:hAnsi="Times New Roman" w:cs="Times New Roman"/>
          <w:sz w:val="36"/>
          <w:szCs w:val="36"/>
          <w:lang w:eastAsia="en-GB"/>
        </w:rPr>
        <w:t>ganised</w:t>
      </w:r>
      <w:r w:rsidRPr="00E32C80">
        <w:rPr>
          <w:rFonts w:ascii="Times New Roman" w:eastAsia="Times New Roman" w:hAnsi="Times New Roman" w:cs="Times New Roman"/>
          <w:sz w:val="36"/>
          <w:szCs w:val="36"/>
          <w:lang w:eastAsia="en-GB"/>
        </w:rPr>
        <w:t xml:space="preserve"> job-hunting. </w:t>
      </w:r>
    </w:p>
    <w:p w:rsidR="00E32C80" w:rsidRDefault="00E32C80" w:rsidP="00E32C80">
      <w:pPr>
        <w:rPr>
          <w:rFonts w:ascii="Times New Roman" w:eastAsia="Times New Roman" w:hAnsi="Times New Roman" w:cs="Times New Roman"/>
          <w:sz w:val="36"/>
          <w:szCs w:val="36"/>
          <w:lang w:eastAsia="en-GB"/>
        </w:rPr>
      </w:pP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lastRenderedPageBreak/>
        <w:t>I have come to realise that the CV  I have created thought to be an average rate of success and used over the years to apply for jobs was absolutely bad.</w:t>
      </w:r>
    </w:p>
    <w:p w:rsidR="00E32C80" w:rsidRDefault="00E32C80"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It fell short of almost every paragraph passed and eventually researched during the module length.</w:t>
      </w:r>
    </w:p>
    <w:p w:rsidR="00E206AE" w:rsidRDefault="00E206AE" w:rsidP="00E32C80">
      <w:pPr>
        <w:rPr>
          <w:rFonts w:ascii="Times New Roman" w:eastAsia="Times New Roman" w:hAnsi="Times New Roman" w:cs="Times New Roman"/>
          <w:sz w:val="36"/>
          <w:szCs w:val="36"/>
          <w:lang w:eastAsia="en-GB"/>
        </w:rPr>
      </w:pPr>
    </w:p>
    <w:p w:rsidR="00E206AE" w:rsidRDefault="00E206AE"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 have learned where my weak spots were and how to improve them.</w:t>
      </w:r>
    </w:p>
    <w:p w:rsidR="00E206AE" w:rsidRDefault="00E206AE" w:rsidP="00E32C80">
      <w:pPr>
        <w:rPr>
          <w:rFonts w:ascii="Times New Roman" w:eastAsia="Times New Roman" w:hAnsi="Times New Roman" w:cs="Times New Roman"/>
          <w:sz w:val="36"/>
          <w:szCs w:val="36"/>
          <w:lang w:eastAsia="en-GB"/>
        </w:rPr>
      </w:pPr>
    </w:p>
    <w:p w:rsidR="00E206AE" w:rsidRDefault="00E206AE" w:rsidP="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In the matter of public speaking and presentation skill I was literally naked- I have never had to present in front of an audience or address anyone on any subject before but during the classes and the practice we did I can now say that I have made the first steps in to the matter which improved my confidence.</w:t>
      </w:r>
    </w:p>
    <w:p w:rsidR="001B58C4" w:rsidRPr="001B58C4" w:rsidRDefault="001B58C4" w:rsidP="001B58C4">
      <w:pPr>
        <w:rPr>
          <w:rFonts w:ascii="Times New Roman" w:eastAsia="Times New Roman" w:hAnsi="Times New Roman" w:cs="Times New Roman"/>
          <w:sz w:val="36"/>
          <w:szCs w:val="36"/>
          <w:lang w:eastAsia="en-GB"/>
        </w:rPr>
      </w:pPr>
      <w:r w:rsidRPr="001B58C4">
        <w:rPr>
          <w:rFonts w:ascii="Times New Roman" w:eastAsia="Times New Roman" w:hAnsi="Times New Roman" w:cs="Times New Roman"/>
          <w:sz w:val="36"/>
          <w:szCs w:val="36"/>
          <w:lang w:eastAsia="en-GB"/>
        </w:rPr>
        <w:t>Open talking can effectively transmit data, recounting to a story, propelling individuals to act or empowering individuals. This sort of discourse is intentionally organized with three general purposes: to illuminate, to convince and to engage. Knowing when open talking is best and how it is done appropriately are vital to understanding the significance of it.</w:t>
      </w:r>
    </w:p>
    <w:p w:rsidR="001B58C4" w:rsidRPr="001B58C4" w:rsidRDefault="001B58C4" w:rsidP="001B58C4">
      <w:pPr>
        <w:rPr>
          <w:rFonts w:ascii="Times New Roman" w:eastAsia="Times New Roman" w:hAnsi="Times New Roman" w:cs="Times New Roman"/>
          <w:sz w:val="36"/>
          <w:szCs w:val="36"/>
          <w:lang w:eastAsia="en-GB"/>
        </w:rPr>
      </w:pPr>
    </w:p>
    <w:p w:rsidR="00E206AE" w:rsidRDefault="001B58C4" w:rsidP="001B58C4">
      <w:pPr>
        <w:rPr>
          <w:rFonts w:ascii="Times New Roman" w:eastAsia="Times New Roman" w:hAnsi="Times New Roman" w:cs="Times New Roman"/>
          <w:sz w:val="36"/>
          <w:szCs w:val="36"/>
          <w:lang w:eastAsia="en-GB"/>
        </w:rPr>
      </w:pPr>
      <w:r w:rsidRPr="001B58C4">
        <w:rPr>
          <w:rFonts w:ascii="Times New Roman" w:eastAsia="Times New Roman" w:hAnsi="Times New Roman" w:cs="Times New Roman"/>
          <w:sz w:val="36"/>
          <w:szCs w:val="36"/>
          <w:lang w:eastAsia="en-GB"/>
        </w:rPr>
        <w:t>Open representing business and business occasions is regularly done by experts. These speakers can be contracted autonomously, through portrayal by a speakers agency, or by different methods. Open talking assumes a huge job in the expert world. Truth be told, it is accepted that 70 percent of all occupations include some type of open speaking.</w:t>
      </w:r>
    </w:p>
    <w:p w:rsidR="001B58C4" w:rsidRDefault="001B58C4" w:rsidP="001B58C4">
      <w:pPr>
        <w:rPr>
          <w:rFonts w:ascii="Times New Roman" w:eastAsia="Times New Roman" w:hAnsi="Times New Roman" w:cs="Times New Roman"/>
          <w:sz w:val="36"/>
          <w:szCs w:val="36"/>
          <w:lang w:eastAsia="en-GB"/>
        </w:rPr>
      </w:pPr>
    </w:p>
    <w:p w:rsidR="001B58C4" w:rsidRDefault="00004DE0" w:rsidP="001B58C4">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Another crucial bit I have come to learn is what is the meaning of gathering, analysing and processing data/information.</w:t>
      </w:r>
    </w:p>
    <w:p w:rsidR="00004DE0" w:rsidRDefault="00004DE0" w:rsidP="001B58C4">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It was something knew briefly before joining the course.</w:t>
      </w:r>
    </w:p>
    <w:p w:rsidR="00004DE0" w:rsidRDefault="00004DE0" w:rsidP="001B58C4">
      <w:pPr>
        <w:rPr>
          <w:rFonts w:ascii="Times New Roman" w:eastAsia="Times New Roman" w:hAnsi="Times New Roman" w:cs="Times New Roman"/>
          <w:sz w:val="36"/>
          <w:szCs w:val="36"/>
          <w:lang w:eastAsia="en-GB"/>
        </w:rPr>
      </w:pPr>
    </w:p>
    <w:p w:rsidR="00004DE0" w:rsidRDefault="00004DE0" w:rsidP="001B58C4">
      <w:pPr>
        <w:rPr>
          <w:rFonts w:ascii="Times New Roman" w:eastAsia="Times New Roman" w:hAnsi="Times New Roman" w:cs="Times New Roman"/>
          <w:sz w:val="36"/>
          <w:szCs w:val="36"/>
          <w:lang w:eastAsia="en-GB"/>
        </w:rPr>
      </w:pPr>
      <w:r w:rsidRPr="00004DE0">
        <w:rPr>
          <w:rFonts w:ascii="Times New Roman" w:eastAsia="Times New Roman" w:hAnsi="Times New Roman" w:cs="Times New Roman"/>
          <w:sz w:val="36"/>
          <w:szCs w:val="36"/>
          <w:lang w:eastAsia="en-GB"/>
        </w:rPr>
        <w:t>Information assortment is the way toward social event and estimating data on focused factors in a set up framework, which at that point empowers one to address significant inquiries and assess results. Information assortment is a part of research in all fields of study including physical and sociologies, humanities, and business. While strategies fluctuate by discipline, the accentuation on guaranteeing exact and fair assortment continues as before. The objective for all information assortment is to catch quality proof that permits examination to prompt the plan of persuading and tenable responses to the inquiries that have been presented.</w:t>
      </w:r>
    </w:p>
    <w:p w:rsidR="00004DE0" w:rsidRDefault="00004DE0" w:rsidP="001B58C4">
      <w:pPr>
        <w:rPr>
          <w:rFonts w:ascii="Times New Roman" w:eastAsia="Times New Roman" w:hAnsi="Times New Roman" w:cs="Times New Roman"/>
          <w:sz w:val="36"/>
          <w:szCs w:val="36"/>
          <w:lang w:eastAsia="en-GB"/>
        </w:rPr>
      </w:pPr>
    </w:p>
    <w:p w:rsidR="00004DE0" w:rsidRDefault="00004DE0" w:rsidP="001B58C4">
      <w:pPr>
        <w:rPr>
          <w:rFonts w:ascii="Times New Roman" w:eastAsia="Times New Roman" w:hAnsi="Times New Roman" w:cs="Times New Roman"/>
          <w:sz w:val="36"/>
          <w:szCs w:val="36"/>
          <w:lang w:eastAsia="en-GB"/>
        </w:rPr>
      </w:pPr>
    </w:p>
    <w:p w:rsidR="00004DE0" w:rsidRDefault="00004DE0" w:rsidP="00004DE0">
      <w:pPr>
        <w:rPr>
          <w:rFonts w:ascii="Times New Roman" w:eastAsia="Times New Roman" w:hAnsi="Times New Roman" w:cs="Times New Roman"/>
          <w:color w:val="202122"/>
          <w:sz w:val="36"/>
          <w:szCs w:val="36"/>
          <w:shd w:val="clear" w:color="auto" w:fill="FFFFFF"/>
          <w:lang w:eastAsia="en-GB"/>
        </w:rPr>
      </w:pPr>
      <w:r w:rsidRPr="00004DE0">
        <w:rPr>
          <w:rFonts w:ascii="Times New Roman" w:eastAsia="Times New Roman" w:hAnsi="Times New Roman" w:cs="Times New Roman"/>
          <w:color w:val="202122"/>
          <w:sz w:val="36"/>
          <w:szCs w:val="36"/>
          <w:shd w:val="clear" w:color="auto" w:fill="FFFFFF"/>
          <w:lang w:eastAsia="en-GB"/>
        </w:rPr>
        <w:t xml:space="preserve">There are several proposed models or theories that describe the way in which we process information. Every individual has different information overload point with same information load, because individuals have different information-processing capacity (Eppler and </w:t>
      </w:r>
      <w:proofErr w:type="spellStart"/>
      <w:r w:rsidRPr="00004DE0">
        <w:rPr>
          <w:rFonts w:ascii="Times New Roman" w:eastAsia="Times New Roman" w:hAnsi="Times New Roman" w:cs="Times New Roman"/>
          <w:color w:val="202122"/>
          <w:sz w:val="36"/>
          <w:szCs w:val="36"/>
          <w:shd w:val="clear" w:color="auto" w:fill="FFFFFF"/>
          <w:lang w:eastAsia="en-GB"/>
        </w:rPr>
        <w:t>Mengis</w:t>
      </w:r>
      <w:proofErr w:type="spellEnd"/>
      <w:r w:rsidRPr="00004DE0">
        <w:rPr>
          <w:rFonts w:ascii="Times New Roman" w:eastAsia="Times New Roman" w:hAnsi="Times New Roman" w:cs="Times New Roman"/>
          <w:color w:val="202122"/>
          <w:sz w:val="36"/>
          <w:szCs w:val="36"/>
          <w:shd w:val="clear" w:color="auto" w:fill="FFFFFF"/>
          <w:lang w:eastAsia="en-GB"/>
        </w:rPr>
        <w:t>, 2004)</w:t>
      </w:r>
    </w:p>
    <w:p w:rsidR="00004DE0" w:rsidRDefault="00004DE0" w:rsidP="00004DE0">
      <w:pPr>
        <w:rPr>
          <w:rFonts w:ascii="Times New Roman" w:eastAsia="Times New Roman" w:hAnsi="Times New Roman" w:cs="Times New Roman"/>
          <w:color w:val="202122"/>
          <w:sz w:val="36"/>
          <w:szCs w:val="36"/>
          <w:shd w:val="clear" w:color="auto" w:fill="FFFFFF"/>
          <w:lang w:eastAsia="en-GB"/>
        </w:rPr>
      </w:pPr>
    </w:p>
    <w:p w:rsidR="00004DE0" w:rsidRPr="00004DE0" w:rsidRDefault="00004DE0" w:rsidP="00004DE0">
      <w:pPr>
        <w:rPr>
          <w:rFonts w:ascii="Times New Roman" w:eastAsia="Times New Roman" w:hAnsi="Times New Roman" w:cs="Times New Roman"/>
          <w:sz w:val="36"/>
          <w:szCs w:val="36"/>
          <w:lang w:eastAsia="en-GB"/>
        </w:rPr>
      </w:pPr>
    </w:p>
    <w:p w:rsidR="00004DE0" w:rsidRDefault="00004DE0" w:rsidP="001B58C4">
      <w:pPr>
        <w:rPr>
          <w:rFonts w:ascii="Times New Roman" w:eastAsia="Times New Roman" w:hAnsi="Times New Roman" w:cs="Times New Roman"/>
          <w:sz w:val="36"/>
          <w:szCs w:val="36"/>
          <w:lang w:eastAsia="en-GB"/>
        </w:rPr>
      </w:pPr>
    </w:p>
    <w:p w:rsidR="00E32C80" w:rsidRDefault="0038519C" w:rsidP="00E32C80">
      <w:pPr>
        <w:rPr>
          <w:rFonts w:ascii="Times New Roman" w:eastAsia="Times New Roman" w:hAnsi="Times New Roman" w:cs="Times New Roman"/>
          <w:sz w:val="36"/>
          <w:szCs w:val="36"/>
          <w:lang w:eastAsia="en-GB"/>
        </w:rPr>
      </w:pPr>
      <w:r w:rsidRPr="0038519C">
        <w:rPr>
          <w:rFonts w:ascii="Times New Roman" w:eastAsia="Times New Roman" w:hAnsi="Times New Roman" w:cs="Times New Roman"/>
          <w:sz w:val="36"/>
          <w:szCs w:val="36"/>
          <w:lang w:eastAsia="en-GB"/>
        </w:rPr>
        <w:t xml:space="preserve">Sternberg's hypothesis of knowledge is comprised of three unique parts: inventive, expository, and down to earth capacities (Sternberg and Sternberg, 2012). Inventiveness is the capacity to have new unique thoughts, and being explanatory can enable an individual to choose whether the thought is a decent one or not. "Functional capacities are utilised to actualise the thoughts and convince others of their worth" (Sternberg and Sternberg, 2012 p. 21). In Sternberg's hypothesis is comprehension and with that is data preparing. In Sternberg's hypothesis, he says that data preparing is comprised of three distinct parts,  execution segments, and </w:t>
      </w:r>
      <w:r w:rsidRPr="0038519C">
        <w:rPr>
          <w:rFonts w:ascii="Times New Roman" w:eastAsia="Times New Roman" w:hAnsi="Times New Roman" w:cs="Times New Roman"/>
          <w:sz w:val="36"/>
          <w:szCs w:val="36"/>
          <w:lang w:eastAsia="en-GB"/>
        </w:rPr>
        <w:lastRenderedPageBreak/>
        <w:t xml:space="preserve">information obtaining segments (Sternberg and Sternberg, 2012). These procedures move from higher-request official capacities to bring down request capacities. </w:t>
      </w:r>
      <w:proofErr w:type="spellStart"/>
      <w:r w:rsidRPr="0038519C">
        <w:rPr>
          <w:rFonts w:ascii="Times New Roman" w:eastAsia="Times New Roman" w:hAnsi="Times New Roman" w:cs="Times New Roman"/>
          <w:sz w:val="36"/>
          <w:szCs w:val="36"/>
          <w:lang w:eastAsia="en-GB"/>
        </w:rPr>
        <w:t>Meta</w:t>
      </w:r>
      <w:proofErr w:type="spellEnd"/>
      <w:r>
        <w:rPr>
          <w:rFonts w:ascii="Times New Roman" w:eastAsia="Times New Roman" w:hAnsi="Times New Roman" w:cs="Times New Roman"/>
          <w:sz w:val="36"/>
          <w:szCs w:val="36"/>
          <w:lang w:eastAsia="en-GB"/>
        </w:rPr>
        <w:t xml:space="preserve"> </w:t>
      </w:r>
      <w:r w:rsidRPr="0038519C">
        <w:rPr>
          <w:rFonts w:ascii="Times New Roman" w:eastAsia="Times New Roman" w:hAnsi="Times New Roman" w:cs="Times New Roman"/>
          <w:sz w:val="36"/>
          <w:szCs w:val="36"/>
          <w:lang w:eastAsia="en-GB"/>
        </w:rPr>
        <w:t>components are utilised for arranging and assessing issues, while execution parts follow the sets of the , and the information procurement segment figures out how to take care of the issues (Sternberg and Sternberg, 2012). This hypothesis in real life can be clarified by chipping away at a craftsmanship venture. First is a choice about what to draw, at that point an arrangement and a sketch. During this procedure there is synchronous checking of the procedure, and whether it is creating the ideal achievement. Every one of these means  preparing, and the exhibition part is the workmanship. The information procurement partition is the learning or improving drawing aptitudes.</w:t>
      </w:r>
    </w:p>
    <w:p w:rsidR="0038519C" w:rsidRDefault="0038519C" w:rsidP="00E32C80">
      <w:pPr>
        <w:rPr>
          <w:rFonts w:ascii="Times New Roman" w:eastAsia="Times New Roman" w:hAnsi="Times New Roman" w:cs="Times New Roman"/>
          <w:sz w:val="36"/>
          <w:szCs w:val="36"/>
          <w:lang w:eastAsia="en-GB"/>
        </w:rPr>
      </w:pPr>
    </w:p>
    <w:p w:rsidR="0038519C" w:rsidRDefault="0038519C" w:rsidP="00E32C80">
      <w:pPr>
        <w:rPr>
          <w:rFonts w:ascii="Times New Roman" w:eastAsia="Times New Roman" w:hAnsi="Times New Roman" w:cs="Times New Roman"/>
          <w:sz w:val="36"/>
          <w:szCs w:val="36"/>
          <w:lang w:eastAsia="en-GB"/>
        </w:rPr>
      </w:pPr>
    </w:p>
    <w:p w:rsidR="00E32C80" w:rsidRPr="00E32C80" w:rsidRDefault="00E32C80" w:rsidP="00E32C80">
      <w:pPr>
        <w:rPr>
          <w:rFonts w:ascii="Times New Roman" w:eastAsia="Times New Roman" w:hAnsi="Times New Roman" w:cs="Times New Roman"/>
          <w:sz w:val="36"/>
          <w:szCs w:val="36"/>
          <w:lang w:eastAsia="en-GB"/>
        </w:rPr>
      </w:pPr>
    </w:p>
    <w:p w:rsidR="00E32C80" w:rsidRPr="00E32C80" w:rsidRDefault="0038519C" w:rsidP="00E32C80">
      <w:pPr>
        <w:rPr>
          <w:rFonts w:ascii="Times New Roman" w:eastAsia="Times New Roman" w:hAnsi="Times New Roman" w:cs="Times New Roman"/>
          <w:sz w:val="36"/>
          <w:szCs w:val="36"/>
          <w:lang w:eastAsia="en-GB"/>
        </w:rPr>
      </w:pPr>
      <w:r w:rsidRPr="0038519C">
        <w:rPr>
          <w:rFonts w:ascii="Times New Roman" w:eastAsia="Times New Roman" w:hAnsi="Times New Roman" w:cs="Times New Roman"/>
          <w:sz w:val="36"/>
          <w:szCs w:val="36"/>
          <w:lang w:eastAsia="en-GB"/>
        </w:rPr>
        <w:t xml:space="preserve">Data handling might be vertical or level, both of which might be brought together or decentralised. The level circulated handling approach of the mid-1980s got well known under the name connectionism. The connectionist arrange is comprised of various hubs, and it works by a "preparing impact," and this happens when a "prime hub initiates an associated hub" (Sternberg and Sternberg, 2012). Yet, "not at all like in semantic systems, it's anything but a solitary hub that has a particular significance, yet rather the information is spoken to in a mix of distinctively actuated nodes"(Goldstein, as </w:t>
      </w:r>
      <w:proofErr w:type="spellStart"/>
      <w:r w:rsidRPr="0038519C">
        <w:rPr>
          <w:rFonts w:ascii="Times New Roman" w:eastAsia="Times New Roman" w:hAnsi="Times New Roman" w:cs="Times New Roman"/>
          <w:sz w:val="36"/>
          <w:szCs w:val="36"/>
          <w:lang w:eastAsia="en-GB"/>
        </w:rPr>
        <w:t>reffered</w:t>
      </w:r>
      <w:proofErr w:type="spellEnd"/>
      <w:r w:rsidRPr="0038519C">
        <w:rPr>
          <w:rFonts w:ascii="Times New Roman" w:eastAsia="Times New Roman" w:hAnsi="Times New Roman" w:cs="Times New Roman"/>
          <w:sz w:val="36"/>
          <w:szCs w:val="36"/>
          <w:lang w:eastAsia="en-GB"/>
        </w:rPr>
        <w:t xml:space="preserve"> to in Sternberg, 2012).</w:t>
      </w:r>
    </w:p>
    <w:p w:rsidR="00E32C80" w:rsidRPr="00E32C80" w:rsidRDefault="00E32C80">
      <w:pPr>
        <w:rPr>
          <w:rFonts w:ascii="Times New Roman" w:eastAsia="Times New Roman" w:hAnsi="Times New Roman" w:cs="Times New Roman"/>
          <w:sz w:val="36"/>
          <w:szCs w:val="36"/>
          <w:lang w:eastAsia="en-GB"/>
        </w:rPr>
      </w:pPr>
      <w:r w:rsidRPr="00E32C80">
        <w:rPr>
          <w:rFonts w:ascii="Times New Roman" w:eastAsia="Times New Roman" w:hAnsi="Times New Roman" w:cs="Times New Roman"/>
          <w:sz w:val="36"/>
          <w:szCs w:val="36"/>
          <w:lang w:eastAsia="en-GB"/>
        </w:rPr>
        <w:br w:type="page"/>
      </w:r>
    </w:p>
    <w:p w:rsidR="00E32C80" w:rsidRDefault="00E32C80" w:rsidP="00E32C80">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lastRenderedPageBreak/>
        <w:t>CONCLUSION</w:t>
      </w:r>
    </w:p>
    <w:p w:rsidR="0038519C" w:rsidRDefault="0038519C" w:rsidP="00E32C80">
      <w:pPr>
        <w:jc w:val="center"/>
        <w:rPr>
          <w:rFonts w:ascii="Times New Roman" w:eastAsia="Times New Roman" w:hAnsi="Times New Roman" w:cs="Times New Roman"/>
          <w:sz w:val="36"/>
          <w:szCs w:val="36"/>
          <w:lang w:eastAsia="en-GB"/>
        </w:rPr>
      </w:pPr>
    </w:p>
    <w:p w:rsidR="0038519C" w:rsidRDefault="0038519C" w:rsidP="0038519C">
      <w:pPr>
        <w:rPr>
          <w:rFonts w:ascii="Times New Roman" w:eastAsia="Times New Roman" w:hAnsi="Times New Roman" w:cs="Times New Roman"/>
          <w:sz w:val="36"/>
          <w:szCs w:val="36"/>
          <w:lang w:eastAsia="en-GB"/>
        </w:rPr>
      </w:pPr>
    </w:p>
    <w:p w:rsidR="0038519C" w:rsidRDefault="0038519C" w:rsidP="0038519C">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To conclude the report I </w:t>
      </w:r>
      <w:r w:rsidR="008353D4">
        <w:rPr>
          <w:rFonts w:ascii="Times New Roman" w:eastAsia="Times New Roman" w:hAnsi="Times New Roman" w:cs="Times New Roman"/>
          <w:sz w:val="36"/>
          <w:szCs w:val="36"/>
          <w:lang w:eastAsia="en-GB"/>
        </w:rPr>
        <w:t xml:space="preserve">can say that when I look back to the days before I decided to join the university and that particular course I would say that I have made the right decision to study and that the </w:t>
      </w:r>
      <w:r w:rsidR="00480883">
        <w:rPr>
          <w:rFonts w:ascii="Times New Roman" w:eastAsia="Times New Roman" w:hAnsi="Times New Roman" w:cs="Times New Roman"/>
          <w:sz w:val="36"/>
          <w:szCs w:val="36"/>
          <w:lang w:eastAsia="en-GB"/>
        </w:rPr>
        <w:t>information gathered so to this point have proven to be of utmost importance for the continuation of my future studies and in personal and professional development plan.</w:t>
      </w:r>
    </w:p>
    <w:p w:rsidR="0038519C" w:rsidRDefault="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br w:type="page"/>
      </w:r>
    </w:p>
    <w:p w:rsidR="00E32C80" w:rsidRDefault="00E32C80" w:rsidP="00E32C80">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lastRenderedPageBreak/>
        <w:t xml:space="preserve">REFERENCES </w:t>
      </w:r>
    </w:p>
    <w:p w:rsidR="00E32C80" w:rsidRDefault="00E32C80">
      <w:pPr>
        <w:rPr>
          <w:rFonts w:ascii="Times New Roman" w:eastAsia="Times New Roman" w:hAnsi="Times New Roman" w:cs="Times New Roman"/>
          <w:sz w:val="36"/>
          <w:szCs w:val="36"/>
          <w:lang w:eastAsia="en-GB"/>
        </w:rPr>
      </w:pPr>
    </w:p>
    <w:p w:rsidR="00E32C80" w:rsidRDefault="00E32C80">
      <w:pPr>
        <w:rPr>
          <w:rFonts w:ascii="Times New Roman" w:eastAsia="Times New Roman" w:hAnsi="Times New Roman" w:cs="Times New Roman"/>
          <w:sz w:val="36"/>
          <w:szCs w:val="36"/>
          <w:lang w:eastAsia="en-GB"/>
        </w:rPr>
      </w:pPr>
    </w:p>
    <w:p w:rsidR="00480883" w:rsidRDefault="00480883">
      <w:pPr>
        <w:rPr>
          <w:rFonts w:ascii="Times New Roman" w:eastAsia="Times New Roman" w:hAnsi="Times New Roman" w:cs="Times New Roman"/>
          <w:sz w:val="36"/>
          <w:szCs w:val="36"/>
          <w:lang w:eastAsia="en-GB"/>
        </w:rPr>
      </w:pPr>
    </w:p>
    <w:p w:rsidR="00480883" w:rsidRPr="00480883" w:rsidRDefault="00480883">
      <w:pPr>
        <w:rPr>
          <w:rFonts w:ascii="Times New Roman" w:eastAsia="Times New Roman" w:hAnsi="Times New Roman" w:cs="Times New Roman"/>
          <w:lang w:eastAsia="en-GB"/>
        </w:rPr>
      </w:pPr>
      <w:r>
        <w:rPr>
          <w:rFonts w:ascii="Times New Roman" w:eastAsia="Times New Roman" w:hAnsi="Times New Roman" w:cs="Times New Roman"/>
          <w:lang w:eastAsia="en-GB"/>
        </w:rPr>
        <w:t>Reflection</w:t>
      </w:r>
    </w:p>
    <w:p w:rsidR="00480883" w:rsidRDefault="00480883" w:rsidP="00480883">
      <w:hyperlink r:id="rId7" w:history="1">
        <w:r>
          <w:rPr>
            <w:rStyle w:val="Hyperlink"/>
            <w:rFonts w:ascii="Arial" w:hAnsi="Arial"/>
            <w:color w:val="663366"/>
            <w:sz w:val="21"/>
            <w:szCs w:val="21"/>
          </w:rPr>
          <w:t>http://www.monash.edu.au/lls/llonline/writing/medicine/reflective/3.xml</w:t>
        </w:r>
      </w:hyperlink>
    </w:p>
    <w:p w:rsidR="00480883" w:rsidRPr="00480883" w:rsidRDefault="00480883">
      <w:pPr>
        <w:rPr>
          <w:rFonts w:ascii="Times New Roman" w:eastAsia="Times New Roman" w:hAnsi="Times New Roman" w:cs="Times New Roman"/>
          <w:lang w:eastAsia="en-GB"/>
        </w:rPr>
      </w:pPr>
      <w:r>
        <w:rPr>
          <w:rFonts w:ascii="Times New Roman" w:eastAsia="Times New Roman" w:hAnsi="Times New Roman" w:cs="Times New Roman"/>
          <w:lang w:eastAsia="en-GB"/>
        </w:rPr>
        <w:t>(accessed 8/5/20)</w:t>
      </w:r>
    </w:p>
    <w:p w:rsidR="00E32C80" w:rsidRPr="00E32C80" w:rsidRDefault="00E32C80" w:rsidP="00E32C80">
      <w:pPr>
        <w:rPr>
          <w:rFonts w:ascii="Times New Roman" w:eastAsia="Times New Roman" w:hAnsi="Times New Roman" w:cs="Times New Roman"/>
          <w:lang w:eastAsia="en-GB"/>
        </w:rPr>
      </w:pPr>
      <w:r w:rsidRPr="00E32C80">
        <w:rPr>
          <w:rFonts w:ascii="Times New Roman" w:eastAsia="Times New Roman" w:hAnsi="Times New Roman" w:cs="Times New Roman"/>
          <w:lang w:eastAsia="en-GB"/>
        </w:rPr>
        <w:t>Gibbs, G (1988). Learning by doing: a guide to teaching and learning methods. Oxford: Further Education Unit, Oxford Polytechnic.</w:t>
      </w:r>
      <w:r w:rsidRPr="00E32C80">
        <w:t xml:space="preserve"> </w:t>
      </w:r>
      <w:hyperlink r:id="rId8" w:history="1">
        <w:r w:rsidRPr="00E32C80">
          <w:rPr>
            <w:rFonts w:ascii="Times New Roman" w:eastAsia="Times New Roman" w:hAnsi="Times New Roman" w:cs="Times New Roman"/>
            <w:color w:val="0000FF"/>
            <w:u w:val="single"/>
            <w:lang w:eastAsia="en-GB"/>
          </w:rPr>
          <w:t>https://intranet.birmingham.ac.uk/as/libraryservices/library/asc/documents/public/Short-Guide-Reflective-Writing.pdf</w:t>
        </w:r>
      </w:hyperlink>
      <w:r>
        <w:rPr>
          <w:rFonts w:ascii="Times New Roman" w:eastAsia="Times New Roman" w:hAnsi="Times New Roman" w:cs="Times New Roman"/>
          <w:lang w:eastAsia="en-GB"/>
        </w:rPr>
        <w:t xml:space="preserve"> </w:t>
      </w:r>
    </w:p>
    <w:p w:rsidR="00E32C80" w:rsidRDefault="00E32C80" w:rsidP="00E32C80">
      <w:pPr>
        <w:rPr>
          <w:rFonts w:ascii="Times New Roman" w:eastAsia="Times New Roman" w:hAnsi="Times New Roman" w:cs="Times New Roman"/>
          <w:lang w:eastAsia="en-GB"/>
        </w:rPr>
      </w:pPr>
    </w:p>
    <w:p w:rsidR="00480883" w:rsidRDefault="00480883" w:rsidP="00480883">
      <w:pPr>
        <w:rPr>
          <w:rFonts w:ascii="Arial" w:eastAsia="Times New Roman" w:hAnsi="Arial" w:cs="Times New Roman"/>
          <w:color w:val="202122"/>
          <w:sz w:val="19"/>
          <w:szCs w:val="19"/>
          <w:shd w:val="clear" w:color="auto" w:fill="FFFFFF"/>
          <w:lang w:eastAsia="en-GB"/>
        </w:rPr>
      </w:pPr>
      <w:r w:rsidRPr="00480883">
        <w:rPr>
          <w:rFonts w:ascii="Arial" w:eastAsia="Times New Roman" w:hAnsi="Arial" w:cs="Times New Roman"/>
          <w:i/>
          <w:iCs/>
          <w:color w:val="202122"/>
          <w:sz w:val="19"/>
          <w:szCs w:val="19"/>
          <w:shd w:val="clear" w:color="auto" w:fill="FFFFFF"/>
          <w:lang w:eastAsia="en-GB"/>
        </w:rPr>
        <w:t>General Purposes of Speaking</w:t>
      </w:r>
      <w:r w:rsidRPr="00480883">
        <w:rPr>
          <w:rFonts w:ascii="Arial" w:eastAsia="Times New Roman" w:hAnsi="Arial" w:cs="Times New Roman"/>
          <w:color w:val="202122"/>
          <w:sz w:val="19"/>
          <w:szCs w:val="19"/>
          <w:shd w:val="clear" w:color="auto" w:fill="FFFFFF"/>
          <w:lang w:eastAsia="en-GB"/>
        </w:rPr>
        <w:t>. 2012books.lardbucket.org. Retrieved 2016-11-04</w:t>
      </w:r>
    </w:p>
    <w:p w:rsidR="00480883" w:rsidRPr="00480883" w:rsidRDefault="00480883" w:rsidP="00480883">
      <w:pPr>
        <w:rPr>
          <w:rFonts w:ascii="Times New Roman" w:eastAsia="Times New Roman" w:hAnsi="Times New Roman" w:cs="Times New Roman"/>
          <w:lang w:eastAsia="en-GB"/>
        </w:rPr>
      </w:pPr>
      <w:r w:rsidRPr="00480883">
        <w:rPr>
          <w:rFonts w:ascii="Arial" w:eastAsia="Times New Roman" w:hAnsi="Arial" w:cs="Times New Roman"/>
          <w:color w:val="202122"/>
          <w:sz w:val="19"/>
          <w:szCs w:val="19"/>
          <w:shd w:val="clear" w:color="auto" w:fill="FFFFFF"/>
          <w:lang w:eastAsia="en-GB"/>
        </w:rPr>
        <w:t>Schreiber, Lisa. </w:t>
      </w:r>
      <w:r w:rsidRPr="00480883">
        <w:rPr>
          <w:rFonts w:ascii="Arial" w:eastAsia="Times New Roman" w:hAnsi="Arial" w:cs="Times New Roman"/>
          <w:i/>
          <w:iCs/>
          <w:color w:val="202122"/>
          <w:sz w:val="19"/>
          <w:szCs w:val="19"/>
          <w:shd w:val="clear" w:color="auto" w:fill="FFFFFF"/>
          <w:lang w:eastAsia="en-GB"/>
        </w:rPr>
        <w:t>Introduction to Public Speaking.</w:t>
      </w:r>
      <w:r>
        <w:rPr>
          <w:rFonts w:ascii="Arial" w:eastAsia="Times New Roman" w:hAnsi="Arial" w:cs="Times New Roman"/>
          <w:i/>
          <w:iCs/>
          <w:color w:val="202122"/>
          <w:sz w:val="19"/>
          <w:szCs w:val="19"/>
          <w:shd w:val="clear" w:color="auto" w:fill="FFFFFF"/>
          <w:lang w:eastAsia="en-GB"/>
        </w:rPr>
        <w:t xml:space="preserve"> </w:t>
      </w:r>
    </w:p>
    <w:p w:rsidR="00480883" w:rsidRDefault="00480883" w:rsidP="00480883">
      <w:hyperlink r:id="rId9" w:history="1">
        <w:r>
          <w:rPr>
            <w:rStyle w:val="Hyperlink"/>
          </w:rPr>
          <w:t>https://en.wikipedia.org/wiki/Public_speaking</w:t>
        </w:r>
      </w:hyperlink>
    </w:p>
    <w:p w:rsidR="00480883" w:rsidRDefault="00480883" w:rsidP="00E32C80">
      <w:pPr>
        <w:rPr>
          <w:rFonts w:ascii="Times New Roman" w:eastAsia="Times New Roman" w:hAnsi="Times New Roman" w:cs="Times New Roman"/>
          <w:lang w:eastAsia="en-GB"/>
        </w:rPr>
      </w:pPr>
      <w:r>
        <w:rPr>
          <w:rFonts w:ascii="Times New Roman" w:eastAsia="Times New Roman" w:hAnsi="Times New Roman" w:cs="Times New Roman"/>
          <w:lang w:eastAsia="en-GB"/>
        </w:rPr>
        <w:t>(accessed 8/5/20)</w:t>
      </w:r>
    </w:p>
    <w:p w:rsidR="00480883" w:rsidRDefault="00480883" w:rsidP="00E32C80">
      <w:pPr>
        <w:rPr>
          <w:rFonts w:ascii="Times New Roman" w:eastAsia="Times New Roman" w:hAnsi="Times New Roman" w:cs="Times New Roman"/>
          <w:lang w:eastAsia="en-GB"/>
        </w:rPr>
      </w:pPr>
    </w:p>
    <w:p w:rsidR="00480883" w:rsidRDefault="00480883" w:rsidP="00480883">
      <w:proofErr w:type="spellStart"/>
      <w:r>
        <w:rPr>
          <w:rFonts w:ascii="Arial" w:hAnsi="Arial"/>
          <w:color w:val="202122"/>
          <w:sz w:val="19"/>
          <w:szCs w:val="19"/>
          <w:shd w:val="clear" w:color="auto" w:fill="EAF3FF"/>
        </w:rPr>
        <w:t>Vuong</w:t>
      </w:r>
      <w:proofErr w:type="spellEnd"/>
      <w:r>
        <w:rPr>
          <w:rFonts w:ascii="Arial" w:hAnsi="Arial"/>
          <w:color w:val="202122"/>
          <w:sz w:val="19"/>
          <w:szCs w:val="19"/>
          <w:shd w:val="clear" w:color="auto" w:fill="EAF3FF"/>
        </w:rPr>
        <w:t xml:space="preserve">, Quan-Hoang; La, Viet-Phuong; </w:t>
      </w:r>
      <w:proofErr w:type="spellStart"/>
      <w:r>
        <w:rPr>
          <w:rFonts w:ascii="Arial" w:hAnsi="Arial"/>
          <w:color w:val="202122"/>
          <w:sz w:val="19"/>
          <w:szCs w:val="19"/>
          <w:shd w:val="clear" w:color="auto" w:fill="EAF3FF"/>
        </w:rPr>
        <w:t>Vuong</w:t>
      </w:r>
      <w:proofErr w:type="spellEnd"/>
      <w:r>
        <w:rPr>
          <w:rFonts w:ascii="Arial" w:hAnsi="Arial"/>
          <w:color w:val="202122"/>
          <w:sz w:val="19"/>
          <w:szCs w:val="19"/>
          <w:shd w:val="clear" w:color="auto" w:fill="EAF3FF"/>
        </w:rPr>
        <w:t xml:space="preserve">, Thu-Trang; Ho, </w:t>
      </w:r>
      <w:proofErr w:type="spellStart"/>
      <w:r>
        <w:rPr>
          <w:rFonts w:ascii="Arial" w:hAnsi="Arial"/>
          <w:color w:val="202122"/>
          <w:sz w:val="19"/>
          <w:szCs w:val="19"/>
          <w:shd w:val="clear" w:color="auto" w:fill="EAF3FF"/>
        </w:rPr>
        <w:t>Manh-Toan</w:t>
      </w:r>
      <w:proofErr w:type="spellEnd"/>
      <w:r>
        <w:rPr>
          <w:rFonts w:ascii="Arial" w:hAnsi="Arial"/>
          <w:color w:val="202122"/>
          <w:sz w:val="19"/>
          <w:szCs w:val="19"/>
          <w:shd w:val="clear" w:color="auto" w:fill="EAF3FF"/>
        </w:rPr>
        <w:t xml:space="preserve">; Nguyen, Hong-Kong T.; Nguyen, Viet-Ha; Pham, </w:t>
      </w:r>
      <w:proofErr w:type="spellStart"/>
      <w:r>
        <w:rPr>
          <w:rFonts w:ascii="Arial" w:hAnsi="Arial"/>
          <w:color w:val="202122"/>
          <w:sz w:val="19"/>
          <w:szCs w:val="19"/>
          <w:shd w:val="clear" w:color="auto" w:fill="EAF3FF"/>
        </w:rPr>
        <w:t>Hiep</w:t>
      </w:r>
      <w:proofErr w:type="spellEnd"/>
      <w:r>
        <w:rPr>
          <w:rFonts w:ascii="Arial" w:hAnsi="Arial"/>
          <w:color w:val="202122"/>
          <w:sz w:val="19"/>
          <w:szCs w:val="19"/>
          <w:shd w:val="clear" w:color="auto" w:fill="EAF3FF"/>
        </w:rPr>
        <w:t xml:space="preserve">-Hung; Ho, </w:t>
      </w:r>
      <w:proofErr w:type="spellStart"/>
      <w:r>
        <w:rPr>
          <w:rFonts w:ascii="Arial" w:hAnsi="Arial"/>
          <w:color w:val="202122"/>
          <w:sz w:val="19"/>
          <w:szCs w:val="19"/>
          <w:shd w:val="clear" w:color="auto" w:fill="EAF3FF"/>
        </w:rPr>
        <w:t>Manh</w:t>
      </w:r>
      <w:proofErr w:type="spellEnd"/>
      <w:r>
        <w:rPr>
          <w:rFonts w:ascii="Arial" w:hAnsi="Arial"/>
          <w:color w:val="202122"/>
          <w:sz w:val="19"/>
          <w:szCs w:val="19"/>
          <w:shd w:val="clear" w:color="auto" w:fill="EAF3FF"/>
        </w:rPr>
        <w:t>-Tung (September 25, 2018). </w:t>
      </w:r>
      <w:hyperlink r:id="rId10" w:history="1">
        <w:r>
          <w:rPr>
            <w:rStyle w:val="Hyperlink"/>
            <w:rFonts w:ascii="Arial" w:hAnsi="Arial"/>
            <w:color w:val="663366"/>
            <w:sz w:val="19"/>
            <w:szCs w:val="19"/>
            <w:u w:val="none"/>
          </w:rPr>
          <w:t>"An open database of productivity in Vietnam's social sciences and humanities for public use"</w:t>
        </w:r>
      </w:hyperlink>
    </w:p>
    <w:p w:rsidR="00480883" w:rsidRDefault="00480883" w:rsidP="00480883">
      <w:r>
        <w:fldChar w:fldCharType="begin"/>
      </w:r>
      <w:r>
        <w:instrText xml:space="preserve"> HYPERLINK "</w:instrText>
      </w:r>
      <w:r w:rsidRPr="00480883">
        <w:instrText>https://en.wikipedia.org/wiki/Data_collection#cite_note-VuongetalSdata2018-2</w:instrText>
      </w:r>
      <w:r>
        <w:instrText xml:space="preserve">" </w:instrText>
      </w:r>
      <w:r>
        <w:fldChar w:fldCharType="separate"/>
      </w:r>
      <w:r w:rsidRPr="000235F6">
        <w:rPr>
          <w:rStyle w:val="Hyperlink"/>
        </w:rPr>
        <w:t>https://en.wikipedia.org/wiki/Data_collection#cite_note-VuongetalSdata2018-2</w:t>
      </w:r>
      <w:r>
        <w:fldChar w:fldCharType="end"/>
      </w:r>
      <w:r>
        <w:t xml:space="preserve"> </w:t>
      </w:r>
    </w:p>
    <w:p w:rsidR="00480883" w:rsidRDefault="00480883" w:rsidP="00480883">
      <w:r>
        <w:t>(accessed 9/5/20)</w:t>
      </w:r>
    </w:p>
    <w:p w:rsidR="00EE1B2B" w:rsidRDefault="00EE1B2B" w:rsidP="00480883"/>
    <w:p w:rsidR="00EE1B2B" w:rsidRDefault="00EE1B2B" w:rsidP="00480883"/>
    <w:p w:rsidR="00EE1B2B" w:rsidRDefault="00EE1B2B" w:rsidP="00EE1B2B">
      <w:pPr>
        <w:rPr>
          <w:rStyle w:val="HTMLCite"/>
          <w:rFonts w:ascii="Arial" w:hAnsi="Arial"/>
          <w:color w:val="202122"/>
          <w:sz w:val="19"/>
          <w:szCs w:val="19"/>
        </w:rPr>
      </w:pPr>
      <w:r>
        <w:rPr>
          <w:rFonts w:ascii="Arial" w:hAnsi="Arial"/>
          <w:color w:val="202122"/>
          <w:sz w:val="19"/>
          <w:szCs w:val="19"/>
          <w:shd w:val="clear" w:color="auto" w:fill="EAF3FF"/>
        </w:rPr>
        <w:t> </w:t>
      </w:r>
      <w:proofErr w:type="spellStart"/>
      <w:r>
        <w:rPr>
          <w:rStyle w:val="HTMLCite"/>
          <w:rFonts w:ascii="Arial" w:hAnsi="Arial"/>
          <w:color w:val="202122"/>
          <w:sz w:val="19"/>
          <w:szCs w:val="19"/>
        </w:rPr>
        <w:t>Baugher</w:t>
      </w:r>
      <w:proofErr w:type="spellEnd"/>
      <w:r>
        <w:rPr>
          <w:rStyle w:val="HTMLCite"/>
          <w:rFonts w:ascii="Arial" w:hAnsi="Arial"/>
          <w:color w:val="202122"/>
          <w:sz w:val="19"/>
          <w:szCs w:val="19"/>
        </w:rPr>
        <w:t>, Bob; Haldeman, Philip (July–August 2019). "Teaching College Students Critical Thinking Skills by Posing as a 'Registered Psychic</w:t>
      </w:r>
      <w:r>
        <w:rPr>
          <w:rStyle w:val="cs1-kern-right"/>
          <w:rFonts w:ascii="Arial" w:hAnsi="Arial"/>
          <w:i/>
          <w:iCs/>
          <w:color w:val="202122"/>
          <w:sz w:val="19"/>
          <w:szCs w:val="19"/>
        </w:rPr>
        <w:t>'</w:t>
      </w:r>
      <w:r>
        <w:rPr>
          <w:rStyle w:val="HTMLCite"/>
          <w:rFonts w:ascii="Arial" w:hAnsi="Arial"/>
          <w:color w:val="202122"/>
          <w:sz w:val="19"/>
          <w:szCs w:val="19"/>
        </w:rPr>
        <w:t>". </w:t>
      </w:r>
      <w:proofErr w:type="spellStart"/>
      <w:r>
        <w:rPr>
          <w:rStyle w:val="HTMLCite"/>
          <w:rFonts w:ascii="Arial" w:hAnsi="Arial"/>
          <w:color w:val="202122"/>
          <w:sz w:val="19"/>
          <w:szCs w:val="19"/>
        </w:rPr>
        <w:fldChar w:fldCharType="begin"/>
      </w:r>
      <w:r>
        <w:rPr>
          <w:rStyle w:val="HTMLCite"/>
          <w:rFonts w:ascii="Arial" w:hAnsi="Arial"/>
          <w:color w:val="202122"/>
          <w:sz w:val="19"/>
          <w:szCs w:val="19"/>
        </w:rPr>
        <w:instrText xml:space="preserve"> HYPERLINK "https://en.wikipedia.org/wiki/Skeptical_Inquirer" \o "Skeptical Inquirer" </w:instrText>
      </w:r>
      <w:r>
        <w:rPr>
          <w:rStyle w:val="HTMLCite"/>
          <w:rFonts w:ascii="Arial" w:hAnsi="Arial"/>
          <w:color w:val="202122"/>
          <w:sz w:val="19"/>
          <w:szCs w:val="19"/>
        </w:rPr>
        <w:fldChar w:fldCharType="separate"/>
      </w:r>
      <w:r>
        <w:rPr>
          <w:rStyle w:val="Hyperlink"/>
          <w:rFonts w:ascii="Arial" w:hAnsi="Arial"/>
          <w:i/>
          <w:iCs/>
          <w:color w:val="0B0080"/>
          <w:sz w:val="19"/>
          <w:szCs w:val="19"/>
          <w:u w:val="none"/>
        </w:rPr>
        <w:t>Skeptical</w:t>
      </w:r>
      <w:proofErr w:type="spellEnd"/>
      <w:r>
        <w:rPr>
          <w:rStyle w:val="Hyperlink"/>
          <w:rFonts w:ascii="Arial" w:hAnsi="Arial"/>
          <w:i/>
          <w:iCs/>
          <w:color w:val="0B0080"/>
          <w:sz w:val="19"/>
          <w:szCs w:val="19"/>
          <w:u w:val="none"/>
        </w:rPr>
        <w:t xml:space="preserve"> Inquirer</w:t>
      </w:r>
      <w:r>
        <w:rPr>
          <w:rStyle w:val="HTMLCite"/>
          <w:rFonts w:ascii="Arial" w:hAnsi="Arial"/>
          <w:color w:val="202122"/>
          <w:sz w:val="19"/>
          <w:szCs w:val="19"/>
        </w:rPr>
        <w:fldChar w:fldCharType="end"/>
      </w:r>
      <w:r>
        <w:rPr>
          <w:rStyle w:val="HTMLCite"/>
          <w:rFonts w:ascii="Arial" w:hAnsi="Arial"/>
          <w:color w:val="202122"/>
          <w:sz w:val="19"/>
          <w:szCs w:val="19"/>
        </w:rPr>
        <w:t>. Vol. 43 no. 4. </w:t>
      </w:r>
      <w:proofErr w:type="spellStart"/>
      <w:r>
        <w:rPr>
          <w:rStyle w:val="HTMLCite"/>
          <w:rFonts w:ascii="Arial" w:hAnsi="Arial"/>
          <w:color w:val="202122"/>
          <w:sz w:val="19"/>
          <w:szCs w:val="19"/>
        </w:rPr>
        <w:fldChar w:fldCharType="begin"/>
      </w:r>
      <w:r>
        <w:rPr>
          <w:rStyle w:val="HTMLCite"/>
          <w:rFonts w:ascii="Arial" w:hAnsi="Arial"/>
          <w:color w:val="202122"/>
          <w:sz w:val="19"/>
          <w:szCs w:val="19"/>
        </w:rPr>
        <w:instrText xml:space="preserve"> HYPERLINK "https://en.wikipedia.org/wiki/Center_for_Inquiry" \o "Center for Inquiry" </w:instrText>
      </w:r>
      <w:r>
        <w:rPr>
          <w:rStyle w:val="HTMLCite"/>
          <w:rFonts w:ascii="Arial" w:hAnsi="Arial"/>
          <w:color w:val="202122"/>
          <w:sz w:val="19"/>
          <w:szCs w:val="19"/>
        </w:rPr>
        <w:fldChar w:fldCharType="separate"/>
      </w:r>
      <w:r>
        <w:rPr>
          <w:rStyle w:val="Hyperlink"/>
          <w:rFonts w:ascii="Arial" w:hAnsi="Arial"/>
          <w:i/>
          <w:iCs/>
          <w:color w:val="0B0080"/>
          <w:sz w:val="19"/>
          <w:szCs w:val="19"/>
          <w:u w:val="none"/>
        </w:rPr>
        <w:t>Center</w:t>
      </w:r>
      <w:proofErr w:type="spellEnd"/>
      <w:r>
        <w:rPr>
          <w:rStyle w:val="Hyperlink"/>
          <w:rFonts w:ascii="Arial" w:hAnsi="Arial"/>
          <w:i/>
          <w:iCs/>
          <w:color w:val="0B0080"/>
          <w:sz w:val="19"/>
          <w:szCs w:val="19"/>
          <w:u w:val="none"/>
        </w:rPr>
        <w:t xml:space="preserve"> for Inquiry</w:t>
      </w:r>
      <w:r>
        <w:rPr>
          <w:rStyle w:val="HTMLCite"/>
          <w:rFonts w:ascii="Arial" w:hAnsi="Arial"/>
          <w:color w:val="202122"/>
          <w:sz w:val="19"/>
          <w:szCs w:val="19"/>
        </w:rPr>
        <w:fldChar w:fldCharType="end"/>
      </w:r>
      <w:r>
        <w:rPr>
          <w:rStyle w:val="HTMLCite"/>
          <w:rFonts w:ascii="Arial" w:hAnsi="Arial"/>
          <w:color w:val="202122"/>
          <w:sz w:val="19"/>
          <w:szCs w:val="19"/>
        </w:rPr>
        <w:t>. pp. 50–52.</w:t>
      </w:r>
      <w:r>
        <w:rPr>
          <w:rStyle w:val="HTMLCite"/>
          <w:rFonts w:ascii="Arial" w:hAnsi="Arial"/>
          <w:color w:val="202122"/>
          <w:sz w:val="19"/>
          <w:szCs w:val="19"/>
        </w:rPr>
        <w:t xml:space="preserve"> </w:t>
      </w:r>
    </w:p>
    <w:p w:rsidR="00EE1B2B" w:rsidRDefault="00EE1B2B" w:rsidP="00EE1B2B">
      <w:r>
        <w:fldChar w:fldCharType="begin"/>
      </w:r>
      <w:r>
        <w:instrText xml:space="preserve"> HYPERLINK "</w:instrText>
      </w:r>
      <w:r w:rsidRPr="00EE1B2B">
        <w:instrText>https://en.wikipedia.org/wiki/Critical_thinking#cite_note-54</w:instrText>
      </w:r>
      <w:r>
        <w:instrText xml:space="preserve">" </w:instrText>
      </w:r>
      <w:r>
        <w:fldChar w:fldCharType="separate"/>
      </w:r>
      <w:r w:rsidRPr="000235F6">
        <w:rPr>
          <w:rStyle w:val="Hyperlink"/>
        </w:rPr>
        <w:t>https://en.wikipedia.org/wiki/Critical_thinking#cite_note-54</w:t>
      </w:r>
      <w:r>
        <w:fldChar w:fldCharType="end"/>
      </w:r>
    </w:p>
    <w:p w:rsidR="00EE1B2B" w:rsidRDefault="00EE1B2B" w:rsidP="00EE1B2B">
      <w:r>
        <w:t>(</w:t>
      </w:r>
      <w:proofErr w:type="spellStart"/>
      <w:r>
        <w:t>accesed</w:t>
      </w:r>
      <w:proofErr w:type="spellEnd"/>
      <w:r>
        <w:t xml:space="preserve"> 9/5/20)</w:t>
      </w:r>
    </w:p>
    <w:p w:rsidR="00EE1B2B" w:rsidRDefault="00EE1B2B" w:rsidP="00EE1B2B"/>
    <w:p w:rsidR="00EE1B2B" w:rsidRDefault="00EE1B2B" w:rsidP="00EE1B2B">
      <w:r>
        <w:rPr>
          <w:rFonts w:ascii="Arial" w:hAnsi="Arial"/>
          <w:color w:val="202122"/>
          <w:sz w:val="19"/>
          <w:szCs w:val="19"/>
          <w:shd w:val="clear" w:color="auto" w:fill="FFFFFF"/>
        </w:rPr>
        <w:t>Lau, Joe; Chan, Jonathan. </w:t>
      </w:r>
      <w:hyperlink r:id="rId11" w:history="1">
        <w:r>
          <w:rPr>
            <w:rStyle w:val="Hyperlink"/>
            <w:rFonts w:ascii="Arial" w:hAnsi="Arial"/>
            <w:color w:val="663366"/>
            <w:sz w:val="19"/>
            <w:szCs w:val="19"/>
            <w:u w:val="none"/>
          </w:rPr>
          <w:t>"[F08] Cognitive biases"</w:t>
        </w:r>
      </w:hyperlink>
      <w:r>
        <w:rPr>
          <w:rFonts w:ascii="Arial" w:hAnsi="Arial"/>
          <w:color w:val="202122"/>
          <w:sz w:val="19"/>
          <w:szCs w:val="19"/>
          <w:shd w:val="clear" w:color="auto" w:fill="FFFFFF"/>
        </w:rPr>
        <w:t>. </w:t>
      </w:r>
      <w:r>
        <w:rPr>
          <w:rFonts w:ascii="Arial" w:hAnsi="Arial"/>
          <w:i/>
          <w:iCs/>
          <w:color w:val="202122"/>
          <w:sz w:val="19"/>
          <w:szCs w:val="19"/>
          <w:shd w:val="clear" w:color="auto" w:fill="FFFFFF"/>
        </w:rPr>
        <w:t>Critical thinking web</w:t>
      </w:r>
      <w:r>
        <w:rPr>
          <w:rStyle w:val="reference-accessdate"/>
          <w:rFonts w:ascii="Arial" w:hAnsi="Arial"/>
          <w:color w:val="202122"/>
          <w:sz w:val="19"/>
          <w:szCs w:val="19"/>
          <w:shd w:val="clear" w:color="auto" w:fill="FFFFFF"/>
        </w:rPr>
        <w:t>. Retrieved </w:t>
      </w:r>
      <w:r>
        <w:rPr>
          <w:rStyle w:val="nowrap"/>
          <w:rFonts w:ascii="Arial" w:hAnsi="Arial"/>
          <w:color w:val="202122"/>
          <w:sz w:val="19"/>
          <w:szCs w:val="19"/>
          <w:shd w:val="clear" w:color="auto" w:fill="FFFFFF"/>
        </w:rPr>
        <w:t>1 February</w:t>
      </w:r>
      <w:r>
        <w:rPr>
          <w:rStyle w:val="reference-accessdate"/>
          <w:rFonts w:ascii="Arial" w:hAnsi="Arial"/>
          <w:color w:val="202122"/>
          <w:sz w:val="19"/>
          <w:szCs w:val="19"/>
          <w:shd w:val="clear" w:color="auto" w:fill="FFFFFF"/>
        </w:rPr>
        <w:t> 2016</w:t>
      </w:r>
      <w:r>
        <w:rPr>
          <w:rFonts w:ascii="Arial" w:hAnsi="Arial"/>
          <w:color w:val="202122"/>
          <w:sz w:val="19"/>
          <w:szCs w:val="19"/>
          <w:shd w:val="clear" w:color="auto" w:fill="FFFFFF"/>
        </w:rPr>
        <w:t>.</w:t>
      </w:r>
    </w:p>
    <w:p w:rsidR="00EE1B2B" w:rsidRDefault="00EE1B2B" w:rsidP="00EE1B2B">
      <w:pPr>
        <w:rPr>
          <w:rFonts w:ascii="Arial" w:eastAsia="Times New Roman" w:hAnsi="Arial" w:cs="Times New Roman"/>
          <w:color w:val="202122"/>
          <w:sz w:val="19"/>
          <w:szCs w:val="19"/>
          <w:shd w:val="clear" w:color="auto" w:fill="FFFFFF"/>
          <w:lang w:eastAsia="en-GB"/>
        </w:rPr>
      </w:pPr>
      <w:r w:rsidRPr="00EE1B2B">
        <w:rPr>
          <w:rFonts w:ascii="Arial" w:eastAsia="Times New Roman" w:hAnsi="Arial" w:cs="Times New Roman"/>
          <w:color w:val="202122"/>
          <w:sz w:val="19"/>
          <w:szCs w:val="19"/>
          <w:shd w:val="clear" w:color="auto" w:fill="FFFFFF"/>
          <w:lang w:eastAsia="en-GB"/>
        </w:rPr>
        <w:t xml:space="preserve">Boychuk </w:t>
      </w:r>
      <w:proofErr w:type="spellStart"/>
      <w:r w:rsidRPr="00EE1B2B">
        <w:rPr>
          <w:rFonts w:ascii="Arial" w:eastAsia="Times New Roman" w:hAnsi="Arial" w:cs="Times New Roman"/>
          <w:color w:val="202122"/>
          <w:sz w:val="19"/>
          <w:szCs w:val="19"/>
          <w:shd w:val="clear" w:color="auto" w:fill="FFFFFF"/>
          <w:lang w:eastAsia="en-GB"/>
        </w:rPr>
        <w:t>Duchscher</w:t>
      </w:r>
      <w:proofErr w:type="spellEnd"/>
      <w:r w:rsidRPr="00EE1B2B">
        <w:rPr>
          <w:rFonts w:ascii="Arial" w:eastAsia="Times New Roman" w:hAnsi="Arial" w:cs="Times New Roman"/>
          <w:color w:val="202122"/>
          <w:sz w:val="19"/>
          <w:szCs w:val="19"/>
          <w:shd w:val="clear" w:color="auto" w:fill="FFFFFF"/>
          <w:lang w:eastAsia="en-GB"/>
        </w:rPr>
        <w:t>, Judy E. (1999). "Catching the wave: understanding the concept of critical thinking". </w:t>
      </w:r>
      <w:r w:rsidRPr="00EE1B2B">
        <w:rPr>
          <w:rFonts w:ascii="Arial" w:eastAsia="Times New Roman" w:hAnsi="Arial" w:cs="Times New Roman"/>
          <w:i/>
          <w:iCs/>
          <w:color w:val="202122"/>
          <w:sz w:val="19"/>
          <w:szCs w:val="19"/>
          <w:shd w:val="clear" w:color="auto" w:fill="FFFFFF"/>
          <w:lang w:eastAsia="en-GB"/>
        </w:rPr>
        <w:t>Journal of Advanced Nursing</w:t>
      </w:r>
      <w:r w:rsidRPr="00EE1B2B">
        <w:rPr>
          <w:rFonts w:ascii="Arial" w:eastAsia="Times New Roman" w:hAnsi="Arial" w:cs="Times New Roman"/>
          <w:color w:val="202122"/>
          <w:sz w:val="19"/>
          <w:szCs w:val="19"/>
          <w:shd w:val="clear" w:color="auto" w:fill="FFFFFF"/>
          <w:lang w:eastAsia="en-GB"/>
        </w:rPr>
        <w:t>. </w:t>
      </w:r>
      <w:r w:rsidRPr="00EE1B2B">
        <w:rPr>
          <w:rFonts w:ascii="Arial" w:eastAsia="Times New Roman" w:hAnsi="Arial" w:cs="Times New Roman"/>
          <w:b/>
          <w:bCs/>
          <w:color w:val="202122"/>
          <w:sz w:val="19"/>
          <w:szCs w:val="19"/>
          <w:shd w:val="clear" w:color="auto" w:fill="FFFFFF"/>
          <w:lang w:eastAsia="en-GB"/>
        </w:rPr>
        <w:t>29</w:t>
      </w:r>
      <w:r w:rsidRPr="00EE1B2B">
        <w:rPr>
          <w:rFonts w:ascii="Arial" w:eastAsia="Times New Roman" w:hAnsi="Arial" w:cs="Times New Roman"/>
          <w:color w:val="202122"/>
          <w:sz w:val="19"/>
          <w:szCs w:val="19"/>
          <w:shd w:val="clear" w:color="auto" w:fill="FFFFFF"/>
          <w:lang w:eastAsia="en-GB"/>
        </w:rPr>
        <w:t> (3): 577–583. </w:t>
      </w:r>
    </w:p>
    <w:p w:rsidR="00EE1B2B" w:rsidRDefault="00EE1B2B" w:rsidP="00EE1B2B">
      <w:hyperlink r:id="rId12" w:anchor="cite_note-54" w:history="1">
        <w:r>
          <w:rPr>
            <w:rStyle w:val="Hyperlink"/>
          </w:rPr>
          <w:t>https://en.wikipedia.org/wiki/Critical_thinking#cite_note-54</w:t>
        </w:r>
      </w:hyperlink>
    </w:p>
    <w:p w:rsidR="00EE1B2B" w:rsidRDefault="00EE1B2B" w:rsidP="00EE1B2B">
      <w:r>
        <w:t>(accessed 9/5/20)</w:t>
      </w:r>
    </w:p>
    <w:p w:rsidR="00EE1B2B" w:rsidRPr="00EE1B2B" w:rsidRDefault="00EE1B2B" w:rsidP="00EE1B2B">
      <w:pPr>
        <w:rPr>
          <w:rFonts w:ascii="Times New Roman" w:eastAsia="Times New Roman" w:hAnsi="Times New Roman" w:cs="Times New Roman"/>
          <w:lang w:eastAsia="en-GB"/>
        </w:rPr>
      </w:pPr>
    </w:p>
    <w:p w:rsidR="00EE1B2B" w:rsidRDefault="00EE1B2B" w:rsidP="00EE1B2B"/>
    <w:p w:rsidR="00E32C80" w:rsidRDefault="00E32C80">
      <w:pP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br w:type="page"/>
      </w:r>
    </w:p>
    <w:p w:rsidR="00E32C80" w:rsidRPr="00E32C80" w:rsidRDefault="00E32C80" w:rsidP="00E32C80">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lastRenderedPageBreak/>
        <w:t>APPENDICES</w:t>
      </w:r>
    </w:p>
    <w:p w:rsidR="00E32C80" w:rsidRDefault="00E32C80" w:rsidP="00E32C80">
      <w:pPr>
        <w:jc w:val="center"/>
      </w:pPr>
    </w:p>
    <w:sectPr w:rsidR="00E32C80" w:rsidSect="00644B6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D2879"/>
    <w:multiLevelType w:val="hybridMultilevel"/>
    <w:tmpl w:val="BF5A5F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4510C"/>
    <w:multiLevelType w:val="hybridMultilevel"/>
    <w:tmpl w:val="13FC1A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83C511A"/>
    <w:multiLevelType w:val="hybridMultilevel"/>
    <w:tmpl w:val="4BB01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2741A1"/>
    <w:multiLevelType w:val="hybridMultilevel"/>
    <w:tmpl w:val="19A4E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80"/>
    <w:rsid w:val="00004DE0"/>
    <w:rsid w:val="001B58C4"/>
    <w:rsid w:val="002C5FAD"/>
    <w:rsid w:val="0038519C"/>
    <w:rsid w:val="00480883"/>
    <w:rsid w:val="00644B63"/>
    <w:rsid w:val="00663EBC"/>
    <w:rsid w:val="008353D4"/>
    <w:rsid w:val="00AD772A"/>
    <w:rsid w:val="00E206AE"/>
    <w:rsid w:val="00E32C80"/>
    <w:rsid w:val="00E73A79"/>
    <w:rsid w:val="00EE1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E2184"/>
  <w15:chartTrackingRefBased/>
  <w15:docId w15:val="{4FDC1069-EB32-F040-B157-4DE25EBA4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32C8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8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32C80"/>
    <w:rPr>
      <w:color w:val="0000FF"/>
      <w:u w:val="single"/>
    </w:rPr>
  </w:style>
  <w:style w:type="paragraph" w:styleId="ListParagraph">
    <w:name w:val="List Paragraph"/>
    <w:basedOn w:val="Normal"/>
    <w:uiPriority w:val="34"/>
    <w:qFormat/>
    <w:rsid w:val="00E32C80"/>
    <w:pPr>
      <w:ind w:left="720"/>
      <w:contextualSpacing/>
    </w:pPr>
  </w:style>
  <w:style w:type="paragraph" w:styleId="NormalWeb">
    <w:name w:val="Normal (Web)"/>
    <w:basedOn w:val="Normal"/>
    <w:uiPriority w:val="99"/>
    <w:semiHidden/>
    <w:unhideWhenUsed/>
    <w:rsid w:val="002C5FA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B58C4"/>
    <w:rPr>
      <w:color w:val="954F72" w:themeColor="followedHyperlink"/>
      <w:u w:val="single"/>
    </w:rPr>
  </w:style>
  <w:style w:type="paragraph" w:styleId="Revision">
    <w:name w:val="Revision"/>
    <w:hidden/>
    <w:uiPriority w:val="99"/>
    <w:semiHidden/>
    <w:rsid w:val="00663EBC"/>
  </w:style>
  <w:style w:type="character" w:styleId="UnresolvedMention">
    <w:name w:val="Unresolved Mention"/>
    <w:basedOn w:val="DefaultParagraphFont"/>
    <w:uiPriority w:val="99"/>
    <w:semiHidden/>
    <w:unhideWhenUsed/>
    <w:rsid w:val="00480883"/>
    <w:rPr>
      <w:color w:val="605E5C"/>
      <w:shd w:val="clear" w:color="auto" w:fill="E1DFDD"/>
    </w:rPr>
  </w:style>
  <w:style w:type="character" w:styleId="HTMLCite">
    <w:name w:val="HTML Cite"/>
    <w:basedOn w:val="DefaultParagraphFont"/>
    <w:uiPriority w:val="99"/>
    <w:semiHidden/>
    <w:unhideWhenUsed/>
    <w:rsid w:val="00EE1B2B"/>
    <w:rPr>
      <w:i/>
      <w:iCs/>
    </w:rPr>
  </w:style>
  <w:style w:type="character" w:customStyle="1" w:styleId="cs1-kern-right">
    <w:name w:val="cs1-kern-right"/>
    <w:basedOn w:val="DefaultParagraphFont"/>
    <w:rsid w:val="00EE1B2B"/>
  </w:style>
  <w:style w:type="character" w:customStyle="1" w:styleId="reference-accessdate">
    <w:name w:val="reference-accessdate"/>
    <w:basedOn w:val="DefaultParagraphFont"/>
    <w:rsid w:val="00EE1B2B"/>
  </w:style>
  <w:style w:type="character" w:customStyle="1" w:styleId="nowrap">
    <w:name w:val="nowrap"/>
    <w:basedOn w:val="DefaultParagraphFont"/>
    <w:rsid w:val="00EE1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32454">
      <w:bodyDiv w:val="1"/>
      <w:marLeft w:val="0"/>
      <w:marRight w:val="0"/>
      <w:marTop w:val="0"/>
      <w:marBottom w:val="0"/>
      <w:divBdr>
        <w:top w:val="none" w:sz="0" w:space="0" w:color="auto"/>
        <w:left w:val="none" w:sz="0" w:space="0" w:color="auto"/>
        <w:bottom w:val="none" w:sz="0" w:space="0" w:color="auto"/>
        <w:right w:val="none" w:sz="0" w:space="0" w:color="auto"/>
      </w:divBdr>
    </w:div>
    <w:div w:id="241060987">
      <w:bodyDiv w:val="1"/>
      <w:marLeft w:val="0"/>
      <w:marRight w:val="0"/>
      <w:marTop w:val="0"/>
      <w:marBottom w:val="0"/>
      <w:divBdr>
        <w:top w:val="none" w:sz="0" w:space="0" w:color="auto"/>
        <w:left w:val="none" w:sz="0" w:space="0" w:color="auto"/>
        <w:bottom w:val="none" w:sz="0" w:space="0" w:color="auto"/>
        <w:right w:val="none" w:sz="0" w:space="0" w:color="auto"/>
      </w:divBdr>
    </w:div>
    <w:div w:id="248854119">
      <w:bodyDiv w:val="1"/>
      <w:marLeft w:val="0"/>
      <w:marRight w:val="0"/>
      <w:marTop w:val="0"/>
      <w:marBottom w:val="0"/>
      <w:divBdr>
        <w:top w:val="none" w:sz="0" w:space="0" w:color="auto"/>
        <w:left w:val="none" w:sz="0" w:space="0" w:color="auto"/>
        <w:bottom w:val="none" w:sz="0" w:space="0" w:color="auto"/>
        <w:right w:val="none" w:sz="0" w:space="0" w:color="auto"/>
      </w:divBdr>
    </w:div>
    <w:div w:id="443963756">
      <w:bodyDiv w:val="1"/>
      <w:marLeft w:val="0"/>
      <w:marRight w:val="0"/>
      <w:marTop w:val="0"/>
      <w:marBottom w:val="0"/>
      <w:divBdr>
        <w:top w:val="none" w:sz="0" w:space="0" w:color="auto"/>
        <w:left w:val="none" w:sz="0" w:space="0" w:color="auto"/>
        <w:bottom w:val="none" w:sz="0" w:space="0" w:color="auto"/>
        <w:right w:val="none" w:sz="0" w:space="0" w:color="auto"/>
      </w:divBdr>
      <w:divsChild>
        <w:div w:id="1765955307">
          <w:marLeft w:val="0"/>
          <w:marRight w:val="0"/>
          <w:marTop w:val="0"/>
          <w:marBottom w:val="0"/>
          <w:divBdr>
            <w:top w:val="none" w:sz="0" w:space="0" w:color="auto"/>
            <w:left w:val="none" w:sz="0" w:space="0" w:color="auto"/>
            <w:bottom w:val="none" w:sz="0" w:space="0" w:color="auto"/>
            <w:right w:val="none" w:sz="0" w:space="0" w:color="auto"/>
          </w:divBdr>
          <w:divsChild>
            <w:div w:id="53119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883735">
      <w:bodyDiv w:val="1"/>
      <w:marLeft w:val="0"/>
      <w:marRight w:val="0"/>
      <w:marTop w:val="0"/>
      <w:marBottom w:val="0"/>
      <w:divBdr>
        <w:top w:val="none" w:sz="0" w:space="0" w:color="auto"/>
        <w:left w:val="none" w:sz="0" w:space="0" w:color="auto"/>
        <w:bottom w:val="none" w:sz="0" w:space="0" w:color="auto"/>
        <w:right w:val="none" w:sz="0" w:space="0" w:color="auto"/>
      </w:divBdr>
    </w:div>
    <w:div w:id="611282265">
      <w:bodyDiv w:val="1"/>
      <w:marLeft w:val="0"/>
      <w:marRight w:val="0"/>
      <w:marTop w:val="0"/>
      <w:marBottom w:val="0"/>
      <w:divBdr>
        <w:top w:val="none" w:sz="0" w:space="0" w:color="auto"/>
        <w:left w:val="none" w:sz="0" w:space="0" w:color="auto"/>
        <w:bottom w:val="none" w:sz="0" w:space="0" w:color="auto"/>
        <w:right w:val="none" w:sz="0" w:space="0" w:color="auto"/>
      </w:divBdr>
    </w:div>
    <w:div w:id="652218267">
      <w:bodyDiv w:val="1"/>
      <w:marLeft w:val="0"/>
      <w:marRight w:val="0"/>
      <w:marTop w:val="0"/>
      <w:marBottom w:val="0"/>
      <w:divBdr>
        <w:top w:val="none" w:sz="0" w:space="0" w:color="auto"/>
        <w:left w:val="none" w:sz="0" w:space="0" w:color="auto"/>
        <w:bottom w:val="none" w:sz="0" w:space="0" w:color="auto"/>
        <w:right w:val="none" w:sz="0" w:space="0" w:color="auto"/>
      </w:divBdr>
    </w:div>
    <w:div w:id="675308843">
      <w:bodyDiv w:val="1"/>
      <w:marLeft w:val="0"/>
      <w:marRight w:val="0"/>
      <w:marTop w:val="0"/>
      <w:marBottom w:val="0"/>
      <w:divBdr>
        <w:top w:val="none" w:sz="0" w:space="0" w:color="auto"/>
        <w:left w:val="none" w:sz="0" w:space="0" w:color="auto"/>
        <w:bottom w:val="none" w:sz="0" w:space="0" w:color="auto"/>
        <w:right w:val="none" w:sz="0" w:space="0" w:color="auto"/>
      </w:divBdr>
    </w:div>
    <w:div w:id="749277161">
      <w:bodyDiv w:val="1"/>
      <w:marLeft w:val="0"/>
      <w:marRight w:val="0"/>
      <w:marTop w:val="0"/>
      <w:marBottom w:val="0"/>
      <w:divBdr>
        <w:top w:val="none" w:sz="0" w:space="0" w:color="auto"/>
        <w:left w:val="none" w:sz="0" w:space="0" w:color="auto"/>
        <w:bottom w:val="none" w:sz="0" w:space="0" w:color="auto"/>
        <w:right w:val="none" w:sz="0" w:space="0" w:color="auto"/>
      </w:divBdr>
    </w:div>
    <w:div w:id="1050495489">
      <w:bodyDiv w:val="1"/>
      <w:marLeft w:val="0"/>
      <w:marRight w:val="0"/>
      <w:marTop w:val="0"/>
      <w:marBottom w:val="0"/>
      <w:divBdr>
        <w:top w:val="none" w:sz="0" w:space="0" w:color="auto"/>
        <w:left w:val="none" w:sz="0" w:space="0" w:color="auto"/>
        <w:bottom w:val="none" w:sz="0" w:space="0" w:color="auto"/>
        <w:right w:val="none" w:sz="0" w:space="0" w:color="auto"/>
      </w:divBdr>
    </w:div>
    <w:div w:id="1135951428">
      <w:bodyDiv w:val="1"/>
      <w:marLeft w:val="0"/>
      <w:marRight w:val="0"/>
      <w:marTop w:val="0"/>
      <w:marBottom w:val="0"/>
      <w:divBdr>
        <w:top w:val="none" w:sz="0" w:space="0" w:color="auto"/>
        <w:left w:val="none" w:sz="0" w:space="0" w:color="auto"/>
        <w:bottom w:val="none" w:sz="0" w:space="0" w:color="auto"/>
        <w:right w:val="none" w:sz="0" w:space="0" w:color="auto"/>
      </w:divBdr>
    </w:div>
    <w:div w:id="1285114980">
      <w:bodyDiv w:val="1"/>
      <w:marLeft w:val="0"/>
      <w:marRight w:val="0"/>
      <w:marTop w:val="0"/>
      <w:marBottom w:val="0"/>
      <w:divBdr>
        <w:top w:val="none" w:sz="0" w:space="0" w:color="auto"/>
        <w:left w:val="none" w:sz="0" w:space="0" w:color="auto"/>
        <w:bottom w:val="none" w:sz="0" w:space="0" w:color="auto"/>
        <w:right w:val="none" w:sz="0" w:space="0" w:color="auto"/>
      </w:divBdr>
    </w:div>
    <w:div w:id="1452627547">
      <w:bodyDiv w:val="1"/>
      <w:marLeft w:val="0"/>
      <w:marRight w:val="0"/>
      <w:marTop w:val="0"/>
      <w:marBottom w:val="0"/>
      <w:divBdr>
        <w:top w:val="none" w:sz="0" w:space="0" w:color="auto"/>
        <w:left w:val="none" w:sz="0" w:space="0" w:color="auto"/>
        <w:bottom w:val="none" w:sz="0" w:space="0" w:color="auto"/>
        <w:right w:val="none" w:sz="0" w:space="0" w:color="auto"/>
      </w:divBdr>
    </w:div>
    <w:div w:id="1531071501">
      <w:bodyDiv w:val="1"/>
      <w:marLeft w:val="0"/>
      <w:marRight w:val="0"/>
      <w:marTop w:val="0"/>
      <w:marBottom w:val="0"/>
      <w:divBdr>
        <w:top w:val="none" w:sz="0" w:space="0" w:color="auto"/>
        <w:left w:val="none" w:sz="0" w:space="0" w:color="auto"/>
        <w:bottom w:val="none" w:sz="0" w:space="0" w:color="auto"/>
        <w:right w:val="none" w:sz="0" w:space="0" w:color="auto"/>
      </w:divBdr>
    </w:div>
    <w:div w:id="1556434432">
      <w:bodyDiv w:val="1"/>
      <w:marLeft w:val="0"/>
      <w:marRight w:val="0"/>
      <w:marTop w:val="0"/>
      <w:marBottom w:val="0"/>
      <w:divBdr>
        <w:top w:val="none" w:sz="0" w:space="0" w:color="auto"/>
        <w:left w:val="none" w:sz="0" w:space="0" w:color="auto"/>
        <w:bottom w:val="none" w:sz="0" w:space="0" w:color="auto"/>
        <w:right w:val="none" w:sz="0" w:space="0" w:color="auto"/>
      </w:divBdr>
    </w:div>
    <w:div w:id="1911882957">
      <w:bodyDiv w:val="1"/>
      <w:marLeft w:val="0"/>
      <w:marRight w:val="0"/>
      <w:marTop w:val="0"/>
      <w:marBottom w:val="0"/>
      <w:divBdr>
        <w:top w:val="none" w:sz="0" w:space="0" w:color="auto"/>
        <w:left w:val="none" w:sz="0" w:space="0" w:color="auto"/>
        <w:bottom w:val="none" w:sz="0" w:space="0" w:color="auto"/>
        <w:right w:val="none" w:sz="0" w:space="0" w:color="auto"/>
      </w:divBdr>
    </w:div>
    <w:div w:id="1963724343">
      <w:bodyDiv w:val="1"/>
      <w:marLeft w:val="0"/>
      <w:marRight w:val="0"/>
      <w:marTop w:val="0"/>
      <w:marBottom w:val="0"/>
      <w:divBdr>
        <w:top w:val="none" w:sz="0" w:space="0" w:color="auto"/>
        <w:left w:val="none" w:sz="0" w:space="0" w:color="auto"/>
        <w:bottom w:val="none" w:sz="0" w:space="0" w:color="auto"/>
        <w:right w:val="none" w:sz="0" w:space="0" w:color="auto"/>
      </w:divBdr>
    </w:div>
    <w:div w:id="2028288367">
      <w:bodyDiv w:val="1"/>
      <w:marLeft w:val="0"/>
      <w:marRight w:val="0"/>
      <w:marTop w:val="0"/>
      <w:marBottom w:val="0"/>
      <w:divBdr>
        <w:top w:val="none" w:sz="0" w:space="0" w:color="auto"/>
        <w:left w:val="none" w:sz="0" w:space="0" w:color="auto"/>
        <w:bottom w:val="none" w:sz="0" w:space="0" w:color="auto"/>
        <w:right w:val="none" w:sz="0" w:space="0" w:color="auto"/>
      </w:divBdr>
    </w:div>
    <w:div w:id="2051832065">
      <w:bodyDiv w:val="1"/>
      <w:marLeft w:val="0"/>
      <w:marRight w:val="0"/>
      <w:marTop w:val="0"/>
      <w:marBottom w:val="0"/>
      <w:divBdr>
        <w:top w:val="none" w:sz="0" w:space="0" w:color="auto"/>
        <w:left w:val="none" w:sz="0" w:space="0" w:color="auto"/>
        <w:bottom w:val="none" w:sz="0" w:space="0" w:color="auto"/>
        <w:right w:val="none" w:sz="0" w:space="0" w:color="auto"/>
      </w:divBdr>
    </w:div>
    <w:div w:id="2108847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birmingham.ac.uk/as/libraryservices/library/asc/documents/public/Short-Guide-Reflective-Writing.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onash.edu.au/lls/llonline/writing/medicine/reflective/3.xml" TargetMode="External"/><Relationship Id="rId12" Type="http://schemas.openxmlformats.org/officeDocument/2006/relationships/hyperlink" Target="https://en.wikipedia.org/wiki/Critical_think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philosophy.hku.hk/think/fallacy/biases.php" TargetMode="External"/><Relationship Id="rId5" Type="http://schemas.openxmlformats.org/officeDocument/2006/relationships/image" Target="media/image1.tiff"/><Relationship Id="rId10" Type="http://schemas.openxmlformats.org/officeDocument/2006/relationships/hyperlink" Target="https://www.ncbi.nlm.nih.gov/pmc/articles/PMC6154282" TargetMode="External"/><Relationship Id="rId4" Type="http://schemas.openxmlformats.org/officeDocument/2006/relationships/webSettings" Target="webSettings.xml"/><Relationship Id="rId9" Type="http://schemas.openxmlformats.org/officeDocument/2006/relationships/hyperlink" Target="https://en.wikipedia.org/wiki/Public_speak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2243</Words>
  <Characters>12787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Penchev (1910023)</dc:creator>
  <cp:keywords/>
  <dc:description/>
  <cp:lastModifiedBy>Plamen Penchev (1910023)</cp:lastModifiedBy>
  <cp:revision>2</cp:revision>
  <dcterms:created xsi:type="dcterms:W3CDTF">2020-05-12T21:00:00Z</dcterms:created>
  <dcterms:modified xsi:type="dcterms:W3CDTF">2020-05-12T21:00:00Z</dcterms:modified>
</cp:coreProperties>
</file>