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EB19B1" w14:textId="77777777" w:rsidR="00C01BEB" w:rsidRDefault="00C01BEB">
      <w:pPr>
        <w:jc w:val="center"/>
        <w:rPr>
          <w:rFonts w:cs="Calibri"/>
          <w:b/>
          <w:u w:val="single"/>
        </w:rPr>
      </w:pPr>
    </w:p>
    <w:p w14:paraId="70E86C0D" w14:textId="77777777" w:rsidR="00C01BEB" w:rsidRDefault="00C01BEB">
      <w:pPr>
        <w:jc w:val="center"/>
        <w:rPr>
          <w:rFonts w:cs="Calibri"/>
          <w:b/>
          <w:u w:val="single"/>
        </w:rPr>
      </w:pPr>
    </w:p>
    <w:p w14:paraId="17BBFDAB" w14:textId="71AF57FC" w:rsidR="00C01BEB" w:rsidRPr="00C01BEB" w:rsidRDefault="00C01BEB" w:rsidP="00C01BEB">
      <w:pPr>
        <w:tabs>
          <w:tab w:val="left" w:pos="504"/>
        </w:tabs>
        <w:rPr>
          <w:rFonts w:cs="Calibri"/>
          <w:b/>
        </w:rPr>
      </w:pPr>
      <w:r w:rsidRPr="00C01BEB">
        <w:rPr>
          <w:rFonts w:cs="Calibri"/>
          <w:b/>
          <w:noProof/>
        </w:rPr>
        <w:drawing>
          <wp:inline distT="0" distB="0" distL="0" distR="0" wp14:anchorId="3800F4CC" wp14:editId="5938C375">
            <wp:extent cx="2887980" cy="1051560"/>
            <wp:effectExtent l="19050" t="19050" r="2667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7980" cy="1051560"/>
                    </a:xfrm>
                    <a:prstGeom prst="rect">
                      <a:avLst/>
                    </a:prstGeom>
                    <a:noFill/>
                    <a:ln w="19050" cmpd="sng">
                      <a:solidFill>
                        <a:srgbClr val="000000"/>
                      </a:solidFill>
                      <a:miter lim="800000"/>
                      <a:headEnd/>
                      <a:tailEnd/>
                    </a:ln>
                    <a:effectLst/>
                  </pic:spPr>
                </pic:pic>
              </a:graphicData>
            </a:graphic>
          </wp:inline>
        </w:drawing>
      </w:r>
    </w:p>
    <w:p w14:paraId="21FF4E82" w14:textId="77777777" w:rsidR="00C01BEB" w:rsidRPr="00C01BEB" w:rsidRDefault="00C01BEB" w:rsidP="00C01BEB">
      <w:pPr>
        <w:tabs>
          <w:tab w:val="left" w:pos="504"/>
        </w:tabs>
        <w:rPr>
          <w:rFonts w:cs="Calibri"/>
          <w:b/>
          <w:bCs/>
          <w:lang w:val="cy-GB"/>
        </w:rPr>
      </w:pPr>
      <w:r w:rsidRPr="00C01BEB">
        <w:rPr>
          <w:rFonts w:cs="Calibri"/>
          <w:b/>
          <w:bCs/>
          <w:lang w:val="cy-GB"/>
        </w:rPr>
        <w:t>Undergraduate assignment feedback form</w:t>
      </w:r>
    </w:p>
    <w:p w14:paraId="5A738C58" w14:textId="77777777" w:rsidR="00C01BEB" w:rsidRPr="00C01BEB" w:rsidRDefault="00C01BEB" w:rsidP="00C01BEB">
      <w:pPr>
        <w:tabs>
          <w:tab w:val="left" w:pos="504"/>
        </w:tabs>
        <w:rPr>
          <w:rFonts w:cs="Calibri"/>
          <w:b/>
          <w:lang w:val="cy-GB"/>
        </w:rPr>
      </w:pPr>
      <w:r w:rsidRPr="00C01BEB">
        <w:rPr>
          <w:rFonts w:cs="Calibri"/>
          <w:b/>
          <w:lang w:val="cy-GB"/>
        </w:rPr>
        <w:t>(to be completed by marker)</w:t>
      </w:r>
    </w:p>
    <w:p w14:paraId="1DDBF1E0" w14:textId="77777777" w:rsidR="00C01BEB" w:rsidRPr="00C01BEB" w:rsidRDefault="00C01BEB" w:rsidP="00C01BEB">
      <w:pPr>
        <w:tabs>
          <w:tab w:val="left" w:pos="504"/>
        </w:tabs>
        <w:rPr>
          <w:rFonts w:cs="Calibri"/>
          <w:b/>
          <w:lang w:val="cy-GB"/>
        </w:rPr>
      </w:pPr>
    </w:p>
    <w:p w14:paraId="19DAD30D" w14:textId="77777777" w:rsidR="00C01BEB" w:rsidRPr="00C01BEB" w:rsidRDefault="00C01BEB" w:rsidP="00C01BEB">
      <w:pPr>
        <w:tabs>
          <w:tab w:val="left" w:pos="504"/>
        </w:tabs>
        <w:rPr>
          <w:rFonts w:cs="Calibri"/>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C01BEB" w:rsidRPr="00C01BEB" w14:paraId="2ED8A82E" w14:textId="77777777" w:rsidTr="00FA397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ADF67CB" w14:textId="77777777" w:rsidR="00C01BEB" w:rsidRPr="00C01BEB" w:rsidRDefault="00C01BEB" w:rsidP="00C01BEB">
            <w:pPr>
              <w:tabs>
                <w:tab w:val="left" w:pos="504"/>
              </w:tabs>
              <w:rPr>
                <w:rFonts w:cs="Calibri"/>
                <w:b/>
                <w:i/>
              </w:rPr>
            </w:pPr>
            <w:r w:rsidRPr="00C01BEB">
              <w:rPr>
                <w:rFonts w:cs="Calibri"/>
                <w:b/>
                <w:i/>
              </w:rPr>
              <w:t>Student Name:</w:t>
            </w:r>
          </w:p>
          <w:p w14:paraId="679DE149" w14:textId="77777777" w:rsidR="00C01BEB" w:rsidRPr="00C01BEB" w:rsidRDefault="00C01BEB" w:rsidP="00C01BEB">
            <w:pPr>
              <w:tabs>
                <w:tab w:val="left" w:pos="504"/>
              </w:tabs>
              <w:rPr>
                <w:rFonts w:cs="Calibri"/>
                <w:b/>
                <w:i/>
              </w:rPr>
            </w:pPr>
            <w:r w:rsidRPr="00C01BEB">
              <w:rPr>
                <w:rFonts w:cs="Calibri"/>
                <w:b/>
                <w:i/>
              </w:rPr>
              <w:t xml:space="preserve">Henry Gillson – Gant </w:t>
            </w:r>
          </w:p>
        </w:tc>
      </w:tr>
      <w:tr w:rsidR="00C01BEB" w:rsidRPr="00C01BEB" w14:paraId="7ABD0E03" w14:textId="77777777" w:rsidTr="00FA397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8B8AD73" w14:textId="77777777" w:rsidR="00C01BEB" w:rsidRPr="00C01BEB" w:rsidRDefault="00C01BEB" w:rsidP="00C01BEB">
            <w:pPr>
              <w:tabs>
                <w:tab w:val="left" w:pos="504"/>
              </w:tabs>
              <w:rPr>
                <w:rFonts w:cs="Calibri"/>
                <w:b/>
                <w:i/>
              </w:rPr>
            </w:pPr>
            <w:r w:rsidRPr="00C01BEB">
              <w:rPr>
                <w:rFonts w:cs="Calibri"/>
                <w:b/>
                <w:i/>
              </w:rPr>
              <w:t>Module title:</w:t>
            </w:r>
          </w:p>
          <w:p w14:paraId="6FE2EC37" w14:textId="75214B4D" w:rsidR="00C01BEB" w:rsidRPr="00C01BEB" w:rsidRDefault="00D243FF" w:rsidP="00C01BEB">
            <w:pPr>
              <w:tabs>
                <w:tab w:val="left" w:pos="504"/>
              </w:tabs>
              <w:rPr>
                <w:rFonts w:cs="Calibri"/>
                <w:b/>
                <w:i/>
              </w:rPr>
            </w:pPr>
            <w:r w:rsidRPr="00D243FF">
              <w:rPr>
                <w:rFonts w:cs="Calibri"/>
                <w:b/>
                <w:i/>
              </w:rPr>
              <w:t>Introduction to American History: From Columbus to the Present Day (AHHI5016)</w:t>
            </w:r>
          </w:p>
        </w:tc>
        <w:tc>
          <w:tcPr>
            <w:tcW w:w="3967" w:type="dxa"/>
            <w:gridSpan w:val="2"/>
            <w:tcBorders>
              <w:top w:val="single" w:sz="4" w:space="0" w:color="auto"/>
              <w:left w:val="single" w:sz="4" w:space="0" w:color="auto"/>
              <w:bottom w:val="single" w:sz="4" w:space="0" w:color="auto"/>
              <w:right w:val="single" w:sz="4" w:space="0" w:color="auto"/>
            </w:tcBorders>
          </w:tcPr>
          <w:p w14:paraId="6F8CF935" w14:textId="77777777" w:rsidR="00C01BEB" w:rsidRPr="00C01BEB" w:rsidRDefault="00C01BEB" w:rsidP="00C01BEB">
            <w:pPr>
              <w:tabs>
                <w:tab w:val="left" w:pos="504"/>
              </w:tabs>
              <w:rPr>
                <w:rFonts w:cs="Calibri"/>
                <w:b/>
                <w:i/>
              </w:rPr>
            </w:pPr>
            <w:r w:rsidRPr="00C01BEB">
              <w:rPr>
                <w:rFonts w:cs="Calibri"/>
                <w:b/>
                <w:i/>
              </w:rPr>
              <w:t>Student number:</w:t>
            </w:r>
          </w:p>
          <w:p w14:paraId="0E415095" w14:textId="77777777" w:rsidR="00C01BEB" w:rsidRPr="00C01BEB" w:rsidRDefault="00C01BEB" w:rsidP="00C01BEB">
            <w:pPr>
              <w:tabs>
                <w:tab w:val="left" w:pos="504"/>
              </w:tabs>
              <w:rPr>
                <w:rFonts w:cs="Calibri"/>
                <w:b/>
              </w:rPr>
            </w:pPr>
            <w:r w:rsidRPr="00C01BEB">
              <w:rPr>
                <w:rFonts w:cs="Calibri"/>
                <w:b/>
              </w:rPr>
              <w:t>1600129</w:t>
            </w:r>
          </w:p>
        </w:tc>
      </w:tr>
      <w:tr w:rsidR="00C01BEB" w:rsidRPr="00C01BEB" w14:paraId="74171224" w14:textId="77777777" w:rsidTr="00FA3979">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41CF7789" w14:textId="77777777" w:rsidR="00C01BEB" w:rsidRPr="00C01BEB" w:rsidRDefault="00C01BEB" w:rsidP="00C01BEB">
            <w:pPr>
              <w:tabs>
                <w:tab w:val="left" w:pos="504"/>
              </w:tabs>
              <w:rPr>
                <w:rFonts w:cs="Calibri"/>
                <w:b/>
                <w:i/>
              </w:rPr>
            </w:pPr>
            <w:r w:rsidRPr="00C01BEB">
              <w:rPr>
                <w:rFonts w:cs="Calibri"/>
                <w:b/>
                <w:i/>
              </w:rPr>
              <w:t>For completion by marker:</w:t>
            </w:r>
          </w:p>
          <w:p w14:paraId="4F2992B8" w14:textId="77777777" w:rsidR="00C01BEB" w:rsidRPr="00C01BEB" w:rsidRDefault="00C01BEB" w:rsidP="00C01BEB">
            <w:pPr>
              <w:tabs>
                <w:tab w:val="left" w:pos="504"/>
              </w:tabs>
              <w:rPr>
                <w:rFonts w:cs="Calibri"/>
                <w:b/>
                <w:i/>
              </w:rPr>
            </w:pPr>
            <w:r w:rsidRPr="00C01BEB">
              <w:rPr>
                <w:rFonts w:cs="Calibri"/>
                <w:b/>
                <w:i/>
              </w:rPr>
              <w:t>Comments:</w:t>
            </w:r>
          </w:p>
          <w:p w14:paraId="08EE6F6B" w14:textId="272BC1ED" w:rsidR="00C01BEB" w:rsidRPr="00C01BEB" w:rsidRDefault="00D243FF" w:rsidP="00C01BEB">
            <w:pPr>
              <w:tabs>
                <w:tab w:val="left" w:pos="504"/>
              </w:tabs>
              <w:rPr>
                <w:rFonts w:cs="Calibri"/>
                <w:b/>
                <w:i/>
              </w:rPr>
            </w:pPr>
            <w:r>
              <w:rPr>
                <w:rFonts w:cs="Calibri"/>
                <w:b/>
                <w:i/>
              </w:rPr>
              <w:t>Word Count: 2475 words</w:t>
            </w:r>
          </w:p>
          <w:p w14:paraId="3E3515CB" w14:textId="77777777" w:rsidR="00C01BEB" w:rsidRPr="00C01BEB" w:rsidRDefault="00C01BEB" w:rsidP="00C01BEB">
            <w:pPr>
              <w:tabs>
                <w:tab w:val="left" w:pos="504"/>
              </w:tabs>
              <w:rPr>
                <w:rFonts w:cs="Calibri"/>
                <w:b/>
                <w:i/>
              </w:rPr>
            </w:pPr>
          </w:p>
          <w:p w14:paraId="1591CFE2" w14:textId="77777777" w:rsidR="00C01BEB" w:rsidRPr="00C01BEB" w:rsidRDefault="00C01BEB" w:rsidP="00C01BEB">
            <w:pPr>
              <w:tabs>
                <w:tab w:val="left" w:pos="504"/>
              </w:tabs>
              <w:rPr>
                <w:rFonts w:cs="Calibri"/>
                <w:b/>
                <w:i/>
              </w:rPr>
            </w:pPr>
          </w:p>
          <w:p w14:paraId="15E0E15A" w14:textId="77777777" w:rsidR="00C01BEB" w:rsidRPr="00C01BEB" w:rsidRDefault="00C01BEB" w:rsidP="00C01BEB">
            <w:pPr>
              <w:tabs>
                <w:tab w:val="left" w:pos="504"/>
              </w:tabs>
              <w:rPr>
                <w:rFonts w:cs="Calibri"/>
                <w:b/>
                <w:i/>
              </w:rPr>
            </w:pPr>
          </w:p>
          <w:p w14:paraId="6F3201C6" w14:textId="77777777" w:rsidR="00C01BEB" w:rsidRPr="00C01BEB" w:rsidRDefault="00C01BEB" w:rsidP="00C01BEB">
            <w:pPr>
              <w:tabs>
                <w:tab w:val="left" w:pos="504"/>
              </w:tabs>
              <w:rPr>
                <w:rFonts w:cs="Calibri"/>
                <w:b/>
                <w:i/>
              </w:rPr>
            </w:pPr>
          </w:p>
          <w:p w14:paraId="6C7AFF17" w14:textId="77777777" w:rsidR="00C01BEB" w:rsidRPr="00C01BEB" w:rsidRDefault="00C01BEB" w:rsidP="00C01BEB">
            <w:pPr>
              <w:tabs>
                <w:tab w:val="left" w:pos="504"/>
              </w:tabs>
              <w:rPr>
                <w:rFonts w:cs="Calibri"/>
                <w:b/>
                <w:i/>
              </w:rPr>
            </w:pPr>
          </w:p>
          <w:p w14:paraId="4599006E" w14:textId="77777777" w:rsidR="00C01BEB" w:rsidRPr="00C01BEB" w:rsidRDefault="00C01BEB" w:rsidP="00C01BEB">
            <w:pPr>
              <w:tabs>
                <w:tab w:val="left" w:pos="504"/>
              </w:tabs>
              <w:rPr>
                <w:rFonts w:cs="Calibri"/>
                <w:b/>
                <w:i/>
              </w:rPr>
            </w:pPr>
          </w:p>
          <w:p w14:paraId="19B2452B" w14:textId="77777777" w:rsidR="00C01BEB" w:rsidRPr="00C01BEB" w:rsidRDefault="00C01BEB" w:rsidP="00C01BEB">
            <w:pPr>
              <w:tabs>
                <w:tab w:val="left" w:pos="504"/>
              </w:tabs>
              <w:rPr>
                <w:rFonts w:cs="Calibri"/>
                <w:b/>
                <w:i/>
              </w:rPr>
            </w:pPr>
          </w:p>
          <w:p w14:paraId="671447DA" w14:textId="77777777" w:rsidR="00C01BEB" w:rsidRPr="00C01BEB" w:rsidRDefault="00C01BEB" w:rsidP="00C01BEB">
            <w:pPr>
              <w:tabs>
                <w:tab w:val="left" w:pos="504"/>
              </w:tabs>
              <w:rPr>
                <w:rFonts w:cs="Calibri"/>
                <w:b/>
                <w:i/>
              </w:rPr>
            </w:pPr>
          </w:p>
          <w:p w14:paraId="1015701B" w14:textId="77777777" w:rsidR="00C01BEB" w:rsidRPr="00C01BEB" w:rsidRDefault="00C01BEB" w:rsidP="00C01BEB">
            <w:pPr>
              <w:tabs>
                <w:tab w:val="left" w:pos="504"/>
              </w:tabs>
              <w:rPr>
                <w:rFonts w:cs="Calibri"/>
                <w:b/>
                <w:i/>
              </w:rPr>
            </w:pPr>
          </w:p>
          <w:p w14:paraId="217A8398" w14:textId="77777777" w:rsidR="00C01BEB" w:rsidRPr="00C01BEB" w:rsidRDefault="00C01BEB" w:rsidP="00C01BEB">
            <w:pPr>
              <w:tabs>
                <w:tab w:val="left" w:pos="504"/>
              </w:tabs>
              <w:rPr>
                <w:rFonts w:cs="Calibri"/>
                <w:b/>
                <w:i/>
              </w:rPr>
            </w:pPr>
          </w:p>
        </w:tc>
      </w:tr>
      <w:tr w:rsidR="00C01BEB" w:rsidRPr="00C01BEB" w14:paraId="21F3854C" w14:textId="77777777" w:rsidTr="00FA3979">
        <w:trPr>
          <w:trHeight w:val="492"/>
        </w:trPr>
        <w:tc>
          <w:tcPr>
            <w:tcW w:w="6768" w:type="dxa"/>
            <w:gridSpan w:val="2"/>
            <w:tcBorders>
              <w:top w:val="single" w:sz="4" w:space="0" w:color="auto"/>
            </w:tcBorders>
            <w:vAlign w:val="center"/>
          </w:tcPr>
          <w:p w14:paraId="341FEA90" w14:textId="77777777" w:rsidR="00C01BEB" w:rsidRPr="00C01BEB" w:rsidRDefault="00C01BEB" w:rsidP="00C01BEB">
            <w:pPr>
              <w:tabs>
                <w:tab w:val="left" w:pos="504"/>
              </w:tabs>
              <w:rPr>
                <w:rFonts w:cs="Calibri"/>
                <w:b/>
                <w:i/>
              </w:rPr>
            </w:pPr>
            <w:r w:rsidRPr="00C01BEB">
              <w:rPr>
                <w:rFonts w:cs="Calibri"/>
                <w:b/>
                <w:i/>
              </w:rPr>
              <w:t>Marker’s signature:</w:t>
            </w:r>
          </w:p>
        </w:tc>
        <w:tc>
          <w:tcPr>
            <w:tcW w:w="1987" w:type="dxa"/>
            <w:tcBorders>
              <w:top w:val="single" w:sz="4" w:space="0" w:color="auto"/>
            </w:tcBorders>
            <w:vAlign w:val="center"/>
          </w:tcPr>
          <w:p w14:paraId="477656FA" w14:textId="77777777" w:rsidR="00C01BEB" w:rsidRPr="00C01BEB" w:rsidRDefault="00C01BEB" w:rsidP="00C01BEB">
            <w:pPr>
              <w:tabs>
                <w:tab w:val="left" w:pos="504"/>
              </w:tabs>
              <w:rPr>
                <w:rFonts w:cs="Calibri"/>
                <w:b/>
                <w:i/>
              </w:rPr>
            </w:pPr>
            <w:r w:rsidRPr="00C01BEB">
              <w:rPr>
                <w:rFonts w:cs="Calibri"/>
                <w:b/>
                <w:i/>
              </w:rPr>
              <w:t>Date:</w:t>
            </w:r>
          </w:p>
        </w:tc>
      </w:tr>
      <w:tr w:rsidR="00C01BEB" w:rsidRPr="00C01BEB" w14:paraId="2C6AE38E" w14:textId="77777777" w:rsidTr="00FA3979">
        <w:tc>
          <w:tcPr>
            <w:tcW w:w="8755" w:type="dxa"/>
            <w:gridSpan w:val="3"/>
            <w:vAlign w:val="center"/>
          </w:tcPr>
          <w:p w14:paraId="164D6B3C" w14:textId="77777777" w:rsidR="00C01BEB" w:rsidRPr="00C01BEB" w:rsidRDefault="00C01BEB" w:rsidP="00C01BEB">
            <w:pPr>
              <w:tabs>
                <w:tab w:val="left" w:pos="504"/>
              </w:tabs>
              <w:rPr>
                <w:rFonts w:cs="Calibri"/>
                <w:b/>
                <w:i/>
              </w:rPr>
            </w:pPr>
            <w:r w:rsidRPr="00C01BEB">
              <w:rPr>
                <w:rFonts w:cs="Calibri"/>
                <w:b/>
                <w:i/>
              </w:rPr>
              <w:t xml:space="preserve">Provisional mark: </w:t>
            </w:r>
          </w:p>
          <w:p w14:paraId="3317A03C" w14:textId="77777777" w:rsidR="00C01BEB" w:rsidRPr="00C01BEB" w:rsidRDefault="00C01BEB" w:rsidP="00C01BEB">
            <w:pPr>
              <w:tabs>
                <w:tab w:val="left" w:pos="504"/>
              </w:tabs>
              <w:rPr>
                <w:rFonts w:cs="Calibri"/>
                <w:b/>
                <w:i/>
              </w:rPr>
            </w:pPr>
            <w:r w:rsidRPr="00C01BEB">
              <w:rPr>
                <w:rFonts w:cs="Calibri"/>
                <w:b/>
                <w:i/>
              </w:rPr>
              <w:t xml:space="preserve">NB.  All marks are provisional until confirmed by the final examination board. </w:t>
            </w:r>
          </w:p>
        </w:tc>
      </w:tr>
    </w:tbl>
    <w:p w14:paraId="1BA89C8C" w14:textId="77777777" w:rsidR="00C01BEB" w:rsidRPr="00C01BEB" w:rsidRDefault="00C01BEB" w:rsidP="00C01BEB">
      <w:pPr>
        <w:tabs>
          <w:tab w:val="left" w:pos="504"/>
        </w:tabs>
        <w:rPr>
          <w:rFonts w:cs="Calibri"/>
          <w:b/>
          <w:bCs/>
        </w:rPr>
      </w:pPr>
    </w:p>
    <w:p w14:paraId="2E8A7828" w14:textId="77777777" w:rsidR="00C01BEB" w:rsidRPr="00C01BEB" w:rsidRDefault="00C01BEB" w:rsidP="00C01BEB">
      <w:pPr>
        <w:tabs>
          <w:tab w:val="left" w:pos="504"/>
        </w:tabs>
        <w:rPr>
          <w:rFonts w:cs="Calibri"/>
          <w:b/>
          <w:bCs/>
        </w:rPr>
      </w:pPr>
    </w:p>
    <w:p w14:paraId="11307372" w14:textId="77777777" w:rsidR="00C01BEB" w:rsidRPr="00C01BEB" w:rsidRDefault="00C01BEB" w:rsidP="00C01BEB">
      <w:pPr>
        <w:tabs>
          <w:tab w:val="left" w:pos="504"/>
        </w:tabs>
        <w:rPr>
          <w:rFonts w:cs="Calibri"/>
          <w:b/>
          <w:bCs/>
        </w:rPr>
      </w:pPr>
    </w:p>
    <w:p w14:paraId="3808D4CB" w14:textId="25AF6EA1" w:rsidR="0060108B" w:rsidRDefault="0088237C" w:rsidP="00C01BEB">
      <w:pPr>
        <w:rPr>
          <w:rFonts w:cs="Calibri"/>
          <w:b/>
          <w:u w:val="single"/>
        </w:rPr>
      </w:pPr>
      <w:r>
        <w:rPr>
          <w:rFonts w:cs="Calibri"/>
          <w:b/>
          <w:u w:val="single"/>
        </w:rPr>
        <w:t>What did James Madison mean when he warned against the “mischief of faction,” and how did the design of the US Constitution attempt to mitigate such ‘mischief’?</w:t>
      </w:r>
    </w:p>
    <w:p w14:paraId="1612EB17" w14:textId="77777777" w:rsidR="0060108B" w:rsidRDefault="0088237C">
      <w:pPr>
        <w:rPr>
          <w:rFonts w:cs="Calibri"/>
        </w:rPr>
      </w:pPr>
      <w:r>
        <w:rPr>
          <w:rFonts w:cs="Calibri"/>
        </w:rPr>
        <w:t xml:space="preserve">James Madison is quoted to have warned of the mischief of faction in the federalist papers. It was based on his thoughts of what the new constitution of the United States should be like. What did he mean by mischief of faction, and how did it shape the design the of the US Constitution. How did it curtail the so called “mischief”? First, we must understand what Madison means by faction and how it threatened his views of the new constitution. Then we must explore how the new constitution mitigated these mischiefs he speaks of. This will be done by using primary sources such as the federalist papers, and the papers used by the anti-federalists to justify their causes. Also, the United States Constitution, with the amendments that specifically curtail the mischief that Madison warns us off.   </w:t>
      </w:r>
    </w:p>
    <w:p w14:paraId="6ED18282" w14:textId="07FDC226" w:rsidR="0060108B" w:rsidRDefault="0088237C">
      <w:pPr>
        <w:rPr>
          <w:rFonts w:cs="Calibri"/>
        </w:rPr>
      </w:pPr>
      <w:r>
        <w:rPr>
          <w:rFonts w:cs="Calibri"/>
        </w:rPr>
        <w:t xml:space="preserve">In the </w:t>
      </w:r>
      <w:r w:rsidR="007611CB">
        <w:rPr>
          <w:rFonts w:cs="Calibri"/>
        </w:rPr>
        <w:t>Fe</w:t>
      </w:r>
      <w:r>
        <w:rPr>
          <w:rFonts w:cs="Calibri"/>
        </w:rPr>
        <w:t xml:space="preserve">deralist Papers Number 10 Madison defines in two stages as what he defines the concept of faction, “By a faction, I understand </w:t>
      </w:r>
      <w:proofErr w:type="gramStart"/>
      <w:r>
        <w:rPr>
          <w:rFonts w:cs="Calibri"/>
        </w:rPr>
        <w:t>a number of</w:t>
      </w:r>
      <w:proofErr w:type="gramEnd"/>
      <w:r>
        <w:rPr>
          <w:rFonts w:cs="Calibri"/>
        </w:rPr>
        <w:t xml:space="preserve"> citizens, whether amounting to a majority or a minority of the whole, who are united and actuated by some common impulse of passion, or of interest”</w:t>
      </w:r>
      <w:r w:rsidR="008F166A">
        <w:rPr>
          <w:rStyle w:val="FootnoteReference"/>
          <w:rFonts w:cs="Calibri"/>
        </w:rPr>
        <w:footnoteReference w:id="1"/>
      </w:r>
      <w:r>
        <w:rPr>
          <w:rFonts w:cs="Calibri"/>
        </w:rPr>
        <w:t>. First, he defines a faction as a group of people who can be a majority or a minority. Second, he defines both types of groups as likeminded and interlinked with common interests. Madison further expands that with these interests these groups are averse to the rights of man</w:t>
      </w:r>
      <w:r w:rsidR="0070350D">
        <w:rPr>
          <w:rStyle w:val="FootnoteReference"/>
          <w:rFonts w:cs="Calibri"/>
        </w:rPr>
        <w:footnoteReference w:id="2"/>
      </w:r>
      <w:r>
        <w:rPr>
          <w:rFonts w:cs="Calibri"/>
        </w:rPr>
        <w:t xml:space="preserve">. </w:t>
      </w:r>
      <w:r w:rsidR="00C72EBD">
        <w:rPr>
          <w:rFonts w:cs="Calibri"/>
        </w:rPr>
        <w:t xml:space="preserve">The rights of man being referred to enfranchised in the </w:t>
      </w:r>
      <w:r w:rsidR="007611CB">
        <w:rPr>
          <w:rFonts w:cs="Calibri"/>
        </w:rPr>
        <w:t>constitution.</w:t>
      </w:r>
      <w:r w:rsidR="00C72EBD">
        <w:rPr>
          <w:rFonts w:cs="Calibri"/>
        </w:rPr>
        <w:t xml:space="preserve"> </w:t>
      </w:r>
      <w:r w:rsidR="007611CB">
        <w:rPr>
          <w:rFonts w:cs="Calibri"/>
        </w:rPr>
        <w:t>In</w:t>
      </w:r>
      <w:r>
        <w:rPr>
          <w:rFonts w:cs="Calibri"/>
        </w:rPr>
        <w:t xml:space="preserve"> other words, they are prepared to put their own interests above that of the common man, and vote according to their own ideologies. Madison highlights that if a majority comes into power and votes in such a manner, they can </w:t>
      </w:r>
      <w:r w:rsidR="007611CB">
        <w:rPr>
          <w:rFonts w:cs="Calibri"/>
        </w:rPr>
        <w:t xml:space="preserve">Impose </w:t>
      </w:r>
      <w:r>
        <w:rPr>
          <w:rFonts w:cs="Calibri"/>
        </w:rPr>
        <w:t>their tyranny upon the minority</w:t>
      </w:r>
      <w:r w:rsidR="0070350D">
        <w:rPr>
          <w:rStyle w:val="FootnoteReference"/>
          <w:rFonts w:cs="Calibri"/>
        </w:rPr>
        <w:footnoteReference w:id="3"/>
      </w:r>
      <w:r>
        <w:rPr>
          <w:rFonts w:cs="Calibri"/>
        </w:rPr>
        <w:t xml:space="preserve">. </w:t>
      </w:r>
      <w:bookmarkStart w:id="0" w:name="_Hlk498946973"/>
      <w:proofErr w:type="spellStart"/>
      <w:r w:rsidR="0070350D">
        <w:rPr>
          <w:rFonts w:cs="Calibri"/>
        </w:rPr>
        <w:t>Kalyvas</w:t>
      </w:r>
      <w:proofErr w:type="spellEnd"/>
      <w:r w:rsidR="0070350D">
        <w:rPr>
          <w:rFonts w:cs="Calibri"/>
        </w:rPr>
        <w:t xml:space="preserve"> and </w:t>
      </w:r>
      <w:proofErr w:type="spellStart"/>
      <w:r w:rsidR="000764AD">
        <w:rPr>
          <w:rFonts w:cs="Calibri"/>
        </w:rPr>
        <w:t>Katznelson</w:t>
      </w:r>
      <w:proofErr w:type="spellEnd"/>
      <w:r>
        <w:rPr>
          <w:rFonts w:cs="Calibri"/>
        </w:rPr>
        <w:t xml:space="preserve"> </w:t>
      </w:r>
      <w:bookmarkEnd w:id="0"/>
      <w:r>
        <w:rPr>
          <w:rFonts w:cs="Calibri"/>
        </w:rPr>
        <w:t xml:space="preserve">in </w:t>
      </w:r>
      <w:r w:rsidR="000764AD">
        <w:rPr>
          <w:rFonts w:cs="Calibri"/>
        </w:rPr>
        <w:t>their</w:t>
      </w:r>
      <w:r>
        <w:rPr>
          <w:rFonts w:cs="Calibri"/>
        </w:rPr>
        <w:t xml:space="preserve"> assessment of Madison places the origin of the mischief of faction in Madison’s republican beliefs</w:t>
      </w:r>
      <w:r w:rsidR="0070350D">
        <w:rPr>
          <w:rStyle w:val="FootnoteReference"/>
          <w:rFonts w:cs="Calibri"/>
        </w:rPr>
        <w:footnoteReference w:id="4"/>
      </w:r>
      <w:r>
        <w:rPr>
          <w:rFonts w:cs="Calibri"/>
        </w:rPr>
        <w:t xml:space="preserve">. </w:t>
      </w:r>
      <w:r w:rsidR="004F0F33">
        <w:rPr>
          <w:rFonts w:cs="Calibri"/>
        </w:rPr>
        <w:t xml:space="preserve">They </w:t>
      </w:r>
      <w:r>
        <w:rPr>
          <w:rFonts w:cs="Calibri"/>
        </w:rPr>
        <w:t>highlight that Madison feared for the basic rights of man from the domination of citizens who had little or no property</w:t>
      </w:r>
      <w:r w:rsidR="004F0F33">
        <w:rPr>
          <w:rStyle w:val="FootnoteReference"/>
          <w:rFonts w:cs="Calibri"/>
        </w:rPr>
        <w:footnoteReference w:id="5"/>
      </w:r>
      <w:r>
        <w:rPr>
          <w:rFonts w:cs="Calibri"/>
        </w:rPr>
        <w:t xml:space="preserve">. </w:t>
      </w:r>
      <w:r w:rsidR="004F0F33">
        <w:rPr>
          <w:rFonts w:cs="Calibri"/>
        </w:rPr>
        <w:t xml:space="preserve">It is </w:t>
      </w:r>
      <w:r>
        <w:rPr>
          <w:rFonts w:cs="Calibri"/>
        </w:rPr>
        <w:t>argue</w:t>
      </w:r>
      <w:r w:rsidR="004F0F33">
        <w:rPr>
          <w:rFonts w:cs="Calibri"/>
        </w:rPr>
        <w:t>d</w:t>
      </w:r>
      <w:r>
        <w:rPr>
          <w:rFonts w:cs="Calibri"/>
        </w:rPr>
        <w:t xml:space="preserve"> that this was the basis for him to wish for the </w:t>
      </w:r>
      <w:r w:rsidR="007611CB">
        <w:rPr>
          <w:rFonts w:cs="Calibri"/>
        </w:rPr>
        <w:t xml:space="preserve">breaking </w:t>
      </w:r>
      <w:r>
        <w:rPr>
          <w:rFonts w:cs="Calibri"/>
        </w:rPr>
        <w:t xml:space="preserve">of such factions.  </w:t>
      </w:r>
    </w:p>
    <w:p w14:paraId="7688950F" w14:textId="21A447F2" w:rsidR="0060108B" w:rsidRDefault="0088237C">
      <w:pPr>
        <w:rPr>
          <w:rFonts w:cs="Calibri"/>
        </w:rPr>
      </w:pPr>
      <w:r>
        <w:rPr>
          <w:rFonts w:cs="Calibri"/>
        </w:rPr>
        <w:t>What</w:t>
      </w:r>
      <w:r w:rsidR="00B23590" w:rsidRPr="00B23590">
        <w:t xml:space="preserve"> </w:t>
      </w:r>
      <w:proofErr w:type="spellStart"/>
      <w:r w:rsidR="00B23590" w:rsidRPr="00B23590">
        <w:rPr>
          <w:rFonts w:cs="Calibri"/>
        </w:rPr>
        <w:t>Kalyvas</w:t>
      </w:r>
      <w:proofErr w:type="spellEnd"/>
      <w:r w:rsidR="00B23590" w:rsidRPr="00B23590">
        <w:rPr>
          <w:rFonts w:cs="Calibri"/>
        </w:rPr>
        <w:t xml:space="preserve"> and </w:t>
      </w:r>
      <w:proofErr w:type="spellStart"/>
      <w:r w:rsidR="00B23590" w:rsidRPr="00B23590">
        <w:rPr>
          <w:rFonts w:cs="Calibri"/>
        </w:rPr>
        <w:t>Katznelson</w:t>
      </w:r>
      <w:proofErr w:type="spellEnd"/>
      <w:r>
        <w:rPr>
          <w:rFonts w:cs="Calibri"/>
        </w:rPr>
        <w:t xml:space="preserve"> say is true, Madison feared that politics would be dominated by those who had very little understanding of property. We must understand this motivation, to ask why Madison had such a problem with what he called mischief of faction. Returning to Federalist Number 10</w:t>
      </w:r>
      <w:r w:rsidR="007611CB">
        <w:rPr>
          <w:rStyle w:val="CommentReference"/>
        </w:rPr>
        <w:t>, M</w:t>
      </w:r>
      <w:r>
        <w:rPr>
          <w:rFonts w:cs="Calibri"/>
        </w:rPr>
        <w:t>adison argues that having a large majority would place people’s local concerns first and that if a common interest majority ascended, it would be nothing but oppression</w:t>
      </w:r>
      <w:r w:rsidR="00B23590">
        <w:rPr>
          <w:rStyle w:val="FootnoteReference"/>
          <w:rFonts w:cs="Calibri"/>
        </w:rPr>
        <w:footnoteReference w:id="6"/>
      </w:r>
      <w:r>
        <w:rPr>
          <w:rFonts w:cs="Calibri"/>
        </w:rPr>
        <w:t>. Madison preferred that instead of ordinary people having a say in government a select few should</w:t>
      </w:r>
      <w:r w:rsidR="00B23590">
        <w:rPr>
          <w:rStyle w:val="FootnoteReference"/>
          <w:rFonts w:cs="Calibri"/>
        </w:rPr>
        <w:footnoteReference w:id="7"/>
      </w:r>
      <w:r>
        <w:rPr>
          <w:rFonts w:cs="Calibri"/>
        </w:rPr>
        <w:t xml:space="preserve">. He considered an elected few to be </w:t>
      </w:r>
      <w:r w:rsidR="007611CB">
        <w:rPr>
          <w:rFonts w:cs="Calibri"/>
        </w:rPr>
        <w:t>wiser</w:t>
      </w:r>
      <w:r>
        <w:rPr>
          <w:rFonts w:cs="Calibri"/>
        </w:rPr>
        <w:t xml:space="preserve"> and more capable of bringing concerns</w:t>
      </w:r>
      <w:r w:rsidR="007611CB">
        <w:rPr>
          <w:rFonts w:cs="Calibri"/>
        </w:rPr>
        <w:t xml:space="preserve"> </w:t>
      </w:r>
      <w:r>
        <w:rPr>
          <w:rFonts w:cs="Calibri"/>
        </w:rPr>
        <w:t>that would define and enlarge the public view rather being convoluted with petty concerns</w:t>
      </w:r>
      <w:r w:rsidR="00B23590">
        <w:rPr>
          <w:rStyle w:val="FootnoteReference"/>
          <w:rFonts w:cs="Calibri"/>
        </w:rPr>
        <w:footnoteReference w:id="8"/>
      </w:r>
      <w:r>
        <w:rPr>
          <w:rFonts w:cs="Calibri"/>
        </w:rPr>
        <w:t>. In effect</w:t>
      </w:r>
      <w:r w:rsidR="007611CB">
        <w:rPr>
          <w:rFonts w:cs="Calibri"/>
        </w:rPr>
        <w:t>,</w:t>
      </w:r>
      <w:r>
        <w:rPr>
          <w:rFonts w:cs="Calibri"/>
        </w:rPr>
        <w:t xml:space="preserve"> only</w:t>
      </w:r>
      <w:r w:rsidR="007611CB">
        <w:rPr>
          <w:rFonts w:cs="Calibri"/>
        </w:rPr>
        <w:t xml:space="preserve"> t</w:t>
      </w:r>
      <w:r>
        <w:rPr>
          <w:rFonts w:cs="Calibri"/>
        </w:rPr>
        <w:t xml:space="preserve">hose who could consider the wider picture of public concern should be allowed to sit in </w:t>
      </w:r>
      <w:r w:rsidR="007611CB">
        <w:rPr>
          <w:rFonts w:cs="Calibri"/>
        </w:rPr>
        <w:t>G</w:t>
      </w:r>
      <w:r>
        <w:rPr>
          <w:rFonts w:cs="Calibri"/>
        </w:rPr>
        <w:t xml:space="preserve">overnment. Alexander Hamilton described the ideas of Madison as a natural order, believing that it was inevitable for the rich and </w:t>
      </w:r>
      <w:r>
        <w:rPr>
          <w:rFonts w:cs="Calibri"/>
        </w:rPr>
        <w:lastRenderedPageBreak/>
        <w:t>the wealthy to represent the people below them</w:t>
      </w:r>
      <w:r w:rsidR="00B23590">
        <w:rPr>
          <w:rStyle w:val="FootnoteReference"/>
          <w:rFonts w:cs="Calibri"/>
        </w:rPr>
        <w:footnoteReference w:id="9"/>
      </w:r>
      <w:r>
        <w:rPr>
          <w:rFonts w:cs="Calibri"/>
        </w:rPr>
        <w:t>. He uses the example of a merchant as being the natural representative of his employees</w:t>
      </w:r>
      <w:r w:rsidR="00802209">
        <w:rPr>
          <w:rStyle w:val="FootnoteReference"/>
          <w:rFonts w:cs="Calibri"/>
        </w:rPr>
        <w:footnoteReference w:id="10"/>
      </w:r>
      <w:r>
        <w:rPr>
          <w:rFonts w:cs="Calibri"/>
        </w:rPr>
        <w:t>. To him and Madison the government would be filled with a select few “landholders, merchants, and men of the learned professions</w:t>
      </w:r>
      <w:r w:rsidR="00802209">
        <w:rPr>
          <w:rStyle w:val="FootnoteReference"/>
          <w:rFonts w:cs="Calibri"/>
        </w:rPr>
        <w:footnoteReference w:id="11"/>
      </w:r>
      <w:r>
        <w:rPr>
          <w:rFonts w:cs="Calibri"/>
        </w:rPr>
        <w:t xml:space="preserve">.  </w:t>
      </w:r>
    </w:p>
    <w:p w14:paraId="70CB4693" w14:textId="1E1DA351" w:rsidR="0060108B" w:rsidRDefault="0088237C">
      <w:pPr>
        <w:rPr>
          <w:rFonts w:cs="Calibri"/>
        </w:rPr>
      </w:pPr>
      <w:r>
        <w:rPr>
          <w:rFonts w:cs="Calibri"/>
        </w:rPr>
        <w:t xml:space="preserve">It is the chaos of this conflict of interest that Madison presents in </w:t>
      </w:r>
      <w:r w:rsidR="007611CB">
        <w:rPr>
          <w:rFonts w:cs="Calibri"/>
        </w:rPr>
        <w:t>F</w:t>
      </w:r>
      <w:r>
        <w:rPr>
          <w:rFonts w:cs="Calibri"/>
        </w:rPr>
        <w:t xml:space="preserve">ederalist </w:t>
      </w:r>
      <w:r w:rsidR="007611CB">
        <w:rPr>
          <w:rFonts w:cs="Calibri"/>
        </w:rPr>
        <w:t>N</w:t>
      </w:r>
      <w:r>
        <w:rPr>
          <w:rFonts w:cs="Calibri"/>
        </w:rPr>
        <w:t xml:space="preserve">umber 10. What is presented is not a just an argument of interests of those who can sit in </w:t>
      </w:r>
      <w:r w:rsidR="007611CB">
        <w:rPr>
          <w:rFonts w:cs="Calibri"/>
        </w:rPr>
        <w:t>g</w:t>
      </w:r>
      <w:r>
        <w:rPr>
          <w:rFonts w:cs="Calibri"/>
        </w:rPr>
        <w:t>overnment but also the conflict of local interest compared to the national interest</w:t>
      </w:r>
      <w:r w:rsidR="0095022B">
        <w:rPr>
          <w:rStyle w:val="FootnoteReference"/>
          <w:rFonts w:cs="Calibri"/>
        </w:rPr>
        <w:footnoteReference w:id="12"/>
      </w:r>
      <w:r>
        <w:rPr>
          <w:rFonts w:cs="Calibri"/>
        </w:rPr>
        <w:t xml:space="preserve">. As iterated before Madison wished to fill the new government with men who could rightly represent the interests of those below. The framework of this concept was to do with the relationship between the states and the central </w:t>
      </w:r>
      <w:r w:rsidR="007611CB">
        <w:rPr>
          <w:rFonts w:cs="Calibri"/>
        </w:rPr>
        <w:t>g</w:t>
      </w:r>
      <w:r>
        <w:rPr>
          <w:rFonts w:cs="Calibri"/>
        </w:rPr>
        <w:t>overnment. Madison wanted the states to retain their powers, but at the same time avoid factions from the states dominating national politics</w:t>
      </w:r>
      <w:r w:rsidR="0095022B">
        <w:rPr>
          <w:rStyle w:val="FootnoteReference"/>
          <w:rFonts w:cs="Calibri"/>
        </w:rPr>
        <w:footnoteReference w:id="13"/>
      </w:r>
      <w:r>
        <w:rPr>
          <w:rFonts w:cs="Calibri"/>
        </w:rPr>
        <w:t>. It was to ensure that no large state could enforce its will on those states who were too weak to stand up to those who were stronger</w:t>
      </w:r>
      <w:r w:rsidR="0069447E">
        <w:rPr>
          <w:rStyle w:val="FootnoteReference"/>
          <w:rFonts w:cs="Calibri"/>
        </w:rPr>
        <w:footnoteReference w:id="14"/>
      </w:r>
      <w:r>
        <w:rPr>
          <w:rFonts w:cs="Calibri"/>
        </w:rPr>
        <w:t>. A second point to this was to create government that could prevent law and disorder within the union without factional fighting</w:t>
      </w:r>
      <w:r w:rsidR="00357EC1">
        <w:rPr>
          <w:rStyle w:val="FootnoteReference"/>
          <w:rFonts w:cs="Calibri"/>
        </w:rPr>
        <w:footnoteReference w:id="15"/>
      </w:r>
      <w:r>
        <w:rPr>
          <w:rFonts w:cs="Calibri"/>
        </w:rPr>
        <w:t>. The federalists often sighted Shay’s rebellion in this regard to demonstrate the disorder that was possible</w:t>
      </w:r>
      <w:r w:rsidR="007611CB">
        <w:rPr>
          <w:rFonts w:cs="Calibri"/>
        </w:rPr>
        <w:t xml:space="preserve">; </w:t>
      </w:r>
      <w:r>
        <w:rPr>
          <w:rFonts w:cs="Calibri"/>
        </w:rPr>
        <w:t>Madison</w:t>
      </w:r>
      <w:r w:rsidR="007611CB">
        <w:rPr>
          <w:rFonts w:cs="Calibri"/>
        </w:rPr>
        <w:t xml:space="preserve"> </w:t>
      </w:r>
      <w:r>
        <w:rPr>
          <w:rFonts w:cs="Calibri"/>
        </w:rPr>
        <w:t>compared it to Civil War</w:t>
      </w:r>
      <w:r w:rsidR="00357EC1">
        <w:rPr>
          <w:rStyle w:val="FootnoteReference"/>
          <w:rFonts w:cs="Calibri"/>
        </w:rPr>
        <w:footnoteReference w:id="16"/>
      </w:r>
      <w:r>
        <w:rPr>
          <w:rFonts w:cs="Calibri"/>
        </w:rPr>
        <w:t xml:space="preserve">.  It was hoped that a body of enlightened men could see above the law and disorder and come together to find a solution. </w:t>
      </w:r>
    </w:p>
    <w:p w14:paraId="415F656C" w14:textId="2F445B36" w:rsidR="0060108B" w:rsidRDefault="0088237C">
      <w:pPr>
        <w:rPr>
          <w:rFonts w:cs="Calibri"/>
        </w:rPr>
      </w:pPr>
      <w:r>
        <w:rPr>
          <w:rFonts w:cs="Calibri"/>
        </w:rPr>
        <w:t>Madison and the Federalists were fighting with this ideology against their political rivals, the Anti - Federalist Party. It was the Anti–Federalist Party who espoused the mischief or more properly known as Free Democracy that Madison campaigned against</w:t>
      </w:r>
      <w:r w:rsidR="0069447E">
        <w:rPr>
          <w:rStyle w:val="FootnoteReference"/>
          <w:rFonts w:cs="Calibri"/>
        </w:rPr>
        <w:footnoteReference w:id="17"/>
      </w:r>
      <w:r>
        <w:rPr>
          <w:rFonts w:cs="Calibri"/>
        </w:rPr>
        <w:t>. Within Anti–</w:t>
      </w:r>
      <w:r w:rsidR="007611CB">
        <w:rPr>
          <w:rFonts w:cs="Calibri"/>
        </w:rPr>
        <w:t>F</w:t>
      </w:r>
      <w:r>
        <w:rPr>
          <w:rFonts w:cs="Calibri"/>
        </w:rPr>
        <w:t>ederalism or Democratic Republican party led by Andrew Jackson, a fundamental belief was that all citizenry should have a say in their nation</w:t>
      </w:r>
      <w:r w:rsidR="007611CB">
        <w:rPr>
          <w:rFonts w:cs="Calibri"/>
        </w:rPr>
        <w:t>’</w:t>
      </w:r>
      <w:r>
        <w:rPr>
          <w:rFonts w:cs="Calibri"/>
        </w:rPr>
        <w:t xml:space="preserve">s politics, not just a select </w:t>
      </w:r>
      <w:r w:rsidR="007611CB">
        <w:rPr>
          <w:rFonts w:cs="Calibri"/>
        </w:rPr>
        <w:t xml:space="preserve">few, </w:t>
      </w:r>
      <w:r>
        <w:rPr>
          <w:rFonts w:cs="Calibri"/>
        </w:rPr>
        <w:t>was advocated by the republicans</w:t>
      </w:r>
      <w:r w:rsidR="0069447E">
        <w:rPr>
          <w:rStyle w:val="FootnoteReference"/>
          <w:rFonts w:cs="Calibri"/>
        </w:rPr>
        <w:footnoteReference w:id="18"/>
      </w:r>
      <w:r>
        <w:rPr>
          <w:rFonts w:cs="Calibri"/>
        </w:rPr>
        <w:t>. Originally voting suffrage would extend to anyone who owned property but later the ideology shifted to include all white males by 1828</w:t>
      </w:r>
      <w:r w:rsidR="0069447E">
        <w:rPr>
          <w:rStyle w:val="FootnoteReference"/>
          <w:rFonts w:cs="Calibri"/>
        </w:rPr>
        <w:footnoteReference w:id="19"/>
      </w:r>
      <w:r>
        <w:rPr>
          <w:rFonts w:cs="Calibri"/>
        </w:rPr>
        <w:t>. Also unlike the Federalist camp</w:t>
      </w:r>
      <w:r w:rsidR="007611CB">
        <w:rPr>
          <w:rFonts w:cs="Calibri"/>
        </w:rPr>
        <w:t>,</w:t>
      </w:r>
      <w:r>
        <w:rPr>
          <w:rFonts w:cs="Calibri"/>
        </w:rPr>
        <w:t xml:space="preserve"> Jackson did not want to impact on what he saw as states</w:t>
      </w:r>
      <w:r w:rsidR="007611CB">
        <w:rPr>
          <w:rFonts w:cs="Calibri"/>
        </w:rPr>
        <w:t>’</w:t>
      </w:r>
      <w:r>
        <w:rPr>
          <w:rFonts w:cs="Calibri"/>
        </w:rPr>
        <w:t xml:space="preserve"> sovereignty. Jackson declared that he would stop "all encroachments upon the legitimate sphere of State sovereignty.</w:t>
      </w:r>
      <w:r w:rsidR="0069447E">
        <w:rPr>
          <w:rStyle w:val="FootnoteReference"/>
          <w:rFonts w:cs="Calibri"/>
        </w:rPr>
        <w:footnoteReference w:id="20"/>
      </w:r>
      <w:r>
        <w:rPr>
          <w:rFonts w:cs="Calibri"/>
        </w:rPr>
        <w:t>" Compared to the republican views, this would weaken a federal government who would not have the power to deal with struggles within the states, such as Shay’s rebellion that was used by the Republicans to highlight the need for as strong state</w:t>
      </w:r>
      <w:r w:rsidR="0069447E">
        <w:rPr>
          <w:rStyle w:val="FootnoteReference"/>
          <w:rFonts w:cs="Calibri"/>
        </w:rPr>
        <w:footnoteReference w:id="21"/>
      </w:r>
      <w:r>
        <w:rPr>
          <w:rFonts w:cs="Calibri"/>
        </w:rPr>
        <w:t>. As an extension to this the party followed absolute constitutionalism, that the role of the state should be limited to explicit clauses in the constitution, directly at odds with Madison’s desire to have non-limited power to remove the mischief of faction</w:t>
      </w:r>
      <w:r w:rsidR="002A2991">
        <w:rPr>
          <w:rStyle w:val="FootnoteReference"/>
          <w:rFonts w:cs="Calibri"/>
        </w:rPr>
        <w:footnoteReference w:id="22"/>
      </w:r>
      <w:r>
        <w:rPr>
          <w:rFonts w:cs="Calibri"/>
        </w:rPr>
        <w:t xml:space="preserve">. </w:t>
      </w:r>
    </w:p>
    <w:p w14:paraId="03C2A8FE" w14:textId="4841F7D0" w:rsidR="0060108B" w:rsidRDefault="0088237C">
      <w:pPr>
        <w:rPr>
          <w:rFonts w:cs="Calibri"/>
        </w:rPr>
      </w:pPr>
      <w:r>
        <w:rPr>
          <w:rFonts w:cs="Calibri"/>
        </w:rPr>
        <w:t xml:space="preserve">As we have seen Madison sought to create a government system that only the few could exercise power over the many. But how did they achieve this in the constitution? First there is an age limit, for both the </w:t>
      </w:r>
      <w:r w:rsidR="007611CB">
        <w:rPr>
          <w:rFonts w:cs="Calibri"/>
        </w:rPr>
        <w:t>H</w:t>
      </w:r>
      <w:r>
        <w:rPr>
          <w:rFonts w:cs="Calibri"/>
        </w:rPr>
        <w:t>ouse o</w:t>
      </w:r>
      <w:r w:rsidR="00357EC1">
        <w:rPr>
          <w:rFonts w:cs="Calibri"/>
        </w:rPr>
        <w:t>f</w:t>
      </w:r>
      <w:r>
        <w:rPr>
          <w:rFonts w:cs="Calibri"/>
        </w:rPr>
        <w:t xml:space="preserve"> Representatives and the Senate. Article one</w:t>
      </w:r>
      <w:r w:rsidR="007611CB">
        <w:rPr>
          <w:rFonts w:cs="Calibri"/>
        </w:rPr>
        <w:t>,</w:t>
      </w:r>
      <w:r>
        <w:rPr>
          <w:rFonts w:cs="Calibri"/>
        </w:rPr>
        <w:t xml:space="preserve"> section two</w:t>
      </w:r>
      <w:r w:rsidR="007611CB">
        <w:rPr>
          <w:rFonts w:cs="Calibri"/>
        </w:rPr>
        <w:t>,</w:t>
      </w:r>
      <w:r>
        <w:rPr>
          <w:rFonts w:cs="Calibri"/>
        </w:rPr>
        <w:t xml:space="preserve"> stipulates that only </w:t>
      </w:r>
      <w:r>
        <w:rPr>
          <w:rFonts w:cs="Calibri"/>
        </w:rPr>
        <w:lastRenderedPageBreak/>
        <w:t xml:space="preserve">those who are twenty </w:t>
      </w:r>
      <w:r w:rsidR="007611CB">
        <w:rPr>
          <w:rFonts w:cs="Calibri"/>
        </w:rPr>
        <w:t>years old</w:t>
      </w:r>
      <w:r>
        <w:rPr>
          <w:rFonts w:cs="Calibri"/>
        </w:rPr>
        <w:t xml:space="preserve"> or above may sit in the House of Representatives</w:t>
      </w:r>
      <w:r w:rsidR="00FE0E36">
        <w:rPr>
          <w:rStyle w:val="FootnoteReference"/>
          <w:rFonts w:cs="Calibri"/>
        </w:rPr>
        <w:footnoteReference w:id="23"/>
      </w:r>
      <w:r>
        <w:rPr>
          <w:rFonts w:cs="Calibri"/>
        </w:rPr>
        <w:t>. Section 3 stipulates that a member of the Senate had to be thirty</w:t>
      </w:r>
      <w:r w:rsidR="00FE0E36">
        <w:rPr>
          <w:rStyle w:val="FootnoteReference"/>
          <w:rFonts w:cs="Calibri"/>
        </w:rPr>
        <w:footnoteReference w:id="24"/>
      </w:r>
      <w:r>
        <w:rPr>
          <w:rFonts w:cs="Calibri"/>
        </w:rPr>
        <w:t>. Furthermore, both houses required all members to be US citizens</w:t>
      </w:r>
      <w:r w:rsidR="00746658">
        <w:rPr>
          <w:rStyle w:val="FootnoteReference"/>
          <w:rFonts w:cs="Calibri"/>
        </w:rPr>
        <w:footnoteReference w:id="25"/>
      </w:r>
      <w:r>
        <w:rPr>
          <w:rFonts w:cs="Calibri"/>
        </w:rPr>
        <w:t>. Normally this would include</w:t>
      </w:r>
      <w:r w:rsidR="007611CB">
        <w:rPr>
          <w:rFonts w:cs="Calibri"/>
        </w:rPr>
        <w:t>,</w:t>
      </w:r>
      <w:r>
        <w:rPr>
          <w:rFonts w:cs="Calibri"/>
        </w:rPr>
        <w:t xml:space="preserve"> in the modern sense</w:t>
      </w:r>
      <w:r w:rsidR="007611CB">
        <w:rPr>
          <w:rFonts w:cs="Calibri"/>
        </w:rPr>
        <w:t>,</w:t>
      </w:r>
      <w:r>
        <w:rPr>
          <w:rFonts w:cs="Calibri"/>
        </w:rPr>
        <w:t xml:space="preserve"> all those born in the United States. However, such rules during the period of the creation of the Constitution did not exist. Indians and </w:t>
      </w:r>
      <w:r w:rsidR="007611CB">
        <w:rPr>
          <w:rFonts w:cs="Calibri"/>
        </w:rPr>
        <w:t>s</w:t>
      </w:r>
      <w:r>
        <w:rPr>
          <w:rFonts w:cs="Calibri"/>
        </w:rPr>
        <w:t xml:space="preserve">laves were not included, including </w:t>
      </w:r>
      <w:r w:rsidR="007611CB">
        <w:rPr>
          <w:rFonts w:cs="Calibri"/>
        </w:rPr>
        <w:t>m</w:t>
      </w:r>
      <w:r>
        <w:rPr>
          <w:rFonts w:cs="Calibri"/>
        </w:rPr>
        <w:t>anumitted slaves so could not sit in the government</w:t>
      </w:r>
      <w:r w:rsidR="00746658">
        <w:rPr>
          <w:rStyle w:val="FootnoteReference"/>
          <w:rFonts w:cs="Calibri"/>
        </w:rPr>
        <w:footnoteReference w:id="26"/>
      </w:r>
      <w:r>
        <w:rPr>
          <w:rFonts w:cs="Calibri"/>
        </w:rPr>
        <w:t xml:space="preserve">. This restricted therefore the ability to sit in the United Congress to mainly the </w:t>
      </w:r>
      <w:r w:rsidR="007611CB">
        <w:rPr>
          <w:rFonts w:cs="Calibri"/>
        </w:rPr>
        <w:t>w</w:t>
      </w:r>
      <w:r>
        <w:rPr>
          <w:rFonts w:cs="Calibri"/>
        </w:rPr>
        <w:t>hite sections of society who would have rule over the other sections who were not represented</w:t>
      </w:r>
      <w:r w:rsidR="00277917">
        <w:rPr>
          <w:rStyle w:val="FootnoteReference"/>
          <w:rFonts w:cs="Calibri"/>
        </w:rPr>
        <w:footnoteReference w:id="27"/>
      </w:r>
      <w:r>
        <w:rPr>
          <w:rFonts w:cs="Calibri"/>
        </w:rPr>
        <w:t xml:space="preserve">. Richard </w:t>
      </w:r>
      <w:proofErr w:type="spellStart"/>
      <w:r>
        <w:rPr>
          <w:rFonts w:cs="Calibri"/>
        </w:rPr>
        <w:t>Breeman</w:t>
      </w:r>
      <w:proofErr w:type="spellEnd"/>
      <w:r>
        <w:rPr>
          <w:rFonts w:cs="Calibri"/>
        </w:rPr>
        <w:t xml:space="preserve"> explored the idea that in all states until the 1820s saw voting as the territory of white men who owned property</w:t>
      </w:r>
      <w:r w:rsidR="00277917">
        <w:rPr>
          <w:rStyle w:val="FootnoteReference"/>
          <w:rFonts w:cs="Calibri"/>
        </w:rPr>
        <w:footnoteReference w:id="28"/>
      </w:r>
      <w:r>
        <w:rPr>
          <w:rFonts w:cs="Calibri"/>
        </w:rPr>
        <w:t>. The interpretation of “Free Men” meaning property owning whites</w:t>
      </w:r>
      <w:r w:rsidR="00277917">
        <w:rPr>
          <w:rFonts w:cs="Calibri"/>
        </w:rPr>
        <w:t>, b</w:t>
      </w:r>
      <w:r>
        <w:rPr>
          <w:rFonts w:cs="Calibri"/>
        </w:rPr>
        <w:t>lacks excluded</w:t>
      </w:r>
      <w:r w:rsidR="00277917">
        <w:rPr>
          <w:rStyle w:val="FootnoteReference"/>
          <w:rFonts w:cs="Calibri"/>
        </w:rPr>
        <w:footnoteReference w:id="29"/>
      </w:r>
      <w:r>
        <w:rPr>
          <w:rFonts w:cs="Calibri"/>
        </w:rPr>
        <w:t xml:space="preserve">. </w:t>
      </w:r>
      <w:proofErr w:type="spellStart"/>
      <w:r>
        <w:rPr>
          <w:rFonts w:cs="Calibri"/>
        </w:rPr>
        <w:t>Breeman</w:t>
      </w:r>
      <w:proofErr w:type="spellEnd"/>
      <w:r>
        <w:rPr>
          <w:rFonts w:cs="Calibri"/>
        </w:rPr>
        <w:t xml:space="preserve"> translates this to the Government level that the system was designed so that only property-owning whites could sit</w:t>
      </w:r>
      <w:r w:rsidR="00277917">
        <w:rPr>
          <w:rStyle w:val="FootnoteReference"/>
          <w:rFonts w:cs="Calibri"/>
        </w:rPr>
        <w:footnoteReference w:id="30"/>
      </w:r>
      <w:r>
        <w:rPr>
          <w:rFonts w:cs="Calibri"/>
        </w:rPr>
        <w:t xml:space="preserve">.    </w:t>
      </w:r>
    </w:p>
    <w:p w14:paraId="5DD9DA0F" w14:textId="3A3F937A" w:rsidR="0060108B" w:rsidRDefault="0088237C">
      <w:pPr>
        <w:rPr>
          <w:rFonts w:cs="Calibri"/>
        </w:rPr>
      </w:pPr>
      <w:r>
        <w:rPr>
          <w:rFonts w:cs="Calibri"/>
        </w:rPr>
        <w:t xml:space="preserve">Age and questions over property limited those who could sit in government, but it was the </w:t>
      </w:r>
      <w:r w:rsidR="007611CB">
        <w:rPr>
          <w:rFonts w:cs="Calibri"/>
        </w:rPr>
        <w:t>b</w:t>
      </w:r>
      <w:r>
        <w:rPr>
          <w:rFonts w:cs="Calibri"/>
        </w:rPr>
        <w:t xml:space="preserve">icameral </w:t>
      </w:r>
      <w:r w:rsidR="007611CB">
        <w:rPr>
          <w:rFonts w:cs="Calibri"/>
        </w:rPr>
        <w:t>s</w:t>
      </w:r>
      <w:r>
        <w:rPr>
          <w:rFonts w:cs="Calibri"/>
        </w:rPr>
        <w:t xml:space="preserve">ystem that laid the foundation to fight factions of those who sat. In the </w:t>
      </w:r>
      <w:r w:rsidR="007611CB">
        <w:rPr>
          <w:rFonts w:cs="Calibri"/>
        </w:rPr>
        <w:t>H</w:t>
      </w:r>
      <w:r>
        <w:rPr>
          <w:rFonts w:cs="Calibri"/>
        </w:rPr>
        <w:t>ouse of Representatives, members are elected to represent the states</w:t>
      </w:r>
      <w:r w:rsidR="0047150A">
        <w:rPr>
          <w:rStyle w:val="FootnoteReference"/>
          <w:rFonts w:cs="Calibri"/>
        </w:rPr>
        <w:footnoteReference w:id="31"/>
      </w:r>
      <w:r>
        <w:rPr>
          <w:rFonts w:cs="Calibri"/>
        </w:rPr>
        <w:t>. Each state has a set number of seats based on their populations. The more population</w:t>
      </w:r>
      <w:r w:rsidR="007611CB">
        <w:rPr>
          <w:rFonts w:cs="Calibri"/>
        </w:rPr>
        <w:t>,</w:t>
      </w:r>
      <w:r>
        <w:rPr>
          <w:rFonts w:cs="Calibri"/>
        </w:rPr>
        <w:t xml:space="preserve"> the more seats</w:t>
      </w:r>
      <w:r w:rsidR="00122806">
        <w:rPr>
          <w:rStyle w:val="FootnoteReference"/>
          <w:rFonts w:cs="Calibri"/>
        </w:rPr>
        <w:footnoteReference w:id="32"/>
      </w:r>
      <w:r>
        <w:rPr>
          <w:rFonts w:cs="Calibri"/>
        </w:rPr>
        <w:t xml:space="preserve">. This ranged from Massachusetts’ eight to Providence Plantations </w:t>
      </w:r>
      <w:r w:rsidR="007611CB">
        <w:rPr>
          <w:rFonts w:cs="Calibri"/>
        </w:rPr>
        <w:t xml:space="preserve">one </w:t>
      </w:r>
      <w:r>
        <w:rPr>
          <w:rFonts w:cs="Calibri"/>
        </w:rPr>
        <w:t>delegate</w:t>
      </w:r>
      <w:r w:rsidR="00122806">
        <w:rPr>
          <w:rStyle w:val="FootnoteReference"/>
          <w:rFonts w:cs="Calibri"/>
        </w:rPr>
        <w:footnoteReference w:id="33"/>
      </w:r>
      <w:r>
        <w:rPr>
          <w:rFonts w:cs="Calibri"/>
        </w:rPr>
        <w:t>. This would allow the largest states to dominate the house at the expense of the smaller states with their petty grievances. The Senate is somewhat different. Each state</w:t>
      </w:r>
      <w:r w:rsidR="007611CB">
        <w:rPr>
          <w:rFonts w:cs="Calibri"/>
        </w:rPr>
        <w:t>,</w:t>
      </w:r>
      <w:r>
        <w:rPr>
          <w:rFonts w:cs="Calibri"/>
        </w:rPr>
        <w:t xml:space="preserve"> irrespective of size</w:t>
      </w:r>
      <w:r w:rsidR="007611CB">
        <w:rPr>
          <w:rFonts w:cs="Calibri"/>
        </w:rPr>
        <w:t>,</w:t>
      </w:r>
      <w:r>
        <w:rPr>
          <w:rFonts w:cs="Calibri"/>
        </w:rPr>
        <w:t xml:space="preserve"> only receives two seats</w:t>
      </w:r>
      <w:r w:rsidR="00122806">
        <w:rPr>
          <w:rStyle w:val="FootnoteReference"/>
          <w:rFonts w:cs="Calibri"/>
        </w:rPr>
        <w:footnoteReference w:id="34"/>
      </w:r>
      <w:r>
        <w:rPr>
          <w:rFonts w:cs="Calibri"/>
        </w:rPr>
        <w:t xml:space="preserve">. They all have equal weight and opportunity to debate matters from the House of </w:t>
      </w:r>
      <w:r w:rsidR="007611CB">
        <w:rPr>
          <w:rFonts w:cs="Calibri"/>
        </w:rPr>
        <w:t>R</w:t>
      </w:r>
      <w:r>
        <w:rPr>
          <w:rFonts w:cs="Calibri"/>
        </w:rPr>
        <w:t>epresentatives without the interference of largest states</w:t>
      </w:r>
      <w:r w:rsidR="007611CB">
        <w:rPr>
          <w:rFonts w:cs="Calibri"/>
        </w:rPr>
        <w:t>’</w:t>
      </w:r>
      <w:r>
        <w:rPr>
          <w:rFonts w:cs="Calibri"/>
        </w:rPr>
        <w:t xml:space="preserve"> delegates</w:t>
      </w:r>
      <w:r w:rsidR="00122806">
        <w:rPr>
          <w:rStyle w:val="FootnoteReference"/>
          <w:rFonts w:cs="Calibri"/>
        </w:rPr>
        <w:footnoteReference w:id="35"/>
      </w:r>
      <w:r>
        <w:rPr>
          <w:rFonts w:cs="Calibri"/>
        </w:rPr>
        <w:t>. Unlike the House of Represent</w:t>
      </w:r>
      <w:r w:rsidR="007611CB">
        <w:rPr>
          <w:rFonts w:cs="Calibri"/>
        </w:rPr>
        <w:t xml:space="preserve">atives </w:t>
      </w:r>
      <w:r>
        <w:rPr>
          <w:rFonts w:cs="Calibri"/>
        </w:rPr>
        <w:t>where states with common interest could unite to cause “mischief”, the senate can challenge this as neither state has a majority to simply force through legislation based on their interest</w:t>
      </w:r>
      <w:r w:rsidR="00122806">
        <w:rPr>
          <w:rStyle w:val="FootnoteReference"/>
          <w:rFonts w:cs="Calibri"/>
        </w:rPr>
        <w:footnoteReference w:id="36"/>
      </w:r>
      <w:r>
        <w:rPr>
          <w:rFonts w:cs="Calibri"/>
        </w:rPr>
        <w:t xml:space="preserve">. </w:t>
      </w:r>
      <w:r w:rsidR="00910F03">
        <w:rPr>
          <w:rFonts w:cs="Calibri"/>
        </w:rPr>
        <w:t xml:space="preserve">Legislation must pass through both houses with majorities </w:t>
      </w:r>
      <w:r>
        <w:rPr>
          <w:rFonts w:cs="Calibri"/>
        </w:rPr>
        <w:t>to reach the executive, if there is no majority in one then the bill cannot pass</w:t>
      </w:r>
      <w:r w:rsidR="00EF6934">
        <w:rPr>
          <w:rStyle w:val="FootnoteReference"/>
          <w:rFonts w:cs="Calibri"/>
        </w:rPr>
        <w:footnoteReference w:id="37"/>
      </w:r>
      <w:r>
        <w:rPr>
          <w:rFonts w:cs="Calibri"/>
        </w:rPr>
        <w:t xml:space="preserve">. </w:t>
      </w:r>
      <w:proofErr w:type="spellStart"/>
      <w:r>
        <w:rPr>
          <w:rFonts w:cs="Calibri"/>
        </w:rPr>
        <w:t>Kobylka</w:t>
      </w:r>
      <w:proofErr w:type="spellEnd"/>
      <w:r>
        <w:rPr>
          <w:rFonts w:cs="Calibri"/>
        </w:rPr>
        <w:t xml:space="preserve"> and Carter promote the bicameral system as an extension of Madisonian ideology</w:t>
      </w:r>
      <w:r w:rsidR="0098741F">
        <w:rPr>
          <w:rStyle w:val="FootnoteReference"/>
          <w:rFonts w:cs="Calibri"/>
        </w:rPr>
        <w:footnoteReference w:id="38"/>
      </w:r>
      <w:r>
        <w:rPr>
          <w:rFonts w:cs="Calibri"/>
        </w:rPr>
        <w:t>. They argue that the restrictive nature of who can sit in each house and the existence of different amounts of delegates from each state undermines the strength of factions as there is no one power who has overall control, forcing them to work together</w:t>
      </w:r>
      <w:r w:rsidR="00E27D22">
        <w:rPr>
          <w:rStyle w:val="FootnoteReference"/>
          <w:rFonts w:cs="Calibri"/>
        </w:rPr>
        <w:footnoteReference w:id="39"/>
      </w:r>
      <w:r>
        <w:rPr>
          <w:rFonts w:cs="Calibri"/>
        </w:rPr>
        <w:t xml:space="preserve">. </w:t>
      </w:r>
    </w:p>
    <w:p w14:paraId="098F5DB9" w14:textId="018C1120" w:rsidR="0060108B" w:rsidRDefault="0088237C">
      <w:pPr>
        <w:rPr>
          <w:rFonts w:cs="Calibri"/>
        </w:rPr>
      </w:pPr>
      <w:r>
        <w:rPr>
          <w:rFonts w:cs="Calibri"/>
        </w:rPr>
        <w:t>What underpins the bicameral system</w:t>
      </w:r>
      <w:r w:rsidR="00910F03">
        <w:rPr>
          <w:rFonts w:cs="Calibri"/>
        </w:rPr>
        <w:t>’</w:t>
      </w:r>
      <w:r>
        <w:rPr>
          <w:rFonts w:cs="Calibri"/>
        </w:rPr>
        <w:t>s ability to break such factions is the system of elections that were codified into the constitution by the Federalist party. Rather than have both houses sit for a set period before elections, it was decided that they would happen every two years</w:t>
      </w:r>
      <w:r w:rsidR="00C70981">
        <w:rPr>
          <w:rStyle w:val="FootnoteReference"/>
          <w:rFonts w:cs="Calibri"/>
        </w:rPr>
        <w:footnoteReference w:id="40"/>
      </w:r>
      <w:r>
        <w:rPr>
          <w:rFonts w:cs="Calibri"/>
        </w:rPr>
        <w:t xml:space="preserve">. Every two years </w:t>
      </w:r>
      <w:r>
        <w:rPr>
          <w:rFonts w:cs="Calibri"/>
        </w:rPr>
        <w:lastRenderedPageBreak/>
        <w:t xml:space="preserve">one third of the Senate is elected whilst the other two </w:t>
      </w:r>
      <w:r w:rsidR="00910F03">
        <w:rPr>
          <w:rFonts w:cs="Calibri"/>
        </w:rPr>
        <w:t xml:space="preserve">thirds </w:t>
      </w:r>
      <w:r>
        <w:rPr>
          <w:rFonts w:cs="Calibri"/>
        </w:rPr>
        <w:t>remain the same</w:t>
      </w:r>
      <w:r w:rsidR="00C70981">
        <w:rPr>
          <w:rStyle w:val="FootnoteReference"/>
          <w:rFonts w:cs="Calibri"/>
        </w:rPr>
        <w:footnoteReference w:id="41"/>
      </w:r>
      <w:r>
        <w:rPr>
          <w:rFonts w:cs="Calibri"/>
        </w:rPr>
        <w:t xml:space="preserve">. The federalist’s justification was the same as for their set up for the </w:t>
      </w:r>
      <w:r w:rsidR="00910F03">
        <w:rPr>
          <w:rFonts w:cs="Calibri"/>
        </w:rPr>
        <w:t>b</w:t>
      </w:r>
      <w:r>
        <w:rPr>
          <w:rFonts w:cs="Calibri"/>
        </w:rPr>
        <w:t xml:space="preserve">icameral </w:t>
      </w:r>
      <w:r w:rsidR="00910F03">
        <w:rPr>
          <w:rFonts w:cs="Calibri"/>
        </w:rPr>
        <w:t>s</w:t>
      </w:r>
      <w:r>
        <w:rPr>
          <w:rFonts w:cs="Calibri"/>
        </w:rPr>
        <w:t>ystem, that by having elections every two years would prevent certain groups from dominating politics in faction</w:t>
      </w:r>
      <w:r w:rsidR="00C70981">
        <w:rPr>
          <w:rFonts w:cs="Calibri"/>
        </w:rPr>
        <w:t>s</w:t>
      </w:r>
      <w:r>
        <w:rPr>
          <w:rFonts w:cs="Calibri"/>
        </w:rPr>
        <w:t xml:space="preserve"> causing mischief</w:t>
      </w:r>
      <w:r w:rsidR="00C70981">
        <w:rPr>
          <w:rStyle w:val="FootnoteReference"/>
          <w:rFonts w:cs="Calibri"/>
        </w:rPr>
        <w:footnoteReference w:id="42"/>
      </w:r>
      <w:r>
        <w:rPr>
          <w:rFonts w:cs="Calibri"/>
        </w:rPr>
        <w:t>.   Federalist Papers 52 promotes the use of these biennial election by comparing it to the state of Virginia just before the War of Independence</w:t>
      </w:r>
      <w:r w:rsidR="00C70981">
        <w:rPr>
          <w:rStyle w:val="FootnoteReference"/>
          <w:rFonts w:cs="Calibri"/>
        </w:rPr>
        <w:footnoteReference w:id="43"/>
      </w:r>
      <w:r>
        <w:rPr>
          <w:rFonts w:cs="Calibri"/>
        </w:rPr>
        <w:t>. Either Madison or Hamilton, as we are unsure who the author is</w:t>
      </w:r>
      <w:r w:rsidR="00910F03">
        <w:rPr>
          <w:rFonts w:cs="Calibri"/>
        </w:rPr>
        <w:t>,</w:t>
      </w:r>
      <w:r>
        <w:rPr>
          <w:rFonts w:cs="Calibri"/>
        </w:rPr>
        <w:t xml:space="preserve"> call Virginia the state that stood resolute against tyranny and was the first state to support independence from Great Britain</w:t>
      </w:r>
      <w:r w:rsidR="00C70981">
        <w:rPr>
          <w:rStyle w:val="FootnoteReference"/>
          <w:rFonts w:cs="Calibri"/>
        </w:rPr>
        <w:footnoteReference w:id="44"/>
      </w:r>
      <w:r>
        <w:rPr>
          <w:rFonts w:cs="Calibri"/>
        </w:rPr>
        <w:t xml:space="preserve">. Federalist 53 also goes further by pointing out that </w:t>
      </w:r>
      <w:r w:rsidR="00910F03">
        <w:rPr>
          <w:rFonts w:cs="Calibri"/>
        </w:rPr>
        <w:t>b</w:t>
      </w:r>
      <w:r>
        <w:rPr>
          <w:rFonts w:cs="Calibri"/>
        </w:rPr>
        <w:t>iennial elections maintain a check and balance</w:t>
      </w:r>
      <w:r w:rsidR="00C70981">
        <w:rPr>
          <w:rFonts w:cs="Calibri"/>
        </w:rPr>
        <w:t>, t</w:t>
      </w:r>
      <w:r>
        <w:rPr>
          <w:rFonts w:cs="Calibri"/>
        </w:rPr>
        <w:t>hat by having a third of the senate elected every two years it maintains the balance of power between the parties</w:t>
      </w:r>
      <w:r w:rsidR="007711C9">
        <w:rPr>
          <w:rStyle w:val="FootnoteReference"/>
          <w:rFonts w:cs="Calibri"/>
        </w:rPr>
        <w:footnoteReference w:id="45"/>
      </w:r>
      <w:r>
        <w:rPr>
          <w:rFonts w:cs="Calibri"/>
        </w:rPr>
        <w:t xml:space="preserve">. No one faction can dominate in the political sphere. </w:t>
      </w:r>
    </w:p>
    <w:p w14:paraId="5C0B47BD" w14:textId="264B9F7E" w:rsidR="0060108B" w:rsidRDefault="0088237C">
      <w:pPr>
        <w:rPr>
          <w:rFonts w:cs="Calibri"/>
        </w:rPr>
      </w:pPr>
      <w:r>
        <w:rPr>
          <w:rFonts w:cs="Calibri"/>
        </w:rPr>
        <w:t>This however only extends to the Senate. Biennial elections exist in the House of Representatives but are employed</w:t>
      </w:r>
      <w:r w:rsidR="00910F03">
        <w:rPr>
          <w:rFonts w:cs="Calibri"/>
        </w:rPr>
        <w:t xml:space="preserve"> differently</w:t>
      </w:r>
      <w:r>
        <w:rPr>
          <w:rFonts w:cs="Calibri"/>
        </w:rPr>
        <w:t>. Rather than have a third of the seats up for election every two years, the entire house goes through an election</w:t>
      </w:r>
      <w:r w:rsidR="007711C9">
        <w:rPr>
          <w:rStyle w:val="FootnoteReference"/>
          <w:rFonts w:cs="Calibri"/>
        </w:rPr>
        <w:footnoteReference w:id="46"/>
      </w:r>
      <w:r>
        <w:rPr>
          <w:rFonts w:cs="Calibri"/>
        </w:rPr>
        <w:t>. All delegates serve two years in the house before they must stand re</w:t>
      </w:r>
      <w:r w:rsidR="00910F03">
        <w:rPr>
          <w:rFonts w:cs="Calibri"/>
        </w:rPr>
        <w:t>-el</w:t>
      </w:r>
      <w:r>
        <w:rPr>
          <w:rFonts w:cs="Calibri"/>
        </w:rPr>
        <w:t>ection</w:t>
      </w:r>
      <w:r w:rsidR="007711C9">
        <w:rPr>
          <w:rStyle w:val="FootnoteReference"/>
          <w:rFonts w:cs="Calibri"/>
        </w:rPr>
        <w:footnoteReference w:id="47"/>
      </w:r>
      <w:r>
        <w:rPr>
          <w:rFonts w:cs="Calibri"/>
        </w:rPr>
        <w:t xml:space="preserve">. </w:t>
      </w:r>
      <w:r w:rsidR="007711C9">
        <w:rPr>
          <w:rFonts w:cs="Calibri"/>
        </w:rPr>
        <w:t>D</w:t>
      </w:r>
      <w:r>
        <w:rPr>
          <w:rFonts w:cs="Calibri"/>
        </w:rPr>
        <w:t>elegates c</w:t>
      </w:r>
      <w:r w:rsidR="007711C9">
        <w:rPr>
          <w:rFonts w:cs="Calibri"/>
        </w:rPr>
        <w:t xml:space="preserve">ould </w:t>
      </w:r>
      <w:r>
        <w:rPr>
          <w:rFonts w:cs="Calibri"/>
        </w:rPr>
        <w:t>only serve for the maximum of six years, three elected terms</w:t>
      </w:r>
      <w:r w:rsidR="007711C9">
        <w:rPr>
          <w:rStyle w:val="FootnoteReference"/>
          <w:rFonts w:cs="Calibri"/>
        </w:rPr>
        <w:footnoteReference w:id="48"/>
      </w:r>
      <w:r>
        <w:rPr>
          <w:rFonts w:cs="Calibri"/>
        </w:rPr>
        <w:t>.  After an election</w:t>
      </w:r>
      <w:r w:rsidR="00910F03">
        <w:rPr>
          <w:rFonts w:cs="Calibri"/>
        </w:rPr>
        <w:t>,</w:t>
      </w:r>
      <w:r>
        <w:rPr>
          <w:rFonts w:cs="Calibri"/>
        </w:rPr>
        <w:t xml:space="preserve"> all seats are refilled in the House of Representatives with new members who have been elected, other than those who retained their seats. The constitution clearly sets down in </w:t>
      </w:r>
      <w:r w:rsidR="00910F03">
        <w:rPr>
          <w:rFonts w:cs="Calibri"/>
        </w:rPr>
        <w:t>l</w:t>
      </w:r>
      <w:r>
        <w:rPr>
          <w:rFonts w:cs="Calibri"/>
        </w:rPr>
        <w:t>aw the qualifications to</w:t>
      </w:r>
      <w:r w:rsidR="00910F03">
        <w:rPr>
          <w:rFonts w:cs="Calibri"/>
        </w:rPr>
        <w:t xml:space="preserve"> </w:t>
      </w:r>
      <w:r>
        <w:rPr>
          <w:rFonts w:cs="Calibri"/>
        </w:rPr>
        <w:t>take part also explored earlier upholding the republican concept that governance should only be pursued by enlightened men</w:t>
      </w:r>
      <w:r w:rsidR="007711C9">
        <w:rPr>
          <w:rStyle w:val="FootnoteReference"/>
          <w:rFonts w:cs="Calibri"/>
        </w:rPr>
        <w:footnoteReference w:id="49"/>
      </w:r>
      <w:r>
        <w:rPr>
          <w:rFonts w:cs="Calibri"/>
        </w:rPr>
        <w:t xml:space="preserve">. Hofstadter takes the view that the system for the </w:t>
      </w:r>
      <w:r w:rsidR="00910F03">
        <w:rPr>
          <w:rFonts w:cs="Calibri"/>
        </w:rPr>
        <w:t>H</w:t>
      </w:r>
      <w:r>
        <w:rPr>
          <w:rFonts w:cs="Calibri"/>
        </w:rPr>
        <w:t xml:space="preserve">ouse of </w:t>
      </w:r>
      <w:r w:rsidR="00910F03">
        <w:rPr>
          <w:rFonts w:cs="Calibri"/>
        </w:rPr>
        <w:t>R</w:t>
      </w:r>
      <w:r>
        <w:rPr>
          <w:rFonts w:cs="Calibri"/>
        </w:rPr>
        <w:t>epresentatives was deliberately entrenched in the constitution to avoid the mischief of</w:t>
      </w:r>
      <w:r w:rsidR="00910F03">
        <w:rPr>
          <w:rFonts w:cs="Calibri"/>
        </w:rPr>
        <w:t xml:space="preserve"> faction</w:t>
      </w:r>
      <w:r w:rsidR="007711C9">
        <w:rPr>
          <w:rFonts w:cs="Calibri"/>
        </w:rPr>
        <w:t>, b</w:t>
      </w:r>
      <w:r>
        <w:rPr>
          <w:rFonts w:cs="Calibri"/>
        </w:rPr>
        <w:t xml:space="preserve">y having </w:t>
      </w:r>
      <w:r w:rsidR="00910F03">
        <w:rPr>
          <w:rFonts w:cs="Calibri"/>
        </w:rPr>
        <w:t>b</w:t>
      </w:r>
      <w:r>
        <w:rPr>
          <w:rFonts w:cs="Calibri"/>
        </w:rPr>
        <w:t xml:space="preserve">iennial </w:t>
      </w:r>
      <w:r w:rsidR="00910F03">
        <w:rPr>
          <w:rFonts w:cs="Calibri"/>
        </w:rPr>
        <w:t>e</w:t>
      </w:r>
      <w:r>
        <w:rPr>
          <w:rFonts w:cs="Calibri"/>
        </w:rPr>
        <w:t>lections members of the factions are constantly replaced, so groups of likeminded individuals who are the basis of the mischief are constantly broken up</w:t>
      </w:r>
      <w:r w:rsidR="007711C9">
        <w:rPr>
          <w:rStyle w:val="FootnoteReference"/>
          <w:rFonts w:cs="Calibri"/>
        </w:rPr>
        <w:footnoteReference w:id="50"/>
      </w:r>
      <w:r>
        <w:rPr>
          <w:rFonts w:cs="Calibri"/>
        </w:rPr>
        <w:t xml:space="preserve">.  </w:t>
      </w:r>
    </w:p>
    <w:p w14:paraId="37CC0D14" w14:textId="1CDBBFA7" w:rsidR="0060108B" w:rsidRDefault="0088237C">
      <w:pPr>
        <w:rPr>
          <w:rFonts w:cs="Calibri"/>
        </w:rPr>
      </w:pPr>
      <w:r>
        <w:rPr>
          <w:rFonts w:cs="Calibri"/>
        </w:rPr>
        <w:t>Both the House of Representatives and the Senate exercise powers to make laws which are signed by the executive to become statute</w:t>
      </w:r>
      <w:r w:rsidR="00DA2307">
        <w:rPr>
          <w:rStyle w:val="FootnoteReference"/>
          <w:rFonts w:cs="Calibri"/>
        </w:rPr>
        <w:footnoteReference w:id="51"/>
      </w:r>
      <w:r>
        <w:rPr>
          <w:rFonts w:cs="Calibri"/>
        </w:rPr>
        <w:t>. But how does the constitution prevent factions f</w:t>
      </w:r>
      <w:r w:rsidR="00910F03">
        <w:rPr>
          <w:rFonts w:cs="Calibri"/>
        </w:rPr>
        <w:t xml:space="preserve">rom </w:t>
      </w:r>
      <w:r>
        <w:rPr>
          <w:rFonts w:cs="Calibri"/>
        </w:rPr>
        <w:t>using this power to infringe their rule on the states of the union</w:t>
      </w:r>
      <w:r w:rsidR="00910F03">
        <w:rPr>
          <w:rFonts w:cs="Calibri"/>
        </w:rPr>
        <w:t xml:space="preserve">? </w:t>
      </w:r>
      <w:r>
        <w:rPr>
          <w:rFonts w:cs="Calibri"/>
        </w:rPr>
        <w:t>Of course, this was one of the most divisive areas that the Constitutional Convention of 1887 experienced. Madison and the Republicans argued for a constitution that gave the government broad powers that where not necessarily defined in the constitution</w:t>
      </w:r>
      <w:r w:rsidR="00DA2307">
        <w:rPr>
          <w:rStyle w:val="FootnoteReference"/>
          <w:rFonts w:cs="Calibri"/>
        </w:rPr>
        <w:footnoteReference w:id="52"/>
      </w:r>
      <w:r>
        <w:rPr>
          <w:rFonts w:cs="Calibri"/>
        </w:rPr>
        <w:t>. The Jacksonian Anti–</w:t>
      </w:r>
      <w:r w:rsidR="00910F03" w:rsidRPr="00910F03">
        <w:rPr>
          <w:rStyle w:val="CommentReference"/>
          <w:sz w:val="22"/>
          <w:szCs w:val="22"/>
        </w:rPr>
        <w:t>F</w:t>
      </w:r>
      <w:r w:rsidRPr="00910F03">
        <w:rPr>
          <w:rFonts w:cs="Calibri"/>
        </w:rPr>
        <w:t>ederalist</w:t>
      </w:r>
      <w:r>
        <w:rPr>
          <w:rFonts w:cs="Calibri"/>
        </w:rPr>
        <w:t xml:space="preserve"> Party on the other hand demanded that any constitution should clearly define the powers of the government so that they should not exceed that authority </w:t>
      </w:r>
      <w:r w:rsidR="00910F03">
        <w:rPr>
          <w:rFonts w:cs="Calibri"/>
        </w:rPr>
        <w:t xml:space="preserve">and </w:t>
      </w:r>
      <w:r>
        <w:rPr>
          <w:rFonts w:cs="Calibri"/>
        </w:rPr>
        <w:t>infringe upon state interests</w:t>
      </w:r>
      <w:r w:rsidR="00DA2307">
        <w:rPr>
          <w:rStyle w:val="FootnoteReference"/>
          <w:rFonts w:cs="Calibri"/>
        </w:rPr>
        <w:footnoteReference w:id="53"/>
      </w:r>
      <w:r>
        <w:rPr>
          <w:rFonts w:cs="Calibri"/>
        </w:rPr>
        <w:t>. The Federalist papers that define the republican argument demand that the government has broad powers to prevent disorder, the basis</w:t>
      </w:r>
      <w:r w:rsidR="00910F03">
        <w:rPr>
          <w:rFonts w:cs="Calibri"/>
        </w:rPr>
        <w:t xml:space="preserve"> of</w:t>
      </w:r>
      <w:r>
        <w:rPr>
          <w:rFonts w:cs="Calibri"/>
        </w:rPr>
        <w:t xml:space="preserve"> the much-cited Shay</w:t>
      </w:r>
      <w:r w:rsidR="00910F03">
        <w:rPr>
          <w:rFonts w:cs="Calibri"/>
        </w:rPr>
        <w:t>’</w:t>
      </w:r>
      <w:r>
        <w:rPr>
          <w:rFonts w:cs="Calibri"/>
        </w:rPr>
        <w:t>s Rebellion, the common republican cause for strong government</w:t>
      </w:r>
      <w:r w:rsidR="00DA2307">
        <w:rPr>
          <w:rStyle w:val="FootnoteReference"/>
          <w:rFonts w:cs="Calibri"/>
        </w:rPr>
        <w:footnoteReference w:id="54"/>
      </w:r>
      <w:r>
        <w:rPr>
          <w:rFonts w:cs="Calibri"/>
        </w:rPr>
        <w:t xml:space="preserve">.  Of course, the constitution was written specifically to provide clear definition </w:t>
      </w:r>
      <w:r w:rsidR="00910F03">
        <w:rPr>
          <w:rFonts w:cs="Calibri"/>
        </w:rPr>
        <w:t>of the</w:t>
      </w:r>
      <w:r>
        <w:rPr>
          <w:rFonts w:cs="Calibri"/>
        </w:rPr>
        <w:t xml:space="preserve"> government’s power over the states. Article </w:t>
      </w:r>
      <w:r w:rsidR="00910F03">
        <w:rPr>
          <w:rFonts w:cs="Calibri"/>
        </w:rPr>
        <w:t>F</w:t>
      </w:r>
      <w:r>
        <w:rPr>
          <w:rFonts w:cs="Calibri"/>
        </w:rPr>
        <w:t>our of the constitution clearly defines the government</w:t>
      </w:r>
      <w:r w:rsidR="00910F03">
        <w:rPr>
          <w:rFonts w:cs="Calibri"/>
        </w:rPr>
        <w:t>’</w:t>
      </w:r>
      <w:r>
        <w:rPr>
          <w:rFonts w:cs="Calibri"/>
        </w:rPr>
        <w:t>s duty to protect the states’ rights but also not to interfere in those rights</w:t>
      </w:r>
      <w:r w:rsidR="0066213C">
        <w:rPr>
          <w:rStyle w:val="FootnoteReference"/>
          <w:rFonts w:cs="Calibri"/>
        </w:rPr>
        <w:footnoteReference w:id="55"/>
      </w:r>
      <w:r>
        <w:rPr>
          <w:rFonts w:cs="Calibri"/>
        </w:rPr>
        <w:t xml:space="preserve">. We must remember that the constitution was </w:t>
      </w:r>
      <w:r>
        <w:rPr>
          <w:rFonts w:cs="Calibri"/>
        </w:rPr>
        <w:lastRenderedPageBreak/>
        <w:t>enshrined in law as the highest authority</w:t>
      </w:r>
      <w:r w:rsidR="0066213C">
        <w:rPr>
          <w:rStyle w:val="FootnoteReference"/>
          <w:rFonts w:cs="Calibri"/>
        </w:rPr>
        <w:footnoteReference w:id="56"/>
      </w:r>
      <w:r>
        <w:rPr>
          <w:rFonts w:cs="Calibri"/>
        </w:rPr>
        <w:t>. The government</w:t>
      </w:r>
      <w:r w:rsidR="00910F03">
        <w:rPr>
          <w:rFonts w:cs="Calibri"/>
        </w:rPr>
        <w:t>,</w:t>
      </w:r>
      <w:r>
        <w:rPr>
          <w:rFonts w:cs="Calibri"/>
        </w:rPr>
        <w:t xml:space="preserve"> if dominated by a faction can never exceed this authority as it is the ultimate authority.  </w:t>
      </w:r>
    </w:p>
    <w:p w14:paraId="2A1E95ED" w14:textId="617521EB" w:rsidR="0060108B" w:rsidRDefault="0088237C">
      <w:pPr>
        <w:rPr>
          <w:rFonts w:cs="Calibri"/>
        </w:rPr>
      </w:pPr>
      <w:r>
        <w:rPr>
          <w:rFonts w:cs="Calibri"/>
        </w:rPr>
        <w:t xml:space="preserve">At the start of this piece we defined what mischief of faction was. A group of likeminded individuals who put their common interest </w:t>
      </w:r>
      <w:r w:rsidR="00910F03">
        <w:rPr>
          <w:rFonts w:cs="Calibri"/>
        </w:rPr>
        <w:t>above t</w:t>
      </w:r>
      <w:r>
        <w:rPr>
          <w:rFonts w:cs="Calibri"/>
        </w:rPr>
        <w:t xml:space="preserve">he needs of those people they were chosen to represent by election. After this a debate ensured of the basic ideology, that only a limited number of enlightened men should sit in government, the natural owners of property who could adequately represent the none property owning masses below. The second </w:t>
      </w:r>
      <w:r w:rsidR="00910F03">
        <w:rPr>
          <w:rFonts w:cs="Calibri"/>
        </w:rPr>
        <w:t xml:space="preserve">was </w:t>
      </w:r>
      <w:r>
        <w:rPr>
          <w:rFonts w:cs="Calibri"/>
        </w:rPr>
        <w:t>strong government which le</w:t>
      </w:r>
      <w:r w:rsidR="00910F03">
        <w:rPr>
          <w:rFonts w:cs="Calibri"/>
        </w:rPr>
        <w:t xml:space="preserve">d </w:t>
      </w:r>
      <w:r>
        <w:rPr>
          <w:rFonts w:cs="Calibri"/>
        </w:rPr>
        <w:t xml:space="preserve">into the debate of the powers of government compared to that of the states. What followed was the opposing ideology of the anti-Federalist Party who favoured Free Democracy and the ability of the masses compared to the Federalist or Republican notion of Limited Democracy. The constitution prevented mischief of faction in three ways. </w:t>
      </w:r>
    </w:p>
    <w:p w14:paraId="726A80E2" w14:textId="3F3EF2EE" w:rsidR="0060108B" w:rsidRDefault="0088237C">
      <w:pPr>
        <w:rPr>
          <w:rFonts w:cs="Calibri"/>
        </w:rPr>
      </w:pPr>
      <w:r>
        <w:rPr>
          <w:rFonts w:cs="Calibri"/>
        </w:rPr>
        <w:t xml:space="preserve">The first was the setting of the criteria who could sit in either the Senate or the House of Representatives. This restricted the amount of the population who could sit, only allowing the enlightened few in, who could put their grievances above faction to govern for the benefit for all. The second is the bicameral system so definitively entrenched within the constitution. The House of Representatives is divided along state lines with the most seats going to the states with the largest populations. However, the constitution only permits a set amount per state. The Senate on the other hand has each state only receiving two seats each. The concept being that if an act of law is passed by a faction in the House of Representatives, the balanced </w:t>
      </w:r>
      <w:r w:rsidR="00910F03">
        <w:rPr>
          <w:rFonts w:cs="Calibri"/>
        </w:rPr>
        <w:t>S</w:t>
      </w:r>
      <w:r>
        <w:rPr>
          <w:rFonts w:cs="Calibri"/>
        </w:rPr>
        <w:t xml:space="preserve">enate can reject it. </w:t>
      </w:r>
    </w:p>
    <w:p w14:paraId="7ADF4B7E" w14:textId="556D2A63" w:rsidR="0060108B" w:rsidRDefault="0088237C">
      <w:pPr>
        <w:rPr>
          <w:rFonts w:cs="Calibri"/>
        </w:rPr>
      </w:pPr>
      <w:r>
        <w:rPr>
          <w:rFonts w:cs="Calibri"/>
        </w:rPr>
        <w:t>Supporting both houses are the biennial elections. In each election one third of the senate is replaced breaking up possible factions preventing mischief. The House of Representatives is completely re-elected</w:t>
      </w:r>
      <w:r w:rsidR="00910F03">
        <w:rPr>
          <w:rFonts w:cs="Calibri"/>
        </w:rPr>
        <w:t>,</w:t>
      </w:r>
      <w:r>
        <w:rPr>
          <w:rFonts w:cs="Calibri"/>
        </w:rPr>
        <w:t xml:space="preserve"> meaning that any faction </w:t>
      </w:r>
      <w:r w:rsidR="00910F03">
        <w:rPr>
          <w:rFonts w:cs="Calibri"/>
        </w:rPr>
        <w:t xml:space="preserve">was </w:t>
      </w:r>
      <w:r>
        <w:rPr>
          <w:rFonts w:cs="Calibri"/>
        </w:rPr>
        <w:t xml:space="preserve">only just entrenched after two years, will be broken apart before it has any real power. </w:t>
      </w:r>
    </w:p>
    <w:p w14:paraId="63602877" w14:textId="14C6E6AB" w:rsidR="0060108B" w:rsidRDefault="0088237C">
      <w:pPr>
        <w:rPr>
          <w:rFonts w:cs="Calibri"/>
        </w:rPr>
      </w:pPr>
      <w:r>
        <w:rPr>
          <w:rFonts w:cs="Calibri"/>
        </w:rPr>
        <w:t>And finally, the states</w:t>
      </w:r>
      <w:r w:rsidR="00910F03">
        <w:rPr>
          <w:rFonts w:cs="Calibri"/>
        </w:rPr>
        <w:t xml:space="preserve">; </w:t>
      </w:r>
      <w:r>
        <w:rPr>
          <w:rFonts w:cs="Calibri"/>
        </w:rPr>
        <w:t>the constitution defines what the government can do and what is within the state</w:t>
      </w:r>
      <w:r w:rsidR="00910F03">
        <w:rPr>
          <w:rFonts w:cs="Calibri"/>
        </w:rPr>
        <w:t>’</w:t>
      </w:r>
      <w:r>
        <w:rPr>
          <w:rFonts w:cs="Calibri"/>
        </w:rPr>
        <w:t xml:space="preserve">s powers as states of the Union. The Constitution was entrenched into law by the United States Congress meaning that it is impossible for the US Government to exceed its authority explicitly stated in the constitution. It would be impossible for a faction dominated by those from a certain state to inflict their will on the others unless they violate the constitution itself. </w:t>
      </w:r>
    </w:p>
    <w:p w14:paraId="7AFD5BA2" w14:textId="77777777" w:rsidR="005E56B8" w:rsidRDefault="005E56B8"/>
    <w:p w14:paraId="64B14019" w14:textId="77777777" w:rsidR="005E56B8" w:rsidRDefault="005E56B8"/>
    <w:p w14:paraId="7EF4EECC" w14:textId="77777777" w:rsidR="005E56B8" w:rsidRDefault="005E56B8"/>
    <w:p w14:paraId="157A01A5" w14:textId="77777777" w:rsidR="005E56B8" w:rsidRDefault="005E56B8"/>
    <w:p w14:paraId="049DE266" w14:textId="77777777" w:rsidR="005E56B8" w:rsidRDefault="005E56B8"/>
    <w:p w14:paraId="38031329" w14:textId="77777777" w:rsidR="005E56B8" w:rsidRDefault="005E56B8"/>
    <w:p w14:paraId="6902D6E5" w14:textId="77777777" w:rsidR="005E56B8" w:rsidRDefault="005E56B8"/>
    <w:p w14:paraId="2CFB0894" w14:textId="77777777" w:rsidR="005E56B8" w:rsidRDefault="005E56B8"/>
    <w:p w14:paraId="3584D322" w14:textId="77777777" w:rsidR="005E56B8" w:rsidRDefault="005E56B8"/>
    <w:p w14:paraId="43A49020" w14:textId="77777777" w:rsidR="005E56B8" w:rsidRDefault="005E56B8"/>
    <w:p w14:paraId="1B39EE20" w14:textId="77777777" w:rsidR="005E56B8" w:rsidRDefault="005E56B8"/>
    <w:p w14:paraId="1870F494" w14:textId="77777777" w:rsidR="005E56B8" w:rsidRDefault="005E56B8"/>
    <w:p w14:paraId="40639906" w14:textId="77777777" w:rsidR="005E56B8" w:rsidRDefault="005E56B8"/>
    <w:p w14:paraId="47F24B0E" w14:textId="77777777" w:rsidR="005E56B8" w:rsidRDefault="005E56B8"/>
    <w:p w14:paraId="353623B1" w14:textId="77777777" w:rsidR="005E56B8" w:rsidRDefault="005E56B8"/>
    <w:p w14:paraId="6B549100" w14:textId="77777777" w:rsidR="00910F03" w:rsidRDefault="00910F03">
      <w:pPr>
        <w:rPr>
          <w:rFonts w:asciiTheme="minorHAnsi" w:hAnsiTheme="minorHAnsi" w:cstheme="minorHAnsi"/>
          <w:u w:val="single"/>
        </w:rPr>
      </w:pPr>
    </w:p>
    <w:p w14:paraId="7903FB57" w14:textId="2D8BE81E" w:rsidR="005E56B8" w:rsidRPr="00123C22" w:rsidRDefault="005E56B8">
      <w:pPr>
        <w:rPr>
          <w:rFonts w:asciiTheme="minorHAnsi" w:hAnsiTheme="minorHAnsi" w:cstheme="minorHAnsi"/>
          <w:u w:val="single"/>
        </w:rPr>
      </w:pPr>
      <w:r w:rsidRPr="00123C22">
        <w:rPr>
          <w:rFonts w:asciiTheme="minorHAnsi" w:hAnsiTheme="minorHAnsi" w:cstheme="minorHAnsi"/>
          <w:u w:val="single"/>
        </w:rPr>
        <w:t>Bibliography</w:t>
      </w:r>
    </w:p>
    <w:p w14:paraId="28CE21BB" w14:textId="77777777" w:rsidR="005E56B8" w:rsidRPr="00123C22" w:rsidRDefault="005E56B8">
      <w:pPr>
        <w:rPr>
          <w:rFonts w:asciiTheme="minorHAnsi" w:hAnsiTheme="minorHAnsi" w:cstheme="minorHAnsi"/>
          <w:u w:val="single"/>
        </w:rPr>
      </w:pPr>
      <w:r w:rsidRPr="00123C22">
        <w:rPr>
          <w:rFonts w:asciiTheme="minorHAnsi" w:hAnsiTheme="minorHAnsi" w:cstheme="minorHAnsi"/>
          <w:u w:val="single"/>
        </w:rPr>
        <w:t xml:space="preserve">Primary Sources: </w:t>
      </w:r>
    </w:p>
    <w:p w14:paraId="06F0D6C8" w14:textId="77777777" w:rsidR="005E56B8" w:rsidRPr="00123C22" w:rsidRDefault="005E56B8">
      <w:pPr>
        <w:rPr>
          <w:rFonts w:asciiTheme="minorHAnsi" w:hAnsiTheme="minorHAnsi" w:cstheme="minorHAnsi"/>
        </w:rPr>
      </w:pPr>
      <w:r w:rsidRPr="00123C22">
        <w:rPr>
          <w:rFonts w:asciiTheme="minorHAnsi" w:hAnsiTheme="minorHAnsi" w:cstheme="minorHAnsi"/>
        </w:rPr>
        <w:t>Madison</w:t>
      </w:r>
      <w:r w:rsidR="0064587C">
        <w:rPr>
          <w:rFonts w:asciiTheme="minorHAnsi" w:hAnsiTheme="minorHAnsi" w:cstheme="minorHAnsi"/>
        </w:rPr>
        <w:t xml:space="preserve">, J, </w:t>
      </w:r>
      <w:r w:rsidRPr="00123C22">
        <w:rPr>
          <w:rFonts w:asciiTheme="minorHAnsi" w:hAnsiTheme="minorHAnsi" w:cstheme="minorHAnsi"/>
        </w:rPr>
        <w:t>‘Federalist Number 10’, in The Federalist Papers: A collection of Essays written in favour of the New Constitution as agreed upon by the Federal Convention September 17, 1787, ed. by Alexander Hamilton, James Madison, and John Jay (Dublin: Coventry House Publishing, 2015), pp.41-</w:t>
      </w:r>
      <w:r w:rsidR="00FE71A5" w:rsidRPr="00123C22">
        <w:rPr>
          <w:rFonts w:asciiTheme="minorHAnsi" w:hAnsiTheme="minorHAnsi" w:cstheme="minorHAnsi"/>
        </w:rPr>
        <w:t xml:space="preserve">47. </w:t>
      </w:r>
    </w:p>
    <w:p w14:paraId="606C73F2" w14:textId="77777777" w:rsidR="005E56B8" w:rsidRPr="00123C22" w:rsidRDefault="005E56B8">
      <w:pPr>
        <w:rPr>
          <w:rFonts w:asciiTheme="minorHAnsi" w:hAnsiTheme="minorHAnsi" w:cstheme="minorHAnsi"/>
        </w:rPr>
      </w:pPr>
      <w:r w:rsidRPr="00123C22">
        <w:rPr>
          <w:rFonts w:asciiTheme="minorHAnsi" w:hAnsiTheme="minorHAnsi" w:cstheme="minorHAnsi"/>
        </w:rPr>
        <w:t>Madison</w:t>
      </w:r>
      <w:r w:rsidR="0064587C">
        <w:rPr>
          <w:rFonts w:asciiTheme="minorHAnsi" w:hAnsiTheme="minorHAnsi" w:cstheme="minorHAnsi"/>
        </w:rPr>
        <w:t xml:space="preserve">, J </w:t>
      </w:r>
      <w:proofErr w:type="gramStart"/>
      <w:r w:rsidRPr="00123C22">
        <w:rPr>
          <w:rFonts w:asciiTheme="minorHAnsi" w:hAnsiTheme="minorHAnsi" w:cstheme="minorHAnsi"/>
        </w:rPr>
        <w:t>Or</w:t>
      </w:r>
      <w:proofErr w:type="gramEnd"/>
      <w:r w:rsidR="0064587C">
        <w:rPr>
          <w:rFonts w:asciiTheme="minorHAnsi" w:hAnsiTheme="minorHAnsi" w:cstheme="minorHAnsi"/>
        </w:rPr>
        <w:t xml:space="preserve"> </w:t>
      </w:r>
      <w:r w:rsidRPr="00123C22">
        <w:rPr>
          <w:rFonts w:asciiTheme="minorHAnsi" w:hAnsiTheme="minorHAnsi" w:cstheme="minorHAnsi"/>
        </w:rPr>
        <w:t>Jay</w:t>
      </w:r>
      <w:r w:rsidR="0064587C">
        <w:rPr>
          <w:rFonts w:asciiTheme="minorHAnsi" w:hAnsiTheme="minorHAnsi" w:cstheme="minorHAnsi"/>
        </w:rPr>
        <w:t>, J,</w:t>
      </w:r>
      <w:r w:rsidRPr="00123C22">
        <w:rPr>
          <w:rFonts w:asciiTheme="minorHAnsi" w:hAnsiTheme="minorHAnsi" w:cstheme="minorHAnsi"/>
        </w:rPr>
        <w:t xml:space="preserve"> ‘Federalist </w:t>
      </w:r>
      <w:r w:rsidR="00123C22">
        <w:rPr>
          <w:rFonts w:asciiTheme="minorHAnsi" w:hAnsiTheme="minorHAnsi" w:cstheme="minorHAnsi"/>
        </w:rPr>
        <w:t xml:space="preserve">Number </w:t>
      </w:r>
      <w:r w:rsidRPr="00123C22">
        <w:rPr>
          <w:rFonts w:asciiTheme="minorHAnsi" w:hAnsiTheme="minorHAnsi" w:cstheme="minorHAnsi"/>
        </w:rPr>
        <w:t>52’, in The Federalist Papers: A collection of Essays written in favour of the New Constitution as agreed upon by the Federal Convention September 17, 1787, ed. by Alexander Hamilton, James Madison, and John Jay (Dublin: Coventry House Publishing, 2015)</w:t>
      </w:r>
      <w:r w:rsidR="00FE71A5" w:rsidRPr="00123C22">
        <w:rPr>
          <w:rFonts w:asciiTheme="minorHAnsi" w:hAnsiTheme="minorHAnsi" w:cstheme="minorHAnsi"/>
        </w:rPr>
        <w:t xml:space="preserve">, pp.256-259. </w:t>
      </w:r>
    </w:p>
    <w:p w14:paraId="3BA8FB15" w14:textId="77777777" w:rsidR="005E56B8" w:rsidRPr="00123C22" w:rsidRDefault="005E56B8">
      <w:pPr>
        <w:rPr>
          <w:rFonts w:asciiTheme="minorHAnsi" w:hAnsiTheme="minorHAnsi" w:cstheme="minorHAnsi"/>
          <w:u w:val="single"/>
        </w:rPr>
      </w:pPr>
      <w:r w:rsidRPr="00123C22">
        <w:rPr>
          <w:rFonts w:asciiTheme="minorHAnsi" w:hAnsiTheme="minorHAnsi" w:cstheme="minorHAnsi"/>
          <w:u w:val="single"/>
        </w:rPr>
        <w:t xml:space="preserve">Secondary Sources </w:t>
      </w:r>
    </w:p>
    <w:p w14:paraId="5CB52B3F" w14:textId="77777777" w:rsidR="005E56B8" w:rsidRPr="00123C22" w:rsidRDefault="005E56B8">
      <w:pPr>
        <w:rPr>
          <w:rFonts w:asciiTheme="minorHAnsi" w:hAnsiTheme="minorHAnsi" w:cstheme="minorHAnsi"/>
        </w:rPr>
      </w:pPr>
      <w:r w:rsidRPr="00123C22">
        <w:rPr>
          <w:rFonts w:asciiTheme="minorHAnsi" w:hAnsiTheme="minorHAnsi" w:cstheme="minorHAnsi"/>
        </w:rPr>
        <w:t>Beeman</w:t>
      </w:r>
      <w:r w:rsidR="0064587C">
        <w:rPr>
          <w:rFonts w:asciiTheme="minorHAnsi" w:hAnsiTheme="minorHAnsi" w:cstheme="minorHAnsi"/>
        </w:rPr>
        <w:t>, R.,</w:t>
      </w:r>
      <w:r w:rsidRPr="00123C22">
        <w:rPr>
          <w:rFonts w:asciiTheme="minorHAnsi" w:hAnsiTheme="minorHAnsi" w:cstheme="minorHAnsi"/>
        </w:rPr>
        <w:t xml:space="preserve"> </w:t>
      </w:r>
      <w:r w:rsidRPr="0064587C">
        <w:rPr>
          <w:rFonts w:asciiTheme="minorHAnsi" w:hAnsiTheme="minorHAnsi" w:cstheme="minorHAnsi"/>
          <w:i/>
        </w:rPr>
        <w:t>The Penguin Guide to the Unites States Constitution</w:t>
      </w:r>
      <w:r w:rsidRPr="00123C22">
        <w:rPr>
          <w:rFonts w:asciiTheme="minorHAnsi" w:hAnsiTheme="minorHAnsi" w:cstheme="minorHAnsi"/>
        </w:rPr>
        <w:t xml:space="preserve"> (New York: Penguin Group, 2010)</w:t>
      </w:r>
    </w:p>
    <w:p w14:paraId="2D48E8D4" w14:textId="77777777" w:rsidR="005E56B8" w:rsidRPr="00123C22" w:rsidRDefault="005E56B8">
      <w:pPr>
        <w:rPr>
          <w:rFonts w:asciiTheme="minorHAnsi" w:hAnsiTheme="minorHAnsi" w:cstheme="minorHAnsi"/>
        </w:rPr>
      </w:pPr>
      <w:proofErr w:type="spellStart"/>
      <w:r w:rsidRPr="00123C22">
        <w:rPr>
          <w:rFonts w:asciiTheme="minorHAnsi" w:hAnsiTheme="minorHAnsi" w:cstheme="minorHAnsi"/>
        </w:rPr>
        <w:t>Derthick</w:t>
      </w:r>
      <w:proofErr w:type="spellEnd"/>
      <w:r w:rsidR="0064587C">
        <w:rPr>
          <w:rFonts w:asciiTheme="minorHAnsi" w:hAnsiTheme="minorHAnsi" w:cstheme="minorHAnsi"/>
        </w:rPr>
        <w:t>, M.,</w:t>
      </w:r>
      <w:r w:rsidRPr="00123C22">
        <w:rPr>
          <w:rFonts w:asciiTheme="minorHAnsi" w:hAnsiTheme="minorHAnsi" w:cstheme="minorHAnsi"/>
        </w:rPr>
        <w:t xml:space="preserve"> ‘Congress, The States and the supreme court’, in </w:t>
      </w:r>
      <w:r w:rsidRPr="0064587C">
        <w:rPr>
          <w:rFonts w:asciiTheme="minorHAnsi" w:hAnsiTheme="minorHAnsi" w:cstheme="minorHAnsi"/>
          <w:i/>
        </w:rPr>
        <w:t>Keeping the Compound Republic: Essays on American Federalism,</w:t>
      </w:r>
      <w:r w:rsidRPr="00123C22">
        <w:rPr>
          <w:rFonts w:asciiTheme="minorHAnsi" w:hAnsiTheme="minorHAnsi" w:cstheme="minorHAnsi"/>
        </w:rPr>
        <w:t xml:space="preserve"> ed. By Martha </w:t>
      </w:r>
      <w:proofErr w:type="spellStart"/>
      <w:r w:rsidRPr="00123C22">
        <w:rPr>
          <w:rFonts w:asciiTheme="minorHAnsi" w:hAnsiTheme="minorHAnsi" w:cstheme="minorHAnsi"/>
        </w:rPr>
        <w:t>Derthick</w:t>
      </w:r>
      <w:proofErr w:type="spellEnd"/>
      <w:r w:rsidRPr="00123C22">
        <w:rPr>
          <w:rFonts w:asciiTheme="minorHAnsi" w:hAnsiTheme="minorHAnsi" w:cstheme="minorHAnsi"/>
        </w:rPr>
        <w:t xml:space="preserve"> (Washington DC: Brookings Institution Press, 2001)</w:t>
      </w:r>
      <w:r w:rsidR="00FE71A5" w:rsidRPr="00123C22">
        <w:rPr>
          <w:rFonts w:asciiTheme="minorHAnsi" w:hAnsiTheme="minorHAnsi" w:cstheme="minorHAnsi"/>
        </w:rPr>
        <w:t xml:space="preserve">, pp.56-65. </w:t>
      </w:r>
    </w:p>
    <w:p w14:paraId="6118D7CB" w14:textId="6E92A2C3" w:rsidR="006F31EC" w:rsidRPr="00123C22" w:rsidRDefault="005E56B8">
      <w:pPr>
        <w:rPr>
          <w:rFonts w:asciiTheme="minorHAnsi" w:hAnsiTheme="minorHAnsi" w:cstheme="minorHAnsi"/>
        </w:rPr>
      </w:pPr>
      <w:r w:rsidRPr="00123C22">
        <w:rPr>
          <w:rFonts w:asciiTheme="minorHAnsi" w:hAnsiTheme="minorHAnsi" w:cstheme="minorHAnsi"/>
        </w:rPr>
        <w:t>Hofstadter</w:t>
      </w:r>
      <w:r w:rsidR="0064587C">
        <w:rPr>
          <w:rFonts w:asciiTheme="minorHAnsi" w:hAnsiTheme="minorHAnsi" w:cstheme="minorHAnsi"/>
        </w:rPr>
        <w:t>.,</w:t>
      </w:r>
      <w:r w:rsidRPr="00123C22">
        <w:rPr>
          <w:rFonts w:asciiTheme="minorHAnsi" w:hAnsiTheme="minorHAnsi" w:cstheme="minorHAnsi"/>
        </w:rPr>
        <w:t xml:space="preserve"> </w:t>
      </w:r>
      <w:r w:rsidRPr="0064587C">
        <w:rPr>
          <w:rFonts w:asciiTheme="minorHAnsi" w:hAnsiTheme="minorHAnsi" w:cstheme="minorHAnsi"/>
          <w:i/>
        </w:rPr>
        <w:t>The American Political Tradition</w:t>
      </w:r>
      <w:r w:rsidR="007131B1">
        <w:rPr>
          <w:rFonts w:asciiTheme="minorHAnsi" w:hAnsiTheme="minorHAnsi" w:cstheme="minorHAnsi"/>
          <w:i/>
        </w:rPr>
        <w:t>; and the men who made it</w:t>
      </w:r>
      <w:r w:rsidRPr="00123C22">
        <w:rPr>
          <w:rFonts w:asciiTheme="minorHAnsi" w:hAnsiTheme="minorHAnsi" w:cstheme="minorHAnsi"/>
        </w:rPr>
        <w:t xml:space="preserve"> (London: Lowe and </w:t>
      </w:r>
      <w:proofErr w:type="spellStart"/>
      <w:r w:rsidRPr="00123C22">
        <w:rPr>
          <w:rFonts w:asciiTheme="minorHAnsi" w:hAnsiTheme="minorHAnsi" w:cstheme="minorHAnsi"/>
        </w:rPr>
        <w:t>Brydone</w:t>
      </w:r>
      <w:proofErr w:type="spellEnd"/>
      <w:r w:rsidRPr="00123C22">
        <w:rPr>
          <w:rFonts w:asciiTheme="minorHAnsi" w:hAnsiTheme="minorHAnsi" w:cstheme="minorHAnsi"/>
        </w:rPr>
        <w:t>, 1948)</w:t>
      </w:r>
    </w:p>
    <w:p w14:paraId="111B6B3A" w14:textId="77777777" w:rsidR="005E56B8" w:rsidRPr="00123C22" w:rsidRDefault="005E56B8">
      <w:pPr>
        <w:rPr>
          <w:rFonts w:asciiTheme="minorHAnsi" w:hAnsiTheme="minorHAnsi" w:cstheme="minorHAnsi"/>
        </w:rPr>
      </w:pPr>
      <w:proofErr w:type="spellStart"/>
      <w:r w:rsidRPr="00123C22">
        <w:rPr>
          <w:rFonts w:asciiTheme="minorHAnsi" w:hAnsiTheme="minorHAnsi" w:cstheme="minorHAnsi"/>
        </w:rPr>
        <w:t>Kalyvas</w:t>
      </w:r>
      <w:proofErr w:type="spellEnd"/>
      <w:r w:rsidR="0064587C">
        <w:rPr>
          <w:rFonts w:asciiTheme="minorHAnsi" w:hAnsiTheme="minorHAnsi" w:cstheme="minorHAnsi"/>
        </w:rPr>
        <w:t>, A</w:t>
      </w:r>
      <w:r w:rsidRPr="00123C22">
        <w:rPr>
          <w:rFonts w:asciiTheme="minorHAnsi" w:hAnsiTheme="minorHAnsi" w:cstheme="minorHAnsi"/>
        </w:rPr>
        <w:t xml:space="preserve"> and </w:t>
      </w:r>
      <w:proofErr w:type="spellStart"/>
      <w:r w:rsidRPr="00123C22">
        <w:rPr>
          <w:rFonts w:asciiTheme="minorHAnsi" w:hAnsiTheme="minorHAnsi" w:cstheme="minorHAnsi"/>
        </w:rPr>
        <w:t>Katznelson</w:t>
      </w:r>
      <w:proofErr w:type="spellEnd"/>
      <w:r w:rsidR="0064587C">
        <w:rPr>
          <w:rFonts w:asciiTheme="minorHAnsi" w:hAnsiTheme="minorHAnsi" w:cstheme="minorHAnsi"/>
        </w:rPr>
        <w:t xml:space="preserve">, </w:t>
      </w:r>
      <w:proofErr w:type="spellStart"/>
      <w:proofErr w:type="gramStart"/>
      <w:r w:rsidR="0064587C">
        <w:rPr>
          <w:rFonts w:asciiTheme="minorHAnsi" w:hAnsiTheme="minorHAnsi" w:cstheme="minorHAnsi"/>
        </w:rPr>
        <w:t>I,</w:t>
      </w:r>
      <w:r w:rsidRPr="00123C22">
        <w:rPr>
          <w:rFonts w:asciiTheme="minorHAnsi" w:hAnsiTheme="minorHAnsi" w:cstheme="minorHAnsi"/>
        </w:rPr>
        <w:t>‘</w:t>
      </w:r>
      <w:proofErr w:type="gramEnd"/>
      <w:r w:rsidRPr="00123C22">
        <w:rPr>
          <w:rFonts w:asciiTheme="minorHAnsi" w:hAnsiTheme="minorHAnsi" w:cstheme="minorHAnsi"/>
        </w:rPr>
        <w:t>The</w:t>
      </w:r>
      <w:proofErr w:type="spellEnd"/>
      <w:r w:rsidRPr="00123C22">
        <w:rPr>
          <w:rFonts w:asciiTheme="minorHAnsi" w:hAnsiTheme="minorHAnsi" w:cstheme="minorHAnsi"/>
        </w:rPr>
        <w:t xml:space="preserve"> Republic of the Moderns: Paine's and Madison's Novel Liberalism’, </w:t>
      </w:r>
      <w:r w:rsidRPr="0064587C">
        <w:rPr>
          <w:rFonts w:asciiTheme="minorHAnsi" w:hAnsiTheme="minorHAnsi" w:cstheme="minorHAnsi"/>
          <w:i/>
        </w:rPr>
        <w:t>Polity, Vol. 38, No. 4</w:t>
      </w:r>
      <w:r w:rsidRPr="00123C22">
        <w:rPr>
          <w:rFonts w:asciiTheme="minorHAnsi" w:hAnsiTheme="minorHAnsi" w:cstheme="minorHAnsi"/>
        </w:rPr>
        <w:t xml:space="preserve"> (2006), pp. 447-47. </w:t>
      </w:r>
    </w:p>
    <w:p w14:paraId="63ED59CC" w14:textId="77777777" w:rsidR="005E56B8" w:rsidRPr="00123C22" w:rsidRDefault="005E56B8">
      <w:pPr>
        <w:rPr>
          <w:rFonts w:asciiTheme="minorHAnsi" w:hAnsiTheme="minorHAnsi" w:cstheme="minorHAnsi"/>
        </w:rPr>
      </w:pPr>
      <w:proofErr w:type="spellStart"/>
      <w:r w:rsidRPr="00123C22">
        <w:rPr>
          <w:rFonts w:asciiTheme="minorHAnsi" w:hAnsiTheme="minorHAnsi" w:cstheme="minorHAnsi"/>
        </w:rPr>
        <w:t>Kobylka</w:t>
      </w:r>
      <w:proofErr w:type="spellEnd"/>
      <w:r w:rsidR="0064587C">
        <w:rPr>
          <w:rFonts w:asciiTheme="minorHAnsi" w:hAnsiTheme="minorHAnsi" w:cstheme="minorHAnsi"/>
        </w:rPr>
        <w:t>, JK</w:t>
      </w:r>
      <w:r w:rsidRPr="00123C22">
        <w:rPr>
          <w:rFonts w:asciiTheme="minorHAnsi" w:hAnsiTheme="minorHAnsi" w:cstheme="minorHAnsi"/>
        </w:rPr>
        <w:t xml:space="preserve"> and Carter,</w:t>
      </w:r>
      <w:r w:rsidR="0064587C">
        <w:rPr>
          <w:rFonts w:asciiTheme="minorHAnsi" w:hAnsiTheme="minorHAnsi" w:cstheme="minorHAnsi"/>
        </w:rPr>
        <w:t xml:space="preserve"> B,</w:t>
      </w:r>
      <w:r w:rsidRPr="00123C22">
        <w:rPr>
          <w:rFonts w:asciiTheme="minorHAnsi" w:hAnsiTheme="minorHAnsi" w:cstheme="minorHAnsi"/>
        </w:rPr>
        <w:t xml:space="preserve"> ‘"The Federalist", &amp; the Constitutional Order: Human Nature &amp; Institutional Structure’, </w:t>
      </w:r>
      <w:r w:rsidRPr="0064587C">
        <w:rPr>
          <w:rFonts w:asciiTheme="minorHAnsi" w:hAnsiTheme="minorHAnsi" w:cstheme="minorHAnsi"/>
          <w:i/>
        </w:rPr>
        <w:t>Polity, Vol. 20, No. 2</w:t>
      </w:r>
      <w:r w:rsidRPr="00123C22">
        <w:rPr>
          <w:rFonts w:asciiTheme="minorHAnsi" w:hAnsiTheme="minorHAnsi" w:cstheme="minorHAnsi"/>
        </w:rPr>
        <w:t xml:space="preserve"> (Winter, 1987), pp. 190-208. </w:t>
      </w:r>
    </w:p>
    <w:p w14:paraId="239ADD20" w14:textId="77777777" w:rsidR="005E56B8" w:rsidRPr="005E56B8" w:rsidRDefault="005E56B8">
      <w:pPr>
        <w:rPr>
          <w:rFonts w:ascii="Arial" w:hAnsi="Arial" w:cs="Arial"/>
        </w:rPr>
      </w:pPr>
    </w:p>
    <w:sectPr w:rsidR="005E56B8" w:rsidRPr="005E56B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1F03D4" w14:textId="77777777" w:rsidR="00981F90" w:rsidRDefault="00981F90">
      <w:pPr>
        <w:spacing w:after="0"/>
      </w:pPr>
      <w:r>
        <w:separator/>
      </w:r>
    </w:p>
  </w:endnote>
  <w:endnote w:type="continuationSeparator" w:id="0">
    <w:p w14:paraId="1305261A" w14:textId="77777777" w:rsidR="00981F90" w:rsidRDefault="00981F9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2D199" w14:textId="77777777" w:rsidR="00981F90" w:rsidRDefault="00981F90">
      <w:pPr>
        <w:spacing w:after="0"/>
      </w:pPr>
      <w:r>
        <w:rPr>
          <w:color w:val="000000"/>
        </w:rPr>
        <w:separator/>
      </w:r>
    </w:p>
  </w:footnote>
  <w:footnote w:type="continuationSeparator" w:id="0">
    <w:p w14:paraId="56859087" w14:textId="77777777" w:rsidR="00981F90" w:rsidRDefault="00981F90">
      <w:pPr>
        <w:spacing w:after="0"/>
      </w:pPr>
      <w:r>
        <w:continuationSeparator/>
      </w:r>
    </w:p>
  </w:footnote>
  <w:footnote w:id="1">
    <w:p w14:paraId="6EFF83FB" w14:textId="77777777" w:rsidR="008F166A" w:rsidRPr="0070350D" w:rsidRDefault="008F166A">
      <w:pPr>
        <w:pStyle w:val="FootnoteText"/>
      </w:pPr>
      <w:r>
        <w:rPr>
          <w:rStyle w:val="FootnoteReference"/>
        </w:rPr>
        <w:footnoteRef/>
      </w:r>
      <w:r>
        <w:t xml:space="preserve"> </w:t>
      </w:r>
      <w:r w:rsidR="0098741F">
        <w:t xml:space="preserve">J. </w:t>
      </w:r>
      <w:r w:rsidR="000764AD">
        <w:t xml:space="preserve">Madison. ‘Federalist Number 10’, in </w:t>
      </w:r>
      <w:r>
        <w:rPr>
          <w:i/>
        </w:rPr>
        <w:t>The Federalist Papers: A collection of Essays written in favour of the New Constitution as agreed upon by the Federal Convention September 17, 1787</w:t>
      </w:r>
      <w:r w:rsidR="0070350D">
        <w:rPr>
          <w:i/>
        </w:rPr>
        <w:t xml:space="preserve">, </w:t>
      </w:r>
      <w:r w:rsidR="0070350D" w:rsidRPr="0070350D">
        <w:t>ed.</w:t>
      </w:r>
      <w:r w:rsidR="0070350D">
        <w:t xml:space="preserve"> by Alexander Hamilton, James Madison, and John Jay (Dublin: Coventry House Publishing, 2015), p. 42.   </w:t>
      </w:r>
    </w:p>
  </w:footnote>
  <w:footnote w:id="2">
    <w:p w14:paraId="5B7735A9" w14:textId="77777777" w:rsidR="0070350D" w:rsidRPr="0070350D" w:rsidRDefault="0070350D">
      <w:pPr>
        <w:pStyle w:val="FootnoteText"/>
      </w:pPr>
      <w:r>
        <w:rPr>
          <w:rStyle w:val="FootnoteReference"/>
        </w:rPr>
        <w:footnoteRef/>
      </w:r>
      <w:r>
        <w:t xml:space="preserve"> </w:t>
      </w:r>
      <w:r w:rsidR="0064587C">
        <w:t>Ibid., p.</w:t>
      </w:r>
      <w:r>
        <w:t xml:space="preserve"> 42. </w:t>
      </w:r>
    </w:p>
  </w:footnote>
  <w:footnote w:id="3">
    <w:p w14:paraId="07526971" w14:textId="77777777" w:rsidR="0070350D" w:rsidRPr="0070350D" w:rsidRDefault="0070350D">
      <w:pPr>
        <w:pStyle w:val="FootnoteText"/>
      </w:pPr>
      <w:r>
        <w:rPr>
          <w:rStyle w:val="FootnoteReference"/>
        </w:rPr>
        <w:footnoteRef/>
      </w:r>
      <w:r w:rsidR="0064587C">
        <w:t xml:space="preserve"> Ibid.,</w:t>
      </w:r>
      <w:r>
        <w:t xml:space="preserve"> p. 43. </w:t>
      </w:r>
    </w:p>
  </w:footnote>
  <w:footnote w:id="4">
    <w:p w14:paraId="7FA3CDBE" w14:textId="77777777" w:rsidR="0070350D" w:rsidRDefault="0070350D">
      <w:pPr>
        <w:pStyle w:val="FootnoteText"/>
      </w:pPr>
      <w:r>
        <w:rPr>
          <w:rStyle w:val="FootnoteReference"/>
        </w:rPr>
        <w:footnoteRef/>
      </w:r>
      <w:r>
        <w:t xml:space="preserve"> </w:t>
      </w:r>
      <w:r w:rsidR="0098741F">
        <w:t xml:space="preserve">A </w:t>
      </w:r>
      <w:proofErr w:type="spellStart"/>
      <w:r w:rsidR="000764AD">
        <w:t>Kalyvas</w:t>
      </w:r>
      <w:proofErr w:type="spellEnd"/>
      <w:r w:rsidR="0098741F">
        <w:t xml:space="preserve">. </w:t>
      </w:r>
      <w:r w:rsidR="000764AD">
        <w:t xml:space="preserve"> and </w:t>
      </w:r>
      <w:r w:rsidR="0098741F">
        <w:t xml:space="preserve">I </w:t>
      </w:r>
      <w:proofErr w:type="spellStart"/>
      <w:r w:rsidR="000764AD">
        <w:t>Katznelson</w:t>
      </w:r>
      <w:proofErr w:type="spellEnd"/>
      <w:r w:rsidR="0098741F">
        <w:t>.</w:t>
      </w:r>
      <w:r w:rsidR="00B85E0B">
        <w:t>, ‘</w:t>
      </w:r>
      <w:r w:rsidR="00B85E0B" w:rsidRPr="00B85E0B">
        <w:t>The Republic of the Moderns: Paine's and Madison's Novel Liberalism</w:t>
      </w:r>
      <w:r w:rsidR="00B85E0B">
        <w:t xml:space="preserve">’, </w:t>
      </w:r>
      <w:r w:rsidR="00B85E0B" w:rsidRPr="00B85E0B">
        <w:rPr>
          <w:i/>
        </w:rPr>
        <w:t>Polity, Vol. 38, No. 4</w:t>
      </w:r>
      <w:r w:rsidR="00B85E0B" w:rsidRPr="00B85E0B">
        <w:t xml:space="preserve"> (2006), pp. 447-47</w:t>
      </w:r>
      <w:r w:rsidR="00B85E0B">
        <w:t xml:space="preserve">, p. </w:t>
      </w:r>
      <w:r w:rsidR="00122806">
        <w:t>557</w:t>
      </w:r>
      <w:r w:rsidR="00B85E0B">
        <w:t xml:space="preserve">. </w:t>
      </w:r>
    </w:p>
  </w:footnote>
  <w:footnote w:id="5">
    <w:p w14:paraId="4A18ECFB" w14:textId="77777777" w:rsidR="004F0F33" w:rsidRDefault="004F0F33">
      <w:pPr>
        <w:pStyle w:val="FootnoteText"/>
      </w:pPr>
      <w:r>
        <w:rPr>
          <w:rStyle w:val="FootnoteReference"/>
        </w:rPr>
        <w:footnoteRef/>
      </w:r>
      <w:r>
        <w:t xml:space="preserve"> </w:t>
      </w:r>
      <w:r w:rsidR="003E0E42">
        <w:t>Ibid.,</w:t>
      </w:r>
      <w:r>
        <w:t xml:space="preserve"> p. 450. </w:t>
      </w:r>
    </w:p>
  </w:footnote>
  <w:footnote w:id="6">
    <w:p w14:paraId="394835DF" w14:textId="77777777" w:rsidR="00B23590" w:rsidRDefault="00B23590">
      <w:pPr>
        <w:pStyle w:val="FootnoteText"/>
      </w:pPr>
      <w:r>
        <w:rPr>
          <w:rStyle w:val="FootnoteReference"/>
        </w:rPr>
        <w:footnoteRef/>
      </w:r>
      <w:r>
        <w:t xml:space="preserve"> Madison, </w:t>
      </w:r>
      <w:r w:rsidR="00EE3350" w:rsidRPr="00EE3350">
        <w:rPr>
          <w:i/>
        </w:rPr>
        <w:t>Federalist Number 10</w:t>
      </w:r>
      <w:r w:rsidR="00EE3350">
        <w:t xml:space="preserve"> </w:t>
      </w:r>
      <w:r>
        <w:t>p.43.</w:t>
      </w:r>
    </w:p>
  </w:footnote>
  <w:footnote w:id="7">
    <w:p w14:paraId="224779F0" w14:textId="77777777" w:rsidR="00B23590" w:rsidRDefault="00B23590">
      <w:pPr>
        <w:pStyle w:val="FootnoteText"/>
      </w:pPr>
      <w:r>
        <w:rPr>
          <w:rStyle w:val="FootnoteReference"/>
        </w:rPr>
        <w:footnoteRef/>
      </w:r>
      <w:r>
        <w:t xml:space="preserve"> Ibid., p. 43. </w:t>
      </w:r>
    </w:p>
  </w:footnote>
  <w:footnote w:id="8">
    <w:p w14:paraId="2B1DC26E" w14:textId="77777777" w:rsidR="00B23590" w:rsidRDefault="00B23590">
      <w:pPr>
        <w:pStyle w:val="FootnoteText"/>
      </w:pPr>
      <w:r>
        <w:rPr>
          <w:rStyle w:val="FootnoteReference"/>
        </w:rPr>
        <w:footnoteRef/>
      </w:r>
      <w:r>
        <w:t xml:space="preserve"> Ibid., p. 43. </w:t>
      </w:r>
    </w:p>
  </w:footnote>
  <w:footnote w:id="9">
    <w:p w14:paraId="2FB8D26C" w14:textId="05792D06" w:rsidR="00B23590" w:rsidRPr="00802209" w:rsidRDefault="00B23590">
      <w:pPr>
        <w:pStyle w:val="FootnoteText"/>
      </w:pPr>
      <w:r>
        <w:rPr>
          <w:rStyle w:val="FootnoteReference"/>
        </w:rPr>
        <w:footnoteRef/>
      </w:r>
      <w:r>
        <w:t xml:space="preserve"> </w:t>
      </w:r>
      <w:r w:rsidR="00802209">
        <w:t xml:space="preserve">R. </w:t>
      </w:r>
      <w:r>
        <w:t>Hofstadter</w:t>
      </w:r>
      <w:r w:rsidR="00802209">
        <w:t xml:space="preserve">, </w:t>
      </w:r>
      <w:r w:rsidR="00802209">
        <w:rPr>
          <w:i/>
        </w:rPr>
        <w:t>The American Political Tradition</w:t>
      </w:r>
      <w:r w:rsidR="007131B1">
        <w:rPr>
          <w:i/>
        </w:rPr>
        <w:t>; and the men who made it</w:t>
      </w:r>
      <w:r w:rsidR="00802209">
        <w:t xml:space="preserve"> (London: Lowe and </w:t>
      </w:r>
      <w:proofErr w:type="spellStart"/>
      <w:r w:rsidR="00802209">
        <w:t>Brydone</w:t>
      </w:r>
      <w:proofErr w:type="spellEnd"/>
      <w:r w:rsidR="00802209">
        <w:t xml:space="preserve">, 1948), p. 14.  </w:t>
      </w:r>
      <w:bookmarkStart w:id="1" w:name="_GoBack"/>
      <w:bookmarkEnd w:id="1"/>
    </w:p>
  </w:footnote>
  <w:footnote w:id="10">
    <w:p w14:paraId="606D589E" w14:textId="77777777" w:rsidR="00802209" w:rsidRDefault="00802209">
      <w:pPr>
        <w:pStyle w:val="FootnoteText"/>
      </w:pPr>
      <w:r>
        <w:rPr>
          <w:rStyle w:val="FootnoteReference"/>
        </w:rPr>
        <w:footnoteRef/>
      </w:r>
      <w:r>
        <w:t xml:space="preserve"> Ibid., p. 14. </w:t>
      </w:r>
    </w:p>
  </w:footnote>
  <w:footnote w:id="11">
    <w:p w14:paraId="5DED8801" w14:textId="77777777" w:rsidR="00802209" w:rsidRDefault="00802209">
      <w:pPr>
        <w:pStyle w:val="FootnoteText"/>
      </w:pPr>
      <w:r>
        <w:rPr>
          <w:rStyle w:val="FootnoteReference"/>
        </w:rPr>
        <w:footnoteRef/>
      </w:r>
      <w:r>
        <w:t xml:space="preserve"> Ibid., p. 14. </w:t>
      </w:r>
    </w:p>
  </w:footnote>
  <w:footnote w:id="12">
    <w:p w14:paraId="7C8769B3" w14:textId="77777777" w:rsidR="0095022B" w:rsidRDefault="0095022B">
      <w:pPr>
        <w:pStyle w:val="FootnoteText"/>
      </w:pPr>
      <w:r>
        <w:rPr>
          <w:rStyle w:val="FootnoteReference"/>
        </w:rPr>
        <w:footnoteRef/>
      </w:r>
      <w:r>
        <w:t xml:space="preserve"> Madison, </w:t>
      </w:r>
      <w:r w:rsidR="00EE3350">
        <w:rPr>
          <w:i/>
        </w:rPr>
        <w:t xml:space="preserve">Federalist Number 10, </w:t>
      </w:r>
      <w:r>
        <w:t xml:space="preserve">p. 43. </w:t>
      </w:r>
    </w:p>
  </w:footnote>
  <w:footnote w:id="13">
    <w:p w14:paraId="71EEE1F9" w14:textId="77777777" w:rsidR="0095022B" w:rsidRPr="0095022B" w:rsidRDefault="0095022B">
      <w:pPr>
        <w:pStyle w:val="FootnoteText"/>
      </w:pPr>
      <w:bookmarkStart w:id="2" w:name="_Hlk499374720"/>
      <w:r>
        <w:rPr>
          <w:rStyle w:val="FootnoteReference"/>
        </w:rPr>
        <w:footnoteRef/>
      </w:r>
      <w:r>
        <w:t xml:space="preserve"> </w:t>
      </w:r>
      <w:r w:rsidR="00E27D22">
        <w:t xml:space="preserve">M. </w:t>
      </w:r>
      <w:proofErr w:type="spellStart"/>
      <w:r>
        <w:t>Derthick</w:t>
      </w:r>
      <w:proofErr w:type="spellEnd"/>
      <w:r>
        <w:t>, ‘</w:t>
      </w:r>
      <w:r w:rsidRPr="0095022B">
        <w:t>Congress, The States</w:t>
      </w:r>
      <w:r>
        <w:t xml:space="preserve"> and the supreme court’, in </w:t>
      </w:r>
      <w:r>
        <w:rPr>
          <w:i/>
        </w:rPr>
        <w:t xml:space="preserve">Keeping the Compound Republic: Essays on American Federalism, </w:t>
      </w:r>
      <w:r w:rsidRPr="0095022B">
        <w:t>ed</w:t>
      </w:r>
      <w:r>
        <w:rPr>
          <w:i/>
        </w:rPr>
        <w:t>.</w:t>
      </w:r>
      <w:r>
        <w:t xml:space="preserve"> By Martha </w:t>
      </w:r>
      <w:proofErr w:type="spellStart"/>
      <w:r>
        <w:t>Derthick</w:t>
      </w:r>
      <w:proofErr w:type="spellEnd"/>
      <w:r>
        <w:t xml:space="preserve"> (Washington DC: Brookings Institution</w:t>
      </w:r>
      <w:r w:rsidR="00D8606F">
        <w:t xml:space="preserve"> Press, 2001)</w:t>
      </w:r>
      <w:bookmarkEnd w:id="2"/>
      <w:r w:rsidR="00D8606F">
        <w:t xml:space="preserve">, p. 58. </w:t>
      </w:r>
    </w:p>
  </w:footnote>
  <w:footnote w:id="14">
    <w:p w14:paraId="746007AA" w14:textId="77777777" w:rsidR="0069447E" w:rsidRDefault="0069447E">
      <w:pPr>
        <w:pStyle w:val="FootnoteText"/>
      </w:pPr>
      <w:r>
        <w:rPr>
          <w:rStyle w:val="FootnoteReference"/>
        </w:rPr>
        <w:footnoteRef/>
      </w:r>
      <w:r>
        <w:t xml:space="preserve"> </w:t>
      </w:r>
      <w:r w:rsidR="00EF6934">
        <w:t>Ibid., p.</w:t>
      </w:r>
      <w:r>
        <w:t xml:space="preserve"> 59. </w:t>
      </w:r>
    </w:p>
  </w:footnote>
  <w:footnote w:id="15">
    <w:p w14:paraId="2312E87D" w14:textId="77777777" w:rsidR="00357EC1" w:rsidRDefault="00357EC1">
      <w:pPr>
        <w:pStyle w:val="FootnoteText"/>
      </w:pPr>
      <w:r>
        <w:rPr>
          <w:rStyle w:val="FootnoteReference"/>
        </w:rPr>
        <w:footnoteRef/>
      </w:r>
      <w:r>
        <w:t xml:space="preserve"> Ibid., p.59. </w:t>
      </w:r>
    </w:p>
  </w:footnote>
  <w:footnote w:id="16">
    <w:p w14:paraId="276DD442" w14:textId="77777777" w:rsidR="00357EC1" w:rsidRDefault="00357EC1">
      <w:pPr>
        <w:pStyle w:val="FootnoteText"/>
      </w:pPr>
      <w:r>
        <w:rPr>
          <w:rStyle w:val="FootnoteReference"/>
        </w:rPr>
        <w:footnoteRef/>
      </w:r>
      <w:r>
        <w:t xml:space="preserve"> Madison</w:t>
      </w:r>
      <w:r w:rsidR="00EE3350">
        <w:t xml:space="preserve">, </w:t>
      </w:r>
      <w:r w:rsidR="00EE3350" w:rsidRPr="00EE3350">
        <w:rPr>
          <w:i/>
        </w:rPr>
        <w:t>Federalist Number 10</w:t>
      </w:r>
      <w:r>
        <w:t xml:space="preserve">, p. 44. </w:t>
      </w:r>
    </w:p>
  </w:footnote>
  <w:footnote w:id="17">
    <w:p w14:paraId="3B74C171" w14:textId="77777777" w:rsidR="0069447E" w:rsidRDefault="0069447E">
      <w:pPr>
        <w:pStyle w:val="FootnoteText"/>
      </w:pPr>
      <w:r>
        <w:rPr>
          <w:rStyle w:val="FootnoteReference"/>
        </w:rPr>
        <w:footnoteRef/>
      </w:r>
      <w:r>
        <w:t xml:space="preserve"> </w:t>
      </w:r>
      <w:bookmarkStart w:id="3" w:name="_Hlk498949849"/>
      <w:r w:rsidR="00EF6934">
        <w:t>Hofstadter</w:t>
      </w:r>
      <w:r>
        <w:t>,</w:t>
      </w:r>
      <w:r w:rsidR="00EB5BC8">
        <w:t xml:space="preserve"> </w:t>
      </w:r>
      <w:r w:rsidR="00EB5BC8" w:rsidRPr="00EE3350">
        <w:rPr>
          <w:i/>
        </w:rPr>
        <w:t>Political Tradition</w:t>
      </w:r>
      <w:r w:rsidR="00EB5BC8">
        <w:t>,</w:t>
      </w:r>
      <w:r>
        <w:t xml:space="preserve"> p. </w:t>
      </w:r>
      <w:bookmarkEnd w:id="3"/>
      <w:r>
        <w:t xml:space="preserve">26. </w:t>
      </w:r>
    </w:p>
  </w:footnote>
  <w:footnote w:id="18">
    <w:p w14:paraId="092DE13F" w14:textId="77777777" w:rsidR="0069447E" w:rsidRDefault="0069447E">
      <w:pPr>
        <w:pStyle w:val="FootnoteText"/>
      </w:pPr>
      <w:r>
        <w:rPr>
          <w:rStyle w:val="FootnoteReference"/>
        </w:rPr>
        <w:footnoteRef/>
      </w:r>
      <w:r>
        <w:t xml:space="preserve"> Ibid.,</w:t>
      </w:r>
      <w:r w:rsidRPr="0069447E">
        <w:t xml:space="preserve"> p.</w:t>
      </w:r>
      <w:r>
        <w:t xml:space="preserve"> 27. </w:t>
      </w:r>
    </w:p>
  </w:footnote>
  <w:footnote w:id="19">
    <w:p w14:paraId="4026F585" w14:textId="77777777" w:rsidR="0069447E" w:rsidRDefault="0069447E">
      <w:pPr>
        <w:pStyle w:val="FootnoteText"/>
      </w:pPr>
      <w:r>
        <w:rPr>
          <w:rStyle w:val="FootnoteReference"/>
        </w:rPr>
        <w:footnoteRef/>
      </w:r>
      <w:r>
        <w:t xml:space="preserve"> Ibid., </w:t>
      </w:r>
      <w:r w:rsidRPr="0069447E">
        <w:t>p.</w:t>
      </w:r>
      <w:r>
        <w:t xml:space="preserve"> 27. </w:t>
      </w:r>
    </w:p>
  </w:footnote>
  <w:footnote w:id="20">
    <w:p w14:paraId="31A5BBAB" w14:textId="77777777" w:rsidR="0069447E" w:rsidRDefault="0069447E">
      <w:pPr>
        <w:pStyle w:val="FootnoteText"/>
      </w:pPr>
      <w:r>
        <w:rPr>
          <w:rStyle w:val="FootnoteReference"/>
        </w:rPr>
        <w:footnoteRef/>
      </w:r>
      <w:r>
        <w:t xml:space="preserve"> Ibid.,</w:t>
      </w:r>
      <w:r w:rsidRPr="0069447E">
        <w:t xml:space="preserve"> p.</w:t>
      </w:r>
      <w:r>
        <w:t xml:space="preserve"> 28. </w:t>
      </w:r>
    </w:p>
  </w:footnote>
  <w:footnote w:id="21">
    <w:p w14:paraId="3E1D6C7B" w14:textId="77777777" w:rsidR="0069447E" w:rsidRDefault="0069447E">
      <w:pPr>
        <w:pStyle w:val="FootnoteText"/>
      </w:pPr>
      <w:r>
        <w:rPr>
          <w:rStyle w:val="FootnoteReference"/>
        </w:rPr>
        <w:footnoteRef/>
      </w:r>
      <w:r>
        <w:t xml:space="preserve"> Ibid.,</w:t>
      </w:r>
      <w:r w:rsidRPr="0069447E">
        <w:t xml:space="preserve"> p.</w:t>
      </w:r>
      <w:r>
        <w:t xml:space="preserve"> 26. </w:t>
      </w:r>
    </w:p>
  </w:footnote>
  <w:footnote w:id="22">
    <w:p w14:paraId="09D790F7" w14:textId="77777777" w:rsidR="002A2991" w:rsidRDefault="002A2991">
      <w:pPr>
        <w:pStyle w:val="FootnoteText"/>
      </w:pPr>
      <w:r>
        <w:rPr>
          <w:rStyle w:val="FootnoteReference"/>
        </w:rPr>
        <w:footnoteRef/>
      </w:r>
      <w:r>
        <w:t xml:space="preserve"> </w:t>
      </w:r>
      <w:proofErr w:type="spellStart"/>
      <w:r w:rsidR="00EF6934">
        <w:t>Derthick</w:t>
      </w:r>
      <w:proofErr w:type="spellEnd"/>
      <w:r w:rsidR="00EE3350">
        <w:t xml:space="preserve">, </w:t>
      </w:r>
      <w:r w:rsidR="00EE3350">
        <w:rPr>
          <w:i/>
        </w:rPr>
        <w:t>States and the Supreme Court</w:t>
      </w:r>
      <w:r>
        <w:t xml:space="preserve">, p. 60. </w:t>
      </w:r>
    </w:p>
  </w:footnote>
  <w:footnote w:id="23">
    <w:p w14:paraId="2DE104E3" w14:textId="77777777" w:rsidR="00FE0E36" w:rsidRPr="00FE0E36" w:rsidRDefault="00FE0E36">
      <w:pPr>
        <w:pStyle w:val="FootnoteText"/>
        <w:rPr>
          <w:i/>
        </w:rPr>
      </w:pPr>
      <w:r>
        <w:rPr>
          <w:rStyle w:val="FootnoteReference"/>
        </w:rPr>
        <w:footnoteRef/>
      </w:r>
      <w:r>
        <w:t xml:space="preserve"> Beeman, Richard, </w:t>
      </w:r>
      <w:r>
        <w:rPr>
          <w:i/>
        </w:rPr>
        <w:t>The Penguin Guide to the Unites States Constitution</w:t>
      </w:r>
      <w:r>
        <w:t xml:space="preserve"> (New York: Penguin Group, 2010) p.23.</w:t>
      </w:r>
    </w:p>
  </w:footnote>
  <w:footnote w:id="24">
    <w:p w14:paraId="2C8531F0" w14:textId="77777777" w:rsidR="00FE0E36" w:rsidRDefault="00FE0E36">
      <w:pPr>
        <w:pStyle w:val="FootnoteText"/>
      </w:pPr>
      <w:r>
        <w:rPr>
          <w:rStyle w:val="FootnoteReference"/>
        </w:rPr>
        <w:footnoteRef/>
      </w:r>
      <w:r>
        <w:t xml:space="preserve"> Ibid., p. 25. </w:t>
      </w:r>
    </w:p>
  </w:footnote>
  <w:footnote w:id="25">
    <w:p w14:paraId="0CD983E1" w14:textId="77777777" w:rsidR="00746658" w:rsidRDefault="00746658">
      <w:pPr>
        <w:pStyle w:val="FootnoteText"/>
      </w:pPr>
      <w:r>
        <w:rPr>
          <w:rStyle w:val="FootnoteReference"/>
        </w:rPr>
        <w:footnoteRef/>
      </w:r>
      <w:r>
        <w:t xml:space="preserve"> Ibid., p. 26. </w:t>
      </w:r>
    </w:p>
  </w:footnote>
  <w:footnote w:id="26">
    <w:p w14:paraId="0FA5115A" w14:textId="77777777" w:rsidR="00746658" w:rsidRDefault="00746658">
      <w:pPr>
        <w:pStyle w:val="FootnoteText"/>
      </w:pPr>
      <w:r>
        <w:rPr>
          <w:rStyle w:val="FootnoteReference"/>
        </w:rPr>
        <w:footnoteRef/>
      </w:r>
      <w:r>
        <w:t xml:space="preserve"> </w:t>
      </w:r>
      <w:bookmarkStart w:id="4" w:name="_Hlk499112428"/>
      <w:r w:rsidR="00277917">
        <w:t>Ibid., p. 24</w:t>
      </w:r>
      <w:bookmarkEnd w:id="4"/>
      <w:r w:rsidR="00277917">
        <w:t xml:space="preserve">. </w:t>
      </w:r>
    </w:p>
  </w:footnote>
  <w:footnote w:id="27">
    <w:p w14:paraId="4A976F87" w14:textId="77777777" w:rsidR="00277917" w:rsidRDefault="00277917">
      <w:pPr>
        <w:pStyle w:val="FootnoteText"/>
      </w:pPr>
      <w:r>
        <w:rPr>
          <w:rStyle w:val="FootnoteReference"/>
        </w:rPr>
        <w:footnoteRef/>
      </w:r>
      <w:r>
        <w:t xml:space="preserve"> </w:t>
      </w:r>
      <w:r w:rsidRPr="00277917">
        <w:t>Ibid., p. 24</w:t>
      </w:r>
    </w:p>
  </w:footnote>
  <w:footnote w:id="28">
    <w:p w14:paraId="2E9E72F9" w14:textId="77777777" w:rsidR="00277917" w:rsidRDefault="00277917">
      <w:pPr>
        <w:pStyle w:val="FootnoteText"/>
      </w:pPr>
      <w:r>
        <w:rPr>
          <w:rStyle w:val="FootnoteReference"/>
        </w:rPr>
        <w:footnoteRef/>
      </w:r>
      <w:r>
        <w:t xml:space="preserve"> </w:t>
      </w:r>
      <w:r w:rsidRPr="00277917">
        <w:t>Ibid., p. 24</w:t>
      </w:r>
      <w:r>
        <w:t>.</w:t>
      </w:r>
    </w:p>
  </w:footnote>
  <w:footnote w:id="29">
    <w:p w14:paraId="0FAD87A3" w14:textId="77777777" w:rsidR="00277917" w:rsidRDefault="00277917">
      <w:pPr>
        <w:pStyle w:val="FootnoteText"/>
      </w:pPr>
      <w:r>
        <w:rPr>
          <w:rStyle w:val="FootnoteReference"/>
        </w:rPr>
        <w:footnoteRef/>
      </w:r>
      <w:r>
        <w:t xml:space="preserve"> </w:t>
      </w:r>
      <w:r w:rsidRPr="00277917">
        <w:t>Ibid., p. 2</w:t>
      </w:r>
      <w:r>
        <w:t>5.</w:t>
      </w:r>
    </w:p>
  </w:footnote>
  <w:footnote w:id="30">
    <w:p w14:paraId="0F392F24" w14:textId="77777777" w:rsidR="00277917" w:rsidRDefault="00277917">
      <w:pPr>
        <w:pStyle w:val="FootnoteText"/>
      </w:pPr>
      <w:r>
        <w:rPr>
          <w:rStyle w:val="FootnoteReference"/>
        </w:rPr>
        <w:footnoteRef/>
      </w:r>
      <w:r>
        <w:t xml:space="preserve"> </w:t>
      </w:r>
      <w:r w:rsidRPr="00277917">
        <w:t>Ibid., p. 2</w:t>
      </w:r>
      <w:r>
        <w:t>5.</w:t>
      </w:r>
    </w:p>
  </w:footnote>
  <w:footnote w:id="31">
    <w:p w14:paraId="1FD23107" w14:textId="77777777" w:rsidR="0047150A" w:rsidRDefault="0047150A">
      <w:pPr>
        <w:pStyle w:val="FootnoteText"/>
      </w:pPr>
      <w:r>
        <w:rPr>
          <w:rStyle w:val="FootnoteReference"/>
        </w:rPr>
        <w:footnoteRef/>
      </w:r>
      <w:r w:rsidR="00EF6934">
        <w:t xml:space="preserve"> </w:t>
      </w:r>
      <w:proofErr w:type="spellStart"/>
      <w:r w:rsidR="00EF6934" w:rsidRPr="00EF6934">
        <w:t>Kalyvas</w:t>
      </w:r>
      <w:proofErr w:type="spellEnd"/>
      <w:r w:rsidR="00EF6934">
        <w:t xml:space="preserve"> and</w:t>
      </w:r>
      <w:r w:rsidR="00EF6934" w:rsidRPr="00EF6934">
        <w:t xml:space="preserve"> </w:t>
      </w:r>
      <w:proofErr w:type="spellStart"/>
      <w:r w:rsidR="00EF6934" w:rsidRPr="00EF6934">
        <w:t>Katznelson</w:t>
      </w:r>
      <w:proofErr w:type="spellEnd"/>
      <w:r w:rsidR="00D1097D" w:rsidRPr="00EE3350">
        <w:rPr>
          <w:i/>
        </w:rPr>
        <w:t>, Republic of the Moderns</w:t>
      </w:r>
      <w:r w:rsidR="00FD7BF1">
        <w:t>,</w:t>
      </w:r>
      <w:r>
        <w:t xml:space="preserve"> </w:t>
      </w:r>
      <w:r w:rsidR="00122806">
        <w:t xml:space="preserve">p. 451. </w:t>
      </w:r>
    </w:p>
  </w:footnote>
  <w:footnote w:id="32">
    <w:p w14:paraId="5DAF8ED1" w14:textId="77777777" w:rsidR="00122806" w:rsidRDefault="00122806">
      <w:pPr>
        <w:pStyle w:val="FootnoteText"/>
      </w:pPr>
      <w:r>
        <w:rPr>
          <w:rStyle w:val="FootnoteReference"/>
        </w:rPr>
        <w:footnoteRef/>
      </w:r>
      <w:r>
        <w:t xml:space="preserve"> Ibid., p. 451. </w:t>
      </w:r>
    </w:p>
  </w:footnote>
  <w:footnote w:id="33">
    <w:p w14:paraId="3306C763" w14:textId="77777777" w:rsidR="00122806" w:rsidRDefault="00122806">
      <w:pPr>
        <w:pStyle w:val="FootnoteText"/>
      </w:pPr>
      <w:r>
        <w:rPr>
          <w:rStyle w:val="FootnoteReference"/>
        </w:rPr>
        <w:footnoteRef/>
      </w:r>
      <w:r>
        <w:t xml:space="preserve"> Ibid.</w:t>
      </w:r>
      <w:r w:rsidR="00EF6934">
        <w:t>,</w:t>
      </w:r>
      <w:r>
        <w:t xml:space="preserve"> p. 451.</w:t>
      </w:r>
    </w:p>
  </w:footnote>
  <w:footnote w:id="34">
    <w:p w14:paraId="261BE42D" w14:textId="77777777" w:rsidR="00122806" w:rsidRPr="00EF6934" w:rsidRDefault="00122806">
      <w:pPr>
        <w:pStyle w:val="FootnoteText"/>
      </w:pPr>
      <w:r>
        <w:rPr>
          <w:rStyle w:val="FootnoteReference"/>
        </w:rPr>
        <w:footnoteRef/>
      </w:r>
      <w:r w:rsidR="00EF6934">
        <w:t xml:space="preserve"> Ibid., p. 452. </w:t>
      </w:r>
    </w:p>
  </w:footnote>
  <w:footnote w:id="35">
    <w:p w14:paraId="170D6991" w14:textId="77777777" w:rsidR="00122806" w:rsidRDefault="00122806">
      <w:pPr>
        <w:pStyle w:val="FootnoteText"/>
      </w:pPr>
      <w:r>
        <w:rPr>
          <w:rStyle w:val="FootnoteReference"/>
        </w:rPr>
        <w:footnoteRef/>
      </w:r>
      <w:r>
        <w:t xml:space="preserve"> </w:t>
      </w:r>
      <w:r w:rsidR="00EF6934" w:rsidRPr="00EF6934">
        <w:t>Ibid., p. 452.</w:t>
      </w:r>
    </w:p>
  </w:footnote>
  <w:footnote w:id="36">
    <w:p w14:paraId="7897A3A2" w14:textId="77777777" w:rsidR="00122806" w:rsidRDefault="00122806">
      <w:pPr>
        <w:pStyle w:val="FootnoteText"/>
      </w:pPr>
      <w:r>
        <w:rPr>
          <w:rStyle w:val="FootnoteReference"/>
        </w:rPr>
        <w:footnoteRef/>
      </w:r>
      <w:r>
        <w:t xml:space="preserve"> </w:t>
      </w:r>
      <w:r w:rsidR="0098741F">
        <w:t>Beeman,</w:t>
      </w:r>
      <w:r w:rsidR="00D1097D">
        <w:t xml:space="preserve"> </w:t>
      </w:r>
      <w:r w:rsidR="00D1097D" w:rsidRPr="00EE3350">
        <w:rPr>
          <w:i/>
        </w:rPr>
        <w:t>United Sates Constitution</w:t>
      </w:r>
      <w:r w:rsidR="00EE3350">
        <w:rPr>
          <w:i/>
        </w:rPr>
        <w:t>,</w:t>
      </w:r>
      <w:r w:rsidR="0098741F">
        <w:t xml:space="preserve"> p. 27. </w:t>
      </w:r>
    </w:p>
  </w:footnote>
  <w:footnote w:id="37">
    <w:p w14:paraId="6C6D7463" w14:textId="77777777" w:rsidR="00EF6934" w:rsidRDefault="00EF6934">
      <w:pPr>
        <w:pStyle w:val="FootnoteText"/>
      </w:pPr>
      <w:r>
        <w:rPr>
          <w:rStyle w:val="FootnoteReference"/>
        </w:rPr>
        <w:footnoteRef/>
      </w:r>
      <w:r>
        <w:t xml:space="preserve"> </w:t>
      </w:r>
      <w:r w:rsidR="0098741F">
        <w:t xml:space="preserve">Ibid., p.27. </w:t>
      </w:r>
    </w:p>
  </w:footnote>
  <w:footnote w:id="38">
    <w:p w14:paraId="3E16E197" w14:textId="77777777" w:rsidR="0098741F" w:rsidRDefault="0098741F">
      <w:pPr>
        <w:pStyle w:val="FootnoteText"/>
      </w:pPr>
      <w:r>
        <w:rPr>
          <w:rStyle w:val="FootnoteReference"/>
        </w:rPr>
        <w:footnoteRef/>
      </w:r>
      <w:r>
        <w:t xml:space="preserve"> </w:t>
      </w:r>
      <w:r w:rsidRPr="0098741F">
        <w:t>J</w:t>
      </w:r>
      <w:r>
        <w:t>. F.</w:t>
      </w:r>
      <w:r w:rsidRPr="0098741F">
        <w:t xml:space="preserve"> </w:t>
      </w:r>
      <w:proofErr w:type="spellStart"/>
      <w:r w:rsidRPr="0098741F">
        <w:t>Kobylka</w:t>
      </w:r>
      <w:proofErr w:type="spellEnd"/>
      <w:r w:rsidRPr="0098741F">
        <w:t xml:space="preserve"> and </w:t>
      </w:r>
      <w:r>
        <w:t xml:space="preserve">B. </w:t>
      </w:r>
      <w:r w:rsidRPr="0098741F">
        <w:t>Carter</w:t>
      </w:r>
      <w:r>
        <w:t>, ‘</w:t>
      </w:r>
      <w:r w:rsidRPr="0098741F">
        <w:t>"The Federalist", &amp; the Constitutional Order: Human Nature &amp; Institutional Structure</w:t>
      </w:r>
      <w:r w:rsidR="00E27D22">
        <w:t xml:space="preserve">’, </w:t>
      </w:r>
      <w:r w:rsidR="00E27D22" w:rsidRPr="00EE3350">
        <w:rPr>
          <w:i/>
        </w:rPr>
        <w:t>Polity, Vol. 20, No. 2</w:t>
      </w:r>
      <w:r w:rsidR="00E27D22" w:rsidRPr="00E27D22">
        <w:t xml:space="preserve"> </w:t>
      </w:r>
      <w:r w:rsidR="00EE3350">
        <w:t>(</w:t>
      </w:r>
      <w:r w:rsidR="00E27D22" w:rsidRPr="00E27D22">
        <w:t>1987), pp. 190-20</w:t>
      </w:r>
      <w:r w:rsidR="00E27D22">
        <w:t xml:space="preserve">8, p. 195. </w:t>
      </w:r>
    </w:p>
  </w:footnote>
  <w:footnote w:id="39">
    <w:p w14:paraId="0ED93FCA" w14:textId="77777777" w:rsidR="00E27D22" w:rsidRDefault="00E27D22">
      <w:pPr>
        <w:pStyle w:val="FootnoteText"/>
      </w:pPr>
      <w:r>
        <w:rPr>
          <w:rStyle w:val="FootnoteReference"/>
        </w:rPr>
        <w:footnoteRef/>
      </w:r>
      <w:r>
        <w:t xml:space="preserve"> Ibid., p. 196. </w:t>
      </w:r>
    </w:p>
  </w:footnote>
  <w:footnote w:id="40">
    <w:p w14:paraId="3F70EB5E" w14:textId="77777777" w:rsidR="00C70981" w:rsidRDefault="00C70981">
      <w:pPr>
        <w:pStyle w:val="FootnoteText"/>
      </w:pPr>
      <w:r>
        <w:rPr>
          <w:rStyle w:val="FootnoteReference"/>
        </w:rPr>
        <w:footnoteRef/>
      </w:r>
      <w:r>
        <w:t xml:space="preserve"> </w:t>
      </w:r>
      <w:proofErr w:type="spellStart"/>
      <w:r>
        <w:t>Breeman</w:t>
      </w:r>
      <w:proofErr w:type="spellEnd"/>
      <w:r>
        <w:t>,</w:t>
      </w:r>
      <w:r w:rsidR="00D1097D">
        <w:t xml:space="preserve"> </w:t>
      </w:r>
      <w:r w:rsidR="00D1097D" w:rsidRPr="00EE3350">
        <w:rPr>
          <w:i/>
        </w:rPr>
        <w:t>United States Constitution</w:t>
      </w:r>
      <w:r>
        <w:t xml:space="preserve"> p. 25.</w:t>
      </w:r>
      <w:r w:rsidR="00D1097D">
        <w:t xml:space="preserve"> </w:t>
      </w:r>
      <w:r>
        <w:t xml:space="preserve"> </w:t>
      </w:r>
    </w:p>
  </w:footnote>
  <w:footnote w:id="41">
    <w:p w14:paraId="6A025DD2" w14:textId="77777777" w:rsidR="00C70981" w:rsidRDefault="00C70981">
      <w:pPr>
        <w:pStyle w:val="FootnoteText"/>
      </w:pPr>
      <w:r>
        <w:rPr>
          <w:rStyle w:val="FootnoteReference"/>
        </w:rPr>
        <w:footnoteRef/>
      </w:r>
      <w:r>
        <w:t xml:space="preserve"> Ibid., p. 25. </w:t>
      </w:r>
    </w:p>
  </w:footnote>
  <w:footnote w:id="42">
    <w:p w14:paraId="77D637F9" w14:textId="77777777" w:rsidR="00C70981" w:rsidRDefault="00C70981">
      <w:pPr>
        <w:pStyle w:val="FootnoteText"/>
      </w:pPr>
      <w:r>
        <w:rPr>
          <w:rStyle w:val="FootnoteReference"/>
        </w:rPr>
        <w:footnoteRef/>
      </w:r>
      <w:r>
        <w:t xml:space="preserve"> Ibid., p. 25. </w:t>
      </w:r>
    </w:p>
  </w:footnote>
  <w:footnote w:id="43">
    <w:p w14:paraId="702E40DE" w14:textId="77777777" w:rsidR="00C70981" w:rsidRDefault="00C70981">
      <w:pPr>
        <w:pStyle w:val="FootnoteText"/>
      </w:pPr>
      <w:r>
        <w:rPr>
          <w:rStyle w:val="FootnoteReference"/>
        </w:rPr>
        <w:footnoteRef/>
      </w:r>
      <w:r>
        <w:t xml:space="preserve"> J. Madison. Or J. Jay. ‘Federalist 52’, in </w:t>
      </w:r>
      <w:r w:rsidRPr="00EE3350">
        <w:rPr>
          <w:i/>
        </w:rPr>
        <w:t>The Federalist Papers: A collection of Essays written in favour of the New Constitution as agreed upon by the Federal Convention September 17, 1787</w:t>
      </w:r>
      <w:r w:rsidRPr="00C70981">
        <w:t xml:space="preserve">, ed. by Alexander Hamilton, James Madison, and John Jay (Dublin: Coventry House Publishing, 2015), p. </w:t>
      </w:r>
      <w:r>
        <w:t>259.</w:t>
      </w:r>
    </w:p>
  </w:footnote>
  <w:footnote w:id="44">
    <w:p w14:paraId="397B76C4" w14:textId="77777777" w:rsidR="00C70981" w:rsidRDefault="00C70981">
      <w:pPr>
        <w:pStyle w:val="FootnoteText"/>
      </w:pPr>
      <w:r>
        <w:rPr>
          <w:rStyle w:val="FootnoteReference"/>
        </w:rPr>
        <w:footnoteRef/>
      </w:r>
      <w:r>
        <w:t xml:space="preserve"> Ibid., p. 259. </w:t>
      </w:r>
    </w:p>
  </w:footnote>
  <w:footnote w:id="45">
    <w:p w14:paraId="50880941" w14:textId="77777777" w:rsidR="007711C9" w:rsidRDefault="007711C9">
      <w:pPr>
        <w:pStyle w:val="FootnoteText"/>
      </w:pPr>
      <w:r>
        <w:rPr>
          <w:rStyle w:val="FootnoteReference"/>
        </w:rPr>
        <w:footnoteRef/>
      </w:r>
      <w:r>
        <w:t xml:space="preserve"> </w:t>
      </w:r>
      <w:r w:rsidRPr="007711C9">
        <w:t>Ibid., p. 259</w:t>
      </w:r>
    </w:p>
  </w:footnote>
  <w:footnote w:id="46">
    <w:p w14:paraId="0DD7EA78" w14:textId="77777777" w:rsidR="007711C9" w:rsidRDefault="007711C9">
      <w:pPr>
        <w:pStyle w:val="FootnoteText"/>
      </w:pPr>
      <w:r>
        <w:rPr>
          <w:rStyle w:val="FootnoteReference"/>
        </w:rPr>
        <w:footnoteRef/>
      </w:r>
      <w:r>
        <w:t xml:space="preserve"> </w:t>
      </w:r>
      <w:proofErr w:type="spellStart"/>
      <w:r>
        <w:t>Breeman</w:t>
      </w:r>
      <w:proofErr w:type="spellEnd"/>
      <w:r>
        <w:t>,</w:t>
      </w:r>
      <w:r w:rsidR="00D1097D">
        <w:t xml:space="preserve"> </w:t>
      </w:r>
      <w:r w:rsidR="00D1097D" w:rsidRPr="00EE3350">
        <w:rPr>
          <w:i/>
        </w:rPr>
        <w:t>United States Constitution</w:t>
      </w:r>
      <w:r w:rsidR="00D1097D">
        <w:t xml:space="preserve">, </w:t>
      </w:r>
      <w:r>
        <w:t xml:space="preserve">p. 22. </w:t>
      </w:r>
    </w:p>
  </w:footnote>
  <w:footnote w:id="47">
    <w:p w14:paraId="2F4AA7A1" w14:textId="77777777" w:rsidR="007711C9" w:rsidRDefault="007711C9">
      <w:pPr>
        <w:pStyle w:val="FootnoteText"/>
      </w:pPr>
      <w:r>
        <w:rPr>
          <w:rStyle w:val="FootnoteReference"/>
        </w:rPr>
        <w:footnoteRef/>
      </w:r>
      <w:r>
        <w:t xml:space="preserve"> </w:t>
      </w:r>
      <w:bookmarkStart w:id="5" w:name="_Hlk499199579"/>
      <w:r>
        <w:t xml:space="preserve">Ibid., p. 22. </w:t>
      </w:r>
      <w:bookmarkEnd w:id="5"/>
    </w:p>
  </w:footnote>
  <w:footnote w:id="48">
    <w:p w14:paraId="5E0DA181" w14:textId="77777777" w:rsidR="007711C9" w:rsidRDefault="007711C9">
      <w:pPr>
        <w:pStyle w:val="FootnoteText"/>
      </w:pPr>
      <w:r>
        <w:rPr>
          <w:rStyle w:val="FootnoteReference"/>
        </w:rPr>
        <w:footnoteRef/>
      </w:r>
      <w:r>
        <w:t xml:space="preserve"> </w:t>
      </w:r>
      <w:r w:rsidRPr="007711C9">
        <w:t>Ibid., p. 22.</w:t>
      </w:r>
      <w:r>
        <w:t xml:space="preserve"> </w:t>
      </w:r>
    </w:p>
  </w:footnote>
  <w:footnote w:id="49">
    <w:p w14:paraId="4BF9BFC8" w14:textId="77777777" w:rsidR="007711C9" w:rsidRDefault="007711C9">
      <w:pPr>
        <w:pStyle w:val="FootnoteText"/>
      </w:pPr>
      <w:r>
        <w:rPr>
          <w:rStyle w:val="FootnoteReference"/>
        </w:rPr>
        <w:footnoteRef/>
      </w:r>
      <w:r>
        <w:t xml:space="preserve"> </w:t>
      </w:r>
      <w:r w:rsidRPr="007711C9">
        <w:t>Ibid., p. 2</w:t>
      </w:r>
      <w:r>
        <w:t>3.</w:t>
      </w:r>
    </w:p>
  </w:footnote>
  <w:footnote w:id="50">
    <w:p w14:paraId="473F4767" w14:textId="77777777" w:rsidR="007711C9" w:rsidRDefault="007711C9">
      <w:pPr>
        <w:pStyle w:val="FootnoteText"/>
      </w:pPr>
      <w:r>
        <w:rPr>
          <w:rStyle w:val="FootnoteReference"/>
        </w:rPr>
        <w:footnoteRef/>
      </w:r>
      <w:r>
        <w:t xml:space="preserve"> Hofstadter,</w:t>
      </w:r>
      <w:r w:rsidR="00D1097D">
        <w:t xml:space="preserve"> </w:t>
      </w:r>
      <w:r w:rsidR="00D1097D" w:rsidRPr="00EE3350">
        <w:rPr>
          <w:i/>
        </w:rPr>
        <w:t>Political Tradition</w:t>
      </w:r>
      <w:r w:rsidR="00D1097D">
        <w:t>,</w:t>
      </w:r>
      <w:r>
        <w:t xml:space="preserve"> p.</w:t>
      </w:r>
      <w:r w:rsidR="00F029DA">
        <w:t xml:space="preserve">10. </w:t>
      </w:r>
    </w:p>
  </w:footnote>
  <w:footnote w:id="51">
    <w:p w14:paraId="61A31BE6" w14:textId="77777777" w:rsidR="00DA2307" w:rsidRDefault="00DA2307">
      <w:pPr>
        <w:pStyle w:val="FootnoteText"/>
      </w:pPr>
      <w:r>
        <w:rPr>
          <w:rStyle w:val="FootnoteReference"/>
        </w:rPr>
        <w:footnoteRef/>
      </w:r>
      <w:r>
        <w:t xml:space="preserve"> </w:t>
      </w:r>
      <w:proofErr w:type="spellStart"/>
      <w:r w:rsidR="00D1097D">
        <w:t>Breeman</w:t>
      </w:r>
      <w:proofErr w:type="spellEnd"/>
      <w:r w:rsidR="00D1097D">
        <w:t xml:space="preserve">, </w:t>
      </w:r>
      <w:r w:rsidR="00D1097D" w:rsidRPr="00EE3350">
        <w:rPr>
          <w:i/>
        </w:rPr>
        <w:t>US Constitution</w:t>
      </w:r>
      <w:r w:rsidR="00D1097D">
        <w:t xml:space="preserve"> </w:t>
      </w:r>
      <w:r>
        <w:t xml:space="preserve">p. 42. </w:t>
      </w:r>
    </w:p>
  </w:footnote>
  <w:footnote w:id="52">
    <w:p w14:paraId="49722C75" w14:textId="77777777" w:rsidR="00DA2307" w:rsidRDefault="00DA2307">
      <w:pPr>
        <w:pStyle w:val="FootnoteText"/>
      </w:pPr>
      <w:r>
        <w:rPr>
          <w:rStyle w:val="FootnoteReference"/>
        </w:rPr>
        <w:footnoteRef/>
      </w:r>
      <w:r>
        <w:t xml:space="preserve"> Ibid., p. 43. </w:t>
      </w:r>
    </w:p>
  </w:footnote>
  <w:footnote w:id="53">
    <w:p w14:paraId="3C205F8B" w14:textId="77777777" w:rsidR="00DA2307" w:rsidRDefault="00DA2307">
      <w:pPr>
        <w:pStyle w:val="FootnoteText"/>
      </w:pPr>
      <w:r>
        <w:rPr>
          <w:rStyle w:val="FootnoteReference"/>
        </w:rPr>
        <w:footnoteRef/>
      </w:r>
      <w:r>
        <w:t xml:space="preserve"> </w:t>
      </w:r>
      <w:proofErr w:type="spellStart"/>
      <w:r>
        <w:t>Derthick</w:t>
      </w:r>
      <w:proofErr w:type="spellEnd"/>
      <w:r>
        <w:t>,</w:t>
      </w:r>
      <w:r w:rsidR="00D1097D">
        <w:t xml:space="preserve"> </w:t>
      </w:r>
      <w:r w:rsidR="00D1097D" w:rsidRPr="00EE3350">
        <w:rPr>
          <w:i/>
        </w:rPr>
        <w:t>The states and the supreme court</w:t>
      </w:r>
      <w:r w:rsidR="00EE3350">
        <w:rPr>
          <w:i/>
        </w:rPr>
        <w:t>,</w:t>
      </w:r>
      <w:r>
        <w:t xml:space="preserve"> p. 59. </w:t>
      </w:r>
    </w:p>
  </w:footnote>
  <w:footnote w:id="54">
    <w:p w14:paraId="40FE2592" w14:textId="77777777" w:rsidR="00DA2307" w:rsidRDefault="00DA2307">
      <w:pPr>
        <w:pStyle w:val="FootnoteText"/>
      </w:pPr>
      <w:r>
        <w:rPr>
          <w:rStyle w:val="FootnoteReference"/>
        </w:rPr>
        <w:footnoteRef/>
      </w:r>
      <w:r>
        <w:t xml:space="preserve"> Ibid, p. </w:t>
      </w:r>
      <w:r w:rsidR="0066213C">
        <w:t>60</w:t>
      </w:r>
      <w:r>
        <w:t xml:space="preserve">. </w:t>
      </w:r>
    </w:p>
  </w:footnote>
  <w:footnote w:id="55">
    <w:p w14:paraId="70F43637" w14:textId="77777777" w:rsidR="0066213C" w:rsidRDefault="0066213C">
      <w:pPr>
        <w:pStyle w:val="FootnoteText"/>
      </w:pPr>
      <w:r>
        <w:rPr>
          <w:rStyle w:val="FootnoteReference"/>
        </w:rPr>
        <w:footnoteRef/>
      </w:r>
      <w:r>
        <w:t xml:space="preserve"> </w:t>
      </w:r>
      <w:proofErr w:type="spellStart"/>
      <w:r>
        <w:t>Breeman</w:t>
      </w:r>
      <w:proofErr w:type="spellEnd"/>
      <w:r>
        <w:t>,</w:t>
      </w:r>
      <w:r w:rsidR="00D1097D">
        <w:t xml:space="preserve"> </w:t>
      </w:r>
      <w:r w:rsidR="00D1097D" w:rsidRPr="00EE3350">
        <w:rPr>
          <w:i/>
        </w:rPr>
        <w:t>United States Constitution</w:t>
      </w:r>
      <w:r w:rsidR="00D1097D">
        <w:t>,</w:t>
      </w:r>
      <w:r>
        <w:t xml:space="preserve"> p. 53. </w:t>
      </w:r>
    </w:p>
  </w:footnote>
  <w:footnote w:id="56">
    <w:p w14:paraId="63D0D690" w14:textId="77777777" w:rsidR="0066213C" w:rsidRDefault="0066213C">
      <w:pPr>
        <w:pStyle w:val="FootnoteText"/>
      </w:pPr>
      <w:r>
        <w:rPr>
          <w:rStyle w:val="FootnoteReference"/>
        </w:rPr>
        <w:footnoteRef/>
      </w:r>
      <w:r>
        <w:t xml:space="preserve"> Ibid, p, 20.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M1NDc0MjC3sDSyNDRS0lEKTi0uzszPAykwqgUAMhoIXywAAAA="/>
  </w:docVars>
  <w:rsids>
    <w:rsidRoot w:val="0060108B"/>
    <w:rsid w:val="00022F5D"/>
    <w:rsid w:val="000764AD"/>
    <w:rsid w:val="000C1F25"/>
    <w:rsid w:val="000D34C2"/>
    <w:rsid w:val="00122806"/>
    <w:rsid w:val="00123C22"/>
    <w:rsid w:val="00277917"/>
    <w:rsid w:val="002A2991"/>
    <w:rsid w:val="00306980"/>
    <w:rsid w:val="00326348"/>
    <w:rsid w:val="00357EC1"/>
    <w:rsid w:val="00375CEB"/>
    <w:rsid w:val="00382FA2"/>
    <w:rsid w:val="003E0E42"/>
    <w:rsid w:val="0047150A"/>
    <w:rsid w:val="004869F6"/>
    <w:rsid w:val="004F0F33"/>
    <w:rsid w:val="005A336B"/>
    <w:rsid w:val="005E1570"/>
    <w:rsid w:val="005E56B8"/>
    <w:rsid w:val="0060108B"/>
    <w:rsid w:val="0063163A"/>
    <w:rsid w:val="0064587C"/>
    <w:rsid w:val="00660AAE"/>
    <w:rsid w:val="0066213C"/>
    <w:rsid w:val="0069447E"/>
    <w:rsid w:val="006F31EC"/>
    <w:rsid w:val="0070350D"/>
    <w:rsid w:val="007131B1"/>
    <w:rsid w:val="00741EEC"/>
    <w:rsid w:val="00746658"/>
    <w:rsid w:val="007611CB"/>
    <w:rsid w:val="007711C9"/>
    <w:rsid w:val="00802209"/>
    <w:rsid w:val="0088237C"/>
    <w:rsid w:val="008D32B1"/>
    <w:rsid w:val="008F166A"/>
    <w:rsid w:val="00910F03"/>
    <w:rsid w:val="0095022B"/>
    <w:rsid w:val="00981F90"/>
    <w:rsid w:val="0098741F"/>
    <w:rsid w:val="00A17704"/>
    <w:rsid w:val="00AB793B"/>
    <w:rsid w:val="00AD1134"/>
    <w:rsid w:val="00B23590"/>
    <w:rsid w:val="00B33343"/>
    <w:rsid w:val="00B8192C"/>
    <w:rsid w:val="00B85E0B"/>
    <w:rsid w:val="00C01BEB"/>
    <w:rsid w:val="00C70981"/>
    <w:rsid w:val="00C72EBD"/>
    <w:rsid w:val="00D1097D"/>
    <w:rsid w:val="00D243FF"/>
    <w:rsid w:val="00D8606F"/>
    <w:rsid w:val="00DA2307"/>
    <w:rsid w:val="00E27D22"/>
    <w:rsid w:val="00EB5BC8"/>
    <w:rsid w:val="00EE3350"/>
    <w:rsid w:val="00EF6934"/>
    <w:rsid w:val="00F029DA"/>
    <w:rsid w:val="00FA2AE7"/>
    <w:rsid w:val="00FD7BF1"/>
    <w:rsid w:val="00FD7F50"/>
    <w:rsid w:val="00FE0E36"/>
    <w:rsid w:val="00FE7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66B689"/>
  <w15:docId w15:val="{5EE29DE5-7EB4-4166-BD6C-EACEE8D54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F166A"/>
    <w:pPr>
      <w:spacing w:after="0"/>
    </w:pPr>
    <w:rPr>
      <w:sz w:val="20"/>
      <w:szCs w:val="20"/>
    </w:rPr>
  </w:style>
  <w:style w:type="character" w:customStyle="1" w:styleId="FootnoteTextChar">
    <w:name w:val="Footnote Text Char"/>
    <w:basedOn w:val="DefaultParagraphFont"/>
    <w:link w:val="FootnoteText"/>
    <w:uiPriority w:val="99"/>
    <w:semiHidden/>
    <w:rsid w:val="008F166A"/>
    <w:rPr>
      <w:sz w:val="20"/>
      <w:szCs w:val="20"/>
    </w:rPr>
  </w:style>
  <w:style w:type="character" w:styleId="FootnoteReference">
    <w:name w:val="footnote reference"/>
    <w:basedOn w:val="DefaultParagraphFont"/>
    <w:uiPriority w:val="99"/>
    <w:semiHidden/>
    <w:unhideWhenUsed/>
    <w:rsid w:val="008F166A"/>
    <w:rPr>
      <w:vertAlign w:val="superscript"/>
    </w:rPr>
  </w:style>
  <w:style w:type="character" w:styleId="CommentReference">
    <w:name w:val="annotation reference"/>
    <w:basedOn w:val="DefaultParagraphFont"/>
    <w:uiPriority w:val="99"/>
    <w:semiHidden/>
    <w:unhideWhenUsed/>
    <w:rsid w:val="005A336B"/>
    <w:rPr>
      <w:sz w:val="16"/>
      <w:szCs w:val="16"/>
    </w:rPr>
  </w:style>
  <w:style w:type="paragraph" w:styleId="CommentText">
    <w:name w:val="annotation text"/>
    <w:basedOn w:val="Normal"/>
    <w:link w:val="CommentTextChar"/>
    <w:uiPriority w:val="99"/>
    <w:semiHidden/>
    <w:unhideWhenUsed/>
    <w:rsid w:val="005A336B"/>
    <w:rPr>
      <w:sz w:val="20"/>
      <w:szCs w:val="20"/>
    </w:rPr>
  </w:style>
  <w:style w:type="character" w:customStyle="1" w:styleId="CommentTextChar">
    <w:name w:val="Comment Text Char"/>
    <w:basedOn w:val="DefaultParagraphFont"/>
    <w:link w:val="CommentText"/>
    <w:uiPriority w:val="99"/>
    <w:semiHidden/>
    <w:rsid w:val="005A336B"/>
    <w:rPr>
      <w:sz w:val="20"/>
      <w:szCs w:val="20"/>
    </w:rPr>
  </w:style>
  <w:style w:type="paragraph" w:styleId="CommentSubject">
    <w:name w:val="annotation subject"/>
    <w:basedOn w:val="CommentText"/>
    <w:next w:val="CommentText"/>
    <w:link w:val="CommentSubjectChar"/>
    <w:uiPriority w:val="99"/>
    <w:semiHidden/>
    <w:unhideWhenUsed/>
    <w:rsid w:val="005A336B"/>
    <w:rPr>
      <w:b/>
      <w:bCs/>
    </w:rPr>
  </w:style>
  <w:style w:type="character" w:customStyle="1" w:styleId="CommentSubjectChar">
    <w:name w:val="Comment Subject Char"/>
    <w:basedOn w:val="CommentTextChar"/>
    <w:link w:val="CommentSubject"/>
    <w:uiPriority w:val="99"/>
    <w:semiHidden/>
    <w:rsid w:val="005A336B"/>
    <w:rPr>
      <w:b/>
      <w:bCs/>
      <w:sz w:val="20"/>
      <w:szCs w:val="20"/>
    </w:rPr>
  </w:style>
  <w:style w:type="paragraph" w:styleId="BalloonText">
    <w:name w:val="Balloon Text"/>
    <w:basedOn w:val="Normal"/>
    <w:link w:val="BalloonTextChar"/>
    <w:uiPriority w:val="99"/>
    <w:semiHidden/>
    <w:unhideWhenUsed/>
    <w:rsid w:val="005A336B"/>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336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242A5-4828-4738-801D-1AC7582D8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2494</Words>
  <Characters>14218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gilson-gant</dc:creator>
  <dc:description/>
  <cp:lastModifiedBy>Henry Gillson-Gant</cp:lastModifiedBy>
  <cp:revision>2</cp:revision>
  <dcterms:created xsi:type="dcterms:W3CDTF">2017-11-30T18:17:00Z</dcterms:created>
  <dcterms:modified xsi:type="dcterms:W3CDTF">2017-11-30T18:17:00Z</dcterms:modified>
</cp:coreProperties>
</file>