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b/>
          <w:bCs/>
          <w:kern w:val="2"/>
          <w:sz w:val="24"/>
          <w:szCs w:val="24"/>
          <w:lang w:val="en-GB" w:eastAsia="zh-CN"/>
          <w14:ligatures w14:val="standardContextual"/>
        </w:rPr>
        <w:id w:val="-1648508847"/>
        <w:docPartObj>
          <w:docPartGallery w:val="Cover Pages"/>
          <w:docPartUnique/>
        </w:docPartObj>
      </w:sdtPr>
      <w:sdtContent>
        <w:p w14:paraId="12C00357" w14:textId="77777777" w:rsidR="004A73F8" w:rsidRPr="00964F9B" w:rsidRDefault="004A73F8" w:rsidP="004A73F8">
          <w:pPr>
            <w:pStyle w:val="NoSpacing"/>
            <w:rPr>
              <w:rFonts w:ascii="Times New Roman" w:hAnsi="Times New Roman" w:cs="Times New Roman"/>
              <w:b/>
              <w:bCs/>
              <w:sz w:val="24"/>
              <w:szCs w:val="24"/>
            </w:rPr>
          </w:pPr>
          <w:r w:rsidRPr="00964F9B">
            <w:rPr>
              <w:rFonts w:ascii="Times New Roman" w:hAnsi="Times New Roman" w:cs="Times New Roman"/>
              <w:b/>
              <w:bCs/>
              <w:noProof/>
              <w:sz w:val="24"/>
              <w:szCs w:val="24"/>
            </w:rPr>
            <mc:AlternateContent>
              <mc:Choice Requires="wpg">
                <w:drawing>
                  <wp:anchor distT="0" distB="0" distL="114300" distR="114300" simplePos="0" relativeHeight="251634176" behindDoc="1" locked="0" layoutInCell="1" allowOverlap="1" wp14:anchorId="00A71651" wp14:editId="250FDF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0BFBEB19" w14:textId="77777777" w:rsidR="004A73F8" w:rsidRDefault="004A73F8" w:rsidP="004A73F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0A71651" id="Group 26" o:spid="_x0000_s1026" style="position:absolute;margin-left:0;margin-top:0;width:172.8pt;height:718.55pt;z-index:-25168230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0BFBEB19" w14:textId="77777777" w:rsidR="004A73F8" w:rsidRDefault="004A73F8" w:rsidP="004A73F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B4CE982" w14:textId="77777777" w:rsidR="004A73F8" w:rsidRPr="00E271B4" w:rsidRDefault="004A73F8" w:rsidP="004A73F8">
          <w:pPr>
            <w:rPr>
              <w:rFonts w:ascii="Times New Roman" w:hAnsi="Times New Roman" w:cs="Times New Roman"/>
              <w:b/>
              <w:bCs/>
            </w:rPr>
          </w:pPr>
          <w:r w:rsidRPr="00964F9B">
            <w:rPr>
              <w:rFonts w:ascii="Times New Roman" w:hAnsi="Times New Roman" w:cs="Times New Roman"/>
              <w:b/>
              <w:bCs/>
              <w:noProof/>
            </w:rPr>
            <mc:AlternateContent>
              <mc:Choice Requires="wps">
                <w:drawing>
                  <wp:anchor distT="45720" distB="45720" distL="114300" distR="114300" simplePos="0" relativeHeight="251637248" behindDoc="0" locked="0" layoutInCell="1" allowOverlap="1" wp14:anchorId="6CEE6200" wp14:editId="10328DE1">
                    <wp:simplePos x="0" y="0"/>
                    <wp:positionH relativeFrom="column">
                      <wp:posOffset>1927860</wp:posOffset>
                    </wp:positionH>
                    <wp:positionV relativeFrom="paragraph">
                      <wp:posOffset>1882140</wp:posOffset>
                    </wp:positionV>
                    <wp:extent cx="3556000" cy="2110740"/>
                    <wp:effectExtent l="0" t="0" r="254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110740"/>
                            </a:xfrm>
                            <a:prstGeom prst="rect">
                              <a:avLst/>
                            </a:prstGeom>
                            <a:solidFill>
                              <a:srgbClr val="FFFFFF"/>
                            </a:solidFill>
                            <a:ln w="9525">
                              <a:solidFill>
                                <a:srgbClr val="000000"/>
                              </a:solidFill>
                              <a:miter lim="800000"/>
                              <a:headEnd/>
                              <a:tailEnd/>
                            </a:ln>
                          </wps:spPr>
                          <wps:txbx>
                            <w:txbxContent>
                              <w:p w14:paraId="0B7F9686" w14:textId="7468974A" w:rsidR="004A73F8" w:rsidRPr="004A73F8" w:rsidRDefault="004A73F8" w:rsidP="004A73F8">
                                <w:pPr>
                                  <w:rPr>
                                    <w:rFonts w:ascii="Times New Roman" w:hAnsi="Times New Roman" w:cs="Times New Roman"/>
                                  </w:rPr>
                                </w:pPr>
                                <w:r w:rsidRPr="00964F9B">
                                  <w:rPr>
                                    <w:rFonts w:ascii="Times New Roman" w:hAnsi="Times New Roman" w:cs="Times New Roman"/>
                                  </w:rPr>
                                  <w:t>Module Name</w:t>
                                </w:r>
                                <w:r w:rsidRPr="004A73F8">
                                  <w:rPr>
                                    <w:rFonts w:ascii="Segoe UI" w:eastAsia="Times New Roman" w:hAnsi="Segoe UI" w:cs="Segoe UI"/>
                                    <w:b/>
                                    <w:bCs/>
                                    <w:color w:val="FFFFFF"/>
                                    <w:kern w:val="36"/>
                                    <w:sz w:val="48"/>
                                    <w:szCs w:val="48"/>
                                    <w:lang w:eastAsia="en-GB"/>
                                    <w14:ligatures w14:val="none"/>
                                  </w:rPr>
                                  <w:t xml:space="preserve"> </w:t>
                                </w:r>
                                <w:r w:rsidRPr="004A73F8">
                                  <w:rPr>
                                    <w:rFonts w:ascii="Times New Roman" w:hAnsi="Times New Roman" w:cs="Times New Roman"/>
                                  </w:rPr>
                                  <w:t>Network and Cybersecurity Essentials</w:t>
                                </w:r>
                              </w:p>
                              <w:p w14:paraId="7AFDA6C1" w14:textId="3BBF3C7F" w:rsidR="004A73F8" w:rsidRPr="00E271B4" w:rsidRDefault="004A73F8" w:rsidP="004A73F8">
                                <w:pPr>
                                  <w:rPr>
                                    <w:rFonts w:ascii="Times New Roman" w:hAnsi="Times New Roman" w:cs="Times New Roman"/>
                                    <w:b/>
                                    <w:bCs/>
                                  </w:rPr>
                                </w:pPr>
                                <w:r w:rsidRPr="00964F9B">
                                  <w:rPr>
                                    <w:rFonts w:ascii="Times New Roman" w:hAnsi="Times New Roman" w:cs="Times New Roman"/>
                                  </w:rPr>
                                  <w:t xml:space="preserve">Module Code: </w:t>
                                </w:r>
                                <w:r w:rsidRPr="004A73F8">
                                  <w:rPr>
                                    <w:rFonts w:ascii="Times New Roman" w:hAnsi="Times New Roman" w:cs="Times New Roman"/>
                                    <w:b/>
                                    <w:bCs/>
                                  </w:rPr>
                                  <w:t>(</w:t>
                                </w:r>
                                <w:r w:rsidRPr="004A73F8">
                                  <w:rPr>
                                    <w:rFonts w:ascii="Times New Roman" w:hAnsi="Times New Roman" w:cs="Times New Roman"/>
                                  </w:rPr>
                                  <w:t>ACCA4024_LON)</w:t>
                                </w:r>
                              </w:p>
                              <w:p w14:paraId="6FF323C2" w14:textId="77777777" w:rsidR="004A73F8" w:rsidRPr="00964F9B" w:rsidRDefault="004A73F8" w:rsidP="004A73F8">
                                <w:pPr>
                                  <w:rPr>
                                    <w:rFonts w:ascii="Times New Roman" w:hAnsi="Times New Roman" w:cs="Times New Roman"/>
                                  </w:rPr>
                                </w:pPr>
                                <w:r w:rsidRPr="00964F9B">
                                  <w:rPr>
                                    <w:rFonts w:ascii="Times New Roman" w:hAnsi="Times New Roman" w:cs="Times New Roman"/>
                                  </w:rPr>
                                  <w:t>Student Name: John Tandazo</w:t>
                                </w:r>
                              </w:p>
                              <w:p w14:paraId="5DAFCE2C" w14:textId="77777777" w:rsidR="004A73F8" w:rsidRPr="00964F9B" w:rsidRDefault="004A73F8" w:rsidP="004A73F8">
                                <w:pPr>
                                  <w:rPr>
                                    <w:rFonts w:ascii="Times New Roman" w:hAnsi="Times New Roman" w:cs="Times New Roman"/>
                                  </w:rPr>
                                </w:pPr>
                                <w:r w:rsidRPr="00964F9B">
                                  <w:rPr>
                                    <w:rFonts w:ascii="Times New Roman" w:hAnsi="Times New Roman" w:cs="Times New Roman"/>
                                  </w:rPr>
                                  <w:t>Student ID: 2442071</w:t>
                                </w:r>
                              </w:p>
                              <w:p w14:paraId="3C856233" w14:textId="77777777" w:rsidR="004A73F8" w:rsidRPr="00964F9B" w:rsidRDefault="004A73F8" w:rsidP="004A73F8">
                                <w:pPr>
                                  <w:rPr>
                                    <w:rFonts w:ascii="Times New Roman" w:hAnsi="Times New Roman" w:cs="Times New Roman"/>
                                  </w:rPr>
                                </w:pPr>
                                <w:r w:rsidRPr="00964F9B">
                                  <w:rPr>
                                    <w:rFonts w:ascii="Times New Roman" w:hAnsi="Times New Roman" w:cs="Times New Roman"/>
                                  </w:rPr>
                                  <w:t xml:space="preserve">Group: 2  </w:t>
                                </w:r>
                              </w:p>
                              <w:p w14:paraId="64150DCD" w14:textId="7B8F1F49" w:rsidR="004A73F8" w:rsidRPr="00964F9B" w:rsidRDefault="004A73F8" w:rsidP="004A73F8">
                                <w:pPr>
                                  <w:rPr>
                                    <w:rFonts w:ascii="Times New Roman" w:hAnsi="Times New Roman" w:cs="Times New Roman"/>
                                  </w:rPr>
                                </w:pPr>
                                <w:r w:rsidRPr="00964F9B">
                                  <w:rPr>
                                    <w:rFonts w:ascii="Times New Roman" w:hAnsi="Times New Roman" w:cs="Times New Roman"/>
                                  </w:rPr>
                                  <w:t xml:space="preserve">Lecturer’s Name: </w:t>
                                </w:r>
                                <w:r w:rsidRPr="004A73F8">
                                  <w:rPr>
                                    <w:rFonts w:ascii="Times New Roman" w:hAnsi="Times New Roman" w:cs="Times New Roman"/>
                                  </w:rPr>
                                  <w:t>Amit Naik</w:t>
                                </w:r>
                              </w:p>
                              <w:p w14:paraId="16BF520F" w14:textId="77777777" w:rsidR="004A73F8" w:rsidRDefault="004A73F8" w:rsidP="004A73F8"/>
                              <w:p w14:paraId="44BBC218" w14:textId="77777777" w:rsidR="004A73F8" w:rsidRDefault="004A73F8" w:rsidP="004A73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EE6200" id="_x0000_t202" coordsize="21600,21600" o:spt="202" path="m,l,21600r21600,l21600,xe">
                    <v:stroke joinstyle="miter"/>
                    <v:path gradientshapeok="t" o:connecttype="rect"/>
                  </v:shapetype>
                  <v:shape id="Text Box 2" o:spid="_x0000_s1055" type="#_x0000_t202" style="position:absolute;margin-left:151.8pt;margin-top:148.2pt;width:280pt;height:166.2pt;z-index:251637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zJdFwIAACcEAAAOAAAAZHJzL2Uyb0RvYy54bWysk9uO2yAQhu8r9R0Q943tNNmDFWe1zTZV&#10;pe1B2vYBMMYxKjAUSOz06XfA3my6VW+q+gIxHvhn5pthdTNoRQ7CeQmmosUsp0QYDo00u4p+/7Z9&#10;c0WJD8w0TIERFT0KT2/Wr1+teluKOXSgGuEIihhf9raiXQi2zDLPO6GZn4EVBp0tOM0Cmm6XNY71&#10;qK5VNs/zi6wH11gHXHiPf+9GJ10n/bYVPHxpWy8CURXF3EJaXVrruGbrFSt3jtlO8ikN9g9ZaCYN&#10;Bj1J3bHAyN7JP6S05A48tGHGQWfQtpKLVANWU+QvqnnomBWpFoTj7QmT/3+y/PPhwX51JAzvYMAG&#10;piK8vQf+wxMDm46Znbh1DvpOsAYDFxFZ1ltfTlcjal/6KFL3n6DBJrN9gCQ0tE5HKlgnQXVswPEE&#10;XQyBcPz5drm8yHN0cfTNiyK/XKS2ZKx8um6dDx8EaBI3FXXY1STPDvc+xHRY+XQkRvOgZLOVSiXD&#10;7eqNcuTAcAK26UsVvDimDOkrer2cL0cCf5XAVGO2Y9TfImkZcJSV1BW9Oh1iZeT23jRp0AKTatxj&#10;yspMICO7kWIY6oHIZqIcudbQHJGsg3Fy8aXhpgP3i5Iep7ai/ueeOUGJ+miwO9fFAumRkIzF8nKO&#10;hjv31OceZjhKVTRQMm43IT2NyM3ALXaxlYnvcyZTyjiNCfv0cuK4n9vp1PP7Xj8CAAD//wMAUEsD&#10;BBQABgAIAAAAIQCqhaqa4AAAAAsBAAAPAAAAZHJzL2Rvd25yZXYueG1sTI/BTsMwDIbvSLxDZCQu&#10;iKW0U8hK3QkhgeA2BoJr1nhtRZOUJOvK25Od4Gj70+/vr9azGdhEPvTOItwsMmBkG6d72yK8vz1e&#10;S2AhKqvV4Cwh/FCAdX1+VqlSu6N9pWkbW5ZCbCgVQhfjWHIemo6MCgs3kk23vfNGxTT6lmuvjinc&#10;DDzPMsGN6m360KmRHjpqvrYHgyCXz9NneCk2H43YD6t4dTs9fXvEy4v5/g5YpDn+wXDST+pQJ6ed&#10;O1gd2IBQZIVIKEK+EktgiZDitNkhiFxK4HXF/3eofwEAAP//AwBQSwECLQAUAAYACAAAACEAtoM4&#10;kv4AAADhAQAAEwAAAAAAAAAAAAAAAAAAAAAAW0NvbnRlbnRfVHlwZXNdLnhtbFBLAQItABQABgAI&#10;AAAAIQA4/SH/1gAAAJQBAAALAAAAAAAAAAAAAAAAAC8BAABfcmVscy8ucmVsc1BLAQItABQABgAI&#10;AAAAIQBfLzJdFwIAACcEAAAOAAAAAAAAAAAAAAAAAC4CAABkcnMvZTJvRG9jLnhtbFBLAQItABQA&#10;BgAIAAAAIQCqhaqa4AAAAAsBAAAPAAAAAAAAAAAAAAAAAHEEAABkcnMvZG93bnJldi54bWxQSwUG&#10;AAAAAAQABADzAAAAfgUAAAAA&#10;">
                    <v:textbox>
                      <w:txbxContent>
                        <w:p w14:paraId="0B7F9686" w14:textId="7468974A" w:rsidR="004A73F8" w:rsidRPr="004A73F8" w:rsidRDefault="004A73F8" w:rsidP="004A73F8">
                          <w:pPr>
                            <w:rPr>
                              <w:rFonts w:ascii="Times New Roman" w:hAnsi="Times New Roman" w:cs="Times New Roman"/>
                            </w:rPr>
                          </w:pPr>
                          <w:r w:rsidRPr="00964F9B">
                            <w:rPr>
                              <w:rFonts w:ascii="Times New Roman" w:hAnsi="Times New Roman" w:cs="Times New Roman"/>
                            </w:rPr>
                            <w:t>Module Name</w:t>
                          </w:r>
                          <w:r w:rsidRPr="004A73F8">
                            <w:rPr>
                              <w:rFonts w:ascii="Segoe UI" w:eastAsia="Times New Roman" w:hAnsi="Segoe UI" w:cs="Segoe UI"/>
                              <w:b/>
                              <w:bCs/>
                              <w:color w:val="FFFFFF"/>
                              <w:kern w:val="36"/>
                              <w:sz w:val="48"/>
                              <w:szCs w:val="48"/>
                              <w:lang w:eastAsia="en-GB"/>
                              <w14:ligatures w14:val="none"/>
                            </w:rPr>
                            <w:t xml:space="preserve"> </w:t>
                          </w:r>
                          <w:r w:rsidRPr="004A73F8">
                            <w:rPr>
                              <w:rFonts w:ascii="Times New Roman" w:hAnsi="Times New Roman" w:cs="Times New Roman"/>
                            </w:rPr>
                            <w:t>Network and Cybersecurity Essentials</w:t>
                          </w:r>
                        </w:p>
                        <w:p w14:paraId="7AFDA6C1" w14:textId="3BBF3C7F" w:rsidR="004A73F8" w:rsidRPr="00E271B4" w:rsidRDefault="004A73F8" w:rsidP="004A73F8">
                          <w:pPr>
                            <w:rPr>
                              <w:rFonts w:ascii="Times New Roman" w:hAnsi="Times New Roman" w:cs="Times New Roman"/>
                              <w:b/>
                              <w:bCs/>
                            </w:rPr>
                          </w:pPr>
                          <w:r w:rsidRPr="00964F9B">
                            <w:rPr>
                              <w:rFonts w:ascii="Times New Roman" w:hAnsi="Times New Roman" w:cs="Times New Roman"/>
                            </w:rPr>
                            <w:t xml:space="preserve">Module Code: </w:t>
                          </w:r>
                          <w:r w:rsidRPr="004A73F8">
                            <w:rPr>
                              <w:rFonts w:ascii="Times New Roman" w:hAnsi="Times New Roman" w:cs="Times New Roman"/>
                              <w:b/>
                              <w:bCs/>
                            </w:rPr>
                            <w:t>(</w:t>
                          </w:r>
                          <w:r w:rsidRPr="004A73F8">
                            <w:rPr>
                              <w:rFonts w:ascii="Times New Roman" w:hAnsi="Times New Roman" w:cs="Times New Roman"/>
                            </w:rPr>
                            <w:t>ACCA4024_LON)</w:t>
                          </w:r>
                        </w:p>
                        <w:p w14:paraId="6FF323C2" w14:textId="77777777" w:rsidR="004A73F8" w:rsidRPr="00964F9B" w:rsidRDefault="004A73F8" w:rsidP="004A73F8">
                          <w:pPr>
                            <w:rPr>
                              <w:rFonts w:ascii="Times New Roman" w:hAnsi="Times New Roman" w:cs="Times New Roman"/>
                            </w:rPr>
                          </w:pPr>
                          <w:r w:rsidRPr="00964F9B">
                            <w:rPr>
                              <w:rFonts w:ascii="Times New Roman" w:hAnsi="Times New Roman" w:cs="Times New Roman"/>
                            </w:rPr>
                            <w:t>Student Name: John Tandazo</w:t>
                          </w:r>
                        </w:p>
                        <w:p w14:paraId="5DAFCE2C" w14:textId="77777777" w:rsidR="004A73F8" w:rsidRPr="00964F9B" w:rsidRDefault="004A73F8" w:rsidP="004A73F8">
                          <w:pPr>
                            <w:rPr>
                              <w:rFonts w:ascii="Times New Roman" w:hAnsi="Times New Roman" w:cs="Times New Roman"/>
                            </w:rPr>
                          </w:pPr>
                          <w:r w:rsidRPr="00964F9B">
                            <w:rPr>
                              <w:rFonts w:ascii="Times New Roman" w:hAnsi="Times New Roman" w:cs="Times New Roman"/>
                            </w:rPr>
                            <w:t>Student ID: 2442071</w:t>
                          </w:r>
                        </w:p>
                        <w:p w14:paraId="3C856233" w14:textId="77777777" w:rsidR="004A73F8" w:rsidRPr="00964F9B" w:rsidRDefault="004A73F8" w:rsidP="004A73F8">
                          <w:pPr>
                            <w:rPr>
                              <w:rFonts w:ascii="Times New Roman" w:hAnsi="Times New Roman" w:cs="Times New Roman"/>
                            </w:rPr>
                          </w:pPr>
                          <w:r w:rsidRPr="00964F9B">
                            <w:rPr>
                              <w:rFonts w:ascii="Times New Roman" w:hAnsi="Times New Roman" w:cs="Times New Roman"/>
                            </w:rPr>
                            <w:t xml:space="preserve">Group: 2  </w:t>
                          </w:r>
                        </w:p>
                        <w:p w14:paraId="64150DCD" w14:textId="7B8F1F49" w:rsidR="004A73F8" w:rsidRPr="00964F9B" w:rsidRDefault="004A73F8" w:rsidP="004A73F8">
                          <w:pPr>
                            <w:rPr>
                              <w:rFonts w:ascii="Times New Roman" w:hAnsi="Times New Roman" w:cs="Times New Roman"/>
                            </w:rPr>
                          </w:pPr>
                          <w:r w:rsidRPr="00964F9B">
                            <w:rPr>
                              <w:rFonts w:ascii="Times New Roman" w:hAnsi="Times New Roman" w:cs="Times New Roman"/>
                            </w:rPr>
                            <w:t xml:space="preserve">Lecturer’s Name: </w:t>
                          </w:r>
                          <w:r w:rsidRPr="004A73F8">
                            <w:rPr>
                              <w:rFonts w:ascii="Times New Roman" w:hAnsi="Times New Roman" w:cs="Times New Roman"/>
                            </w:rPr>
                            <w:t>Amit Naik</w:t>
                          </w:r>
                        </w:p>
                        <w:p w14:paraId="16BF520F" w14:textId="77777777" w:rsidR="004A73F8" w:rsidRDefault="004A73F8" w:rsidP="004A73F8"/>
                        <w:p w14:paraId="44BBC218" w14:textId="77777777" w:rsidR="004A73F8" w:rsidRDefault="004A73F8" w:rsidP="004A73F8"/>
                      </w:txbxContent>
                    </v:textbox>
                    <w10:wrap type="square"/>
                  </v:shape>
                </w:pict>
              </mc:Fallback>
            </mc:AlternateContent>
          </w:r>
          <w:r w:rsidRPr="00964F9B">
            <w:rPr>
              <w:rFonts w:ascii="Times New Roman" w:hAnsi="Times New Roman" w:cs="Times New Roman"/>
              <w:b/>
              <w:bCs/>
              <w:noProof/>
            </w:rPr>
            <mc:AlternateContent>
              <mc:Choice Requires="wps">
                <w:drawing>
                  <wp:anchor distT="0" distB="0" distL="114300" distR="114300" simplePos="0" relativeHeight="251636224" behindDoc="0" locked="0" layoutInCell="1" allowOverlap="1" wp14:anchorId="7E79B3F2" wp14:editId="1DF9487F">
                    <wp:simplePos x="0" y="0"/>
                    <wp:positionH relativeFrom="page">
                      <wp:posOffset>2708275</wp:posOffset>
                    </wp:positionH>
                    <wp:positionV relativeFrom="page">
                      <wp:posOffset>7933418</wp:posOffset>
                    </wp:positionV>
                    <wp:extent cx="3657600" cy="337910"/>
                    <wp:effectExtent l="0" t="0" r="7620" b="5080"/>
                    <wp:wrapNone/>
                    <wp:docPr id="32" name="Text Box 28"/>
                    <wp:cNvGraphicFramePr/>
                    <a:graphic xmlns:a="http://schemas.openxmlformats.org/drawingml/2006/main">
                      <a:graphicData uri="http://schemas.microsoft.com/office/word/2010/wordprocessingShape">
                        <wps:wsp>
                          <wps:cNvSpPr txBox="1"/>
                          <wps:spPr>
                            <a:xfrm>
                              <a:off x="0" y="0"/>
                              <a:ext cx="3657600" cy="337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4666A" w14:textId="77777777" w:rsidR="004A73F8" w:rsidRPr="00964F9B" w:rsidRDefault="004A73F8" w:rsidP="004A73F8">
                                <w:pPr>
                                  <w:pStyle w:val="NoSpacing"/>
                                  <w:rPr>
                                    <w:rFonts w:ascii="Times New Roman" w:hAnsi="Times New Roman" w:cs="Times New Roman"/>
                                    <w:color w:val="156082" w:themeColor="accent1"/>
                                    <w:sz w:val="26"/>
                                    <w:szCs w:val="26"/>
                                  </w:rPr>
                                </w:pPr>
                                <w:r w:rsidRPr="00964F9B">
                                  <w:rPr>
                                    <w:rFonts w:ascii="Times New Roman" w:hAnsi="Times New Roman" w:cs="Times New Roman"/>
                                    <w:color w:val="156082" w:themeColor="accent1"/>
                                    <w:sz w:val="26"/>
                                    <w:szCs w:val="26"/>
                                  </w:rPr>
                                  <w:t>University of Wales Trinity Saint David</w:t>
                                </w:r>
                              </w:p>
                              <w:p w14:paraId="1059B25F" w14:textId="77777777" w:rsidR="004A73F8" w:rsidRPr="00B565FC" w:rsidRDefault="004A73F8" w:rsidP="004A73F8">
                                <w:pPr>
                                  <w:pStyle w:val="NoSpacing"/>
                                  <w:rPr>
                                    <w:rFonts w:ascii="Times New Roman" w:hAnsi="Times New Roman" w:cs="Times New Roman"/>
                                    <w:caps/>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E79B3F2" id="Text Box 28" o:spid="_x0000_s1056" type="#_x0000_t202" style="position:absolute;margin-left:213.25pt;margin-top:624.7pt;width:4in;height:26.6pt;z-index:25163622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mBmYwIAADQFAAAOAAAAZHJzL2Uyb0RvYy54bWysVEtv2zAMvg/YfxB0X50Hmm5BnCJLkWFA&#10;0RZLh54VWUqMyaJGKbGzXz9KtpMi26XDLjItfnx9JDW7bSrDDgp9CTbnw6sBZ8pKKEq7zfn359WH&#10;j5z5IGwhDFiV86Py/Hb+/t2sdlM1gh2YQiEjJ9ZPa5fzXQhummVe7lQl/BU4ZUmpASsR6Be3WYGi&#10;Ju+VyUaDwSSrAQuHIJX3dHvXKvk8+ddayfCotVeBmZxTbiGdmM5NPLP5TEy3KNyulF0a4h+yqERp&#10;KejJ1Z0Igu2x/MNVVUoEDzpcSagy0LqUKtVA1QwHF9Wsd8KpVAuR492JJv//3MqHw9o9IQvNZ2io&#10;gZGQ2vmpp8tYT6Oxil/KlJGeKDyeaFNNYJIux5Prm8mAVJJ04/HNp2HiNTtbO/Thi4KKRSHnSG1J&#10;bInDvQ8UkaA9JAazsCqNSa0xltU5n4yvB8ngpCELYyNWpSZ3bs6ZJykcjYoYY78pzcoiFRAv0nip&#10;pUF2EDQYQkplQ6o9+SV0RGlK4i2GHf6c1VuM2zr6yGDDybgqLWCq/iLt4kefsm7xROSruqMYmk1D&#10;hed81Dd2A8WR+o3QroJ3clVSU+6FD08Cafapj7TP4ZEObYDIh07ibAf462/3EU8jSVrOatqlnPuf&#10;e4GKM/PV0rDGxesF7IVNL9h9tQTqwpBeCieTSAYYTC9qhOqF1nwRo5BKWEmxcr7pxWVoN5qeCakW&#10;iwSi9XIi3Nu1k9F1bEocsefmRaDr5jDQBD9Av2ViejGOLTZaWljsA+gyzWrktWWx45tWM41w94zE&#10;3X/9n1Dnx27+GwAA//8DAFBLAwQUAAYACAAAACEA3ar6luEAAAAOAQAADwAAAGRycy9kb3ducmV2&#10;LnhtbEyPQU/DMAyF70j8h8hI3FhCKQVK0wmhIbhN3UDimDWhLWucqk638u/xTnCz/Z6ev1csZ9+L&#10;gxupC6jheqFAOKyD7bDR8L59uboHQdGgNX1Ap+HHESzL87PC5DYcsXKHTWwEhyDlRkMb45BLSXXr&#10;vKFFGByy9hVGbyKvYyPtaI4c7nuZKJVJbzrkD60Z3HPr6v1m8hpWb9+f2xbXU3VHK1rvX+nDVKT1&#10;5cX89Agiujn+meGEz+hQMtMuTGhJ9BrSJLtlKwtJ+pCCOFmUSvi24+lGJRnIspD/a5S/AAAA//8D&#10;AFBLAQItABQABgAIAAAAIQC2gziS/gAAAOEBAAATAAAAAAAAAAAAAAAAAAAAAABbQ29udGVudF9U&#10;eXBlc10ueG1sUEsBAi0AFAAGAAgAAAAhADj9If/WAAAAlAEAAAsAAAAAAAAAAAAAAAAALwEAAF9y&#10;ZWxzLy5yZWxzUEsBAi0AFAAGAAgAAAAhAAKeYGZjAgAANAUAAA4AAAAAAAAAAAAAAAAALgIAAGRy&#10;cy9lMm9Eb2MueG1sUEsBAi0AFAAGAAgAAAAhAN2q+pbhAAAADgEAAA8AAAAAAAAAAAAAAAAAvQQA&#10;AGRycy9kb3ducmV2LnhtbFBLBQYAAAAABAAEAPMAAADLBQAAAAA=&#10;" filled="f" stroked="f" strokeweight=".5pt">
                    <v:textbox inset="0,0,0,0">
                      <w:txbxContent>
                        <w:p w14:paraId="3684666A" w14:textId="77777777" w:rsidR="004A73F8" w:rsidRPr="00964F9B" w:rsidRDefault="004A73F8" w:rsidP="004A73F8">
                          <w:pPr>
                            <w:pStyle w:val="NoSpacing"/>
                            <w:rPr>
                              <w:rFonts w:ascii="Times New Roman" w:hAnsi="Times New Roman" w:cs="Times New Roman"/>
                              <w:color w:val="156082" w:themeColor="accent1"/>
                              <w:sz w:val="26"/>
                              <w:szCs w:val="26"/>
                            </w:rPr>
                          </w:pPr>
                          <w:r w:rsidRPr="00964F9B">
                            <w:rPr>
                              <w:rFonts w:ascii="Times New Roman" w:hAnsi="Times New Roman" w:cs="Times New Roman"/>
                              <w:color w:val="156082" w:themeColor="accent1"/>
                              <w:sz w:val="26"/>
                              <w:szCs w:val="26"/>
                            </w:rPr>
                            <w:t>University of Wales Trinity Saint David</w:t>
                          </w:r>
                        </w:p>
                        <w:p w14:paraId="1059B25F" w14:textId="77777777" w:rsidR="004A73F8" w:rsidRPr="00B565FC" w:rsidRDefault="004A73F8" w:rsidP="004A73F8">
                          <w:pPr>
                            <w:pStyle w:val="NoSpacing"/>
                            <w:rPr>
                              <w:rFonts w:ascii="Times New Roman" w:hAnsi="Times New Roman" w:cs="Times New Roman"/>
                              <w:caps/>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595959" w:themeColor="text1" w:themeTint="A6"/>
                                  <w:sz w:val="20"/>
                                  <w:szCs w:val="20"/>
                                </w:rPr>
                                <w:t xml:space="preserve">     </w:t>
                              </w:r>
                            </w:sdtContent>
                          </w:sdt>
                        </w:p>
                      </w:txbxContent>
                    </v:textbox>
                    <w10:wrap anchorx="page" anchory="page"/>
                  </v:shape>
                </w:pict>
              </mc:Fallback>
            </mc:AlternateContent>
          </w:r>
          <w:r w:rsidRPr="00964F9B">
            <w:rPr>
              <w:rFonts w:ascii="Times New Roman" w:hAnsi="Times New Roman" w:cs="Times New Roman"/>
              <w:b/>
              <w:bCs/>
              <w:noProof/>
            </w:rPr>
            <mc:AlternateContent>
              <mc:Choice Requires="wps">
                <w:drawing>
                  <wp:anchor distT="0" distB="0" distL="114300" distR="114300" simplePos="0" relativeHeight="251635200" behindDoc="0" locked="0" layoutInCell="1" allowOverlap="1" wp14:anchorId="7F5EF418" wp14:editId="78C73341">
                    <wp:simplePos x="0" y="0"/>
                    <wp:positionH relativeFrom="margin">
                      <wp:align>right</wp:align>
                    </wp:positionH>
                    <wp:positionV relativeFrom="page">
                      <wp:posOffset>1870075</wp:posOffset>
                    </wp:positionV>
                    <wp:extent cx="3810000" cy="885825"/>
                    <wp:effectExtent l="0" t="0" r="0" b="9525"/>
                    <wp:wrapNone/>
                    <wp:docPr id="34"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1AC4BD" w14:textId="77777777" w:rsidR="004A73F8" w:rsidRPr="003A12C8" w:rsidRDefault="004A73F8" w:rsidP="004A73F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1851600070"/>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56"/>
                                      </w:rPr>
                                      <w:t xml:space="preserve">     </w:t>
                                    </w:r>
                                  </w:sdtContent>
                                </w:sdt>
                              </w:p>
                              <w:p w14:paraId="21FA7675" w14:textId="77777777" w:rsidR="004A73F8" w:rsidRDefault="004A73F8" w:rsidP="004A73F8">
                                <w:pPr>
                                  <w:spacing w:before="120"/>
                                  <w:rPr>
                                    <w:color w:val="404040" w:themeColor="text1" w:themeTint="BF"/>
                                    <w:sz w:val="36"/>
                                    <w:szCs w:val="36"/>
                                  </w:rPr>
                                </w:pPr>
                                <w:sdt>
                                  <w:sdtPr>
                                    <w:rPr>
                                      <w:color w:val="404040" w:themeColor="text1" w:themeTint="BF"/>
                                      <w:sz w:val="36"/>
                                      <w:szCs w:val="36"/>
                                    </w:rPr>
                                    <w:alias w:val="Subtitle"/>
                                    <w:tag w:val=""/>
                                    <w:id w:val="-251973832"/>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F5EF418" id="Text Box 30" o:spid="_x0000_s1057" type="#_x0000_t202" style="position:absolute;margin-left:248.8pt;margin-top:147.25pt;width:300pt;height:69.75pt;z-index:25163520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541AC4BD" w14:textId="77777777" w:rsidR="004A73F8" w:rsidRPr="003A12C8" w:rsidRDefault="004A73F8" w:rsidP="004A73F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1851600070"/>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56"/>
                                </w:rPr>
                                <w:t xml:space="preserve">     </w:t>
                              </w:r>
                            </w:sdtContent>
                          </w:sdt>
                        </w:p>
                        <w:p w14:paraId="21FA7675" w14:textId="77777777" w:rsidR="004A73F8" w:rsidRDefault="004A73F8" w:rsidP="004A73F8">
                          <w:pPr>
                            <w:spacing w:before="120"/>
                            <w:rPr>
                              <w:color w:val="404040" w:themeColor="text1" w:themeTint="BF"/>
                              <w:sz w:val="36"/>
                              <w:szCs w:val="36"/>
                            </w:rPr>
                          </w:pPr>
                          <w:sdt>
                            <w:sdtPr>
                              <w:rPr>
                                <w:color w:val="404040" w:themeColor="text1" w:themeTint="BF"/>
                                <w:sz w:val="36"/>
                                <w:szCs w:val="36"/>
                              </w:rPr>
                              <w:alias w:val="Subtitle"/>
                              <w:tag w:val=""/>
                              <w:id w:val="-251973832"/>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margin" anchory="page"/>
                  </v:shape>
                </w:pict>
              </mc:Fallback>
            </mc:AlternateContent>
          </w:r>
          <w:r w:rsidRPr="00964F9B">
            <w:rPr>
              <w:rFonts w:ascii="Times New Roman" w:hAnsi="Times New Roman" w:cs="Times New Roman"/>
              <w:b/>
              <w:bCs/>
            </w:rPr>
            <w:br w:type="page"/>
          </w:r>
        </w:p>
      </w:sdtContent>
    </w:sdt>
    <w:sdt>
      <w:sdtPr>
        <w:id w:val="-826285333"/>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14:ligatures w14:val="standardContextual"/>
        </w:rPr>
      </w:sdtEndPr>
      <w:sdtContent>
        <w:p w14:paraId="678AFD57" w14:textId="01063D09" w:rsidR="004A73F8" w:rsidRDefault="004A73F8">
          <w:pPr>
            <w:pStyle w:val="TOCHeading"/>
          </w:pPr>
          <w:r>
            <w:t>Table of Contents</w:t>
          </w:r>
        </w:p>
        <w:p w14:paraId="57292CCC" w14:textId="1E52036A" w:rsidR="00D67916" w:rsidRDefault="004A73F8">
          <w:pPr>
            <w:pStyle w:val="TOC1"/>
            <w:tabs>
              <w:tab w:val="right" w:leader="dot" w:pos="9016"/>
            </w:tabs>
            <w:rPr>
              <w:noProof/>
              <w:lang w:eastAsia="en-GB"/>
            </w:rPr>
          </w:pPr>
          <w:r>
            <w:fldChar w:fldCharType="begin"/>
          </w:r>
          <w:r>
            <w:instrText xml:space="preserve"> TOC \o "1-3" \h \z \u </w:instrText>
          </w:r>
          <w:r>
            <w:fldChar w:fldCharType="separate"/>
          </w:r>
          <w:hyperlink w:anchor="_Toc228449143" w:history="1">
            <w:r w:rsidR="00D67916" w:rsidRPr="00DC25EA">
              <w:rPr>
                <w:rStyle w:val="Hyperlink"/>
                <w:noProof/>
              </w:rPr>
              <w:t>INTRODUCTION</w:t>
            </w:r>
            <w:r w:rsidR="00D67916">
              <w:rPr>
                <w:noProof/>
                <w:webHidden/>
              </w:rPr>
              <w:tab/>
            </w:r>
            <w:r w:rsidR="00D67916">
              <w:rPr>
                <w:noProof/>
                <w:webHidden/>
              </w:rPr>
              <w:fldChar w:fldCharType="begin"/>
            </w:r>
            <w:r w:rsidR="00D67916">
              <w:rPr>
                <w:noProof/>
                <w:webHidden/>
              </w:rPr>
              <w:instrText xml:space="preserve"> PAGEREF _Toc228449143 \h </w:instrText>
            </w:r>
            <w:r w:rsidR="00D67916">
              <w:rPr>
                <w:noProof/>
                <w:webHidden/>
              </w:rPr>
            </w:r>
            <w:r w:rsidR="00D67916">
              <w:rPr>
                <w:noProof/>
                <w:webHidden/>
              </w:rPr>
              <w:fldChar w:fldCharType="separate"/>
            </w:r>
            <w:r w:rsidR="00D67916">
              <w:rPr>
                <w:noProof/>
                <w:webHidden/>
              </w:rPr>
              <w:t>3</w:t>
            </w:r>
            <w:r w:rsidR="00D67916">
              <w:rPr>
                <w:noProof/>
                <w:webHidden/>
              </w:rPr>
              <w:fldChar w:fldCharType="end"/>
            </w:r>
          </w:hyperlink>
        </w:p>
        <w:p w14:paraId="61A86AB8" w14:textId="2356EF48" w:rsidR="00D67916" w:rsidRDefault="00D67916">
          <w:pPr>
            <w:pStyle w:val="TOC1"/>
            <w:tabs>
              <w:tab w:val="right" w:leader="dot" w:pos="9016"/>
            </w:tabs>
            <w:rPr>
              <w:noProof/>
              <w:lang w:eastAsia="en-GB"/>
            </w:rPr>
          </w:pPr>
          <w:hyperlink w:anchor="_Toc228449144" w:history="1">
            <w:r w:rsidRPr="00DC25EA">
              <w:rPr>
                <w:rStyle w:val="Hyperlink"/>
                <w:noProof/>
                <w:lang w:eastAsia="en-US"/>
              </w:rPr>
              <w:t>1-Identification of Threats</w:t>
            </w:r>
            <w:r>
              <w:rPr>
                <w:noProof/>
                <w:webHidden/>
              </w:rPr>
              <w:tab/>
            </w:r>
            <w:r>
              <w:rPr>
                <w:noProof/>
                <w:webHidden/>
              </w:rPr>
              <w:fldChar w:fldCharType="begin"/>
            </w:r>
            <w:r>
              <w:rPr>
                <w:noProof/>
                <w:webHidden/>
              </w:rPr>
              <w:instrText xml:space="preserve"> PAGEREF _Toc228449144 \h </w:instrText>
            </w:r>
            <w:r>
              <w:rPr>
                <w:noProof/>
                <w:webHidden/>
              </w:rPr>
            </w:r>
            <w:r>
              <w:rPr>
                <w:noProof/>
                <w:webHidden/>
              </w:rPr>
              <w:fldChar w:fldCharType="separate"/>
            </w:r>
            <w:r>
              <w:rPr>
                <w:noProof/>
                <w:webHidden/>
              </w:rPr>
              <w:t>3</w:t>
            </w:r>
            <w:r>
              <w:rPr>
                <w:noProof/>
                <w:webHidden/>
              </w:rPr>
              <w:fldChar w:fldCharType="end"/>
            </w:r>
          </w:hyperlink>
        </w:p>
        <w:p w14:paraId="1513022B" w14:textId="470F97B2" w:rsidR="00D67916" w:rsidRDefault="00D67916">
          <w:pPr>
            <w:pStyle w:val="TOC1"/>
            <w:tabs>
              <w:tab w:val="right" w:leader="dot" w:pos="9016"/>
            </w:tabs>
            <w:rPr>
              <w:noProof/>
              <w:lang w:eastAsia="en-GB"/>
            </w:rPr>
          </w:pPr>
          <w:hyperlink w:anchor="_Toc228449145" w:history="1">
            <w:r w:rsidRPr="00DC25EA">
              <w:rPr>
                <w:rStyle w:val="Hyperlink"/>
                <w:noProof/>
                <w:lang w:eastAsia="en-US"/>
              </w:rPr>
              <w:t>2. Security Policies</w:t>
            </w:r>
            <w:r>
              <w:rPr>
                <w:noProof/>
                <w:webHidden/>
              </w:rPr>
              <w:tab/>
            </w:r>
            <w:r>
              <w:rPr>
                <w:noProof/>
                <w:webHidden/>
              </w:rPr>
              <w:fldChar w:fldCharType="begin"/>
            </w:r>
            <w:r>
              <w:rPr>
                <w:noProof/>
                <w:webHidden/>
              </w:rPr>
              <w:instrText xml:space="preserve"> PAGEREF _Toc228449145 \h </w:instrText>
            </w:r>
            <w:r>
              <w:rPr>
                <w:noProof/>
                <w:webHidden/>
              </w:rPr>
            </w:r>
            <w:r>
              <w:rPr>
                <w:noProof/>
                <w:webHidden/>
              </w:rPr>
              <w:fldChar w:fldCharType="separate"/>
            </w:r>
            <w:r>
              <w:rPr>
                <w:noProof/>
                <w:webHidden/>
              </w:rPr>
              <w:t>5</w:t>
            </w:r>
            <w:r>
              <w:rPr>
                <w:noProof/>
                <w:webHidden/>
              </w:rPr>
              <w:fldChar w:fldCharType="end"/>
            </w:r>
          </w:hyperlink>
        </w:p>
        <w:p w14:paraId="1546DFA0" w14:textId="707EC32A" w:rsidR="00D67916" w:rsidRDefault="00D67916">
          <w:pPr>
            <w:pStyle w:val="TOC1"/>
            <w:tabs>
              <w:tab w:val="right" w:leader="dot" w:pos="9016"/>
            </w:tabs>
            <w:rPr>
              <w:noProof/>
              <w:lang w:eastAsia="en-GB"/>
            </w:rPr>
          </w:pPr>
          <w:hyperlink w:anchor="_Toc228449146" w:history="1">
            <w:r w:rsidRPr="00DC25EA">
              <w:rPr>
                <w:rStyle w:val="Hyperlink"/>
                <w:noProof/>
                <w:lang w:eastAsia="en-US"/>
              </w:rPr>
              <w:t>3-Mitigation Measures</w:t>
            </w:r>
            <w:r>
              <w:rPr>
                <w:noProof/>
                <w:webHidden/>
              </w:rPr>
              <w:tab/>
            </w:r>
            <w:r>
              <w:rPr>
                <w:noProof/>
                <w:webHidden/>
              </w:rPr>
              <w:fldChar w:fldCharType="begin"/>
            </w:r>
            <w:r>
              <w:rPr>
                <w:noProof/>
                <w:webHidden/>
              </w:rPr>
              <w:instrText xml:space="preserve"> PAGEREF _Toc228449146 \h </w:instrText>
            </w:r>
            <w:r>
              <w:rPr>
                <w:noProof/>
                <w:webHidden/>
              </w:rPr>
            </w:r>
            <w:r>
              <w:rPr>
                <w:noProof/>
                <w:webHidden/>
              </w:rPr>
              <w:fldChar w:fldCharType="separate"/>
            </w:r>
            <w:r>
              <w:rPr>
                <w:noProof/>
                <w:webHidden/>
              </w:rPr>
              <w:t>6</w:t>
            </w:r>
            <w:r>
              <w:rPr>
                <w:noProof/>
                <w:webHidden/>
              </w:rPr>
              <w:fldChar w:fldCharType="end"/>
            </w:r>
          </w:hyperlink>
        </w:p>
        <w:p w14:paraId="5AFDB2D9" w14:textId="0F502378" w:rsidR="00D67916" w:rsidRDefault="00D67916">
          <w:pPr>
            <w:pStyle w:val="TOC1"/>
            <w:tabs>
              <w:tab w:val="right" w:leader="dot" w:pos="9016"/>
            </w:tabs>
            <w:rPr>
              <w:noProof/>
              <w:lang w:eastAsia="en-GB"/>
            </w:rPr>
          </w:pPr>
          <w:hyperlink w:anchor="_Toc228449147" w:history="1">
            <w:r w:rsidRPr="00DC25EA">
              <w:rPr>
                <w:rStyle w:val="Hyperlink"/>
                <w:noProof/>
                <w:lang w:eastAsia="en-US"/>
              </w:rPr>
              <w:t>4-Monitoring and Response</w:t>
            </w:r>
            <w:r>
              <w:rPr>
                <w:noProof/>
                <w:webHidden/>
              </w:rPr>
              <w:tab/>
            </w:r>
            <w:r>
              <w:rPr>
                <w:noProof/>
                <w:webHidden/>
              </w:rPr>
              <w:fldChar w:fldCharType="begin"/>
            </w:r>
            <w:r>
              <w:rPr>
                <w:noProof/>
                <w:webHidden/>
              </w:rPr>
              <w:instrText xml:space="preserve"> PAGEREF _Toc228449147 \h </w:instrText>
            </w:r>
            <w:r>
              <w:rPr>
                <w:noProof/>
                <w:webHidden/>
              </w:rPr>
            </w:r>
            <w:r>
              <w:rPr>
                <w:noProof/>
                <w:webHidden/>
              </w:rPr>
              <w:fldChar w:fldCharType="separate"/>
            </w:r>
            <w:r>
              <w:rPr>
                <w:noProof/>
                <w:webHidden/>
              </w:rPr>
              <w:t>7</w:t>
            </w:r>
            <w:r>
              <w:rPr>
                <w:noProof/>
                <w:webHidden/>
              </w:rPr>
              <w:fldChar w:fldCharType="end"/>
            </w:r>
          </w:hyperlink>
        </w:p>
        <w:p w14:paraId="51C311BD" w14:textId="342D47BD" w:rsidR="00D67916" w:rsidRDefault="00D67916">
          <w:pPr>
            <w:pStyle w:val="TOC1"/>
            <w:tabs>
              <w:tab w:val="right" w:leader="dot" w:pos="9016"/>
            </w:tabs>
            <w:rPr>
              <w:noProof/>
              <w:lang w:eastAsia="en-GB"/>
            </w:rPr>
          </w:pPr>
          <w:hyperlink w:anchor="_Toc228449148" w:history="1">
            <w:r w:rsidRPr="00DC25EA">
              <w:rPr>
                <w:rStyle w:val="Hyperlink"/>
                <w:noProof/>
                <w:lang w:eastAsia="en-US"/>
              </w:rPr>
              <w:t>5-Training and Awareness</w:t>
            </w:r>
            <w:r>
              <w:rPr>
                <w:noProof/>
                <w:webHidden/>
              </w:rPr>
              <w:tab/>
            </w:r>
            <w:r>
              <w:rPr>
                <w:noProof/>
                <w:webHidden/>
              </w:rPr>
              <w:fldChar w:fldCharType="begin"/>
            </w:r>
            <w:r>
              <w:rPr>
                <w:noProof/>
                <w:webHidden/>
              </w:rPr>
              <w:instrText xml:space="preserve"> PAGEREF _Toc228449148 \h </w:instrText>
            </w:r>
            <w:r>
              <w:rPr>
                <w:noProof/>
                <w:webHidden/>
              </w:rPr>
            </w:r>
            <w:r>
              <w:rPr>
                <w:noProof/>
                <w:webHidden/>
              </w:rPr>
              <w:fldChar w:fldCharType="separate"/>
            </w:r>
            <w:r>
              <w:rPr>
                <w:noProof/>
                <w:webHidden/>
              </w:rPr>
              <w:t>10</w:t>
            </w:r>
            <w:r>
              <w:rPr>
                <w:noProof/>
                <w:webHidden/>
              </w:rPr>
              <w:fldChar w:fldCharType="end"/>
            </w:r>
          </w:hyperlink>
        </w:p>
        <w:p w14:paraId="438C5082" w14:textId="3E136AE9" w:rsidR="00D67916" w:rsidRDefault="00D67916">
          <w:pPr>
            <w:pStyle w:val="TOC1"/>
            <w:tabs>
              <w:tab w:val="right" w:leader="dot" w:pos="9016"/>
            </w:tabs>
            <w:rPr>
              <w:noProof/>
              <w:lang w:eastAsia="en-GB"/>
            </w:rPr>
          </w:pPr>
          <w:hyperlink w:anchor="_Toc228449149" w:history="1">
            <w:r w:rsidRPr="00DC25EA">
              <w:rPr>
                <w:rStyle w:val="Hyperlink"/>
                <w:noProof/>
                <w:lang w:eastAsia="en-US"/>
              </w:rPr>
              <w:t>CONCLUSION</w:t>
            </w:r>
            <w:r>
              <w:rPr>
                <w:noProof/>
                <w:webHidden/>
              </w:rPr>
              <w:tab/>
            </w:r>
            <w:r>
              <w:rPr>
                <w:noProof/>
                <w:webHidden/>
              </w:rPr>
              <w:fldChar w:fldCharType="begin"/>
            </w:r>
            <w:r>
              <w:rPr>
                <w:noProof/>
                <w:webHidden/>
              </w:rPr>
              <w:instrText xml:space="preserve"> PAGEREF _Toc228449149 \h </w:instrText>
            </w:r>
            <w:r>
              <w:rPr>
                <w:noProof/>
                <w:webHidden/>
              </w:rPr>
            </w:r>
            <w:r>
              <w:rPr>
                <w:noProof/>
                <w:webHidden/>
              </w:rPr>
              <w:fldChar w:fldCharType="separate"/>
            </w:r>
            <w:r>
              <w:rPr>
                <w:noProof/>
                <w:webHidden/>
              </w:rPr>
              <w:t>10</w:t>
            </w:r>
            <w:r>
              <w:rPr>
                <w:noProof/>
                <w:webHidden/>
              </w:rPr>
              <w:fldChar w:fldCharType="end"/>
            </w:r>
          </w:hyperlink>
        </w:p>
        <w:p w14:paraId="78F964B0" w14:textId="7301DFEC" w:rsidR="00D67916" w:rsidRDefault="00D67916">
          <w:pPr>
            <w:pStyle w:val="TOC1"/>
            <w:tabs>
              <w:tab w:val="right" w:leader="dot" w:pos="9016"/>
            </w:tabs>
            <w:rPr>
              <w:noProof/>
              <w:lang w:eastAsia="en-GB"/>
            </w:rPr>
          </w:pPr>
          <w:hyperlink w:anchor="_Toc228449150" w:history="1">
            <w:r w:rsidRPr="00DC25EA">
              <w:rPr>
                <w:rStyle w:val="Hyperlink"/>
                <w:noProof/>
                <w:lang w:eastAsia="en-US"/>
              </w:rPr>
              <w:t>APPENDIX</w:t>
            </w:r>
            <w:r>
              <w:rPr>
                <w:noProof/>
                <w:webHidden/>
              </w:rPr>
              <w:tab/>
            </w:r>
            <w:r>
              <w:rPr>
                <w:noProof/>
                <w:webHidden/>
              </w:rPr>
              <w:fldChar w:fldCharType="begin"/>
            </w:r>
            <w:r>
              <w:rPr>
                <w:noProof/>
                <w:webHidden/>
              </w:rPr>
              <w:instrText xml:space="preserve"> PAGEREF _Toc228449150 \h </w:instrText>
            </w:r>
            <w:r>
              <w:rPr>
                <w:noProof/>
                <w:webHidden/>
              </w:rPr>
            </w:r>
            <w:r>
              <w:rPr>
                <w:noProof/>
                <w:webHidden/>
              </w:rPr>
              <w:fldChar w:fldCharType="separate"/>
            </w:r>
            <w:r>
              <w:rPr>
                <w:noProof/>
                <w:webHidden/>
              </w:rPr>
              <w:t>11</w:t>
            </w:r>
            <w:r>
              <w:rPr>
                <w:noProof/>
                <w:webHidden/>
              </w:rPr>
              <w:fldChar w:fldCharType="end"/>
            </w:r>
          </w:hyperlink>
        </w:p>
        <w:p w14:paraId="1298AF7F" w14:textId="0B8922B2" w:rsidR="00D67916" w:rsidRDefault="00D67916">
          <w:pPr>
            <w:pStyle w:val="TOC1"/>
            <w:tabs>
              <w:tab w:val="right" w:leader="dot" w:pos="9016"/>
            </w:tabs>
            <w:rPr>
              <w:noProof/>
              <w:lang w:eastAsia="en-GB"/>
            </w:rPr>
          </w:pPr>
          <w:hyperlink w:anchor="_Toc228449151" w:history="1">
            <w:r w:rsidRPr="00DC25EA">
              <w:rPr>
                <w:rStyle w:val="Hyperlink"/>
                <w:noProof/>
              </w:rPr>
              <w:t>References</w:t>
            </w:r>
            <w:r>
              <w:rPr>
                <w:noProof/>
                <w:webHidden/>
              </w:rPr>
              <w:tab/>
            </w:r>
            <w:r>
              <w:rPr>
                <w:noProof/>
                <w:webHidden/>
              </w:rPr>
              <w:fldChar w:fldCharType="begin"/>
            </w:r>
            <w:r>
              <w:rPr>
                <w:noProof/>
                <w:webHidden/>
              </w:rPr>
              <w:instrText xml:space="preserve"> PAGEREF _Toc228449151 \h </w:instrText>
            </w:r>
            <w:r>
              <w:rPr>
                <w:noProof/>
                <w:webHidden/>
              </w:rPr>
            </w:r>
            <w:r>
              <w:rPr>
                <w:noProof/>
                <w:webHidden/>
              </w:rPr>
              <w:fldChar w:fldCharType="separate"/>
            </w:r>
            <w:r>
              <w:rPr>
                <w:noProof/>
                <w:webHidden/>
              </w:rPr>
              <w:t>17</w:t>
            </w:r>
            <w:r>
              <w:rPr>
                <w:noProof/>
                <w:webHidden/>
              </w:rPr>
              <w:fldChar w:fldCharType="end"/>
            </w:r>
          </w:hyperlink>
        </w:p>
        <w:p w14:paraId="5A25DE93" w14:textId="069162D9" w:rsidR="004A73F8" w:rsidRDefault="004A73F8">
          <w:r>
            <w:rPr>
              <w:b/>
              <w:bCs/>
              <w:noProof/>
            </w:rPr>
            <w:fldChar w:fldCharType="end"/>
          </w:r>
        </w:p>
      </w:sdtContent>
    </w:sdt>
    <w:p w14:paraId="4624506D" w14:textId="77777777" w:rsidR="00664A42" w:rsidRDefault="00664A42"/>
    <w:p w14:paraId="4B161166" w14:textId="77777777" w:rsidR="004A73F8" w:rsidRDefault="004A73F8"/>
    <w:p w14:paraId="0EC6FC34" w14:textId="77777777" w:rsidR="004A73F8" w:rsidRDefault="004A73F8"/>
    <w:p w14:paraId="03FB5924" w14:textId="77777777" w:rsidR="004A73F8" w:rsidRDefault="004A73F8"/>
    <w:p w14:paraId="39136096" w14:textId="77777777" w:rsidR="004A73F8" w:rsidRDefault="004A73F8"/>
    <w:p w14:paraId="74636834" w14:textId="77777777" w:rsidR="004A73F8" w:rsidRDefault="004A73F8"/>
    <w:p w14:paraId="6219B98E" w14:textId="77777777" w:rsidR="004A73F8" w:rsidRDefault="004A73F8"/>
    <w:p w14:paraId="14E5261B" w14:textId="77777777" w:rsidR="004A73F8" w:rsidRDefault="004A73F8"/>
    <w:p w14:paraId="5C129498" w14:textId="77777777" w:rsidR="004A73F8" w:rsidRDefault="004A73F8"/>
    <w:p w14:paraId="31AF005E" w14:textId="77777777" w:rsidR="004A73F8" w:rsidRDefault="004A73F8"/>
    <w:p w14:paraId="2894B1D1" w14:textId="77777777" w:rsidR="004A73F8" w:rsidRDefault="004A73F8"/>
    <w:p w14:paraId="3923BE79" w14:textId="77777777" w:rsidR="004A73F8" w:rsidRDefault="004A73F8"/>
    <w:p w14:paraId="109D4571" w14:textId="77777777" w:rsidR="004A73F8" w:rsidRDefault="004A73F8"/>
    <w:p w14:paraId="7C885D48" w14:textId="77777777" w:rsidR="004A73F8" w:rsidRDefault="004A73F8"/>
    <w:p w14:paraId="5119064E" w14:textId="77777777" w:rsidR="004A73F8" w:rsidRDefault="004A73F8"/>
    <w:p w14:paraId="3B0B5FCD" w14:textId="77777777" w:rsidR="004A73F8" w:rsidRDefault="004A73F8"/>
    <w:p w14:paraId="113F6B8B" w14:textId="77777777" w:rsidR="004A73F8" w:rsidRDefault="004A73F8"/>
    <w:p w14:paraId="22AFCA92" w14:textId="77777777" w:rsidR="004A73F8" w:rsidRDefault="004A73F8"/>
    <w:p w14:paraId="70781CFA" w14:textId="77777777" w:rsidR="004A73F8" w:rsidRDefault="004A73F8"/>
    <w:p w14:paraId="6F51DF1A" w14:textId="77777777" w:rsidR="004A73F8" w:rsidRDefault="004A73F8"/>
    <w:p w14:paraId="27F64AE2" w14:textId="48DB30C1" w:rsidR="004A73F8" w:rsidRDefault="004A73F8" w:rsidP="004A73F8">
      <w:pPr>
        <w:pStyle w:val="Heading1"/>
      </w:pPr>
      <w:bookmarkStart w:id="0" w:name="_Toc228449143"/>
      <w:r>
        <w:t>INTRODUCTION</w:t>
      </w:r>
      <w:bookmarkEnd w:id="0"/>
    </w:p>
    <w:p w14:paraId="2BBC8443" w14:textId="0535E46B" w:rsidR="004A73F8" w:rsidRPr="002629D1" w:rsidRDefault="002629D1" w:rsidP="002629D1">
      <w:pPr>
        <w:rPr>
          <w:rFonts w:eastAsiaTheme="majorEastAsia"/>
        </w:rPr>
      </w:pPr>
      <w:r w:rsidRPr="002629D1">
        <w:rPr>
          <w:rFonts w:eastAsiaTheme="majorEastAsia"/>
        </w:rPr>
        <w:t>Healthcare organisations have become prime targets for cyber attacks, and the statistics back this up. HealthPlus Analytics operates in this high-risk environment, handling sensitive patient records for hospitals and clinics across the UK. The company recently suffered two serious incidents: someone gained unauthorised access to patient data stored in the cloud, and a ransomware attack locked up the analytics servers. These events have made it clear that HPA's current security measures aren't good enough. The board wants a practical framework that addresses the risks, meets legal requirements, and actually gets implemented rather than sitting in a drawer.</w:t>
      </w:r>
    </w:p>
    <w:p w14:paraId="7A2E044F" w14:textId="195AE912" w:rsidR="004A73F8" w:rsidRDefault="004E6B6E" w:rsidP="00141A87">
      <w:pPr>
        <w:pStyle w:val="Heading1"/>
        <w:rPr>
          <w:lang w:eastAsia="en-US"/>
        </w:rPr>
      </w:pPr>
      <w:bookmarkStart w:id="1" w:name="_Toc228449144"/>
      <w:r>
        <w:rPr>
          <w:lang w:eastAsia="en-US"/>
        </w:rPr>
        <w:t>1-</w:t>
      </w:r>
      <w:r w:rsidR="004A73F8" w:rsidRPr="004A73F8">
        <w:rPr>
          <w:lang w:eastAsia="en-US"/>
        </w:rPr>
        <w:t>Identification of Threats</w:t>
      </w:r>
      <w:bookmarkEnd w:id="1"/>
    </w:p>
    <w:p w14:paraId="6247CD61" w14:textId="5CDADCB1" w:rsidR="004A73F8" w:rsidRDefault="00B35641" w:rsidP="00B35641">
      <w:pPr>
        <w:rPr>
          <w:rFonts w:eastAsiaTheme="majorEastAsia"/>
          <w:lang w:eastAsia="en-US"/>
        </w:rPr>
      </w:pPr>
      <w:r w:rsidRPr="00B35641">
        <w:rPr>
          <w:rFonts w:eastAsiaTheme="majorEastAsia"/>
          <w:lang w:eastAsia="en-US"/>
        </w:rPr>
        <w:t>In computing, understanding what you are protecting against is the first step in building good security. In cybersecurity, a threat is any action or event that can exploit a vulnerability and affect the confidentiality, integrity, or availability of information. At HealthPlus Analytics (HPA), this translates into risks to sensitive data. These threats are divided into external and internal types, and this section will identify and analyze them to understand their origin and prevention.</w:t>
      </w:r>
    </w:p>
    <w:p w14:paraId="3E216EDC" w14:textId="21B2DFD2" w:rsidR="00B35641" w:rsidRDefault="00B35641" w:rsidP="00B35641">
      <w:pPr>
        <w:rPr>
          <w:rFonts w:eastAsiaTheme="majorEastAsia"/>
          <w:b/>
          <w:bCs/>
          <w:lang w:eastAsia="en-US"/>
        </w:rPr>
      </w:pPr>
      <w:r w:rsidRPr="00B35641">
        <w:rPr>
          <w:rFonts w:eastAsiaTheme="majorEastAsia"/>
          <w:b/>
          <w:bCs/>
          <w:lang w:eastAsia="en-US"/>
        </w:rPr>
        <w:t>External Threats</w:t>
      </w:r>
    </w:p>
    <w:p w14:paraId="6C78AB4C" w14:textId="0BFC8D54" w:rsidR="00560398" w:rsidRPr="00560398" w:rsidRDefault="0050136F" w:rsidP="00560398">
      <w:pPr>
        <w:rPr>
          <w:rFonts w:eastAsiaTheme="majorEastAsia"/>
          <w:lang w:eastAsia="en-US"/>
        </w:rPr>
      </w:pPr>
      <w:r w:rsidRPr="0050136F">
        <w:rPr>
          <w:rFonts w:eastAsiaTheme="majorEastAsia"/>
          <w:lang w:eastAsia="en-US"/>
        </w:rPr>
        <w:t xml:space="preserve">External threats are </w:t>
      </w:r>
      <w:proofErr w:type="gramStart"/>
      <w:r w:rsidRPr="0050136F">
        <w:rPr>
          <w:rFonts w:eastAsiaTheme="majorEastAsia"/>
          <w:lang w:eastAsia="en-US"/>
        </w:rPr>
        <w:t>cyberattacks</w:t>
      </w:r>
      <w:proofErr w:type="gramEnd"/>
      <w:r w:rsidRPr="0050136F">
        <w:rPr>
          <w:rFonts w:eastAsiaTheme="majorEastAsia"/>
          <w:lang w:eastAsia="en-US"/>
        </w:rPr>
        <w:t xml:space="preserve"> that come from outside an organisation, usually carried out by hackers trying to access systems or sensitive data without permission. These include attacks such as phishing, malware, and denial-of-service, which can disrupt operations. Ransomware is especially dangerous for healthcare organisations because it can stop services and cause serious losses. In HPA’s case, attackers used phishing to steal credentials and deploy ransomware on their servers</w:t>
      </w:r>
      <w:sdt>
        <w:sdtPr>
          <w:rPr>
            <w:rFonts w:eastAsiaTheme="majorEastAsia"/>
            <w:lang w:eastAsia="en-US"/>
          </w:rPr>
          <w:id w:val="-445380259"/>
          <w:citation/>
        </w:sdtPr>
        <w:sdtContent>
          <w:r w:rsidR="00B56911">
            <w:rPr>
              <w:rFonts w:eastAsiaTheme="majorEastAsia"/>
              <w:lang w:eastAsia="en-US"/>
            </w:rPr>
            <w:fldChar w:fldCharType="begin"/>
          </w:r>
          <w:r w:rsidR="00B56911">
            <w:rPr>
              <w:rFonts w:eastAsiaTheme="majorEastAsia"/>
              <w:lang w:eastAsia="en-US"/>
            </w:rPr>
            <w:instrText xml:space="preserve"> CITATION Jia25 \l 2057 </w:instrText>
          </w:r>
          <w:r w:rsidR="00B56911">
            <w:rPr>
              <w:rFonts w:eastAsiaTheme="majorEastAsia"/>
              <w:lang w:eastAsia="en-US"/>
            </w:rPr>
            <w:fldChar w:fldCharType="separate"/>
          </w:r>
          <w:r>
            <w:rPr>
              <w:rFonts w:eastAsiaTheme="majorEastAsia"/>
              <w:noProof/>
              <w:lang w:eastAsia="en-US"/>
            </w:rPr>
            <w:t xml:space="preserve"> </w:t>
          </w:r>
          <w:r w:rsidRPr="0050136F">
            <w:rPr>
              <w:rFonts w:eastAsiaTheme="majorEastAsia"/>
              <w:noProof/>
              <w:lang w:eastAsia="en-US"/>
            </w:rPr>
            <w:t>[1]</w:t>
          </w:r>
          <w:r w:rsidR="00B56911">
            <w:rPr>
              <w:rFonts w:eastAsiaTheme="majorEastAsia"/>
              <w:lang w:eastAsia="en-US"/>
            </w:rPr>
            <w:fldChar w:fldCharType="end"/>
          </w:r>
        </w:sdtContent>
      </w:sdt>
      <w:r w:rsidR="00560398" w:rsidRPr="00560398">
        <w:rPr>
          <w:rFonts w:eastAsiaTheme="majorEastAsia"/>
          <w:lang w:eastAsia="en-US"/>
        </w:rPr>
        <w:t>. Healthcare organisations are often targeted because patient data is highly valuable, and companies are more likely to pay quickly to restore essential services. The attack was successful partly because HPA lacked proper network segmentation, allowing the ransomware to spread across multiple servers.</w:t>
      </w:r>
    </w:p>
    <w:p w14:paraId="6C5070FA" w14:textId="568692F4" w:rsidR="00560398" w:rsidRPr="00560398" w:rsidRDefault="00560398" w:rsidP="00560398">
      <w:pPr>
        <w:rPr>
          <w:rFonts w:eastAsiaTheme="majorEastAsia"/>
          <w:lang w:eastAsia="en-US"/>
        </w:rPr>
      </w:pPr>
      <w:r w:rsidRPr="00560398">
        <w:rPr>
          <w:rFonts w:eastAsiaTheme="majorEastAsia"/>
          <w:lang w:eastAsia="en-US"/>
        </w:rPr>
        <w:t>Phishing is commonly the first step attackers use to gain access. They send emails that appear legitimate to trick employees into clicking malicious links or entering their login details on fake websites</w:t>
      </w:r>
      <w:sdt>
        <w:sdtPr>
          <w:rPr>
            <w:rFonts w:eastAsiaTheme="majorEastAsia"/>
            <w:lang w:eastAsia="en-US"/>
          </w:rPr>
          <w:id w:val="1843817756"/>
          <w:citation/>
        </w:sdtPr>
        <w:sdtContent>
          <w:r w:rsidR="00B56911">
            <w:rPr>
              <w:rFonts w:eastAsiaTheme="majorEastAsia"/>
              <w:lang w:eastAsia="en-US"/>
            </w:rPr>
            <w:fldChar w:fldCharType="begin"/>
          </w:r>
          <w:r w:rsidR="00B56911">
            <w:rPr>
              <w:rFonts w:eastAsiaTheme="majorEastAsia"/>
              <w:lang w:eastAsia="en-US"/>
            </w:rPr>
            <w:instrText xml:space="preserve"> CITATION Vit23 \l 2057 </w:instrText>
          </w:r>
          <w:r w:rsidR="00B56911">
            <w:rPr>
              <w:rFonts w:eastAsiaTheme="majorEastAsia"/>
              <w:lang w:eastAsia="en-US"/>
            </w:rPr>
            <w:fldChar w:fldCharType="separate"/>
          </w:r>
          <w:r w:rsidR="0050136F">
            <w:rPr>
              <w:rFonts w:eastAsiaTheme="majorEastAsia"/>
              <w:noProof/>
              <w:lang w:eastAsia="en-US"/>
            </w:rPr>
            <w:t xml:space="preserve"> </w:t>
          </w:r>
          <w:r w:rsidR="0050136F" w:rsidRPr="0050136F">
            <w:rPr>
              <w:rFonts w:eastAsiaTheme="majorEastAsia"/>
              <w:noProof/>
              <w:lang w:eastAsia="en-US"/>
            </w:rPr>
            <w:t>[2]</w:t>
          </w:r>
          <w:r w:rsidR="00B56911">
            <w:rPr>
              <w:rFonts w:eastAsiaTheme="majorEastAsia"/>
              <w:lang w:eastAsia="en-US"/>
            </w:rPr>
            <w:fldChar w:fldCharType="end"/>
          </w:r>
        </w:sdtContent>
      </w:sdt>
      <w:r w:rsidRPr="00560398">
        <w:rPr>
          <w:rFonts w:eastAsiaTheme="majorEastAsia"/>
          <w:lang w:eastAsia="en-US"/>
        </w:rPr>
        <w:t>. At HPA, it is likely that employees received emails that seemed to come from trusted sources, such as IT support. Once an employee entered their credentials, attackers gained legitimate access to the system. These credentials were then used to access systems remotely without raising suspicion. Implementing multi-factor authentication could have prevented this, as a password alone would not have been enough.</w:t>
      </w:r>
    </w:p>
    <w:p w14:paraId="65795AD2" w14:textId="1DEFF65F" w:rsidR="00B56911" w:rsidRDefault="00B56911" w:rsidP="00B56911">
      <w:pPr>
        <w:rPr>
          <w:rFonts w:eastAsiaTheme="majorEastAsia"/>
          <w:b/>
          <w:bCs/>
          <w:lang w:eastAsia="en-US"/>
        </w:rPr>
      </w:pPr>
      <w:r w:rsidRPr="00B56911">
        <w:rPr>
          <w:rFonts w:eastAsiaTheme="majorEastAsia"/>
          <w:b/>
          <w:bCs/>
          <w:lang w:eastAsia="en-US"/>
        </w:rPr>
        <w:t xml:space="preserve"> </w:t>
      </w:r>
      <w:r>
        <w:rPr>
          <w:rFonts w:eastAsiaTheme="majorEastAsia"/>
          <w:b/>
          <w:bCs/>
          <w:lang w:eastAsia="en-US"/>
        </w:rPr>
        <w:t>I</w:t>
      </w:r>
      <w:r w:rsidRPr="00B56911">
        <w:rPr>
          <w:rFonts w:eastAsiaTheme="majorEastAsia"/>
          <w:b/>
          <w:bCs/>
          <w:lang w:eastAsia="en-US"/>
        </w:rPr>
        <w:t>nternal Threats</w:t>
      </w:r>
    </w:p>
    <w:p w14:paraId="781DD059" w14:textId="641E5D33" w:rsidR="00B56911" w:rsidRDefault="00B56911" w:rsidP="00242278">
      <w:pPr>
        <w:rPr>
          <w:rFonts w:eastAsiaTheme="majorEastAsia"/>
          <w:lang w:eastAsia="en-US"/>
        </w:rPr>
      </w:pPr>
      <w:r w:rsidRPr="00B56911">
        <w:rPr>
          <w:rFonts w:eastAsiaTheme="majorEastAsia"/>
          <w:lang w:eastAsia="en-US"/>
        </w:rPr>
        <w:t>Internal threats are security issues that come from inside the organisation. In HPA’s case, the cloud data breach can be seen as an internal problem. It likely happened because someone with legitimate access either misconfigured the cloud settings or used a weak password that attackers were able to steal</w:t>
      </w:r>
      <w:sdt>
        <w:sdtPr>
          <w:rPr>
            <w:rFonts w:eastAsiaTheme="majorEastAsia"/>
            <w:lang w:eastAsia="en-US"/>
          </w:rPr>
          <w:id w:val="-1321889701"/>
          <w:citation/>
        </w:sdtPr>
        <w:sdtContent>
          <w:r w:rsidR="00BE5BE7">
            <w:rPr>
              <w:rFonts w:eastAsiaTheme="majorEastAsia"/>
              <w:lang w:eastAsia="en-US"/>
            </w:rPr>
            <w:fldChar w:fldCharType="begin"/>
          </w:r>
          <w:r w:rsidR="00BE5BE7">
            <w:rPr>
              <w:rFonts w:eastAsiaTheme="majorEastAsia"/>
              <w:lang w:eastAsia="en-US"/>
            </w:rPr>
            <w:instrText xml:space="preserve"> CITATION Phi20 \l 2057 </w:instrText>
          </w:r>
          <w:r w:rsidR="00BE5BE7">
            <w:rPr>
              <w:rFonts w:eastAsiaTheme="majorEastAsia"/>
              <w:lang w:eastAsia="en-US"/>
            </w:rPr>
            <w:fldChar w:fldCharType="separate"/>
          </w:r>
          <w:r w:rsidR="0050136F">
            <w:rPr>
              <w:rFonts w:eastAsiaTheme="majorEastAsia"/>
              <w:noProof/>
              <w:lang w:eastAsia="en-US"/>
            </w:rPr>
            <w:t xml:space="preserve"> </w:t>
          </w:r>
          <w:r w:rsidR="0050136F" w:rsidRPr="0050136F">
            <w:rPr>
              <w:rFonts w:eastAsiaTheme="majorEastAsia"/>
              <w:noProof/>
              <w:lang w:eastAsia="en-US"/>
            </w:rPr>
            <w:t>[3]</w:t>
          </w:r>
          <w:r w:rsidR="00BE5BE7">
            <w:rPr>
              <w:rFonts w:eastAsiaTheme="majorEastAsia"/>
              <w:lang w:eastAsia="en-US"/>
            </w:rPr>
            <w:fldChar w:fldCharType="end"/>
          </w:r>
        </w:sdtContent>
      </w:sdt>
      <w:r w:rsidRPr="00B56911">
        <w:rPr>
          <w:rFonts w:eastAsiaTheme="majorEastAsia"/>
          <w:lang w:eastAsia="en-US"/>
        </w:rPr>
        <w:t xml:space="preserve">. </w:t>
      </w:r>
      <w:r w:rsidR="00242278" w:rsidRPr="00242278">
        <w:rPr>
          <w:rFonts w:eastAsiaTheme="majorEastAsia"/>
          <w:lang w:eastAsia="en-US"/>
        </w:rPr>
        <w:t>This highlights common internal risks such as configuration errors and weak password practices. The cloud system may have been exposed due to poor understanding of security settings, default configurations, or excessive access permissions. BYOD policies can increase this risk, as personal devices may be insecure. If an employee accessed the system from an infected device, their credentials could have been exposed, leading to the breach.</w:t>
      </w:r>
    </w:p>
    <w:p w14:paraId="7649596E" w14:textId="21D940F2" w:rsidR="00BE5BE7" w:rsidRDefault="00BE5BE7" w:rsidP="00B56911">
      <w:pPr>
        <w:rPr>
          <w:rFonts w:eastAsiaTheme="majorEastAsia"/>
          <w:b/>
          <w:bCs/>
          <w:lang w:eastAsia="en-US"/>
        </w:rPr>
      </w:pPr>
      <w:r w:rsidRPr="00BE5BE7">
        <w:rPr>
          <w:rFonts w:eastAsiaTheme="majorEastAsia"/>
          <w:b/>
          <w:bCs/>
          <w:lang w:eastAsia="en-US"/>
        </w:rPr>
        <w:t>Threat Assessment</w:t>
      </w:r>
    </w:p>
    <w:p w14:paraId="399845C7" w14:textId="4ACE235C" w:rsidR="00CD6424" w:rsidRDefault="00CD6424" w:rsidP="00B56911">
      <w:pPr>
        <w:rPr>
          <w:rFonts w:eastAsiaTheme="majorEastAsia"/>
          <w:lang w:eastAsia="en-US"/>
        </w:rPr>
      </w:pPr>
      <w:r w:rsidRPr="00CD6424">
        <w:rPr>
          <w:rFonts w:eastAsiaTheme="majorEastAsia"/>
          <w:lang w:eastAsia="en-US"/>
        </w:rPr>
        <w:t>Based on the previous information, a table is presented to identify the main threats, whether they are internal or external, their impact on confidentiality, integrity, and availability, and their likelihood for HPA. Ransomware, negligent employees, and cloud misconfiguration are rated as “Very High” because HPA has already experienced these threats.</w:t>
      </w:r>
    </w:p>
    <w:p w14:paraId="3FF6E45B" w14:textId="2ADD0ED7" w:rsidR="00DD49A5" w:rsidRDefault="00DD49A5" w:rsidP="00B56911">
      <w:pPr>
        <w:rPr>
          <w:rFonts w:eastAsiaTheme="majorEastAsia"/>
          <w:lang w:eastAsia="en-US"/>
        </w:rPr>
      </w:pPr>
    </w:p>
    <w:tbl>
      <w:tblPr>
        <w:tblStyle w:val="TableGrid"/>
        <w:tblW w:w="0" w:type="auto"/>
        <w:tblLook w:val="04A0" w:firstRow="1" w:lastRow="0" w:firstColumn="1" w:lastColumn="0" w:noHBand="0" w:noVBand="1"/>
      </w:tblPr>
      <w:tblGrid>
        <w:gridCol w:w="2254"/>
        <w:gridCol w:w="2254"/>
        <w:gridCol w:w="2254"/>
        <w:gridCol w:w="2254"/>
      </w:tblGrid>
      <w:tr w:rsidR="00DD49A5" w14:paraId="6FF97018" w14:textId="77777777" w:rsidTr="00EF2D72">
        <w:tc>
          <w:tcPr>
            <w:tcW w:w="2254" w:type="dxa"/>
            <w:shd w:val="clear" w:color="auto" w:fill="00B0F0"/>
          </w:tcPr>
          <w:p w14:paraId="34829423" w14:textId="77777777" w:rsidR="00DD49A5" w:rsidRPr="00EF2D72" w:rsidRDefault="00DD49A5" w:rsidP="00EF2D72">
            <w:pPr>
              <w:rPr>
                <w:b/>
                <w:bCs/>
              </w:rPr>
            </w:pPr>
            <w:r w:rsidRPr="00EF2D72">
              <w:rPr>
                <w:b/>
                <w:bCs/>
                <w:lang w:eastAsia="en-US"/>
              </w:rPr>
              <w:t>Threat</w:t>
            </w:r>
          </w:p>
          <w:p w14:paraId="2EE94D5B" w14:textId="66BCA81D" w:rsidR="00DD49A5" w:rsidRPr="00EF2D72" w:rsidRDefault="00DD49A5" w:rsidP="00EF2D72">
            <w:pPr>
              <w:rPr>
                <w:b/>
                <w:bCs/>
                <w:highlight w:val="yellow"/>
              </w:rPr>
            </w:pPr>
          </w:p>
        </w:tc>
        <w:tc>
          <w:tcPr>
            <w:tcW w:w="2254" w:type="dxa"/>
            <w:shd w:val="clear" w:color="auto" w:fill="00B0F0"/>
          </w:tcPr>
          <w:p w14:paraId="47495AEC" w14:textId="069ACD90" w:rsidR="00DD49A5" w:rsidRPr="00EF2D72" w:rsidRDefault="00DD49A5" w:rsidP="00EF2D72">
            <w:pPr>
              <w:rPr>
                <w:b/>
                <w:bCs/>
                <w:highlight w:val="yellow"/>
              </w:rPr>
            </w:pPr>
            <w:r w:rsidRPr="00EF2D72">
              <w:rPr>
                <w:b/>
                <w:bCs/>
                <w:lang w:eastAsia="en-US"/>
              </w:rPr>
              <w:t>Type</w:t>
            </w:r>
          </w:p>
        </w:tc>
        <w:tc>
          <w:tcPr>
            <w:tcW w:w="2254" w:type="dxa"/>
            <w:shd w:val="clear" w:color="auto" w:fill="00B0F0"/>
          </w:tcPr>
          <w:p w14:paraId="6431F8C8" w14:textId="06AF38DA" w:rsidR="00DD49A5" w:rsidRPr="00EF2D72" w:rsidRDefault="00DD49A5" w:rsidP="00EF2D72">
            <w:pPr>
              <w:rPr>
                <w:b/>
                <w:bCs/>
                <w:highlight w:val="yellow"/>
              </w:rPr>
            </w:pPr>
            <w:r w:rsidRPr="00EF2D72">
              <w:rPr>
                <w:b/>
                <w:bCs/>
                <w:lang w:eastAsia="en-US"/>
              </w:rPr>
              <w:t>CIA Impact</w:t>
            </w:r>
          </w:p>
        </w:tc>
        <w:tc>
          <w:tcPr>
            <w:tcW w:w="2254" w:type="dxa"/>
            <w:shd w:val="clear" w:color="auto" w:fill="00B0F0"/>
          </w:tcPr>
          <w:p w14:paraId="6C2203D2" w14:textId="6D785C4F" w:rsidR="00DD49A5" w:rsidRPr="00EF2D72" w:rsidRDefault="00DD49A5" w:rsidP="00EF2D72">
            <w:pPr>
              <w:rPr>
                <w:b/>
                <w:bCs/>
              </w:rPr>
            </w:pPr>
            <w:r w:rsidRPr="00EF2D72">
              <w:rPr>
                <w:b/>
                <w:bCs/>
                <w:lang w:eastAsia="en-US"/>
              </w:rPr>
              <w:t>Likelihood for HPA</w:t>
            </w:r>
          </w:p>
        </w:tc>
      </w:tr>
      <w:tr w:rsidR="00DD49A5" w14:paraId="5657230E" w14:textId="77777777" w:rsidTr="00EF2D72">
        <w:tc>
          <w:tcPr>
            <w:tcW w:w="2254" w:type="dxa"/>
            <w:shd w:val="clear" w:color="auto" w:fill="auto"/>
          </w:tcPr>
          <w:p w14:paraId="743FD24F" w14:textId="77777777" w:rsidR="00DD49A5" w:rsidRDefault="00DD49A5" w:rsidP="00B56911">
            <w:pPr>
              <w:rPr>
                <w:rFonts w:eastAsiaTheme="majorEastAsia"/>
                <w:lang w:eastAsia="en-US"/>
              </w:rPr>
            </w:pPr>
            <w:r w:rsidRPr="00DD49A5">
              <w:rPr>
                <w:rFonts w:eastAsiaTheme="majorEastAsia"/>
                <w:lang w:eastAsia="en-US"/>
              </w:rPr>
              <w:t>Ransomware</w:t>
            </w:r>
          </w:p>
          <w:p w14:paraId="4F4E3CA2" w14:textId="17B727AB" w:rsidR="00DD49A5" w:rsidRDefault="00DD49A5" w:rsidP="00B56911">
            <w:pPr>
              <w:rPr>
                <w:rFonts w:eastAsiaTheme="majorEastAsia"/>
                <w:lang w:eastAsia="en-US"/>
              </w:rPr>
            </w:pPr>
          </w:p>
        </w:tc>
        <w:tc>
          <w:tcPr>
            <w:tcW w:w="2254" w:type="dxa"/>
            <w:shd w:val="clear" w:color="auto" w:fill="auto"/>
          </w:tcPr>
          <w:p w14:paraId="0778ECB2" w14:textId="7EBF5CB5" w:rsidR="00DD49A5" w:rsidRDefault="00EF2D72" w:rsidP="00B56911">
            <w:pPr>
              <w:rPr>
                <w:rFonts w:eastAsiaTheme="majorEastAsia"/>
                <w:lang w:eastAsia="en-US"/>
              </w:rPr>
            </w:pPr>
            <w:r w:rsidRPr="00EF2D72">
              <w:rPr>
                <w:rFonts w:eastAsiaTheme="majorEastAsia"/>
                <w:lang w:eastAsia="en-US"/>
              </w:rPr>
              <w:t>External</w:t>
            </w:r>
          </w:p>
        </w:tc>
        <w:tc>
          <w:tcPr>
            <w:tcW w:w="2254" w:type="dxa"/>
            <w:shd w:val="clear" w:color="auto" w:fill="auto"/>
          </w:tcPr>
          <w:p w14:paraId="451D13F9" w14:textId="4051CAF9" w:rsidR="00DD49A5" w:rsidRPr="00EF2D72" w:rsidRDefault="00EF2D72" w:rsidP="00B56911">
            <w:pPr>
              <w:rPr>
                <w:rFonts w:eastAsia="Times New Roman"/>
                <w:lang w:eastAsia="en-GB"/>
              </w:rPr>
            </w:pPr>
            <w:r>
              <w:rPr>
                <w:rFonts w:ascii="Arial" w:eastAsia="Arial" w:hAnsi="Arial" w:cs="Arial"/>
                <w:color w:val="000000"/>
                <w:sz w:val="22"/>
                <w:szCs w:val="22"/>
              </w:rPr>
              <w:t>Availability, Confidentiality</w:t>
            </w:r>
          </w:p>
        </w:tc>
        <w:tc>
          <w:tcPr>
            <w:tcW w:w="2254" w:type="dxa"/>
            <w:shd w:val="clear" w:color="auto" w:fill="auto"/>
          </w:tcPr>
          <w:p w14:paraId="079410DA" w14:textId="53A0F764" w:rsidR="00DD49A5" w:rsidRDefault="00EF2D72" w:rsidP="00B56911">
            <w:pPr>
              <w:rPr>
                <w:rFonts w:eastAsiaTheme="majorEastAsia"/>
                <w:lang w:eastAsia="en-US"/>
              </w:rPr>
            </w:pPr>
            <w:r w:rsidRPr="00EF2D72">
              <w:rPr>
                <w:rFonts w:eastAsiaTheme="majorEastAsia"/>
                <w:lang w:eastAsia="en-US"/>
              </w:rPr>
              <w:t>Very High</w:t>
            </w:r>
          </w:p>
        </w:tc>
      </w:tr>
      <w:tr w:rsidR="00DD49A5" w14:paraId="6155F7BD" w14:textId="77777777" w:rsidTr="00DD49A5">
        <w:tc>
          <w:tcPr>
            <w:tcW w:w="2254" w:type="dxa"/>
          </w:tcPr>
          <w:p w14:paraId="30CF4154" w14:textId="77777777" w:rsidR="00DD49A5" w:rsidRDefault="00DD49A5" w:rsidP="00B56911">
            <w:pPr>
              <w:rPr>
                <w:rFonts w:eastAsiaTheme="majorEastAsia"/>
                <w:lang w:eastAsia="en-US"/>
              </w:rPr>
            </w:pPr>
            <w:r w:rsidRPr="00DD49A5">
              <w:rPr>
                <w:rFonts w:eastAsiaTheme="majorEastAsia"/>
                <w:lang w:eastAsia="en-US"/>
              </w:rPr>
              <w:t>Phishing / Social Engineering</w:t>
            </w:r>
          </w:p>
          <w:p w14:paraId="67E8C233" w14:textId="164E98A3" w:rsidR="00DD49A5" w:rsidRDefault="00DD49A5" w:rsidP="00B56911">
            <w:pPr>
              <w:rPr>
                <w:rFonts w:eastAsiaTheme="majorEastAsia"/>
                <w:lang w:eastAsia="en-US"/>
              </w:rPr>
            </w:pPr>
          </w:p>
        </w:tc>
        <w:tc>
          <w:tcPr>
            <w:tcW w:w="2254" w:type="dxa"/>
          </w:tcPr>
          <w:p w14:paraId="676F10DE" w14:textId="120AF9E1" w:rsidR="00DD49A5" w:rsidRDefault="00EF2D72" w:rsidP="00B56911">
            <w:pPr>
              <w:rPr>
                <w:rFonts w:eastAsiaTheme="majorEastAsia"/>
                <w:lang w:eastAsia="en-US"/>
              </w:rPr>
            </w:pPr>
            <w:r w:rsidRPr="00EF2D72">
              <w:rPr>
                <w:rFonts w:eastAsiaTheme="majorEastAsia"/>
                <w:lang w:eastAsia="en-US"/>
              </w:rPr>
              <w:t>External</w:t>
            </w:r>
          </w:p>
        </w:tc>
        <w:tc>
          <w:tcPr>
            <w:tcW w:w="2254" w:type="dxa"/>
          </w:tcPr>
          <w:p w14:paraId="2FD4F187" w14:textId="77777777" w:rsidR="00EF2D72" w:rsidRDefault="00EF2D72" w:rsidP="00EF2D72">
            <w:pPr>
              <w:rPr>
                <w:rFonts w:eastAsia="Times New Roman"/>
                <w:lang w:eastAsia="en-GB"/>
              </w:rPr>
            </w:pPr>
            <w:r>
              <w:rPr>
                <w:rFonts w:ascii="Arial" w:eastAsia="Arial" w:hAnsi="Arial" w:cs="Arial"/>
                <w:color w:val="000000"/>
                <w:sz w:val="22"/>
                <w:szCs w:val="22"/>
              </w:rPr>
              <w:t>Confidentiality, Integrity</w:t>
            </w:r>
          </w:p>
          <w:p w14:paraId="2AE6F588" w14:textId="77777777" w:rsidR="00DD49A5" w:rsidRDefault="00DD49A5" w:rsidP="00B56911">
            <w:pPr>
              <w:rPr>
                <w:rFonts w:eastAsiaTheme="majorEastAsia"/>
                <w:lang w:eastAsia="en-US"/>
              </w:rPr>
            </w:pPr>
          </w:p>
        </w:tc>
        <w:tc>
          <w:tcPr>
            <w:tcW w:w="2254" w:type="dxa"/>
          </w:tcPr>
          <w:p w14:paraId="796636EC" w14:textId="2E68BECB" w:rsidR="00DD49A5" w:rsidRDefault="00EF2D72" w:rsidP="00B56911">
            <w:pPr>
              <w:rPr>
                <w:rFonts w:eastAsiaTheme="majorEastAsia"/>
                <w:lang w:eastAsia="en-US"/>
              </w:rPr>
            </w:pPr>
            <w:r w:rsidRPr="00EF2D72">
              <w:rPr>
                <w:rFonts w:eastAsiaTheme="majorEastAsia"/>
                <w:lang w:eastAsia="en-US"/>
              </w:rPr>
              <w:t>High</w:t>
            </w:r>
          </w:p>
        </w:tc>
      </w:tr>
      <w:tr w:rsidR="00DD49A5" w14:paraId="7C5CA6CC" w14:textId="77777777" w:rsidTr="00DD49A5">
        <w:tc>
          <w:tcPr>
            <w:tcW w:w="2254" w:type="dxa"/>
          </w:tcPr>
          <w:p w14:paraId="3A0DFF2D" w14:textId="03026AF1" w:rsidR="00DD49A5" w:rsidRDefault="00DD49A5" w:rsidP="00B56911">
            <w:pPr>
              <w:rPr>
                <w:rFonts w:eastAsiaTheme="majorEastAsia"/>
                <w:lang w:eastAsia="en-US"/>
              </w:rPr>
            </w:pPr>
            <w:r w:rsidRPr="00DD49A5">
              <w:rPr>
                <w:rFonts w:eastAsiaTheme="majorEastAsia"/>
                <w:lang w:eastAsia="en-US"/>
              </w:rPr>
              <w:t>Supply Chain / Third-Party</w:t>
            </w:r>
          </w:p>
        </w:tc>
        <w:tc>
          <w:tcPr>
            <w:tcW w:w="2254" w:type="dxa"/>
          </w:tcPr>
          <w:p w14:paraId="4603424E" w14:textId="04D7D2A3" w:rsidR="00DD49A5" w:rsidRDefault="00EF2D72" w:rsidP="00B56911">
            <w:pPr>
              <w:rPr>
                <w:rFonts w:eastAsiaTheme="majorEastAsia"/>
                <w:lang w:eastAsia="en-US"/>
              </w:rPr>
            </w:pPr>
            <w:r w:rsidRPr="00EF2D72">
              <w:rPr>
                <w:rFonts w:eastAsiaTheme="majorEastAsia"/>
                <w:lang w:eastAsia="en-US"/>
              </w:rPr>
              <w:t>External</w:t>
            </w:r>
          </w:p>
        </w:tc>
        <w:tc>
          <w:tcPr>
            <w:tcW w:w="2254" w:type="dxa"/>
          </w:tcPr>
          <w:p w14:paraId="061385D4" w14:textId="6473B988" w:rsidR="00DD49A5" w:rsidRDefault="00EF2D72" w:rsidP="00B56911">
            <w:pPr>
              <w:rPr>
                <w:rFonts w:eastAsiaTheme="majorEastAsia"/>
                <w:lang w:eastAsia="en-US"/>
              </w:rPr>
            </w:pPr>
            <w:r w:rsidRPr="00EF2D72">
              <w:rPr>
                <w:rFonts w:eastAsiaTheme="majorEastAsia"/>
                <w:lang w:eastAsia="en-US"/>
              </w:rPr>
              <w:t>Confidentiality, Availability</w:t>
            </w:r>
          </w:p>
        </w:tc>
        <w:tc>
          <w:tcPr>
            <w:tcW w:w="2254" w:type="dxa"/>
          </w:tcPr>
          <w:p w14:paraId="3601C12D" w14:textId="2BDD0B27" w:rsidR="00DD49A5" w:rsidRDefault="00EF2D72" w:rsidP="00B56911">
            <w:pPr>
              <w:rPr>
                <w:rFonts w:eastAsiaTheme="majorEastAsia"/>
                <w:lang w:eastAsia="en-US"/>
              </w:rPr>
            </w:pPr>
            <w:r w:rsidRPr="00EF2D72">
              <w:rPr>
                <w:rFonts w:eastAsiaTheme="majorEastAsia"/>
                <w:lang w:eastAsia="en-US"/>
              </w:rPr>
              <w:t>High</w:t>
            </w:r>
          </w:p>
        </w:tc>
      </w:tr>
      <w:tr w:rsidR="00DD49A5" w14:paraId="24C564D0" w14:textId="77777777" w:rsidTr="00DD49A5">
        <w:tc>
          <w:tcPr>
            <w:tcW w:w="2254" w:type="dxa"/>
          </w:tcPr>
          <w:p w14:paraId="0977DCF2" w14:textId="06FB2F78" w:rsidR="00DD49A5" w:rsidRDefault="00DD49A5" w:rsidP="00B56911">
            <w:pPr>
              <w:rPr>
                <w:rFonts w:eastAsiaTheme="majorEastAsia"/>
                <w:lang w:eastAsia="en-US"/>
              </w:rPr>
            </w:pPr>
            <w:r w:rsidRPr="00DD49A5">
              <w:rPr>
                <w:rFonts w:eastAsiaTheme="majorEastAsia"/>
                <w:lang w:eastAsia="en-US"/>
              </w:rPr>
              <w:t>Zero-Day Exploitation</w:t>
            </w:r>
          </w:p>
        </w:tc>
        <w:tc>
          <w:tcPr>
            <w:tcW w:w="2254" w:type="dxa"/>
          </w:tcPr>
          <w:p w14:paraId="5663D4B4" w14:textId="75C2681C" w:rsidR="00DD49A5" w:rsidRDefault="00EF2D72" w:rsidP="00B56911">
            <w:pPr>
              <w:rPr>
                <w:rFonts w:eastAsiaTheme="majorEastAsia"/>
                <w:lang w:eastAsia="en-US"/>
              </w:rPr>
            </w:pPr>
            <w:r w:rsidRPr="00EF2D72">
              <w:rPr>
                <w:rFonts w:eastAsiaTheme="majorEastAsia"/>
                <w:lang w:eastAsia="en-US"/>
              </w:rPr>
              <w:t>External</w:t>
            </w:r>
          </w:p>
        </w:tc>
        <w:tc>
          <w:tcPr>
            <w:tcW w:w="2254" w:type="dxa"/>
          </w:tcPr>
          <w:p w14:paraId="4EE3DE59" w14:textId="278CB39C" w:rsidR="00DD49A5" w:rsidRDefault="00EF2D72" w:rsidP="00B56911">
            <w:pPr>
              <w:rPr>
                <w:rFonts w:eastAsiaTheme="majorEastAsia"/>
                <w:lang w:eastAsia="en-US"/>
              </w:rPr>
            </w:pPr>
            <w:r w:rsidRPr="00EF2D72">
              <w:rPr>
                <w:rFonts w:eastAsiaTheme="majorEastAsia"/>
                <w:lang w:eastAsia="en-US"/>
              </w:rPr>
              <w:t>All three</w:t>
            </w:r>
          </w:p>
        </w:tc>
        <w:tc>
          <w:tcPr>
            <w:tcW w:w="2254" w:type="dxa"/>
          </w:tcPr>
          <w:p w14:paraId="16D5D7D3" w14:textId="18AE16B0" w:rsidR="00DD49A5" w:rsidRDefault="00EF2D72" w:rsidP="00B56911">
            <w:pPr>
              <w:rPr>
                <w:rFonts w:eastAsiaTheme="majorEastAsia"/>
                <w:lang w:eastAsia="en-US"/>
              </w:rPr>
            </w:pPr>
            <w:r w:rsidRPr="00EF2D72">
              <w:rPr>
                <w:rFonts w:eastAsiaTheme="majorEastAsia"/>
                <w:lang w:eastAsia="en-US"/>
              </w:rPr>
              <w:t>Medium</w:t>
            </w:r>
          </w:p>
        </w:tc>
      </w:tr>
      <w:tr w:rsidR="00DD49A5" w14:paraId="0D5D35F2" w14:textId="77777777" w:rsidTr="00DD49A5">
        <w:tc>
          <w:tcPr>
            <w:tcW w:w="2254" w:type="dxa"/>
          </w:tcPr>
          <w:p w14:paraId="43B94B04" w14:textId="542AA651" w:rsidR="00DD49A5" w:rsidRDefault="00DD49A5" w:rsidP="00B56911">
            <w:pPr>
              <w:rPr>
                <w:rFonts w:eastAsiaTheme="majorEastAsia"/>
                <w:lang w:eastAsia="en-US"/>
              </w:rPr>
            </w:pPr>
            <w:r w:rsidRPr="00DD49A5">
              <w:rPr>
                <w:rFonts w:eastAsiaTheme="majorEastAsia"/>
                <w:lang w:eastAsia="en-US"/>
              </w:rPr>
              <w:t>Malicious Insiders</w:t>
            </w:r>
          </w:p>
        </w:tc>
        <w:tc>
          <w:tcPr>
            <w:tcW w:w="2254" w:type="dxa"/>
          </w:tcPr>
          <w:p w14:paraId="367FAEEC" w14:textId="75EA59B7" w:rsidR="00DD49A5" w:rsidRDefault="00EF2D72" w:rsidP="00B56911">
            <w:pPr>
              <w:rPr>
                <w:rFonts w:eastAsiaTheme="majorEastAsia"/>
                <w:lang w:eastAsia="en-US"/>
              </w:rPr>
            </w:pPr>
            <w:r w:rsidRPr="00EF2D72">
              <w:rPr>
                <w:rFonts w:eastAsiaTheme="majorEastAsia"/>
                <w:lang w:eastAsia="en-US"/>
              </w:rPr>
              <w:t>Internal</w:t>
            </w:r>
          </w:p>
        </w:tc>
        <w:tc>
          <w:tcPr>
            <w:tcW w:w="2254" w:type="dxa"/>
          </w:tcPr>
          <w:p w14:paraId="245BAA7B" w14:textId="77777777" w:rsidR="00EF2D72" w:rsidRDefault="00EF2D72" w:rsidP="00B56911">
            <w:pPr>
              <w:rPr>
                <w:rFonts w:eastAsiaTheme="majorEastAsia"/>
                <w:lang w:eastAsia="en-US"/>
              </w:rPr>
            </w:pPr>
            <w:r w:rsidRPr="00EF2D72">
              <w:rPr>
                <w:rFonts w:eastAsiaTheme="majorEastAsia"/>
                <w:lang w:eastAsia="en-US"/>
              </w:rPr>
              <w:t>All three</w:t>
            </w:r>
          </w:p>
          <w:p w14:paraId="5B665EBC" w14:textId="650F4C54" w:rsidR="00EF2D72" w:rsidRDefault="00EF2D72" w:rsidP="00B56911">
            <w:pPr>
              <w:rPr>
                <w:rFonts w:eastAsiaTheme="majorEastAsia"/>
                <w:lang w:eastAsia="en-US"/>
              </w:rPr>
            </w:pPr>
          </w:p>
        </w:tc>
        <w:tc>
          <w:tcPr>
            <w:tcW w:w="2254" w:type="dxa"/>
          </w:tcPr>
          <w:p w14:paraId="014D4BAF" w14:textId="303E3BC6" w:rsidR="00DD49A5" w:rsidRDefault="00EF2D72" w:rsidP="00B56911">
            <w:pPr>
              <w:rPr>
                <w:rFonts w:eastAsiaTheme="majorEastAsia"/>
                <w:lang w:eastAsia="en-US"/>
              </w:rPr>
            </w:pPr>
            <w:r w:rsidRPr="00EF2D72">
              <w:rPr>
                <w:rFonts w:eastAsiaTheme="majorEastAsia"/>
                <w:lang w:eastAsia="en-US"/>
              </w:rPr>
              <w:t>Medium</w:t>
            </w:r>
          </w:p>
        </w:tc>
      </w:tr>
      <w:tr w:rsidR="00DD49A5" w14:paraId="2CED14C4" w14:textId="77777777" w:rsidTr="00DD49A5">
        <w:tc>
          <w:tcPr>
            <w:tcW w:w="2254" w:type="dxa"/>
          </w:tcPr>
          <w:p w14:paraId="0A330BD9" w14:textId="77777777" w:rsidR="00DD49A5" w:rsidRDefault="00DD49A5" w:rsidP="00DD49A5">
            <w:pPr>
              <w:rPr>
                <w:rFonts w:eastAsia="Times New Roman"/>
                <w:lang w:eastAsia="en-GB"/>
              </w:rPr>
            </w:pPr>
            <w:r>
              <w:rPr>
                <w:rFonts w:ascii="Arial" w:eastAsia="Arial" w:hAnsi="Arial" w:cs="Arial"/>
                <w:color w:val="000000"/>
                <w:sz w:val="22"/>
                <w:szCs w:val="22"/>
              </w:rPr>
              <w:t>BYOD Vulnerabilities</w:t>
            </w:r>
          </w:p>
          <w:p w14:paraId="4BEB2F53" w14:textId="77777777" w:rsidR="00DD49A5" w:rsidRDefault="00DD49A5" w:rsidP="00B56911">
            <w:pPr>
              <w:rPr>
                <w:rFonts w:eastAsiaTheme="majorEastAsia"/>
                <w:lang w:eastAsia="en-US"/>
              </w:rPr>
            </w:pPr>
          </w:p>
        </w:tc>
        <w:tc>
          <w:tcPr>
            <w:tcW w:w="2254" w:type="dxa"/>
          </w:tcPr>
          <w:p w14:paraId="18836127" w14:textId="58529876" w:rsidR="00DD49A5" w:rsidRDefault="00EF2D72" w:rsidP="00B56911">
            <w:pPr>
              <w:rPr>
                <w:rFonts w:eastAsiaTheme="majorEastAsia"/>
                <w:lang w:eastAsia="en-US"/>
              </w:rPr>
            </w:pPr>
            <w:r w:rsidRPr="00EF2D72">
              <w:rPr>
                <w:rFonts w:eastAsiaTheme="majorEastAsia"/>
                <w:lang w:eastAsia="en-US"/>
              </w:rPr>
              <w:t>Internal</w:t>
            </w:r>
          </w:p>
        </w:tc>
        <w:tc>
          <w:tcPr>
            <w:tcW w:w="2254" w:type="dxa"/>
          </w:tcPr>
          <w:p w14:paraId="0332D6CF" w14:textId="5ADAA2E2" w:rsidR="00DD49A5" w:rsidRDefault="00EF2D72" w:rsidP="00B56911">
            <w:pPr>
              <w:rPr>
                <w:rFonts w:eastAsiaTheme="majorEastAsia"/>
                <w:lang w:eastAsia="en-US"/>
              </w:rPr>
            </w:pPr>
            <w:r w:rsidRPr="00EF2D72">
              <w:rPr>
                <w:rFonts w:eastAsiaTheme="majorEastAsia"/>
                <w:lang w:eastAsia="en-US"/>
              </w:rPr>
              <w:t>Confidentiality, Integrity</w:t>
            </w:r>
          </w:p>
        </w:tc>
        <w:tc>
          <w:tcPr>
            <w:tcW w:w="2254" w:type="dxa"/>
          </w:tcPr>
          <w:p w14:paraId="50677B2C" w14:textId="6CB17D05" w:rsidR="00DD49A5" w:rsidRDefault="00EF2D72" w:rsidP="00B56911">
            <w:pPr>
              <w:rPr>
                <w:rFonts w:eastAsiaTheme="majorEastAsia"/>
                <w:lang w:eastAsia="en-US"/>
              </w:rPr>
            </w:pPr>
            <w:r w:rsidRPr="00EF2D72">
              <w:rPr>
                <w:rFonts w:eastAsiaTheme="majorEastAsia"/>
                <w:lang w:eastAsia="en-US"/>
              </w:rPr>
              <w:t>High</w:t>
            </w:r>
          </w:p>
        </w:tc>
      </w:tr>
      <w:tr w:rsidR="00DD49A5" w14:paraId="66003E6E" w14:textId="77777777" w:rsidTr="00DD49A5">
        <w:tc>
          <w:tcPr>
            <w:tcW w:w="2254" w:type="dxa"/>
          </w:tcPr>
          <w:p w14:paraId="1E425C27" w14:textId="506D5E70" w:rsidR="00DD49A5" w:rsidRDefault="00DD49A5" w:rsidP="00B56911">
            <w:pPr>
              <w:rPr>
                <w:rFonts w:eastAsiaTheme="majorEastAsia"/>
                <w:lang w:eastAsia="en-US"/>
              </w:rPr>
            </w:pPr>
            <w:r w:rsidRPr="00DD49A5">
              <w:rPr>
                <w:rFonts w:eastAsiaTheme="majorEastAsia"/>
                <w:lang w:eastAsia="en-US"/>
              </w:rPr>
              <w:t>Cloud Misconfiguration</w:t>
            </w:r>
          </w:p>
        </w:tc>
        <w:tc>
          <w:tcPr>
            <w:tcW w:w="2254" w:type="dxa"/>
          </w:tcPr>
          <w:p w14:paraId="72D5F970" w14:textId="37AF985B" w:rsidR="00DD49A5" w:rsidRDefault="00EF2D72" w:rsidP="00B56911">
            <w:pPr>
              <w:rPr>
                <w:rFonts w:eastAsiaTheme="majorEastAsia"/>
                <w:lang w:eastAsia="en-US"/>
              </w:rPr>
            </w:pPr>
            <w:r w:rsidRPr="00EF2D72">
              <w:rPr>
                <w:rFonts w:eastAsiaTheme="majorEastAsia"/>
                <w:lang w:eastAsia="en-US"/>
              </w:rPr>
              <w:t>Internal</w:t>
            </w:r>
          </w:p>
        </w:tc>
        <w:tc>
          <w:tcPr>
            <w:tcW w:w="2254" w:type="dxa"/>
          </w:tcPr>
          <w:p w14:paraId="15CF4383" w14:textId="7405CCAD" w:rsidR="00DD49A5" w:rsidRDefault="00EF2D72" w:rsidP="00B56911">
            <w:pPr>
              <w:rPr>
                <w:rFonts w:eastAsiaTheme="majorEastAsia"/>
                <w:lang w:eastAsia="en-US"/>
              </w:rPr>
            </w:pPr>
            <w:r w:rsidRPr="00EF2D72">
              <w:rPr>
                <w:rFonts w:eastAsiaTheme="majorEastAsia"/>
                <w:lang w:eastAsia="en-US"/>
              </w:rPr>
              <w:t>Confidentiality</w:t>
            </w:r>
          </w:p>
        </w:tc>
        <w:tc>
          <w:tcPr>
            <w:tcW w:w="2254" w:type="dxa"/>
          </w:tcPr>
          <w:p w14:paraId="4B5DBBF3" w14:textId="0A3587C0" w:rsidR="00DD49A5" w:rsidRDefault="00EF2D72" w:rsidP="00B56911">
            <w:pPr>
              <w:rPr>
                <w:rFonts w:eastAsiaTheme="majorEastAsia"/>
                <w:lang w:eastAsia="en-US"/>
              </w:rPr>
            </w:pPr>
            <w:r w:rsidRPr="00EF2D72">
              <w:rPr>
                <w:rFonts w:eastAsiaTheme="majorEastAsia"/>
                <w:lang w:eastAsia="en-US"/>
              </w:rPr>
              <w:t>Very High</w:t>
            </w:r>
          </w:p>
        </w:tc>
      </w:tr>
      <w:tr w:rsidR="00EF2D72" w14:paraId="782727BA" w14:textId="77777777" w:rsidTr="00DD49A5">
        <w:tc>
          <w:tcPr>
            <w:tcW w:w="2254" w:type="dxa"/>
          </w:tcPr>
          <w:p w14:paraId="1AF079F2" w14:textId="5AA44C19" w:rsidR="00EF2D72" w:rsidRPr="00DD49A5" w:rsidRDefault="00EF2D72" w:rsidP="00B56911">
            <w:pPr>
              <w:rPr>
                <w:rFonts w:eastAsiaTheme="majorEastAsia"/>
                <w:lang w:eastAsia="en-US"/>
              </w:rPr>
            </w:pPr>
            <w:r w:rsidRPr="00EF2D72">
              <w:rPr>
                <w:rFonts w:eastAsiaTheme="majorEastAsia"/>
                <w:lang w:eastAsia="en-US"/>
              </w:rPr>
              <w:t>Negligent Employees</w:t>
            </w:r>
          </w:p>
        </w:tc>
        <w:tc>
          <w:tcPr>
            <w:tcW w:w="2254" w:type="dxa"/>
          </w:tcPr>
          <w:p w14:paraId="1682EBB8" w14:textId="5271CB4A" w:rsidR="00EF2D72" w:rsidRDefault="00EF2D72" w:rsidP="00B56911">
            <w:pPr>
              <w:rPr>
                <w:rFonts w:eastAsiaTheme="majorEastAsia"/>
                <w:lang w:eastAsia="en-US"/>
              </w:rPr>
            </w:pPr>
            <w:r w:rsidRPr="00EF2D72">
              <w:rPr>
                <w:rFonts w:eastAsiaTheme="majorEastAsia"/>
                <w:lang w:eastAsia="en-US"/>
              </w:rPr>
              <w:t>Internal</w:t>
            </w:r>
          </w:p>
        </w:tc>
        <w:tc>
          <w:tcPr>
            <w:tcW w:w="2254" w:type="dxa"/>
          </w:tcPr>
          <w:p w14:paraId="3799AB2A" w14:textId="157C8945" w:rsidR="00EF2D72" w:rsidRDefault="00EF2D72" w:rsidP="00B56911">
            <w:pPr>
              <w:rPr>
                <w:rFonts w:eastAsiaTheme="majorEastAsia"/>
                <w:lang w:eastAsia="en-US"/>
              </w:rPr>
            </w:pPr>
            <w:r w:rsidRPr="00EF2D72">
              <w:rPr>
                <w:rFonts w:eastAsiaTheme="majorEastAsia"/>
                <w:lang w:eastAsia="en-US"/>
              </w:rPr>
              <w:t>Confidentiality</w:t>
            </w:r>
          </w:p>
        </w:tc>
        <w:tc>
          <w:tcPr>
            <w:tcW w:w="2254" w:type="dxa"/>
          </w:tcPr>
          <w:p w14:paraId="1D484260" w14:textId="6957E89C" w:rsidR="00EF2D72" w:rsidRDefault="00EF2D72" w:rsidP="00B56911">
            <w:pPr>
              <w:rPr>
                <w:rFonts w:eastAsiaTheme="majorEastAsia"/>
                <w:lang w:eastAsia="en-US"/>
              </w:rPr>
            </w:pPr>
            <w:r w:rsidRPr="00EF2D72">
              <w:rPr>
                <w:rFonts w:eastAsiaTheme="majorEastAsia"/>
                <w:lang w:eastAsia="en-US"/>
              </w:rPr>
              <w:t>Very High</w:t>
            </w:r>
          </w:p>
        </w:tc>
      </w:tr>
      <w:tr w:rsidR="00EF2D72" w14:paraId="5CE6262A" w14:textId="77777777" w:rsidTr="00DD49A5">
        <w:tc>
          <w:tcPr>
            <w:tcW w:w="2254" w:type="dxa"/>
          </w:tcPr>
          <w:p w14:paraId="227788A9" w14:textId="77777777" w:rsidR="00EF2D72" w:rsidRDefault="00EF2D72" w:rsidP="00B56911">
            <w:pPr>
              <w:rPr>
                <w:rFonts w:eastAsiaTheme="majorEastAsia"/>
                <w:lang w:eastAsia="en-US"/>
              </w:rPr>
            </w:pPr>
            <w:r w:rsidRPr="00EF2D72">
              <w:rPr>
                <w:rFonts w:eastAsiaTheme="majorEastAsia"/>
                <w:lang w:eastAsia="en-US"/>
              </w:rPr>
              <w:t>Nation-State Actors</w:t>
            </w:r>
          </w:p>
          <w:p w14:paraId="03EE5B9E" w14:textId="727B0A63" w:rsidR="00EF2D72" w:rsidRPr="00DD49A5" w:rsidRDefault="00EF2D72" w:rsidP="00B56911">
            <w:pPr>
              <w:rPr>
                <w:rFonts w:eastAsiaTheme="majorEastAsia"/>
                <w:lang w:eastAsia="en-US"/>
              </w:rPr>
            </w:pPr>
          </w:p>
        </w:tc>
        <w:tc>
          <w:tcPr>
            <w:tcW w:w="2254" w:type="dxa"/>
          </w:tcPr>
          <w:p w14:paraId="6A3D7FD5" w14:textId="3D4C93E6" w:rsidR="00EF2D72" w:rsidRDefault="00EF2D72" w:rsidP="00B56911">
            <w:pPr>
              <w:rPr>
                <w:rFonts w:eastAsiaTheme="majorEastAsia"/>
                <w:lang w:eastAsia="en-US"/>
              </w:rPr>
            </w:pPr>
            <w:r w:rsidRPr="00EF2D72">
              <w:rPr>
                <w:rFonts w:eastAsiaTheme="majorEastAsia"/>
                <w:lang w:eastAsia="en-US"/>
              </w:rPr>
              <w:t>External</w:t>
            </w:r>
          </w:p>
        </w:tc>
        <w:tc>
          <w:tcPr>
            <w:tcW w:w="2254" w:type="dxa"/>
          </w:tcPr>
          <w:p w14:paraId="545DFA80" w14:textId="57CFDDE0" w:rsidR="00EF2D72" w:rsidRDefault="00EF2D72" w:rsidP="00B56911">
            <w:pPr>
              <w:rPr>
                <w:rFonts w:eastAsiaTheme="majorEastAsia"/>
                <w:lang w:eastAsia="en-US"/>
              </w:rPr>
            </w:pPr>
            <w:r w:rsidRPr="00EF2D72">
              <w:rPr>
                <w:rFonts w:eastAsiaTheme="majorEastAsia"/>
                <w:lang w:eastAsia="en-US"/>
              </w:rPr>
              <w:t>Confidentiality, Integrity</w:t>
            </w:r>
          </w:p>
        </w:tc>
        <w:tc>
          <w:tcPr>
            <w:tcW w:w="2254" w:type="dxa"/>
          </w:tcPr>
          <w:p w14:paraId="345FDE76" w14:textId="55E851D0" w:rsidR="00EF2D72" w:rsidRDefault="00EF2D72" w:rsidP="00B56911">
            <w:pPr>
              <w:rPr>
                <w:rFonts w:eastAsiaTheme="majorEastAsia"/>
                <w:lang w:eastAsia="en-US"/>
              </w:rPr>
            </w:pPr>
            <w:r w:rsidRPr="00EF2D72">
              <w:rPr>
                <w:rFonts w:eastAsiaTheme="majorEastAsia"/>
                <w:lang w:eastAsia="en-US"/>
              </w:rPr>
              <w:t>Medium</w:t>
            </w:r>
          </w:p>
        </w:tc>
      </w:tr>
    </w:tbl>
    <w:p w14:paraId="754E37AC" w14:textId="77777777" w:rsidR="004E6B6E" w:rsidRDefault="004E6B6E" w:rsidP="00B56911">
      <w:pPr>
        <w:rPr>
          <w:rFonts w:eastAsiaTheme="majorEastAsia"/>
          <w:lang w:eastAsia="en-US"/>
        </w:rPr>
      </w:pPr>
    </w:p>
    <w:p w14:paraId="045A6D18" w14:textId="544BA6E3" w:rsidR="00BE5BE7" w:rsidRDefault="004E6B6E" w:rsidP="00B56911">
      <w:pPr>
        <w:rPr>
          <w:rFonts w:eastAsiaTheme="majorEastAsia"/>
          <w:lang w:eastAsia="en-US"/>
        </w:rPr>
      </w:pPr>
      <w:r w:rsidRPr="004E6B6E">
        <w:rPr>
          <w:rFonts w:eastAsiaTheme="majorEastAsia"/>
          <w:lang w:eastAsia="en-US"/>
        </w:rPr>
        <w:t>Both incidents have the same main cause: a lack of basic security controls. The ransomware attack started with a phishing email that stole employees’ login details and then spread across the system because HPA did not have proper network segmentation. The cloud breach, on the other hand, happened due to misconfigured access and a lack of monitoring to detect unusual activity. These were not very complex attacks; they were common methods that worked simply because essential security measures were not in place.</w:t>
      </w:r>
    </w:p>
    <w:p w14:paraId="3920652F" w14:textId="625EE988" w:rsidR="00141A87" w:rsidRDefault="00141A87" w:rsidP="00141A87">
      <w:pPr>
        <w:pStyle w:val="Heading1"/>
        <w:rPr>
          <w:lang w:eastAsia="en-US"/>
        </w:rPr>
      </w:pPr>
      <w:bookmarkStart w:id="2" w:name="_Toc228449145"/>
      <w:r>
        <w:rPr>
          <w:lang w:eastAsia="en-US"/>
        </w:rPr>
        <w:t>2</w:t>
      </w:r>
      <w:r w:rsidRPr="00141A87">
        <w:rPr>
          <w:lang w:eastAsia="en-US"/>
        </w:rPr>
        <w:t>. Security Policies</w:t>
      </w:r>
      <w:bookmarkEnd w:id="2"/>
    </w:p>
    <w:p w14:paraId="4FBE5368" w14:textId="77CA2437" w:rsidR="00141A87" w:rsidRDefault="00141A87" w:rsidP="00141A87">
      <w:pPr>
        <w:rPr>
          <w:lang w:eastAsia="en-US"/>
        </w:rPr>
      </w:pPr>
      <w:r w:rsidRPr="00141A87">
        <w:rPr>
          <w:lang w:eastAsia="en-US"/>
        </w:rPr>
        <w:t>This section sets out the policies needed to address the issues identified in Section 2. Policies define the rules for how things should be done. Without clear policies in place, technical controls are less effective because there is no clear structure guiding how they should be used.</w:t>
      </w:r>
    </w:p>
    <w:p w14:paraId="54E759EB" w14:textId="1A7EDD56" w:rsidR="00141A87" w:rsidRDefault="00141A87" w:rsidP="00141A87">
      <w:pPr>
        <w:rPr>
          <w:b/>
          <w:bCs/>
          <w:lang w:eastAsia="en-US"/>
        </w:rPr>
      </w:pPr>
      <w:r w:rsidRPr="00141A87">
        <w:rPr>
          <w:b/>
          <w:bCs/>
          <w:lang w:eastAsia="en-US"/>
        </w:rPr>
        <w:t>Access Control Policy</w:t>
      </w:r>
    </w:p>
    <w:p w14:paraId="4897226D" w14:textId="1664A8DE" w:rsidR="00141A87" w:rsidRDefault="00141A87" w:rsidP="00141A87">
      <w:pPr>
        <w:rPr>
          <w:lang w:eastAsia="en-US"/>
        </w:rPr>
      </w:pPr>
      <w:r w:rsidRPr="00141A87">
        <w:rPr>
          <w:lang w:eastAsia="en-US"/>
        </w:rPr>
        <w:t>An access control policy defines who is allowed to access specific systems and data. HPA needs this because the cloud breach showed the risks of giving too many people too much access. This policy follows the principle of least privilege, meaning each employee is given only the access they need to do their job</w:t>
      </w:r>
      <w:sdt>
        <w:sdtPr>
          <w:rPr>
            <w:lang w:eastAsia="en-US"/>
          </w:rPr>
          <w:id w:val="1688320664"/>
          <w:citation/>
        </w:sdtPr>
        <w:sdtContent>
          <w:r>
            <w:rPr>
              <w:lang w:eastAsia="en-US"/>
            </w:rPr>
            <w:fldChar w:fldCharType="begin"/>
          </w:r>
          <w:r w:rsidR="0006715F">
            <w:rPr>
              <w:lang w:eastAsia="en-US"/>
            </w:rPr>
            <w:instrText xml:space="preserve">CITATION Ale25 \l 2057 </w:instrText>
          </w:r>
          <w:r>
            <w:rPr>
              <w:lang w:eastAsia="en-US"/>
            </w:rPr>
            <w:fldChar w:fldCharType="separate"/>
          </w:r>
          <w:r w:rsidR="0050136F">
            <w:rPr>
              <w:noProof/>
              <w:lang w:eastAsia="en-US"/>
            </w:rPr>
            <w:t xml:space="preserve"> </w:t>
          </w:r>
          <w:r w:rsidR="0050136F" w:rsidRPr="0050136F">
            <w:rPr>
              <w:noProof/>
              <w:lang w:eastAsia="en-US"/>
            </w:rPr>
            <w:t>[4]</w:t>
          </w:r>
          <w:r>
            <w:rPr>
              <w:lang w:eastAsia="en-US"/>
            </w:rPr>
            <w:fldChar w:fldCharType="end"/>
          </w:r>
        </w:sdtContent>
      </w:sdt>
      <w:r w:rsidRPr="00141A87">
        <w:rPr>
          <w:lang w:eastAsia="en-US"/>
        </w:rPr>
        <w:t>.</w:t>
      </w:r>
      <w:r w:rsidR="00F64EBF">
        <w:rPr>
          <w:lang w:eastAsia="en-US"/>
        </w:rPr>
        <w:t xml:space="preserve"> </w:t>
      </w:r>
      <w:r w:rsidR="00F64EBF" w:rsidRPr="00F64EBF">
        <w:rPr>
          <w:lang w:eastAsia="en-US"/>
        </w:rPr>
        <w:t>For HPA’s cloud breach, the impact would have been much smaller if the affected employee had access only to specific patient records instead of the entire system. This shows why access needs to be carefully controlled. The policy should assign access based on job roles, require approval for higher levels of access, include regular reviews to remove permissions that are no longer needed, and ensure access is removed immediately when employees leave the organisation.</w:t>
      </w:r>
    </w:p>
    <w:p w14:paraId="3A2A82BF" w14:textId="6266E0BD" w:rsidR="00F64EBF" w:rsidRDefault="00F64EBF" w:rsidP="00141A87">
      <w:pPr>
        <w:rPr>
          <w:b/>
          <w:bCs/>
          <w:lang w:eastAsia="en-US"/>
        </w:rPr>
      </w:pPr>
      <w:r w:rsidRPr="00F64EBF">
        <w:rPr>
          <w:b/>
          <w:bCs/>
          <w:lang w:eastAsia="en-US"/>
        </w:rPr>
        <w:t>Incident Response Policy</w:t>
      </w:r>
    </w:p>
    <w:p w14:paraId="0013486A" w14:textId="196BF064" w:rsidR="00F64EBF" w:rsidRDefault="00F64EBF" w:rsidP="00141A87">
      <w:pPr>
        <w:rPr>
          <w:lang w:eastAsia="en-US"/>
        </w:rPr>
      </w:pPr>
      <w:r w:rsidRPr="00F64EBF">
        <w:rPr>
          <w:lang w:eastAsia="en-US"/>
        </w:rPr>
        <w:t>Incident response policy defines how to handle security incidents when they occur. HPA needs this because the ransomware attack revealed they had no clear process—nobody knew what to do when systems started encrypting</w:t>
      </w:r>
      <w:sdt>
        <w:sdtPr>
          <w:rPr>
            <w:lang w:eastAsia="en-US"/>
          </w:rPr>
          <w:id w:val="-934198735"/>
          <w:citation/>
        </w:sdtPr>
        <w:sdtContent>
          <w:r>
            <w:rPr>
              <w:lang w:eastAsia="en-US"/>
            </w:rPr>
            <w:fldChar w:fldCharType="begin"/>
          </w:r>
          <w:r>
            <w:rPr>
              <w:lang w:eastAsia="en-US"/>
            </w:rPr>
            <w:instrText xml:space="preserve"> CITATION Int23 \l 2057 </w:instrText>
          </w:r>
          <w:r>
            <w:rPr>
              <w:lang w:eastAsia="en-US"/>
            </w:rPr>
            <w:fldChar w:fldCharType="separate"/>
          </w:r>
          <w:r w:rsidR="0050136F">
            <w:rPr>
              <w:noProof/>
              <w:lang w:eastAsia="en-US"/>
            </w:rPr>
            <w:t xml:space="preserve"> </w:t>
          </w:r>
          <w:r w:rsidR="0050136F" w:rsidRPr="0050136F">
            <w:rPr>
              <w:noProof/>
              <w:lang w:eastAsia="en-US"/>
            </w:rPr>
            <w:t>[5]</w:t>
          </w:r>
          <w:r>
            <w:rPr>
              <w:lang w:eastAsia="en-US"/>
            </w:rPr>
            <w:fldChar w:fldCharType="end"/>
          </w:r>
        </w:sdtContent>
      </w:sdt>
      <w:r>
        <w:rPr>
          <w:lang w:eastAsia="en-US"/>
        </w:rPr>
        <w:t>.</w:t>
      </w:r>
      <w:r w:rsidR="00E34000">
        <w:rPr>
          <w:lang w:eastAsia="en-US"/>
        </w:rPr>
        <w:t xml:space="preserve"> </w:t>
      </w:r>
      <w:r w:rsidR="00E34000" w:rsidRPr="00E34000">
        <w:rPr>
          <w:lang w:eastAsia="en-US"/>
        </w:rPr>
        <w:t>This policy clearly explains who is responsible for what, how teams communicate, and what steps to follow when something goes wrong. It also sets clear timelines for responding to incidents. In the case of ransomware, every minute matters, as delays can lead to more systems being encrypted. That’s why the policy should include simple, step-by-step plans for situations like ransomware attacks, data breaches, and system compromises. This helps teams act quickly and confidently, without having to figure things out under pressure.</w:t>
      </w:r>
    </w:p>
    <w:p w14:paraId="1D21C874" w14:textId="77777777" w:rsidR="0050136F" w:rsidRDefault="0050136F" w:rsidP="00141A87">
      <w:pPr>
        <w:rPr>
          <w:b/>
          <w:bCs/>
          <w:lang w:eastAsia="en-US"/>
        </w:rPr>
      </w:pPr>
    </w:p>
    <w:p w14:paraId="3BC8E27C" w14:textId="43152463" w:rsidR="00E34000" w:rsidRDefault="00E34000" w:rsidP="00141A87">
      <w:pPr>
        <w:rPr>
          <w:b/>
          <w:bCs/>
          <w:lang w:eastAsia="en-US"/>
        </w:rPr>
      </w:pPr>
      <w:r w:rsidRPr="00E34000">
        <w:rPr>
          <w:b/>
          <w:bCs/>
          <w:lang w:eastAsia="en-US"/>
        </w:rPr>
        <w:t>Data Classification Policy</w:t>
      </w:r>
    </w:p>
    <w:p w14:paraId="0B528A6E" w14:textId="44FF08F3" w:rsidR="00E34000" w:rsidRDefault="00E34000" w:rsidP="00E34000">
      <w:pPr>
        <w:rPr>
          <w:lang w:eastAsia="en-US"/>
        </w:rPr>
      </w:pPr>
      <w:r w:rsidRPr="00E34000">
        <w:rPr>
          <w:lang w:eastAsia="en-US"/>
        </w:rPr>
        <w:t>A data classification policy explains how information should be grouped based on how sensitive it is. This is important for HPA because you can’t properly protect data if you don’t first understand its value. In this case, the cloud breach happened partly because all data was treated the same. Sensitive patient records ended up with the same level of protection as less important information, like marketing materials, which made them easier to access</w:t>
      </w:r>
      <w:sdt>
        <w:sdtPr>
          <w:rPr>
            <w:lang w:eastAsia="en-US"/>
          </w:rPr>
          <w:id w:val="1100139987"/>
          <w:citation/>
        </w:sdtPr>
        <w:sdtContent>
          <w:r>
            <w:rPr>
              <w:lang w:eastAsia="en-US"/>
            </w:rPr>
            <w:fldChar w:fldCharType="begin"/>
          </w:r>
          <w:r>
            <w:rPr>
              <w:lang w:eastAsia="en-US"/>
            </w:rPr>
            <w:instrText xml:space="preserve"> CITATION Kev08 \l 2057 </w:instrText>
          </w:r>
          <w:r>
            <w:rPr>
              <w:lang w:eastAsia="en-US"/>
            </w:rPr>
            <w:fldChar w:fldCharType="separate"/>
          </w:r>
          <w:r w:rsidR="0050136F">
            <w:rPr>
              <w:noProof/>
              <w:lang w:eastAsia="en-US"/>
            </w:rPr>
            <w:t xml:space="preserve"> </w:t>
          </w:r>
          <w:r w:rsidR="0050136F" w:rsidRPr="0050136F">
            <w:rPr>
              <w:noProof/>
              <w:lang w:eastAsia="en-US"/>
            </w:rPr>
            <w:t>[6]</w:t>
          </w:r>
          <w:r>
            <w:rPr>
              <w:lang w:eastAsia="en-US"/>
            </w:rPr>
            <w:fldChar w:fldCharType="end"/>
          </w:r>
        </w:sdtContent>
      </w:sdt>
      <w:r w:rsidRPr="00E34000">
        <w:rPr>
          <w:lang w:eastAsia="en-US"/>
        </w:rPr>
        <w:t>.</w:t>
      </w:r>
      <w:r>
        <w:rPr>
          <w:lang w:eastAsia="en-US"/>
        </w:rPr>
        <w:t xml:space="preserve">  </w:t>
      </w:r>
      <w:r w:rsidRPr="00E34000">
        <w:rPr>
          <w:lang w:eastAsia="en-US"/>
        </w:rPr>
        <w:t>Classification means labelling data as Public, Internal, Confidential, or Restricted. Each level specifies required controls. Patient records marked 'Restricted' automatically get encryption and access logging; marketing materials don't need this.</w:t>
      </w:r>
    </w:p>
    <w:p w14:paraId="51FB3673" w14:textId="6B8B65CC" w:rsidR="00D07DEA" w:rsidRDefault="00D07DEA" w:rsidP="00D07DEA">
      <w:pPr>
        <w:pStyle w:val="Heading1"/>
        <w:rPr>
          <w:lang w:eastAsia="en-US"/>
        </w:rPr>
      </w:pPr>
      <w:bookmarkStart w:id="3" w:name="_Toc228449146"/>
      <w:r>
        <w:rPr>
          <w:lang w:eastAsia="en-US"/>
        </w:rPr>
        <w:t>3-</w:t>
      </w:r>
      <w:r w:rsidRPr="00D07DEA">
        <w:rPr>
          <w:lang w:eastAsia="en-US"/>
        </w:rPr>
        <w:t>Mitigation Measures</w:t>
      </w:r>
      <w:bookmarkEnd w:id="3"/>
    </w:p>
    <w:p w14:paraId="485112C9" w14:textId="16F86024" w:rsidR="00D07DEA" w:rsidRDefault="00D07DEA" w:rsidP="00D07DEA">
      <w:pPr>
        <w:rPr>
          <w:lang w:eastAsia="en-US"/>
        </w:rPr>
      </w:pPr>
      <w:r w:rsidRPr="00D07DEA">
        <w:rPr>
          <w:lang w:eastAsia="en-US"/>
        </w:rPr>
        <w:t>Based on the data obtained earlier, practical solutions are now presented that could have prevented the incidents experienced by HPA. Each control is designed to address specific problems identified in Section 2.</w:t>
      </w:r>
    </w:p>
    <w:p w14:paraId="2BD1BCA5" w14:textId="77777777" w:rsidR="00D07DEA" w:rsidRDefault="00D07DEA" w:rsidP="00D07DEA">
      <w:pPr>
        <w:rPr>
          <w:b/>
          <w:bCs/>
          <w:lang w:eastAsia="en-US"/>
        </w:rPr>
      </w:pPr>
      <w:r w:rsidRPr="00D07DEA">
        <w:rPr>
          <w:b/>
          <w:bCs/>
          <w:lang w:eastAsia="en-US"/>
        </w:rPr>
        <w:t>Multi-Factor Authentication</w:t>
      </w:r>
    </w:p>
    <w:p w14:paraId="0D49B6D6" w14:textId="588A9DDC" w:rsidR="00E810E5" w:rsidRDefault="00D07DEA" w:rsidP="00D07DEA">
      <w:pPr>
        <w:rPr>
          <w:lang w:eastAsia="en-US"/>
        </w:rPr>
      </w:pPr>
      <w:r w:rsidRPr="00D07DEA">
        <w:rPr>
          <w:lang w:eastAsia="en-US"/>
        </w:rPr>
        <w:t>MFA supports the access control policy by requiring users to verify their identity with two factors instead of relying only on a password. In HPA’s ransomware case, even though attackers managed to steal employee credentials through phishing, MFA would have stopped them from logging in because they wouldn’t have had access to the second factor</w:t>
      </w:r>
      <w:sdt>
        <w:sdtPr>
          <w:rPr>
            <w:lang w:eastAsia="en-US"/>
          </w:rPr>
          <w:id w:val="-320503551"/>
          <w:citation/>
        </w:sdtPr>
        <w:sdtContent>
          <w:r w:rsidR="00E810E5">
            <w:rPr>
              <w:lang w:eastAsia="en-US"/>
            </w:rPr>
            <w:fldChar w:fldCharType="begin"/>
          </w:r>
          <w:r w:rsidR="00E810E5">
            <w:rPr>
              <w:lang w:eastAsia="en-US"/>
            </w:rPr>
            <w:instrText xml:space="preserve"> CITATION Luc23 \l 2057 </w:instrText>
          </w:r>
          <w:r w:rsidR="00E810E5">
            <w:rPr>
              <w:lang w:eastAsia="en-US"/>
            </w:rPr>
            <w:fldChar w:fldCharType="separate"/>
          </w:r>
          <w:r w:rsidR="0050136F">
            <w:rPr>
              <w:noProof/>
              <w:lang w:eastAsia="en-US"/>
            </w:rPr>
            <w:t xml:space="preserve"> </w:t>
          </w:r>
          <w:r w:rsidR="0050136F" w:rsidRPr="0050136F">
            <w:rPr>
              <w:noProof/>
              <w:lang w:eastAsia="en-US"/>
            </w:rPr>
            <w:t>[7]</w:t>
          </w:r>
          <w:r w:rsidR="00E810E5">
            <w:rPr>
              <w:lang w:eastAsia="en-US"/>
            </w:rPr>
            <w:fldChar w:fldCharType="end"/>
          </w:r>
        </w:sdtContent>
      </w:sdt>
      <w:r w:rsidRPr="00D07DEA">
        <w:rPr>
          <w:lang w:eastAsia="en-US"/>
        </w:rPr>
        <w:t>.</w:t>
      </w:r>
      <w:r w:rsidR="00E810E5">
        <w:rPr>
          <w:lang w:eastAsia="en-US"/>
        </w:rPr>
        <w:t xml:space="preserve"> </w:t>
      </w:r>
      <w:r w:rsidR="00E810E5" w:rsidRPr="00E810E5">
        <w:rPr>
          <w:lang w:eastAsia="en-US"/>
        </w:rPr>
        <w:t>The attack began when RDP credentials were stolen, but if MFA had been in place on those servers, the incident could have been stopped from the start. The same applies to the cloud breach—since it relied on compromised credentials, MFA would have prevented that access. In fact, research shows that MFA can reduce the risk of account compromise by up to 99.22%. Because of this, HPA should use MFA across all remote access points, cloud services, administrative accounts, and any systems that handle patient data.</w:t>
      </w:r>
    </w:p>
    <w:p w14:paraId="1FFB27E7" w14:textId="08CB5ABB" w:rsidR="00E810E5" w:rsidRDefault="00E810E5" w:rsidP="00D07DEA">
      <w:pPr>
        <w:rPr>
          <w:b/>
          <w:bCs/>
          <w:lang w:eastAsia="en-US"/>
        </w:rPr>
      </w:pPr>
      <w:r w:rsidRPr="00E810E5">
        <w:rPr>
          <w:b/>
          <w:bCs/>
          <w:lang w:eastAsia="en-US"/>
        </w:rPr>
        <w:t>Network Segmentation</w:t>
      </w:r>
    </w:p>
    <w:p w14:paraId="7F7E40F8" w14:textId="63A0612D" w:rsidR="00E810E5" w:rsidRDefault="00E810E5" w:rsidP="00D07DEA">
      <w:pPr>
        <w:rPr>
          <w:lang w:eastAsia="en-US"/>
        </w:rPr>
      </w:pPr>
      <w:r w:rsidRPr="00E810E5">
        <w:rPr>
          <w:lang w:eastAsia="en-US"/>
        </w:rPr>
        <w:t>Network segmentation implements containment by dividing the network into isolated zones. For HPA's ransomware, segmentation would have prevented spread. When ransomware infected the first analytics server, segmentation would have blocked it from reaching other servers</w:t>
      </w:r>
      <w:sdt>
        <w:sdtPr>
          <w:rPr>
            <w:lang w:eastAsia="en-US"/>
          </w:rPr>
          <w:id w:val="-1540348829"/>
          <w:citation/>
        </w:sdtPr>
        <w:sdtContent>
          <w:r>
            <w:rPr>
              <w:lang w:eastAsia="en-US"/>
            </w:rPr>
            <w:fldChar w:fldCharType="begin"/>
          </w:r>
          <w:r>
            <w:rPr>
              <w:lang w:eastAsia="en-US"/>
            </w:rPr>
            <w:instrText xml:space="preserve"> CITATION Rya25 \l 2057 </w:instrText>
          </w:r>
          <w:r>
            <w:rPr>
              <w:lang w:eastAsia="en-US"/>
            </w:rPr>
            <w:fldChar w:fldCharType="separate"/>
          </w:r>
          <w:r w:rsidR="0050136F">
            <w:rPr>
              <w:noProof/>
              <w:lang w:eastAsia="en-US"/>
            </w:rPr>
            <w:t xml:space="preserve"> </w:t>
          </w:r>
          <w:r w:rsidR="0050136F" w:rsidRPr="0050136F">
            <w:rPr>
              <w:noProof/>
              <w:lang w:eastAsia="en-US"/>
            </w:rPr>
            <w:t>[8]</w:t>
          </w:r>
          <w:r>
            <w:rPr>
              <w:lang w:eastAsia="en-US"/>
            </w:rPr>
            <w:fldChar w:fldCharType="end"/>
          </w:r>
        </w:sdtContent>
      </w:sdt>
      <w:r>
        <w:rPr>
          <w:lang w:eastAsia="en-US"/>
        </w:rPr>
        <w:t xml:space="preserve">. </w:t>
      </w:r>
      <w:r w:rsidRPr="00E810E5">
        <w:rPr>
          <w:lang w:eastAsia="en-US"/>
        </w:rPr>
        <w:t>The attack spread so widely because all systems were able to communicate with each other without restrictions. Network segmentation solves this by separating systems into different zones—for example, analytics servers in one area, cloud systems in another, and hospital connections in a separate zone. Firewalls control the traffic between these zones and only allow communication when it’s really needed. Research shows that this approach can reduce lateral movement by up to 99%. For HPA, this would have meant the attack stayed contained to just one or two servers instead of affecting the entire network.</w:t>
      </w:r>
    </w:p>
    <w:p w14:paraId="305270D5" w14:textId="42A69AFA" w:rsidR="005701ED" w:rsidRDefault="005701ED" w:rsidP="00D07DEA">
      <w:pPr>
        <w:rPr>
          <w:b/>
          <w:bCs/>
          <w:lang w:eastAsia="en-US"/>
        </w:rPr>
      </w:pPr>
      <w:r w:rsidRPr="005701ED">
        <w:rPr>
          <w:b/>
          <w:bCs/>
          <w:lang w:eastAsia="en-US"/>
        </w:rPr>
        <w:t>Security Awareness Training</w:t>
      </w:r>
    </w:p>
    <w:p w14:paraId="40B8C212" w14:textId="77777777" w:rsidR="005701ED" w:rsidRPr="005701ED" w:rsidRDefault="005701ED" w:rsidP="005701ED">
      <w:pPr>
        <w:rPr>
          <w:lang w:eastAsia="en-US"/>
        </w:rPr>
      </w:pPr>
      <w:r w:rsidRPr="005701ED">
        <w:rPr>
          <w:lang w:eastAsia="en-US"/>
        </w:rPr>
        <w:t>Training strengthens the human layer of security by helping employees recognise threats. In HPA’s case, both incidents likely started with phishing, so training would focus on identifying and reporting suspicious emails before interacting with them.</w:t>
      </w:r>
    </w:p>
    <w:p w14:paraId="0AFA052F" w14:textId="2F18184C" w:rsidR="005701ED" w:rsidRDefault="005701ED" w:rsidP="005701ED">
      <w:pPr>
        <w:rPr>
          <w:lang w:eastAsia="en-US"/>
        </w:rPr>
      </w:pPr>
      <w:r w:rsidRPr="005701ED">
        <w:rPr>
          <w:lang w:eastAsia="en-US"/>
        </w:rPr>
        <w:t>Regular, ongoing training works best—monthly sessions help reinforce knowledge, while simulated phishing gives employees practical experience. For HPA, this would mean running monthly simulations, providing immediate feedback, and supporting this with quarterly training</w:t>
      </w:r>
      <w:sdt>
        <w:sdtPr>
          <w:rPr>
            <w:lang w:eastAsia="en-US"/>
          </w:rPr>
          <w:id w:val="-1100251710"/>
          <w:citation/>
        </w:sdtPr>
        <w:sdtContent>
          <w:r>
            <w:rPr>
              <w:lang w:eastAsia="en-US"/>
            </w:rPr>
            <w:fldChar w:fldCharType="begin"/>
          </w:r>
          <w:r>
            <w:rPr>
              <w:lang w:eastAsia="en-US"/>
            </w:rPr>
            <w:instrText xml:space="preserve"> CITATION Reb25 \l 2057 </w:instrText>
          </w:r>
          <w:r>
            <w:rPr>
              <w:lang w:eastAsia="en-US"/>
            </w:rPr>
            <w:fldChar w:fldCharType="separate"/>
          </w:r>
          <w:r w:rsidR="0050136F">
            <w:rPr>
              <w:noProof/>
              <w:lang w:eastAsia="en-US"/>
            </w:rPr>
            <w:t xml:space="preserve"> </w:t>
          </w:r>
          <w:r w:rsidR="0050136F" w:rsidRPr="0050136F">
            <w:rPr>
              <w:noProof/>
              <w:lang w:eastAsia="en-US"/>
            </w:rPr>
            <w:t>[9]</w:t>
          </w:r>
          <w:r>
            <w:rPr>
              <w:lang w:eastAsia="en-US"/>
            </w:rPr>
            <w:fldChar w:fldCharType="end"/>
          </w:r>
        </w:sdtContent>
      </w:sdt>
      <w:r w:rsidRPr="005701ED">
        <w:rPr>
          <w:lang w:eastAsia="en-US"/>
        </w:rPr>
        <w:t>.</w:t>
      </w:r>
    </w:p>
    <w:p w14:paraId="0A747B30" w14:textId="7740D255" w:rsidR="005701ED" w:rsidRDefault="005701ED" w:rsidP="005701ED">
      <w:pPr>
        <w:rPr>
          <w:b/>
          <w:bCs/>
          <w:lang w:eastAsia="en-US"/>
        </w:rPr>
      </w:pPr>
      <w:r w:rsidRPr="005701ED">
        <w:rPr>
          <w:b/>
          <w:bCs/>
          <w:lang w:eastAsia="en-US"/>
        </w:rPr>
        <w:t>Vulnerability Management</w:t>
      </w:r>
    </w:p>
    <w:p w14:paraId="7EBF4D6E" w14:textId="77777777" w:rsidR="005701ED" w:rsidRPr="005701ED" w:rsidRDefault="005701ED" w:rsidP="005701ED">
      <w:pPr>
        <w:rPr>
          <w:lang w:eastAsia="en-US"/>
        </w:rPr>
      </w:pPr>
      <w:r w:rsidRPr="005701ED">
        <w:rPr>
          <w:lang w:eastAsia="en-US"/>
        </w:rPr>
        <w:t>Vulnerability management focuses on identifying and fixing security weaknesses before attackers can take advantage of them. In HPA’s case, the ransomware likely spread because the analytics servers had unpatched vulnerabilities.</w:t>
      </w:r>
    </w:p>
    <w:p w14:paraId="17B2AE15" w14:textId="171F9193" w:rsidR="005701ED" w:rsidRPr="005701ED" w:rsidRDefault="005701ED" w:rsidP="005701ED">
      <w:pPr>
        <w:rPr>
          <w:lang w:eastAsia="en-US"/>
        </w:rPr>
      </w:pPr>
      <w:r w:rsidRPr="005701ED">
        <w:rPr>
          <w:lang w:eastAsia="en-US"/>
        </w:rPr>
        <w:t>A proper approach includes regular scans, prioritising critical patches within a short timeframe, and using temporary controls when systems can’t be updated immediately</w:t>
      </w:r>
      <w:sdt>
        <w:sdtPr>
          <w:rPr>
            <w:lang w:eastAsia="en-US"/>
          </w:rPr>
          <w:id w:val="1404111986"/>
          <w:citation/>
        </w:sdtPr>
        <w:sdtContent>
          <w:r w:rsidR="00EC1F0A">
            <w:rPr>
              <w:lang w:eastAsia="en-US"/>
            </w:rPr>
            <w:fldChar w:fldCharType="begin"/>
          </w:r>
          <w:r w:rsidR="00EC1F0A">
            <w:rPr>
              <w:lang w:eastAsia="en-US"/>
            </w:rPr>
            <w:instrText xml:space="preserve"> CITATION Car24 \l 2057 </w:instrText>
          </w:r>
          <w:r w:rsidR="00EC1F0A">
            <w:rPr>
              <w:lang w:eastAsia="en-US"/>
            </w:rPr>
            <w:fldChar w:fldCharType="separate"/>
          </w:r>
          <w:r w:rsidR="0050136F">
            <w:rPr>
              <w:noProof/>
              <w:lang w:eastAsia="en-US"/>
            </w:rPr>
            <w:t xml:space="preserve"> </w:t>
          </w:r>
          <w:r w:rsidR="0050136F" w:rsidRPr="0050136F">
            <w:rPr>
              <w:noProof/>
              <w:lang w:eastAsia="en-US"/>
            </w:rPr>
            <w:t>[10]</w:t>
          </w:r>
          <w:r w:rsidR="00EC1F0A">
            <w:rPr>
              <w:lang w:eastAsia="en-US"/>
            </w:rPr>
            <w:fldChar w:fldCharType="end"/>
          </w:r>
        </w:sdtContent>
      </w:sdt>
      <w:r w:rsidRPr="005701ED">
        <w:rPr>
          <w:lang w:eastAsia="en-US"/>
        </w:rPr>
        <w:t>. For HPA, this means testing patches in non-production environments, applying updates during scheduled maintenance, and isolating systems that cannot be patched to reduce risk.</w:t>
      </w:r>
    </w:p>
    <w:p w14:paraId="39D945BB" w14:textId="77777777" w:rsidR="00242278" w:rsidRDefault="00242278" w:rsidP="00EC1F0A">
      <w:pPr>
        <w:pStyle w:val="Heading1"/>
        <w:rPr>
          <w:lang w:eastAsia="en-US"/>
        </w:rPr>
      </w:pPr>
    </w:p>
    <w:p w14:paraId="2273BB23" w14:textId="339D6FDD" w:rsidR="005701ED" w:rsidRDefault="00EC1F0A" w:rsidP="00EC1F0A">
      <w:pPr>
        <w:pStyle w:val="Heading1"/>
        <w:rPr>
          <w:lang w:eastAsia="en-US"/>
        </w:rPr>
      </w:pPr>
      <w:bookmarkStart w:id="4" w:name="_Toc228449147"/>
      <w:r>
        <w:rPr>
          <w:lang w:eastAsia="en-US"/>
        </w:rPr>
        <w:t>4-</w:t>
      </w:r>
      <w:r w:rsidRPr="00EC1F0A">
        <w:rPr>
          <w:lang w:eastAsia="en-US"/>
        </w:rPr>
        <w:t>Monitoring and Response</w:t>
      </w:r>
      <w:bookmarkEnd w:id="4"/>
    </w:p>
    <w:p w14:paraId="6FC5C1FF" w14:textId="3EDA93A9" w:rsidR="00AB5DF4" w:rsidRPr="00AB5DF4" w:rsidRDefault="00AB5DF4" w:rsidP="00AB5DF4">
      <w:pPr>
        <w:rPr>
          <w:lang w:eastAsia="en-US"/>
        </w:rPr>
      </w:pPr>
      <w:r w:rsidRPr="00AB5DF4">
        <w:rPr>
          <w:b/>
          <w:bCs/>
          <w:lang w:eastAsia="en-US"/>
        </w:rPr>
        <w:t>SIEM Implementation</w:t>
      </w:r>
    </w:p>
    <w:p w14:paraId="3ADF28FA" w14:textId="1E269416" w:rsidR="00EC1F0A" w:rsidRDefault="00AB5DF4" w:rsidP="00EC1F0A">
      <w:pPr>
        <w:rPr>
          <w:lang w:eastAsia="en-US"/>
        </w:rPr>
      </w:pPr>
      <w:r w:rsidRPr="00AB5DF4">
        <w:rPr>
          <w:lang w:eastAsia="en-US"/>
        </w:rPr>
        <w:t>This part focuses on how HPA can spot security incidents as early as possible and react quickly when they happen. No system is completely secure, so some attacks may still get through. The key is detecting them in time and responding fast to reduce their impact.</w:t>
      </w:r>
      <w:r>
        <w:rPr>
          <w:lang w:eastAsia="en-US"/>
        </w:rPr>
        <w:t xml:space="preserve"> </w:t>
      </w:r>
      <w:r w:rsidRPr="00AB5DF4">
        <w:rPr>
          <w:lang w:eastAsia="en-US"/>
        </w:rPr>
        <w:t>SIEM helps detect threats in real time by collecting and analysing security logs from across the system. For HPA, it could have flagged unusual RDP activity before the ransomware was deployed, as well as suspicious access to cloud data during the breach</w:t>
      </w:r>
      <w:sdt>
        <w:sdtPr>
          <w:rPr>
            <w:lang w:eastAsia="en-US"/>
          </w:rPr>
          <w:id w:val="1181168538"/>
          <w:citation/>
        </w:sdtPr>
        <w:sdtContent>
          <w:r>
            <w:rPr>
              <w:lang w:eastAsia="en-US"/>
            </w:rPr>
            <w:fldChar w:fldCharType="begin"/>
          </w:r>
          <w:r>
            <w:rPr>
              <w:lang w:eastAsia="en-US"/>
            </w:rPr>
            <w:instrText xml:space="preserve"> CITATION Nar22 \l 2057 </w:instrText>
          </w:r>
          <w:r>
            <w:rPr>
              <w:lang w:eastAsia="en-US"/>
            </w:rPr>
            <w:fldChar w:fldCharType="separate"/>
          </w:r>
          <w:r w:rsidR="0050136F">
            <w:rPr>
              <w:noProof/>
              <w:lang w:eastAsia="en-US"/>
            </w:rPr>
            <w:t xml:space="preserve"> </w:t>
          </w:r>
          <w:r w:rsidR="0050136F" w:rsidRPr="0050136F">
            <w:rPr>
              <w:noProof/>
              <w:lang w:eastAsia="en-US"/>
            </w:rPr>
            <w:t>[11]</w:t>
          </w:r>
          <w:r>
            <w:rPr>
              <w:lang w:eastAsia="en-US"/>
            </w:rPr>
            <w:fldChar w:fldCharType="end"/>
          </w:r>
        </w:sdtContent>
      </w:sdt>
      <w:r w:rsidRPr="00AB5DF4">
        <w:rPr>
          <w:lang w:eastAsia="en-US"/>
        </w:rPr>
        <w:t>. It works by bringing together logs from firewalls, servers, cloud services, and applications, then connecting the dots to spot patterns that indicate an attack. In healthcare environments, SIEM can reduce detection time from weeks to just hours. For HPA, this means setting up detection rules tailored to their systems, defining what normal activity looks like, and creating alerts for anything unusual.</w:t>
      </w:r>
    </w:p>
    <w:p w14:paraId="35521B05" w14:textId="77777777" w:rsidR="00242278" w:rsidRDefault="00242278" w:rsidP="00EC1F0A">
      <w:pPr>
        <w:rPr>
          <w:b/>
          <w:bCs/>
          <w:lang w:eastAsia="en-US"/>
        </w:rPr>
      </w:pPr>
    </w:p>
    <w:p w14:paraId="1130695E" w14:textId="77777777" w:rsidR="00242278" w:rsidRDefault="00242278" w:rsidP="00EC1F0A">
      <w:pPr>
        <w:rPr>
          <w:b/>
          <w:bCs/>
          <w:lang w:eastAsia="en-US"/>
        </w:rPr>
      </w:pPr>
    </w:p>
    <w:p w14:paraId="35DC0F2F" w14:textId="77777777" w:rsidR="0050136F" w:rsidRDefault="0050136F" w:rsidP="00EC1F0A">
      <w:pPr>
        <w:rPr>
          <w:b/>
          <w:bCs/>
          <w:lang w:eastAsia="en-US"/>
        </w:rPr>
      </w:pPr>
    </w:p>
    <w:p w14:paraId="56F9FF3B" w14:textId="77777777" w:rsidR="0050136F" w:rsidRDefault="0050136F" w:rsidP="00EC1F0A">
      <w:pPr>
        <w:rPr>
          <w:b/>
          <w:bCs/>
          <w:lang w:eastAsia="en-US"/>
        </w:rPr>
      </w:pPr>
    </w:p>
    <w:p w14:paraId="299E2D3A" w14:textId="563F5703" w:rsidR="00AB5DF4" w:rsidRDefault="00AB5DF4" w:rsidP="00EC1F0A">
      <w:pPr>
        <w:rPr>
          <w:b/>
          <w:bCs/>
          <w:lang w:eastAsia="en-US"/>
        </w:rPr>
      </w:pPr>
      <w:r w:rsidRPr="00AB5DF4">
        <w:rPr>
          <w:b/>
          <w:bCs/>
          <w:lang w:eastAsia="en-US"/>
        </w:rPr>
        <w:t>NIST Incident Response Framework</w:t>
      </w:r>
    </w:p>
    <w:p w14:paraId="232FC064" w14:textId="77777777" w:rsidR="00756D07" w:rsidRPr="00756D07" w:rsidRDefault="00756D07" w:rsidP="00756D07">
      <w:pPr>
        <w:rPr>
          <w:lang w:eastAsia="en-US"/>
        </w:rPr>
      </w:pPr>
      <w:r w:rsidRPr="00756D07">
        <w:rPr>
          <w:lang w:eastAsia="en-US"/>
        </w:rPr>
        <w:t>The NIST framework gives a clear and organised way to handle security incidents. When ransomware hit HPA, they didn’t have a proper response plan, which made things worse. NIST SP 800-61 Revision 3 offers proven steps that also align with standards like HIPAA and GDPR.</w:t>
      </w:r>
    </w:p>
    <w:p w14:paraId="2F1AC40F" w14:textId="06303859" w:rsidR="007247D1" w:rsidRPr="00242278" w:rsidRDefault="00756D07" w:rsidP="00756D07">
      <w:pPr>
        <w:rPr>
          <w:lang w:eastAsia="en-US"/>
        </w:rPr>
      </w:pPr>
      <w:r w:rsidRPr="00756D07">
        <w:rPr>
          <w:lang w:eastAsia="en-US"/>
        </w:rPr>
        <w:t>It breaks the response process into simple stages: Identify, Protect, Detect, Respond, Recover, and Govern. For HPA, this means creating clear playbooks for situations like ransomware, data breaches, and system attacks, so teams can follow defined steps instead of trying to figure things out under pressure</w:t>
      </w:r>
      <w:sdt>
        <w:sdtPr>
          <w:rPr>
            <w:lang w:eastAsia="en-US"/>
          </w:rPr>
          <w:id w:val="847915773"/>
          <w:citation/>
        </w:sdtPr>
        <w:sdtContent>
          <w:r w:rsidR="0006715F">
            <w:rPr>
              <w:lang w:eastAsia="en-US"/>
            </w:rPr>
            <w:fldChar w:fldCharType="begin"/>
          </w:r>
          <w:r w:rsidR="0006715F">
            <w:rPr>
              <w:lang w:eastAsia="en-US"/>
            </w:rPr>
            <w:instrText xml:space="preserve"> CITATION Ale251 \l 2057 </w:instrText>
          </w:r>
          <w:r w:rsidR="0006715F">
            <w:rPr>
              <w:lang w:eastAsia="en-US"/>
            </w:rPr>
            <w:fldChar w:fldCharType="separate"/>
          </w:r>
          <w:r w:rsidR="0050136F">
            <w:rPr>
              <w:noProof/>
              <w:lang w:eastAsia="en-US"/>
            </w:rPr>
            <w:t xml:space="preserve"> </w:t>
          </w:r>
          <w:r w:rsidR="0050136F" w:rsidRPr="0050136F">
            <w:rPr>
              <w:noProof/>
              <w:lang w:eastAsia="en-US"/>
            </w:rPr>
            <w:t>[12]</w:t>
          </w:r>
          <w:r w:rsidR="0006715F">
            <w:rPr>
              <w:lang w:eastAsia="en-US"/>
            </w:rPr>
            <w:fldChar w:fldCharType="end"/>
          </w:r>
        </w:sdtContent>
      </w:sdt>
      <w:r w:rsidRPr="00756D07">
        <w:rPr>
          <w:lang w:eastAsia="en-US"/>
        </w:rPr>
        <w:t>.</w:t>
      </w:r>
    </w:p>
    <w:p w14:paraId="0E6F1B30" w14:textId="37A4248B" w:rsidR="00B37FFB" w:rsidRDefault="00B37FFB" w:rsidP="00756D07">
      <w:pPr>
        <w:rPr>
          <w:b/>
          <w:bCs/>
          <w:lang w:eastAsia="en-US"/>
        </w:rPr>
      </w:pPr>
      <w:r w:rsidRPr="00B37FFB">
        <w:rPr>
          <w:b/>
          <w:bCs/>
          <w:lang w:eastAsia="en-US"/>
        </w:rPr>
        <w:t>Incident Response Flowchart</w:t>
      </w:r>
    </w:p>
    <w:p w14:paraId="77A6D86D" w14:textId="224BDF7B" w:rsidR="007247D1" w:rsidRDefault="007247D1" w:rsidP="00756D07">
      <w:pPr>
        <w:rPr>
          <w:lang w:eastAsia="en-US"/>
        </w:rPr>
      </w:pPr>
      <w:r w:rsidRPr="007247D1">
        <w:rPr>
          <w:lang w:eastAsia="en-US"/>
        </w:rPr>
        <w:t>Now that enough information has been gathered, a flowchart has been created to better understand the sequence of the response process. It shows how HPA’s security team should act when an incident occurs, from when an alert is triggered to how it is classified and handled. This visual representation makes the process easier to follow and helps ensure a clear, consistent, and effective response, regardless of who is managing the incident.</w:t>
      </w:r>
    </w:p>
    <w:p w14:paraId="486300BD" w14:textId="77777777" w:rsidR="0050136F" w:rsidRDefault="0050136F" w:rsidP="00756D07">
      <w:pPr>
        <w:rPr>
          <w:lang w:eastAsia="en-US"/>
        </w:rPr>
      </w:pPr>
    </w:p>
    <w:p w14:paraId="00D10DC4" w14:textId="77777777" w:rsidR="0050136F" w:rsidRDefault="0050136F" w:rsidP="00756D07">
      <w:pPr>
        <w:rPr>
          <w:lang w:eastAsia="en-US"/>
        </w:rPr>
      </w:pPr>
    </w:p>
    <w:p w14:paraId="7FF59089" w14:textId="19202250" w:rsidR="00242278" w:rsidRDefault="00242278" w:rsidP="00756D07">
      <w:pPr>
        <w:rPr>
          <w:lang w:eastAsia="en-US"/>
        </w:rPr>
      </w:pPr>
      <w:r w:rsidRPr="00242278">
        <w:rPr>
          <w:lang w:eastAsia="en-US"/>
        </w:rPr>
        <w:t>The flowchart is presented below.</w:t>
      </w:r>
    </w:p>
    <w:p w14:paraId="0C4BF600" w14:textId="77777777" w:rsidR="00242278" w:rsidRDefault="00242278" w:rsidP="00756D07">
      <w:pPr>
        <w:rPr>
          <w:b/>
          <w:bCs/>
          <w:lang w:eastAsia="en-US"/>
        </w:rPr>
      </w:pPr>
    </w:p>
    <w:p w14:paraId="1AAF630B" w14:textId="77777777" w:rsidR="00242278" w:rsidRDefault="00242278" w:rsidP="00756D07">
      <w:pPr>
        <w:rPr>
          <w:b/>
          <w:bCs/>
          <w:lang w:eastAsia="en-US"/>
        </w:rPr>
      </w:pPr>
    </w:p>
    <w:p w14:paraId="5E0EFB5A" w14:textId="77777777" w:rsidR="00242278" w:rsidRDefault="00242278" w:rsidP="00756D07">
      <w:pPr>
        <w:rPr>
          <w:b/>
          <w:bCs/>
          <w:lang w:eastAsia="en-US"/>
        </w:rPr>
      </w:pPr>
    </w:p>
    <w:p w14:paraId="0B2F62F2" w14:textId="77777777" w:rsidR="00242278" w:rsidRDefault="00242278" w:rsidP="00756D07">
      <w:pPr>
        <w:rPr>
          <w:b/>
          <w:bCs/>
          <w:lang w:eastAsia="en-US"/>
        </w:rPr>
      </w:pPr>
    </w:p>
    <w:p w14:paraId="20B90B0A" w14:textId="77777777" w:rsidR="00242278" w:rsidRDefault="00242278" w:rsidP="00756D07">
      <w:pPr>
        <w:rPr>
          <w:b/>
          <w:bCs/>
          <w:lang w:eastAsia="en-US"/>
        </w:rPr>
      </w:pPr>
    </w:p>
    <w:p w14:paraId="74A604D6" w14:textId="77777777" w:rsidR="0050136F" w:rsidRDefault="0050136F" w:rsidP="00756D07">
      <w:pPr>
        <w:rPr>
          <w:b/>
          <w:bCs/>
          <w:lang w:eastAsia="en-US"/>
        </w:rPr>
      </w:pPr>
    </w:p>
    <w:p w14:paraId="4A6134E8" w14:textId="77777777" w:rsidR="0050136F" w:rsidRDefault="0050136F" w:rsidP="00756D07">
      <w:pPr>
        <w:rPr>
          <w:b/>
          <w:bCs/>
          <w:lang w:eastAsia="en-US"/>
        </w:rPr>
      </w:pPr>
    </w:p>
    <w:p w14:paraId="05197105" w14:textId="77777777" w:rsidR="00242278" w:rsidRDefault="00242278" w:rsidP="00756D07">
      <w:pPr>
        <w:rPr>
          <w:b/>
          <w:bCs/>
          <w:lang w:eastAsia="en-US"/>
        </w:rPr>
      </w:pPr>
    </w:p>
    <w:p w14:paraId="23276C5D" w14:textId="0A2FF05D" w:rsidR="007247D1" w:rsidRPr="007247D1" w:rsidRDefault="007247D1" w:rsidP="00756D07">
      <w:pPr>
        <w:rPr>
          <w:b/>
          <w:bCs/>
          <w:lang w:eastAsia="en-US"/>
        </w:rPr>
      </w:pPr>
      <w:r w:rsidRPr="007247D1">
        <w:rPr>
          <w:b/>
          <w:bCs/>
          <w:lang w:eastAsia="en-US"/>
        </w:rPr>
        <w:t>FLOWCHART</w:t>
      </w:r>
    </w:p>
    <w:p w14:paraId="27CE23E2" w14:textId="6C24E8D6" w:rsidR="007247D1" w:rsidRDefault="00242278" w:rsidP="00756D07">
      <w:pPr>
        <w:rPr>
          <w:b/>
          <w:bCs/>
          <w:lang w:eastAsia="en-US"/>
        </w:rPr>
      </w:pPr>
      <w:r>
        <w:rPr>
          <w:b/>
          <w:bCs/>
          <w:noProof/>
          <w:lang w:eastAsia="en-US"/>
        </w:rPr>
        <w:drawing>
          <wp:anchor distT="0" distB="0" distL="114300" distR="114300" simplePos="0" relativeHeight="251652608" behindDoc="1" locked="0" layoutInCell="1" allowOverlap="1" wp14:anchorId="626757FD" wp14:editId="6F3380E3">
            <wp:simplePos x="0" y="0"/>
            <wp:positionH relativeFrom="margin">
              <wp:align>center</wp:align>
            </wp:positionH>
            <wp:positionV relativeFrom="paragraph">
              <wp:posOffset>56688</wp:posOffset>
            </wp:positionV>
            <wp:extent cx="4386680" cy="6466782"/>
            <wp:effectExtent l="0" t="0" r="0" b="0"/>
            <wp:wrapNone/>
            <wp:docPr id="11" name="Picture 1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diagram of a company&#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386680" cy="6466782"/>
                    </a:xfrm>
                    <a:prstGeom prst="rect">
                      <a:avLst/>
                    </a:prstGeom>
                  </pic:spPr>
                </pic:pic>
              </a:graphicData>
            </a:graphic>
            <wp14:sizeRelH relativeFrom="margin">
              <wp14:pctWidth>0</wp14:pctWidth>
            </wp14:sizeRelH>
            <wp14:sizeRelV relativeFrom="margin">
              <wp14:pctHeight>0</wp14:pctHeight>
            </wp14:sizeRelV>
          </wp:anchor>
        </w:drawing>
      </w:r>
    </w:p>
    <w:p w14:paraId="2562B5FB" w14:textId="18CFA44B" w:rsidR="007247D1" w:rsidRDefault="007247D1" w:rsidP="00756D07">
      <w:pPr>
        <w:rPr>
          <w:b/>
          <w:bCs/>
          <w:lang w:eastAsia="en-US"/>
        </w:rPr>
      </w:pPr>
    </w:p>
    <w:p w14:paraId="33DC2F8C" w14:textId="25661D31" w:rsidR="00B37FFB" w:rsidRPr="00756D07" w:rsidRDefault="00B37FFB" w:rsidP="00756D07">
      <w:pPr>
        <w:rPr>
          <w:lang w:eastAsia="en-US"/>
        </w:rPr>
      </w:pPr>
    </w:p>
    <w:p w14:paraId="2835C705" w14:textId="5953274F" w:rsidR="00AB5DF4" w:rsidRDefault="00AB5DF4" w:rsidP="00EC1F0A">
      <w:pPr>
        <w:rPr>
          <w:lang w:eastAsia="en-US"/>
        </w:rPr>
      </w:pPr>
    </w:p>
    <w:p w14:paraId="430BC622" w14:textId="04A49179" w:rsidR="00AB5DF4" w:rsidRDefault="00AB5DF4" w:rsidP="00EC1F0A">
      <w:pPr>
        <w:rPr>
          <w:lang w:eastAsia="en-US"/>
        </w:rPr>
      </w:pPr>
    </w:p>
    <w:p w14:paraId="411181DA" w14:textId="77777777" w:rsidR="00AB5DF4" w:rsidRPr="00EC1F0A" w:rsidRDefault="00AB5DF4" w:rsidP="00EC1F0A">
      <w:pPr>
        <w:rPr>
          <w:lang w:eastAsia="en-US"/>
        </w:rPr>
      </w:pPr>
    </w:p>
    <w:p w14:paraId="667DBB6A" w14:textId="77777777" w:rsidR="00EC1F0A" w:rsidRPr="00EC1F0A" w:rsidRDefault="00EC1F0A" w:rsidP="00EC1F0A">
      <w:pPr>
        <w:rPr>
          <w:lang w:eastAsia="en-US"/>
        </w:rPr>
      </w:pPr>
    </w:p>
    <w:p w14:paraId="7084F1E9" w14:textId="77777777" w:rsidR="00E810E5" w:rsidRPr="00D07DEA" w:rsidRDefault="00E810E5" w:rsidP="00D07DEA">
      <w:pPr>
        <w:rPr>
          <w:lang w:eastAsia="en-US"/>
        </w:rPr>
      </w:pPr>
    </w:p>
    <w:p w14:paraId="7797902A" w14:textId="77777777" w:rsidR="00D07DEA" w:rsidRPr="00D07DEA" w:rsidRDefault="00D07DEA" w:rsidP="00D07DEA">
      <w:pPr>
        <w:rPr>
          <w:lang w:eastAsia="en-US"/>
        </w:rPr>
      </w:pPr>
    </w:p>
    <w:p w14:paraId="305567A7" w14:textId="77777777" w:rsidR="00E34000" w:rsidRDefault="00E34000" w:rsidP="00E34000">
      <w:pPr>
        <w:rPr>
          <w:lang w:eastAsia="en-US"/>
        </w:rPr>
      </w:pPr>
    </w:p>
    <w:p w14:paraId="7A79C77C" w14:textId="77777777" w:rsidR="00E34000" w:rsidRDefault="00E34000" w:rsidP="00E34000">
      <w:pPr>
        <w:rPr>
          <w:lang w:eastAsia="en-US"/>
        </w:rPr>
      </w:pPr>
    </w:p>
    <w:p w14:paraId="63254DBE" w14:textId="77777777" w:rsidR="00E34000" w:rsidRPr="00E34000" w:rsidRDefault="00E34000" w:rsidP="00E34000">
      <w:pPr>
        <w:rPr>
          <w:lang w:eastAsia="en-US"/>
        </w:rPr>
      </w:pPr>
    </w:p>
    <w:p w14:paraId="67BD38E5" w14:textId="78955CBF" w:rsidR="00E34000" w:rsidRDefault="00E34000" w:rsidP="00141A87">
      <w:pPr>
        <w:rPr>
          <w:lang w:eastAsia="en-US"/>
        </w:rPr>
      </w:pPr>
    </w:p>
    <w:p w14:paraId="742F5354" w14:textId="77777777" w:rsidR="00E34000" w:rsidRDefault="00E34000" w:rsidP="00141A87">
      <w:pPr>
        <w:rPr>
          <w:lang w:eastAsia="en-US"/>
        </w:rPr>
      </w:pPr>
    </w:p>
    <w:p w14:paraId="42665CCA" w14:textId="77777777" w:rsidR="00E34000" w:rsidRPr="00E34000" w:rsidRDefault="00E34000" w:rsidP="00141A87">
      <w:pPr>
        <w:rPr>
          <w:lang w:eastAsia="en-US"/>
        </w:rPr>
      </w:pPr>
    </w:p>
    <w:p w14:paraId="2BDEAD50" w14:textId="77777777" w:rsidR="00E34000" w:rsidRDefault="00E34000" w:rsidP="00141A87">
      <w:pPr>
        <w:rPr>
          <w:lang w:eastAsia="en-US"/>
        </w:rPr>
      </w:pPr>
    </w:p>
    <w:p w14:paraId="3D8F828C" w14:textId="77777777" w:rsidR="00F64EBF" w:rsidRDefault="00F64EBF" w:rsidP="00141A87">
      <w:pPr>
        <w:rPr>
          <w:lang w:eastAsia="en-US"/>
        </w:rPr>
      </w:pPr>
    </w:p>
    <w:p w14:paraId="1A2153A9" w14:textId="77777777" w:rsidR="00141A87" w:rsidRPr="00141A87" w:rsidRDefault="00141A87" w:rsidP="00141A87">
      <w:pPr>
        <w:rPr>
          <w:lang w:eastAsia="en-US"/>
        </w:rPr>
      </w:pPr>
    </w:p>
    <w:p w14:paraId="4214E489" w14:textId="77777777" w:rsidR="00141A87" w:rsidRPr="00141A87" w:rsidRDefault="00141A87" w:rsidP="00141A87">
      <w:pPr>
        <w:rPr>
          <w:lang w:eastAsia="en-US"/>
        </w:rPr>
      </w:pPr>
    </w:p>
    <w:p w14:paraId="35351382" w14:textId="77777777" w:rsidR="00141A87" w:rsidRPr="00141A87" w:rsidRDefault="00141A87" w:rsidP="00141A87">
      <w:pPr>
        <w:rPr>
          <w:lang w:eastAsia="en-US"/>
        </w:rPr>
      </w:pPr>
    </w:p>
    <w:p w14:paraId="27408F71" w14:textId="77777777" w:rsidR="00141A87" w:rsidRPr="004E6B6E" w:rsidRDefault="00141A87" w:rsidP="00B56911">
      <w:pPr>
        <w:rPr>
          <w:rFonts w:eastAsiaTheme="majorEastAsia"/>
          <w:lang w:eastAsia="en-US"/>
        </w:rPr>
      </w:pPr>
    </w:p>
    <w:p w14:paraId="77371EF7" w14:textId="64BA3B3E" w:rsidR="00B2475C" w:rsidRPr="00B2475C" w:rsidRDefault="00B2475C" w:rsidP="00B2475C">
      <w:pPr>
        <w:rPr>
          <w:rFonts w:eastAsiaTheme="majorEastAsia"/>
          <w:lang w:eastAsia="en-US"/>
        </w:rPr>
      </w:pPr>
      <w:r w:rsidRPr="00B2475C">
        <w:rPr>
          <w:rFonts w:eastAsiaTheme="majorEastAsia"/>
          <w:lang w:eastAsia="en-US"/>
        </w:rPr>
        <w:t>The flowchart begins when an incident is detected, either through a SIEM alert or a user report. The first step is to check whether the incident is real. If it is not, it is closed as a false positive and the process ends; if it is real, the process continues.</w:t>
      </w:r>
    </w:p>
    <w:p w14:paraId="18ABE00C" w14:textId="77777777" w:rsidR="00B2475C" w:rsidRPr="00B2475C" w:rsidRDefault="00B2475C" w:rsidP="00B2475C">
      <w:pPr>
        <w:rPr>
          <w:rFonts w:eastAsiaTheme="majorEastAsia"/>
          <w:lang w:eastAsia="en-US"/>
        </w:rPr>
      </w:pPr>
      <w:r w:rsidRPr="00B2475C">
        <w:rPr>
          <w:rFonts w:eastAsiaTheme="majorEastAsia"/>
          <w:lang w:eastAsia="en-US"/>
        </w:rPr>
        <w:t>Next, the incident is assessed based on its severity. If it is critical, it is immediately escalated to the CISO. For high, medium, or low severity incidents, the team proceeds by carrying out containment actions.</w:t>
      </w:r>
    </w:p>
    <w:p w14:paraId="14BED8A5" w14:textId="77777777" w:rsidR="00B2475C" w:rsidRPr="00B2475C" w:rsidRDefault="00B2475C" w:rsidP="00B2475C">
      <w:pPr>
        <w:rPr>
          <w:rFonts w:eastAsiaTheme="majorEastAsia"/>
          <w:lang w:eastAsia="en-US"/>
        </w:rPr>
      </w:pPr>
      <w:r w:rsidRPr="00B2475C">
        <w:rPr>
          <w:rFonts w:eastAsiaTheme="majorEastAsia"/>
          <w:lang w:eastAsia="en-US"/>
        </w:rPr>
        <w:t>Once the incident has been contained, the next step is to identify the type of incident. At this point, the process splits into three paths: if it is ransomware, the affected systems are isolated and backups are activated; if it is a data breach, compromised credentials are revoked and the exposed data is identified; and if it is a system compromise, the affected servers are isolated and forensic evidence is collected.</w:t>
      </w:r>
    </w:p>
    <w:p w14:paraId="7889F2D4" w14:textId="77777777" w:rsidR="00B2475C" w:rsidRPr="00B2475C" w:rsidRDefault="00B2475C" w:rsidP="00B2475C">
      <w:pPr>
        <w:rPr>
          <w:rFonts w:eastAsiaTheme="majorEastAsia"/>
          <w:lang w:eastAsia="en-US"/>
        </w:rPr>
      </w:pPr>
      <w:r w:rsidRPr="00B2475C">
        <w:rPr>
          <w:rFonts w:eastAsiaTheme="majorEastAsia"/>
          <w:lang w:eastAsia="en-US"/>
        </w:rPr>
        <w:t>After this, all paths come together in the eradication phase, where the threat is removed. The process then moves into system recovery. During this stage, the team checks whether all systems have been fully restored. If not, the process loops back to continue recovery until everything is back to normal; if yes, the process moves forward.</w:t>
      </w:r>
    </w:p>
    <w:p w14:paraId="5F359464" w14:textId="1B56C845" w:rsidR="00B2475C" w:rsidRDefault="00B2475C" w:rsidP="00B2475C">
      <w:pPr>
        <w:rPr>
          <w:rFonts w:eastAsiaTheme="majorEastAsia"/>
          <w:lang w:eastAsia="en-US"/>
        </w:rPr>
      </w:pPr>
      <w:r w:rsidRPr="00B2475C">
        <w:rPr>
          <w:rFonts w:eastAsiaTheme="majorEastAsia"/>
          <w:lang w:eastAsia="en-US"/>
        </w:rPr>
        <w:t>Finally, a post-incident review is carried out, where the incident is documented and lessons learned are identified, bringing the process to an end</w:t>
      </w:r>
      <w:sdt>
        <w:sdtPr>
          <w:rPr>
            <w:rFonts w:eastAsiaTheme="majorEastAsia"/>
            <w:lang w:eastAsia="en-US"/>
          </w:rPr>
          <w:id w:val="-1284956087"/>
          <w:citation/>
        </w:sdtPr>
        <w:sdtContent>
          <w:r>
            <w:rPr>
              <w:rFonts w:eastAsiaTheme="majorEastAsia"/>
              <w:lang w:eastAsia="en-US"/>
            </w:rPr>
            <w:fldChar w:fldCharType="begin"/>
          </w:r>
          <w:r>
            <w:rPr>
              <w:rFonts w:eastAsiaTheme="majorEastAsia"/>
              <w:lang w:eastAsia="en-US"/>
            </w:rPr>
            <w:instrText xml:space="preserve"> CITATION CHA70 \l 2057 </w:instrText>
          </w:r>
          <w:r>
            <w:rPr>
              <w:rFonts w:eastAsiaTheme="majorEastAsia"/>
              <w:lang w:eastAsia="en-US"/>
            </w:rPr>
            <w:fldChar w:fldCharType="separate"/>
          </w:r>
          <w:r w:rsidR="0050136F">
            <w:rPr>
              <w:rFonts w:eastAsiaTheme="majorEastAsia"/>
              <w:noProof/>
              <w:lang w:eastAsia="en-US"/>
            </w:rPr>
            <w:t xml:space="preserve"> </w:t>
          </w:r>
          <w:r w:rsidR="0050136F" w:rsidRPr="0050136F">
            <w:rPr>
              <w:rFonts w:eastAsiaTheme="majorEastAsia"/>
              <w:noProof/>
              <w:lang w:eastAsia="en-US"/>
            </w:rPr>
            <w:t>[13]</w:t>
          </w:r>
          <w:r>
            <w:rPr>
              <w:rFonts w:eastAsiaTheme="majorEastAsia"/>
              <w:lang w:eastAsia="en-US"/>
            </w:rPr>
            <w:fldChar w:fldCharType="end"/>
          </w:r>
        </w:sdtContent>
      </w:sdt>
      <w:r w:rsidRPr="00B2475C">
        <w:rPr>
          <w:rFonts w:eastAsiaTheme="majorEastAsia"/>
          <w:lang w:eastAsia="en-US"/>
        </w:rPr>
        <w:t>.</w:t>
      </w:r>
    </w:p>
    <w:p w14:paraId="3832C761" w14:textId="676BBF29" w:rsidR="00B2475C" w:rsidRDefault="00B2475C" w:rsidP="00B2475C">
      <w:pPr>
        <w:pStyle w:val="Heading1"/>
        <w:rPr>
          <w:lang w:eastAsia="en-US"/>
        </w:rPr>
      </w:pPr>
      <w:bookmarkStart w:id="5" w:name="_Toc228449148"/>
      <w:r>
        <w:rPr>
          <w:lang w:eastAsia="en-US"/>
        </w:rPr>
        <w:t>5-</w:t>
      </w:r>
      <w:r w:rsidRPr="00B2475C">
        <w:rPr>
          <w:lang w:eastAsia="en-US"/>
        </w:rPr>
        <w:t>Training and Awareness</w:t>
      </w:r>
      <w:bookmarkEnd w:id="5"/>
    </w:p>
    <w:p w14:paraId="058219C9" w14:textId="39C48798" w:rsidR="00242278" w:rsidRDefault="00242278" w:rsidP="00B2475C">
      <w:pPr>
        <w:rPr>
          <w:lang w:eastAsia="en-US"/>
        </w:rPr>
      </w:pPr>
      <w:r w:rsidRPr="00242278">
        <w:rPr>
          <w:lang w:eastAsia="en-US"/>
        </w:rPr>
        <w:t>Technical controls can fail when employees click phishing links. In HPA’s case, the incidents happened because attackers took advantage of human mistakes rather than system weaknesses. Training staff to recognise phishing is important, but one annual session is not enough. Studies show that using only one method, like training or simulations, is not very effective on its own. A better approach is to combine both. HPA should provide regular training, such as monthly reminders, realistic simulations, and quick feedback, to help employees stay aware and respond properly to threats</w:t>
      </w:r>
      <w:sdt>
        <w:sdtPr>
          <w:rPr>
            <w:lang w:eastAsia="en-US"/>
          </w:rPr>
          <w:id w:val="1684707701"/>
          <w:citation/>
        </w:sdtPr>
        <w:sdtContent>
          <w:r>
            <w:rPr>
              <w:lang w:eastAsia="en-US"/>
            </w:rPr>
            <w:fldChar w:fldCharType="begin"/>
          </w:r>
          <w:r>
            <w:rPr>
              <w:lang w:eastAsia="en-US"/>
            </w:rPr>
            <w:instrText xml:space="preserve"> CITATION Mor25 \l 2057 </w:instrText>
          </w:r>
          <w:r>
            <w:rPr>
              <w:lang w:eastAsia="en-US"/>
            </w:rPr>
            <w:fldChar w:fldCharType="separate"/>
          </w:r>
          <w:r w:rsidR="0050136F">
            <w:rPr>
              <w:noProof/>
              <w:lang w:eastAsia="en-US"/>
            </w:rPr>
            <w:t xml:space="preserve"> </w:t>
          </w:r>
          <w:r w:rsidR="0050136F" w:rsidRPr="0050136F">
            <w:rPr>
              <w:noProof/>
              <w:lang w:eastAsia="en-US"/>
            </w:rPr>
            <w:t>[14]</w:t>
          </w:r>
          <w:r>
            <w:rPr>
              <w:lang w:eastAsia="en-US"/>
            </w:rPr>
            <w:fldChar w:fldCharType="end"/>
          </w:r>
        </w:sdtContent>
      </w:sdt>
      <w:r w:rsidRPr="00242278">
        <w:rPr>
          <w:lang w:eastAsia="en-US"/>
        </w:rPr>
        <w:t>.</w:t>
      </w:r>
    </w:p>
    <w:p w14:paraId="2D7FA901" w14:textId="61EBBB0D" w:rsidR="00242278" w:rsidRDefault="00242278" w:rsidP="00242278">
      <w:pPr>
        <w:pStyle w:val="Heading1"/>
        <w:rPr>
          <w:lang w:eastAsia="en-US"/>
        </w:rPr>
      </w:pPr>
      <w:bookmarkStart w:id="6" w:name="_Toc228449149"/>
      <w:r>
        <w:rPr>
          <w:lang w:eastAsia="en-US"/>
        </w:rPr>
        <w:t>CONCLUSION</w:t>
      </w:r>
      <w:bookmarkEnd w:id="6"/>
      <w:r>
        <w:rPr>
          <w:lang w:eastAsia="en-US"/>
        </w:rPr>
        <w:t xml:space="preserve"> </w:t>
      </w:r>
    </w:p>
    <w:p w14:paraId="22D4B69F" w14:textId="77777777" w:rsidR="0050136F" w:rsidRPr="0050136F" w:rsidRDefault="0050136F" w:rsidP="0050136F">
      <w:pPr>
        <w:rPr>
          <w:lang w:eastAsia="en-US"/>
        </w:rPr>
      </w:pPr>
      <w:r w:rsidRPr="0050136F">
        <w:rPr>
          <w:lang w:eastAsia="en-US"/>
        </w:rPr>
        <w:t>This report shows that HPA’s security failures were caused by both technical weaknesses and a lack of user awareness. It identifies key threats, sets out security policies, applies technical controls, introduces monitoring systems, and highlights the need for ongoing training to reduce risks.</w:t>
      </w:r>
    </w:p>
    <w:p w14:paraId="556EB3D9" w14:textId="77777777" w:rsidR="0050136F" w:rsidRPr="0050136F" w:rsidRDefault="0050136F" w:rsidP="0050136F">
      <w:pPr>
        <w:rPr>
          <w:lang w:eastAsia="en-US"/>
        </w:rPr>
      </w:pPr>
      <w:r w:rsidRPr="0050136F">
        <w:rPr>
          <w:lang w:eastAsia="en-US"/>
        </w:rPr>
        <w:t>The incident response flowchart brings all these elements together, guiding the team from initial verification to severity assessment, containment, and the appropriate response for different incidents such as ransomware, data breaches, or system compromises.</w:t>
      </w:r>
    </w:p>
    <w:p w14:paraId="12F66D9E" w14:textId="77777777" w:rsidR="0050136F" w:rsidRPr="0050136F" w:rsidRDefault="0050136F" w:rsidP="0050136F">
      <w:pPr>
        <w:rPr>
          <w:lang w:eastAsia="en-US"/>
        </w:rPr>
      </w:pPr>
      <w:r w:rsidRPr="0050136F">
        <w:rPr>
          <w:lang w:eastAsia="en-US"/>
        </w:rPr>
        <w:t>However, the flowchart alone is not enough. Security requires continuous updates to systems, regular employee training, and active monitoring. Only by integrating all these elements into daily operations can HPA achieve effective and lasting protection.</w:t>
      </w:r>
    </w:p>
    <w:p w14:paraId="4E9F6EC7" w14:textId="77777777" w:rsidR="0050136F" w:rsidRPr="0050136F" w:rsidRDefault="0050136F" w:rsidP="0050136F">
      <w:pPr>
        <w:rPr>
          <w:lang w:eastAsia="en-US"/>
        </w:rPr>
      </w:pPr>
    </w:p>
    <w:p w14:paraId="44066CB3" w14:textId="77777777" w:rsidR="00242278" w:rsidRPr="00242278" w:rsidRDefault="00242278" w:rsidP="00242278">
      <w:pPr>
        <w:rPr>
          <w:lang w:eastAsia="en-US"/>
        </w:rPr>
      </w:pPr>
    </w:p>
    <w:p w14:paraId="18959127" w14:textId="77777777" w:rsidR="00B2475C" w:rsidRPr="00B2475C" w:rsidRDefault="00B2475C" w:rsidP="00B2475C">
      <w:pPr>
        <w:rPr>
          <w:lang w:eastAsia="en-US"/>
        </w:rPr>
      </w:pPr>
    </w:p>
    <w:p w14:paraId="5BD9E84E" w14:textId="61042ADA" w:rsidR="00EF2D72" w:rsidRDefault="00CC41DF" w:rsidP="00CC41DF">
      <w:pPr>
        <w:pStyle w:val="Heading1"/>
        <w:rPr>
          <w:lang w:eastAsia="en-US"/>
        </w:rPr>
      </w:pPr>
      <w:bookmarkStart w:id="7" w:name="_Toc228449150"/>
      <w:r>
        <w:rPr>
          <w:lang w:eastAsia="en-US"/>
        </w:rPr>
        <w:t>APPENDIX</w:t>
      </w:r>
      <w:bookmarkEnd w:id="7"/>
      <w:r>
        <w:rPr>
          <w:lang w:eastAsia="en-US"/>
        </w:rPr>
        <w:t xml:space="preserve"> </w:t>
      </w:r>
    </w:p>
    <w:p w14:paraId="7E40C99D" w14:textId="742EF499" w:rsidR="00CC41DF" w:rsidRDefault="00CC41DF" w:rsidP="00CC41DF">
      <w:pPr>
        <w:rPr>
          <w:b/>
          <w:bCs/>
          <w:lang w:eastAsia="en-US"/>
        </w:rPr>
      </w:pPr>
      <w:r w:rsidRPr="00CC41DF">
        <w:rPr>
          <w:b/>
          <w:bCs/>
          <w:lang w:eastAsia="en-US"/>
        </w:rPr>
        <w:t>PowerPoint presentation</w:t>
      </w:r>
    </w:p>
    <w:p w14:paraId="2035B578" w14:textId="4CD9D2FE" w:rsidR="00D67916" w:rsidRDefault="00D67916" w:rsidP="00CC41DF">
      <w:pPr>
        <w:rPr>
          <w:b/>
          <w:bCs/>
          <w:lang w:eastAsia="en-US"/>
        </w:rPr>
      </w:pPr>
      <w:r w:rsidRPr="00D67916">
        <w:rPr>
          <w:b/>
          <w:bCs/>
          <w:lang w:eastAsia="en-US"/>
        </w:rPr>
        <w:drawing>
          <wp:anchor distT="0" distB="0" distL="114300" distR="114300" simplePos="0" relativeHeight="251681280" behindDoc="1" locked="0" layoutInCell="1" allowOverlap="1" wp14:anchorId="5B803490" wp14:editId="606D4D6E">
            <wp:simplePos x="0" y="0"/>
            <wp:positionH relativeFrom="column">
              <wp:posOffset>0</wp:posOffset>
            </wp:positionH>
            <wp:positionV relativeFrom="paragraph">
              <wp:posOffset>-635</wp:posOffset>
            </wp:positionV>
            <wp:extent cx="5731510" cy="3218815"/>
            <wp:effectExtent l="0" t="0" r="2540" b="635"/>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18815"/>
                    </a:xfrm>
                    <a:prstGeom prst="rect">
                      <a:avLst/>
                    </a:prstGeom>
                  </pic:spPr>
                </pic:pic>
              </a:graphicData>
            </a:graphic>
          </wp:anchor>
        </w:drawing>
      </w:r>
    </w:p>
    <w:p w14:paraId="1F792078" w14:textId="77777777" w:rsidR="00D67916" w:rsidRDefault="00D67916" w:rsidP="00CC41DF">
      <w:pPr>
        <w:rPr>
          <w:b/>
          <w:bCs/>
          <w:lang w:eastAsia="en-US"/>
        </w:rPr>
      </w:pPr>
    </w:p>
    <w:p w14:paraId="06BDEDA5" w14:textId="77777777" w:rsidR="00D67916" w:rsidRDefault="00D67916" w:rsidP="00CC41DF">
      <w:pPr>
        <w:rPr>
          <w:b/>
          <w:bCs/>
          <w:lang w:eastAsia="en-US"/>
        </w:rPr>
      </w:pPr>
    </w:p>
    <w:p w14:paraId="5C3505F4" w14:textId="77777777" w:rsidR="00D67916" w:rsidRDefault="00D67916" w:rsidP="00CC41DF">
      <w:pPr>
        <w:rPr>
          <w:b/>
          <w:bCs/>
          <w:lang w:eastAsia="en-US"/>
        </w:rPr>
      </w:pPr>
    </w:p>
    <w:p w14:paraId="1BF4B7BF" w14:textId="77777777" w:rsidR="00D67916" w:rsidRDefault="00D67916" w:rsidP="00CC41DF">
      <w:pPr>
        <w:rPr>
          <w:b/>
          <w:bCs/>
          <w:lang w:eastAsia="en-US"/>
        </w:rPr>
      </w:pPr>
    </w:p>
    <w:p w14:paraId="47303431" w14:textId="77777777" w:rsidR="00D67916" w:rsidRDefault="00D67916" w:rsidP="00CC41DF">
      <w:pPr>
        <w:rPr>
          <w:b/>
          <w:bCs/>
          <w:lang w:eastAsia="en-US"/>
        </w:rPr>
      </w:pPr>
    </w:p>
    <w:p w14:paraId="38E9BBA5" w14:textId="77777777" w:rsidR="00D67916" w:rsidRDefault="00D67916" w:rsidP="00CC41DF">
      <w:pPr>
        <w:rPr>
          <w:b/>
          <w:bCs/>
          <w:lang w:eastAsia="en-US"/>
        </w:rPr>
      </w:pPr>
    </w:p>
    <w:p w14:paraId="503E786E" w14:textId="77777777" w:rsidR="00D67916" w:rsidRDefault="00D67916" w:rsidP="00CC41DF">
      <w:pPr>
        <w:rPr>
          <w:b/>
          <w:bCs/>
          <w:lang w:eastAsia="en-US"/>
        </w:rPr>
      </w:pPr>
    </w:p>
    <w:p w14:paraId="77B69BE6" w14:textId="77777777" w:rsidR="00D67916" w:rsidRDefault="00D67916" w:rsidP="00CC41DF">
      <w:pPr>
        <w:rPr>
          <w:b/>
          <w:bCs/>
          <w:lang w:eastAsia="en-US"/>
        </w:rPr>
      </w:pPr>
    </w:p>
    <w:p w14:paraId="7AB89408" w14:textId="77777777" w:rsidR="00D67916" w:rsidRDefault="00D67916" w:rsidP="00CC41DF">
      <w:pPr>
        <w:rPr>
          <w:b/>
          <w:bCs/>
          <w:lang w:eastAsia="en-US"/>
        </w:rPr>
      </w:pPr>
    </w:p>
    <w:p w14:paraId="1EBA49E7" w14:textId="77777777" w:rsidR="00D67916" w:rsidRDefault="00D67916" w:rsidP="00CC41DF">
      <w:pPr>
        <w:rPr>
          <w:b/>
          <w:bCs/>
          <w:lang w:eastAsia="en-US"/>
        </w:rPr>
      </w:pPr>
    </w:p>
    <w:p w14:paraId="3BC0B9D5" w14:textId="1A7895B3" w:rsidR="00CC41DF" w:rsidRPr="00CC41DF" w:rsidRDefault="00D67916" w:rsidP="00CC41DF">
      <w:pPr>
        <w:rPr>
          <w:b/>
          <w:bCs/>
          <w:lang w:eastAsia="en-US"/>
        </w:rPr>
      </w:pPr>
      <w:r w:rsidRPr="00D67916">
        <w:rPr>
          <w:b/>
          <w:bCs/>
          <w:lang w:eastAsia="en-US"/>
        </w:rPr>
        <w:drawing>
          <wp:anchor distT="0" distB="0" distL="114300" distR="114300" simplePos="0" relativeHeight="251654656" behindDoc="1" locked="0" layoutInCell="1" allowOverlap="1" wp14:anchorId="1F13B84A" wp14:editId="189EBC24">
            <wp:simplePos x="0" y="0"/>
            <wp:positionH relativeFrom="margin">
              <wp:align>right</wp:align>
            </wp:positionH>
            <wp:positionV relativeFrom="paragraph">
              <wp:posOffset>181073</wp:posOffset>
            </wp:positionV>
            <wp:extent cx="5731510" cy="3934460"/>
            <wp:effectExtent l="0" t="0" r="254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934460"/>
                    </a:xfrm>
                    <a:prstGeom prst="rect">
                      <a:avLst/>
                    </a:prstGeom>
                  </pic:spPr>
                </pic:pic>
              </a:graphicData>
            </a:graphic>
          </wp:anchor>
        </w:drawing>
      </w:r>
    </w:p>
    <w:p w14:paraId="300F208B" w14:textId="77777777" w:rsidR="00EF2D72" w:rsidRDefault="00EF2D72" w:rsidP="00B56911">
      <w:pPr>
        <w:rPr>
          <w:rFonts w:eastAsiaTheme="majorEastAsia"/>
          <w:b/>
          <w:bCs/>
          <w:lang w:eastAsia="en-US"/>
        </w:rPr>
      </w:pPr>
    </w:p>
    <w:p w14:paraId="3BAA366D" w14:textId="77777777" w:rsidR="00EF2D72" w:rsidRDefault="00EF2D72" w:rsidP="00B56911">
      <w:pPr>
        <w:rPr>
          <w:rFonts w:eastAsiaTheme="majorEastAsia"/>
          <w:b/>
          <w:bCs/>
          <w:lang w:eastAsia="en-US"/>
        </w:rPr>
      </w:pPr>
    </w:p>
    <w:p w14:paraId="5AC94BF5" w14:textId="77777777" w:rsidR="00BE5BE7" w:rsidRDefault="00BE5BE7" w:rsidP="00B56911">
      <w:pPr>
        <w:rPr>
          <w:rFonts w:eastAsiaTheme="majorEastAsia"/>
          <w:b/>
          <w:bCs/>
          <w:lang w:eastAsia="en-US"/>
        </w:rPr>
      </w:pPr>
    </w:p>
    <w:p w14:paraId="3246D424" w14:textId="77777777" w:rsidR="00BE5BE7" w:rsidRDefault="00BE5BE7" w:rsidP="00B56911">
      <w:pPr>
        <w:rPr>
          <w:rFonts w:eastAsiaTheme="majorEastAsia"/>
          <w:b/>
          <w:bCs/>
          <w:lang w:eastAsia="en-US"/>
        </w:rPr>
      </w:pPr>
    </w:p>
    <w:p w14:paraId="13732216" w14:textId="77777777" w:rsidR="00BE5BE7" w:rsidRDefault="00BE5BE7" w:rsidP="00B56911">
      <w:pPr>
        <w:rPr>
          <w:rFonts w:eastAsiaTheme="majorEastAsia"/>
          <w:b/>
          <w:bCs/>
          <w:lang w:eastAsia="en-US"/>
        </w:rPr>
      </w:pPr>
    </w:p>
    <w:p w14:paraId="2B812B66" w14:textId="77777777" w:rsidR="007247D1" w:rsidRDefault="007247D1" w:rsidP="00B56911">
      <w:pPr>
        <w:rPr>
          <w:rFonts w:eastAsiaTheme="majorEastAsia"/>
          <w:b/>
          <w:bCs/>
          <w:lang w:eastAsia="en-US"/>
        </w:rPr>
      </w:pPr>
    </w:p>
    <w:p w14:paraId="00183351" w14:textId="77777777" w:rsidR="007247D1" w:rsidRDefault="007247D1" w:rsidP="00B56911">
      <w:pPr>
        <w:rPr>
          <w:rFonts w:eastAsiaTheme="majorEastAsia"/>
          <w:b/>
          <w:bCs/>
          <w:lang w:eastAsia="en-US"/>
        </w:rPr>
      </w:pPr>
    </w:p>
    <w:p w14:paraId="1FF3C05A" w14:textId="77777777" w:rsidR="007247D1" w:rsidRDefault="007247D1" w:rsidP="00B56911">
      <w:pPr>
        <w:rPr>
          <w:rFonts w:eastAsiaTheme="majorEastAsia"/>
          <w:b/>
          <w:bCs/>
          <w:lang w:eastAsia="en-US"/>
        </w:rPr>
      </w:pPr>
    </w:p>
    <w:p w14:paraId="2661E569" w14:textId="77777777" w:rsidR="007247D1" w:rsidRDefault="007247D1" w:rsidP="00B56911">
      <w:pPr>
        <w:rPr>
          <w:rFonts w:eastAsiaTheme="majorEastAsia"/>
          <w:b/>
          <w:bCs/>
          <w:lang w:eastAsia="en-US"/>
        </w:rPr>
      </w:pPr>
    </w:p>
    <w:p w14:paraId="7444DE60" w14:textId="77777777" w:rsidR="007247D1" w:rsidRDefault="007247D1" w:rsidP="00B56911">
      <w:pPr>
        <w:rPr>
          <w:rFonts w:eastAsiaTheme="majorEastAsia"/>
          <w:b/>
          <w:bCs/>
          <w:lang w:eastAsia="en-US"/>
        </w:rPr>
      </w:pPr>
    </w:p>
    <w:p w14:paraId="46123404" w14:textId="77777777" w:rsidR="007247D1" w:rsidRDefault="007247D1" w:rsidP="00B56911">
      <w:pPr>
        <w:rPr>
          <w:rFonts w:eastAsiaTheme="majorEastAsia"/>
          <w:b/>
          <w:bCs/>
          <w:lang w:eastAsia="en-US"/>
        </w:rPr>
      </w:pPr>
    </w:p>
    <w:p w14:paraId="2F42C3D7" w14:textId="77777777" w:rsidR="007247D1" w:rsidRDefault="007247D1" w:rsidP="00B56911">
      <w:pPr>
        <w:rPr>
          <w:rFonts w:eastAsiaTheme="majorEastAsia"/>
          <w:b/>
          <w:bCs/>
          <w:lang w:eastAsia="en-US"/>
        </w:rPr>
      </w:pPr>
    </w:p>
    <w:p w14:paraId="0D1F4199" w14:textId="0953F66C" w:rsidR="007247D1" w:rsidRDefault="007247D1" w:rsidP="00B56911">
      <w:pPr>
        <w:rPr>
          <w:rFonts w:eastAsiaTheme="majorEastAsia"/>
          <w:b/>
          <w:bCs/>
          <w:lang w:eastAsia="en-US"/>
        </w:rPr>
      </w:pPr>
    </w:p>
    <w:p w14:paraId="2242220B" w14:textId="40523841" w:rsidR="007247D1" w:rsidRDefault="007247D1" w:rsidP="00B56911">
      <w:pPr>
        <w:rPr>
          <w:rFonts w:eastAsiaTheme="majorEastAsia"/>
          <w:b/>
          <w:bCs/>
          <w:lang w:eastAsia="en-US"/>
        </w:rPr>
      </w:pPr>
    </w:p>
    <w:p w14:paraId="2A5251F3" w14:textId="75214A4C" w:rsidR="007247D1" w:rsidRDefault="00D67916" w:rsidP="00B56911">
      <w:pPr>
        <w:rPr>
          <w:rFonts w:eastAsiaTheme="majorEastAsia"/>
          <w:b/>
          <w:bCs/>
          <w:lang w:eastAsia="en-US"/>
        </w:rPr>
      </w:pPr>
      <w:r w:rsidRPr="00D67916">
        <w:rPr>
          <w:rFonts w:eastAsiaTheme="majorEastAsia"/>
          <w:b/>
          <w:bCs/>
          <w:lang w:eastAsia="en-US"/>
        </w:rPr>
        <w:drawing>
          <wp:anchor distT="0" distB="0" distL="114300" distR="114300" simplePos="0" relativeHeight="251656704" behindDoc="1" locked="0" layoutInCell="1" allowOverlap="1" wp14:anchorId="68A638F3" wp14:editId="7D615ED4">
            <wp:simplePos x="0" y="0"/>
            <wp:positionH relativeFrom="margin">
              <wp:align>right</wp:align>
            </wp:positionH>
            <wp:positionV relativeFrom="paragraph">
              <wp:posOffset>-813582</wp:posOffset>
            </wp:positionV>
            <wp:extent cx="5731510" cy="3068320"/>
            <wp:effectExtent l="0" t="0" r="254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68320"/>
                    </a:xfrm>
                    <a:prstGeom prst="rect">
                      <a:avLst/>
                    </a:prstGeom>
                  </pic:spPr>
                </pic:pic>
              </a:graphicData>
            </a:graphic>
          </wp:anchor>
        </w:drawing>
      </w:r>
    </w:p>
    <w:p w14:paraId="383C0313" w14:textId="77777777" w:rsidR="007247D1" w:rsidRDefault="007247D1" w:rsidP="00B56911">
      <w:pPr>
        <w:rPr>
          <w:rFonts w:eastAsiaTheme="majorEastAsia"/>
          <w:b/>
          <w:bCs/>
          <w:lang w:eastAsia="en-US"/>
        </w:rPr>
      </w:pPr>
    </w:p>
    <w:p w14:paraId="776D4661" w14:textId="77777777" w:rsidR="007247D1" w:rsidRDefault="007247D1" w:rsidP="00B56911">
      <w:pPr>
        <w:rPr>
          <w:rFonts w:eastAsiaTheme="majorEastAsia"/>
          <w:b/>
          <w:bCs/>
          <w:lang w:eastAsia="en-US"/>
        </w:rPr>
      </w:pPr>
    </w:p>
    <w:p w14:paraId="3769EABA" w14:textId="77777777" w:rsidR="007247D1" w:rsidRDefault="007247D1" w:rsidP="00B56911">
      <w:pPr>
        <w:rPr>
          <w:rFonts w:eastAsiaTheme="majorEastAsia"/>
          <w:b/>
          <w:bCs/>
          <w:lang w:eastAsia="en-US"/>
        </w:rPr>
      </w:pPr>
    </w:p>
    <w:p w14:paraId="4E3A1D76" w14:textId="77777777" w:rsidR="007247D1" w:rsidRDefault="007247D1" w:rsidP="00B56911">
      <w:pPr>
        <w:rPr>
          <w:rFonts w:eastAsiaTheme="majorEastAsia"/>
          <w:b/>
          <w:bCs/>
          <w:lang w:eastAsia="en-US"/>
        </w:rPr>
      </w:pPr>
    </w:p>
    <w:p w14:paraId="76813B81" w14:textId="77777777" w:rsidR="007247D1" w:rsidRDefault="007247D1" w:rsidP="00B56911">
      <w:pPr>
        <w:rPr>
          <w:rFonts w:eastAsiaTheme="majorEastAsia"/>
          <w:b/>
          <w:bCs/>
          <w:lang w:eastAsia="en-US"/>
        </w:rPr>
      </w:pPr>
    </w:p>
    <w:p w14:paraId="3B5B92F5" w14:textId="77777777" w:rsidR="007247D1" w:rsidRDefault="007247D1" w:rsidP="00B56911">
      <w:pPr>
        <w:rPr>
          <w:rFonts w:eastAsiaTheme="majorEastAsia"/>
          <w:b/>
          <w:bCs/>
          <w:lang w:eastAsia="en-US"/>
        </w:rPr>
      </w:pPr>
    </w:p>
    <w:p w14:paraId="7B694033" w14:textId="77777777" w:rsidR="007247D1" w:rsidRDefault="007247D1" w:rsidP="00B56911">
      <w:pPr>
        <w:rPr>
          <w:rFonts w:eastAsiaTheme="majorEastAsia"/>
          <w:b/>
          <w:bCs/>
          <w:lang w:eastAsia="en-US"/>
        </w:rPr>
      </w:pPr>
    </w:p>
    <w:p w14:paraId="584EB4DC" w14:textId="24839D2F" w:rsidR="007247D1" w:rsidRDefault="00D67916" w:rsidP="00B56911">
      <w:pPr>
        <w:rPr>
          <w:rFonts w:eastAsiaTheme="majorEastAsia"/>
          <w:b/>
          <w:bCs/>
          <w:lang w:eastAsia="en-US"/>
        </w:rPr>
      </w:pPr>
      <w:r w:rsidRPr="00D67916">
        <w:rPr>
          <w:rFonts w:eastAsiaTheme="majorEastAsia"/>
          <w:b/>
          <w:bCs/>
          <w:lang w:eastAsia="en-US"/>
        </w:rPr>
        <w:drawing>
          <wp:anchor distT="0" distB="0" distL="114300" distR="114300" simplePos="0" relativeHeight="251662848" behindDoc="1" locked="0" layoutInCell="1" allowOverlap="1" wp14:anchorId="34BC37E7" wp14:editId="046F8B81">
            <wp:simplePos x="0" y="0"/>
            <wp:positionH relativeFrom="column">
              <wp:posOffset>-74833</wp:posOffset>
            </wp:positionH>
            <wp:positionV relativeFrom="paragraph">
              <wp:posOffset>88900</wp:posOffset>
            </wp:positionV>
            <wp:extent cx="5731510" cy="3223260"/>
            <wp:effectExtent l="0" t="0" r="254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260"/>
                    </a:xfrm>
                    <a:prstGeom prst="rect">
                      <a:avLst/>
                    </a:prstGeom>
                  </pic:spPr>
                </pic:pic>
              </a:graphicData>
            </a:graphic>
          </wp:anchor>
        </w:drawing>
      </w:r>
    </w:p>
    <w:p w14:paraId="05FCDA93" w14:textId="2A0408CE" w:rsidR="007247D1" w:rsidRDefault="007247D1" w:rsidP="00B56911">
      <w:pPr>
        <w:rPr>
          <w:rFonts w:eastAsiaTheme="majorEastAsia"/>
          <w:b/>
          <w:bCs/>
          <w:lang w:eastAsia="en-US"/>
        </w:rPr>
      </w:pPr>
    </w:p>
    <w:p w14:paraId="71F4F186" w14:textId="085E8095" w:rsidR="00BE5BE7" w:rsidRDefault="00BE5BE7" w:rsidP="00B56911">
      <w:pPr>
        <w:rPr>
          <w:rFonts w:eastAsiaTheme="majorEastAsia"/>
          <w:b/>
          <w:bCs/>
          <w:lang w:eastAsia="en-US"/>
        </w:rPr>
      </w:pPr>
    </w:p>
    <w:p w14:paraId="454E98F0" w14:textId="563AB020" w:rsidR="00D67916" w:rsidRDefault="00D67916" w:rsidP="00B56911">
      <w:pPr>
        <w:rPr>
          <w:rFonts w:eastAsiaTheme="majorEastAsia"/>
          <w:b/>
          <w:bCs/>
          <w:lang w:eastAsia="en-US"/>
        </w:rPr>
      </w:pPr>
    </w:p>
    <w:p w14:paraId="12DA0D6F" w14:textId="77777777" w:rsidR="00D67916" w:rsidRDefault="00D67916" w:rsidP="00B56911">
      <w:pPr>
        <w:rPr>
          <w:rFonts w:eastAsiaTheme="majorEastAsia"/>
          <w:b/>
          <w:bCs/>
          <w:lang w:eastAsia="en-US"/>
        </w:rPr>
      </w:pPr>
    </w:p>
    <w:p w14:paraId="7B7AC317" w14:textId="4AD4975C" w:rsidR="00BE5BE7" w:rsidRDefault="00BE5BE7" w:rsidP="00B56911">
      <w:pPr>
        <w:rPr>
          <w:rFonts w:eastAsiaTheme="majorEastAsia"/>
          <w:b/>
          <w:bCs/>
          <w:lang w:eastAsia="en-US"/>
        </w:rPr>
      </w:pPr>
    </w:p>
    <w:p w14:paraId="71597C2D" w14:textId="77777777" w:rsidR="00BE5BE7" w:rsidRDefault="00BE5BE7" w:rsidP="00B56911">
      <w:pPr>
        <w:rPr>
          <w:rFonts w:eastAsiaTheme="majorEastAsia"/>
          <w:b/>
          <w:bCs/>
          <w:lang w:eastAsia="en-US"/>
        </w:rPr>
      </w:pPr>
    </w:p>
    <w:p w14:paraId="7222829F" w14:textId="77777777" w:rsidR="00BE5BE7" w:rsidRDefault="00BE5BE7" w:rsidP="00B56911">
      <w:pPr>
        <w:rPr>
          <w:rFonts w:eastAsiaTheme="majorEastAsia"/>
          <w:b/>
          <w:bCs/>
          <w:lang w:eastAsia="en-US"/>
        </w:rPr>
      </w:pPr>
    </w:p>
    <w:p w14:paraId="01D74700" w14:textId="77777777" w:rsidR="00BE5BE7" w:rsidRDefault="00BE5BE7" w:rsidP="00B56911">
      <w:pPr>
        <w:rPr>
          <w:rFonts w:eastAsiaTheme="majorEastAsia"/>
          <w:b/>
          <w:bCs/>
          <w:lang w:eastAsia="en-US"/>
        </w:rPr>
      </w:pPr>
    </w:p>
    <w:p w14:paraId="29C316E3" w14:textId="580E52F6" w:rsidR="00D67916" w:rsidRDefault="00D67916" w:rsidP="00B56911">
      <w:pPr>
        <w:rPr>
          <w:rFonts w:eastAsiaTheme="majorEastAsia"/>
          <w:b/>
          <w:bCs/>
          <w:lang w:eastAsia="en-US"/>
        </w:rPr>
      </w:pPr>
    </w:p>
    <w:p w14:paraId="38919CB5" w14:textId="0B5D734F" w:rsidR="00D67916" w:rsidRDefault="00D67916">
      <w:pPr>
        <w:rPr>
          <w:rFonts w:eastAsiaTheme="majorEastAsia"/>
          <w:b/>
          <w:bCs/>
          <w:lang w:eastAsia="en-US"/>
        </w:rPr>
      </w:pPr>
      <w:r w:rsidRPr="00D67916">
        <w:rPr>
          <w:rFonts w:eastAsiaTheme="majorEastAsia"/>
          <w:b/>
          <w:bCs/>
          <w:lang w:eastAsia="en-US"/>
        </w:rPr>
        <w:drawing>
          <wp:anchor distT="0" distB="0" distL="114300" distR="114300" simplePos="0" relativeHeight="251663872" behindDoc="1" locked="0" layoutInCell="1" allowOverlap="1" wp14:anchorId="1B1D49C2" wp14:editId="3222EF63">
            <wp:simplePos x="0" y="0"/>
            <wp:positionH relativeFrom="column">
              <wp:posOffset>228600</wp:posOffset>
            </wp:positionH>
            <wp:positionV relativeFrom="paragraph">
              <wp:posOffset>294835</wp:posOffset>
            </wp:positionV>
            <wp:extent cx="5011615" cy="3559810"/>
            <wp:effectExtent l="0" t="0" r="0" b="254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12409" cy="3560374"/>
                    </a:xfrm>
                    <a:prstGeom prst="rect">
                      <a:avLst/>
                    </a:prstGeom>
                  </pic:spPr>
                </pic:pic>
              </a:graphicData>
            </a:graphic>
            <wp14:sizeRelH relativeFrom="margin">
              <wp14:pctWidth>0</wp14:pctWidth>
            </wp14:sizeRelH>
            <wp14:sizeRelV relativeFrom="margin">
              <wp14:pctHeight>0</wp14:pctHeight>
            </wp14:sizeRelV>
          </wp:anchor>
        </w:drawing>
      </w:r>
      <w:r>
        <w:rPr>
          <w:rFonts w:eastAsiaTheme="majorEastAsia"/>
          <w:b/>
          <w:bCs/>
          <w:lang w:eastAsia="en-US"/>
        </w:rPr>
        <w:br w:type="page"/>
      </w:r>
    </w:p>
    <w:p w14:paraId="26469961" w14:textId="421008DE" w:rsidR="00D67916" w:rsidRDefault="00D67916">
      <w:pPr>
        <w:rPr>
          <w:rFonts w:eastAsiaTheme="majorEastAsia"/>
          <w:b/>
          <w:bCs/>
          <w:lang w:eastAsia="en-US"/>
        </w:rPr>
      </w:pPr>
      <w:r w:rsidRPr="00D67916">
        <w:rPr>
          <w:rFonts w:eastAsiaTheme="majorEastAsia"/>
          <w:b/>
          <w:bCs/>
          <w:lang w:eastAsia="en-US"/>
        </w:rPr>
        <w:drawing>
          <wp:anchor distT="0" distB="0" distL="114300" distR="114300" simplePos="0" relativeHeight="251666944" behindDoc="1" locked="0" layoutInCell="1" allowOverlap="1" wp14:anchorId="57EFA5CD" wp14:editId="50A89B8B">
            <wp:simplePos x="0" y="0"/>
            <wp:positionH relativeFrom="column">
              <wp:posOffset>-64135</wp:posOffset>
            </wp:positionH>
            <wp:positionV relativeFrom="paragraph">
              <wp:posOffset>141312</wp:posOffset>
            </wp:positionV>
            <wp:extent cx="5731510" cy="3714115"/>
            <wp:effectExtent l="0" t="0" r="2540" b="635"/>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14115"/>
                    </a:xfrm>
                    <a:prstGeom prst="rect">
                      <a:avLst/>
                    </a:prstGeom>
                  </pic:spPr>
                </pic:pic>
              </a:graphicData>
            </a:graphic>
          </wp:anchor>
        </w:drawing>
      </w:r>
    </w:p>
    <w:p w14:paraId="0B33AA06" w14:textId="628276AF" w:rsidR="00D67916" w:rsidRDefault="00D67916" w:rsidP="00B56911">
      <w:pPr>
        <w:rPr>
          <w:rFonts w:eastAsiaTheme="majorEastAsia"/>
          <w:b/>
          <w:bCs/>
          <w:lang w:eastAsia="en-US"/>
        </w:rPr>
      </w:pPr>
    </w:p>
    <w:p w14:paraId="08CA76EE" w14:textId="3AF7B476" w:rsidR="00D67916" w:rsidRDefault="00D67916">
      <w:pPr>
        <w:rPr>
          <w:rFonts w:eastAsiaTheme="majorEastAsia"/>
          <w:b/>
          <w:bCs/>
          <w:lang w:eastAsia="en-US"/>
        </w:rPr>
      </w:pPr>
      <w:r w:rsidRPr="00D67916">
        <w:rPr>
          <w:rFonts w:eastAsiaTheme="majorEastAsia"/>
          <w:b/>
          <w:bCs/>
          <w:lang w:eastAsia="en-US"/>
        </w:rPr>
        <w:drawing>
          <wp:anchor distT="0" distB="0" distL="114300" distR="114300" simplePos="0" relativeHeight="251670016" behindDoc="1" locked="0" layoutInCell="1" allowOverlap="1" wp14:anchorId="0A12679D" wp14:editId="48ECC7A9">
            <wp:simplePos x="0" y="0"/>
            <wp:positionH relativeFrom="margin">
              <wp:posOffset>-254586</wp:posOffset>
            </wp:positionH>
            <wp:positionV relativeFrom="paragraph">
              <wp:posOffset>4172390</wp:posOffset>
            </wp:positionV>
            <wp:extent cx="5731510" cy="3970655"/>
            <wp:effectExtent l="0" t="0" r="254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970655"/>
                    </a:xfrm>
                    <a:prstGeom prst="rect">
                      <a:avLst/>
                    </a:prstGeom>
                  </pic:spPr>
                </pic:pic>
              </a:graphicData>
            </a:graphic>
          </wp:anchor>
        </w:drawing>
      </w:r>
      <w:r>
        <w:rPr>
          <w:rFonts w:eastAsiaTheme="majorEastAsia"/>
          <w:b/>
          <w:bCs/>
          <w:lang w:eastAsia="en-US"/>
        </w:rPr>
        <w:br w:type="page"/>
      </w:r>
    </w:p>
    <w:p w14:paraId="7B0B31D3" w14:textId="2E6C6654" w:rsidR="00D67916" w:rsidRDefault="00D67916" w:rsidP="00B56911">
      <w:pPr>
        <w:rPr>
          <w:rFonts w:eastAsiaTheme="majorEastAsia"/>
          <w:b/>
          <w:bCs/>
          <w:lang w:eastAsia="en-US"/>
        </w:rPr>
      </w:pPr>
      <w:r w:rsidRPr="00D67916">
        <w:rPr>
          <w:rFonts w:eastAsiaTheme="majorEastAsia"/>
          <w:b/>
          <w:bCs/>
          <w:lang w:eastAsia="en-US"/>
        </w:rPr>
        <w:drawing>
          <wp:anchor distT="0" distB="0" distL="114300" distR="114300" simplePos="0" relativeHeight="251671040" behindDoc="1" locked="0" layoutInCell="1" allowOverlap="1" wp14:anchorId="0F9E5F30" wp14:editId="76EF90D1">
            <wp:simplePos x="0" y="0"/>
            <wp:positionH relativeFrom="column">
              <wp:posOffset>-23446</wp:posOffset>
            </wp:positionH>
            <wp:positionV relativeFrom="paragraph">
              <wp:posOffset>-316523</wp:posOffset>
            </wp:positionV>
            <wp:extent cx="5731510" cy="4307205"/>
            <wp:effectExtent l="0" t="0" r="254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07205"/>
                    </a:xfrm>
                    <a:prstGeom prst="rect">
                      <a:avLst/>
                    </a:prstGeom>
                  </pic:spPr>
                </pic:pic>
              </a:graphicData>
            </a:graphic>
          </wp:anchor>
        </w:drawing>
      </w:r>
    </w:p>
    <w:p w14:paraId="03FB7708" w14:textId="77777777" w:rsidR="00D67916" w:rsidRDefault="00D67916">
      <w:pPr>
        <w:rPr>
          <w:rFonts w:eastAsiaTheme="majorEastAsia"/>
          <w:b/>
          <w:bCs/>
          <w:lang w:eastAsia="en-US"/>
        </w:rPr>
      </w:pPr>
    </w:p>
    <w:p w14:paraId="0E8F0A2D" w14:textId="77777777" w:rsidR="00D67916" w:rsidRDefault="00D67916">
      <w:pPr>
        <w:rPr>
          <w:rFonts w:eastAsiaTheme="majorEastAsia"/>
          <w:b/>
          <w:bCs/>
          <w:lang w:eastAsia="en-US"/>
        </w:rPr>
      </w:pPr>
    </w:p>
    <w:p w14:paraId="51F59FDC" w14:textId="77777777" w:rsidR="00D67916" w:rsidRDefault="00D67916">
      <w:pPr>
        <w:rPr>
          <w:rFonts w:eastAsiaTheme="majorEastAsia"/>
          <w:b/>
          <w:bCs/>
          <w:lang w:eastAsia="en-US"/>
        </w:rPr>
      </w:pPr>
    </w:p>
    <w:p w14:paraId="1984C957" w14:textId="77777777" w:rsidR="00D67916" w:rsidRDefault="00D67916">
      <w:pPr>
        <w:rPr>
          <w:rFonts w:eastAsiaTheme="majorEastAsia"/>
          <w:b/>
          <w:bCs/>
          <w:lang w:eastAsia="en-US"/>
        </w:rPr>
      </w:pPr>
    </w:p>
    <w:p w14:paraId="52180385" w14:textId="77777777" w:rsidR="00D67916" w:rsidRDefault="00D67916">
      <w:pPr>
        <w:rPr>
          <w:rFonts w:eastAsiaTheme="majorEastAsia"/>
          <w:b/>
          <w:bCs/>
          <w:lang w:eastAsia="en-US"/>
        </w:rPr>
      </w:pPr>
    </w:p>
    <w:p w14:paraId="3F8355CA" w14:textId="77777777" w:rsidR="00D67916" w:rsidRDefault="00D67916">
      <w:pPr>
        <w:rPr>
          <w:rFonts w:eastAsiaTheme="majorEastAsia"/>
          <w:b/>
          <w:bCs/>
          <w:lang w:eastAsia="en-US"/>
        </w:rPr>
      </w:pPr>
    </w:p>
    <w:p w14:paraId="20075312" w14:textId="77777777" w:rsidR="00D67916" w:rsidRDefault="00D67916">
      <w:pPr>
        <w:rPr>
          <w:rFonts w:eastAsiaTheme="majorEastAsia"/>
          <w:b/>
          <w:bCs/>
          <w:lang w:eastAsia="en-US"/>
        </w:rPr>
      </w:pPr>
    </w:p>
    <w:p w14:paraId="35465350" w14:textId="77777777" w:rsidR="00D67916" w:rsidRDefault="00D67916">
      <w:pPr>
        <w:rPr>
          <w:rFonts w:eastAsiaTheme="majorEastAsia"/>
          <w:b/>
          <w:bCs/>
          <w:lang w:eastAsia="en-US"/>
        </w:rPr>
      </w:pPr>
    </w:p>
    <w:p w14:paraId="4F99D70A" w14:textId="77777777" w:rsidR="00D67916" w:rsidRDefault="00D67916">
      <w:pPr>
        <w:rPr>
          <w:rFonts w:eastAsiaTheme="majorEastAsia"/>
          <w:b/>
          <w:bCs/>
          <w:lang w:eastAsia="en-US"/>
        </w:rPr>
      </w:pPr>
    </w:p>
    <w:p w14:paraId="0B556B8C" w14:textId="77777777" w:rsidR="00D67916" w:rsidRDefault="00D67916">
      <w:pPr>
        <w:rPr>
          <w:rFonts w:eastAsiaTheme="majorEastAsia"/>
          <w:b/>
          <w:bCs/>
          <w:lang w:eastAsia="en-US"/>
        </w:rPr>
      </w:pPr>
    </w:p>
    <w:p w14:paraId="4447CABD" w14:textId="77777777" w:rsidR="00D67916" w:rsidRDefault="00D67916">
      <w:pPr>
        <w:rPr>
          <w:rFonts w:eastAsiaTheme="majorEastAsia"/>
          <w:b/>
          <w:bCs/>
          <w:lang w:eastAsia="en-US"/>
        </w:rPr>
      </w:pPr>
    </w:p>
    <w:p w14:paraId="66C9656E" w14:textId="77777777" w:rsidR="00D67916" w:rsidRDefault="00D67916">
      <w:pPr>
        <w:rPr>
          <w:rFonts w:eastAsiaTheme="majorEastAsia"/>
          <w:b/>
          <w:bCs/>
          <w:lang w:eastAsia="en-US"/>
        </w:rPr>
      </w:pPr>
    </w:p>
    <w:p w14:paraId="11F40C2D" w14:textId="77777777" w:rsidR="00D67916" w:rsidRDefault="00D67916">
      <w:pPr>
        <w:rPr>
          <w:rFonts w:eastAsiaTheme="majorEastAsia"/>
          <w:b/>
          <w:bCs/>
          <w:lang w:eastAsia="en-US"/>
        </w:rPr>
      </w:pPr>
    </w:p>
    <w:p w14:paraId="10280A8C" w14:textId="1C4E68E6" w:rsidR="00D67916" w:rsidRDefault="00D67916">
      <w:pPr>
        <w:rPr>
          <w:rFonts w:eastAsiaTheme="majorEastAsia"/>
          <w:b/>
          <w:bCs/>
          <w:lang w:eastAsia="en-US"/>
        </w:rPr>
      </w:pPr>
      <w:r w:rsidRPr="00D67916">
        <w:rPr>
          <w:rFonts w:eastAsiaTheme="majorEastAsia"/>
          <w:b/>
          <w:bCs/>
          <w:lang w:eastAsia="en-US"/>
        </w:rPr>
        <w:drawing>
          <wp:anchor distT="0" distB="0" distL="114300" distR="114300" simplePos="0" relativeHeight="251672064" behindDoc="1" locked="0" layoutInCell="1" allowOverlap="1" wp14:anchorId="071AFE80" wp14:editId="596355EB">
            <wp:simplePos x="0" y="0"/>
            <wp:positionH relativeFrom="margin">
              <wp:align>right</wp:align>
            </wp:positionH>
            <wp:positionV relativeFrom="paragraph">
              <wp:posOffset>210380</wp:posOffset>
            </wp:positionV>
            <wp:extent cx="5731510" cy="4001770"/>
            <wp:effectExtent l="0" t="0" r="254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01770"/>
                    </a:xfrm>
                    <a:prstGeom prst="rect">
                      <a:avLst/>
                    </a:prstGeom>
                  </pic:spPr>
                </pic:pic>
              </a:graphicData>
            </a:graphic>
          </wp:anchor>
        </w:drawing>
      </w:r>
    </w:p>
    <w:p w14:paraId="619D36A3" w14:textId="5A83DFA8" w:rsidR="00D67916" w:rsidRDefault="00D67916">
      <w:pPr>
        <w:rPr>
          <w:rFonts w:eastAsiaTheme="majorEastAsia"/>
          <w:b/>
          <w:bCs/>
          <w:lang w:eastAsia="en-US"/>
        </w:rPr>
      </w:pPr>
      <w:r>
        <w:rPr>
          <w:rFonts w:eastAsiaTheme="majorEastAsia"/>
          <w:b/>
          <w:bCs/>
          <w:lang w:eastAsia="en-US"/>
        </w:rPr>
        <w:br w:type="page"/>
      </w:r>
    </w:p>
    <w:p w14:paraId="6325418E" w14:textId="0BAC12A9" w:rsidR="00D67916" w:rsidRDefault="00D67916" w:rsidP="00B56911">
      <w:pPr>
        <w:rPr>
          <w:rFonts w:eastAsiaTheme="majorEastAsia"/>
          <w:b/>
          <w:bCs/>
          <w:lang w:eastAsia="en-US"/>
        </w:rPr>
      </w:pPr>
    </w:p>
    <w:p w14:paraId="3856D019" w14:textId="63548481" w:rsidR="00D67916" w:rsidRDefault="00D67916">
      <w:pPr>
        <w:rPr>
          <w:rFonts w:eastAsiaTheme="majorEastAsia"/>
          <w:b/>
          <w:bCs/>
          <w:lang w:eastAsia="en-US"/>
        </w:rPr>
      </w:pPr>
      <w:r w:rsidRPr="00D67916">
        <w:rPr>
          <w:rFonts w:eastAsiaTheme="majorEastAsia"/>
          <w:b/>
          <w:bCs/>
          <w:lang w:eastAsia="en-US"/>
        </w:rPr>
        <w:drawing>
          <wp:anchor distT="0" distB="0" distL="114300" distR="114300" simplePos="0" relativeHeight="251674112" behindDoc="1" locked="0" layoutInCell="1" allowOverlap="1" wp14:anchorId="634622AE" wp14:editId="3C6C4206">
            <wp:simplePos x="0" y="0"/>
            <wp:positionH relativeFrom="margin">
              <wp:align>right</wp:align>
            </wp:positionH>
            <wp:positionV relativeFrom="paragraph">
              <wp:posOffset>5080</wp:posOffset>
            </wp:positionV>
            <wp:extent cx="5731510" cy="3881120"/>
            <wp:effectExtent l="0" t="0" r="2540" b="508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81120"/>
                    </a:xfrm>
                    <a:prstGeom prst="rect">
                      <a:avLst/>
                    </a:prstGeom>
                  </pic:spPr>
                </pic:pic>
              </a:graphicData>
            </a:graphic>
          </wp:anchor>
        </w:drawing>
      </w:r>
      <w:r w:rsidRPr="00D67916">
        <w:rPr>
          <w:rFonts w:eastAsiaTheme="majorEastAsia"/>
          <w:b/>
          <w:bCs/>
          <w:lang w:eastAsia="en-US"/>
        </w:rPr>
        <w:drawing>
          <wp:anchor distT="0" distB="0" distL="114300" distR="114300" simplePos="0" relativeHeight="251677184" behindDoc="1" locked="0" layoutInCell="1" allowOverlap="1" wp14:anchorId="28C82C9C" wp14:editId="1FC2A3E8">
            <wp:simplePos x="0" y="0"/>
            <wp:positionH relativeFrom="column">
              <wp:posOffset>58127</wp:posOffset>
            </wp:positionH>
            <wp:positionV relativeFrom="paragraph">
              <wp:posOffset>4442851</wp:posOffset>
            </wp:positionV>
            <wp:extent cx="5731510" cy="3745865"/>
            <wp:effectExtent l="0" t="0" r="2540" b="698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45865"/>
                    </a:xfrm>
                    <a:prstGeom prst="rect">
                      <a:avLst/>
                    </a:prstGeom>
                  </pic:spPr>
                </pic:pic>
              </a:graphicData>
            </a:graphic>
          </wp:anchor>
        </w:drawing>
      </w:r>
      <w:r>
        <w:rPr>
          <w:rFonts w:eastAsiaTheme="majorEastAsia"/>
          <w:b/>
          <w:bCs/>
          <w:lang w:eastAsia="en-US"/>
        </w:rPr>
        <w:br w:type="page"/>
      </w:r>
    </w:p>
    <w:p w14:paraId="69AE51E4" w14:textId="697972E5" w:rsidR="00D67916" w:rsidRDefault="00D67916">
      <w:pPr>
        <w:rPr>
          <w:rFonts w:eastAsiaTheme="majorEastAsia"/>
          <w:b/>
          <w:bCs/>
          <w:lang w:eastAsia="en-US"/>
        </w:rPr>
      </w:pPr>
    </w:p>
    <w:p w14:paraId="223712EE" w14:textId="24899D82" w:rsidR="00D67916" w:rsidRDefault="00D67916">
      <w:pPr>
        <w:rPr>
          <w:rFonts w:eastAsiaTheme="majorEastAsia"/>
          <w:b/>
          <w:bCs/>
          <w:lang w:eastAsia="en-US"/>
        </w:rPr>
      </w:pPr>
    </w:p>
    <w:p w14:paraId="21CC1DAD" w14:textId="7339A43D" w:rsidR="00D67916" w:rsidRDefault="00D67916">
      <w:pPr>
        <w:rPr>
          <w:rFonts w:eastAsiaTheme="majorEastAsia"/>
          <w:b/>
          <w:bCs/>
          <w:lang w:eastAsia="en-US"/>
        </w:rPr>
      </w:pPr>
      <w:r w:rsidRPr="00D67916">
        <w:rPr>
          <w:rFonts w:eastAsiaTheme="majorEastAsia"/>
          <w:b/>
          <w:bCs/>
          <w:lang w:eastAsia="en-US"/>
        </w:rPr>
        <w:drawing>
          <wp:anchor distT="0" distB="0" distL="114300" distR="114300" simplePos="0" relativeHeight="251679232" behindDoc="1" locked="0" layoutInCell="1" allowOverlap="1" wp14:anchorId="046FF249" wp14:editId="4B268920">
            <wp:simplePos x="0" y="0"/>
            <wp:positionH relativeFrom="column">
              <wp:posOffset>52754</wp:posOffset>
            </wp:positionH>
            <wp:positionV relativeFrom="paragraph">
              <wp:posOffset>262450</wp:posOffset>
            </wp:positionV>
            <wp:extent cx="5731510" cy="3837305"/>
            <wp:effectExtent l="0" t="0" r="254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37305"/>
                    </a:xfrm>
                    <a:prstGeom prst="rect">
                      <a:avLst/>
                    </a:prstGeom>
                  </pic:spPr>
                </pic:pic>
              </a:graphicData>
            </a:graphic>
          </wp:anchor>
        </w:drawing>
      </w:r>
    </w:p>
    <w:p w14:paraId="116D8840" w14:textId="77777777" w:rsidR="00D67916" w:rsidRDefault="00D67916">
      <w:pPr>
        <w:rPr>
          <w:rFonts w:eastAsiaTheme="majorEastAsia"/>
          <w:b/>
          <w:bCs/>
          <w:lang w:eastAsia="en-US"/>
        </w:rPr>
      </w:pPr>
    </w:p>
    <w:p w14:paraId="469F6FFE" w14:textId="77777777" w:rsidR="00D67916" w:rsidRDefault="00D67916">
      <w:pPr>
        <w:rPr>
          <w:rFonts w:eastAsiaTheme="majorEastAsia"/>
          <w:b/>
          <w:bCs/>
          <w:lang w:eastAsia="en-US"/>
        </w:rPr>
      </w:pPr>
    </w:p>
    <w:p w14:paraId="025F4AE1" w14:textId="77777777" w:rsidR="00D67916" w:rsidRDefault="00D67916">
      <w:pPr>
        <w:rPr>
          <w:rFonts w:eastAsiaTheme="majorEastAsia"/>
          <w:b/>
          <w:bCs/>
          <w:lang w:eastAsia="en-US"/>
        </w:rPr>
      </w:pPr>
    </w:p>
    <w:p w14:paraId="49419FEF" w14:textId="77777777" w:rsidR="00D67916" w:rsidRDefault="00D67916">
      <w:pPr>
        <w:rPr>
          <w:rFonts w:eastAsiaTheme="majorEastAsia"/>
          <w:b/>
          <w:bCs/>
          <w:lang w:eastAsia="en-US"/>
        </w:rPr>
      </w:pPr>
    </w:p>
    <w:p w14:paraId="4C88C979" w14:textId="77777777" w:rsidR="00D67916" w:rsidRDefault="00D67916">
      <w:pPr>
        <w:rPr>
          <w:rFonts w:eastAsiaTheme="majorEastAsia"/>
          <w:b/>
          <w:bCs/>
          <w:lang w:eastAsia="en-US"/>
        </w:rPr>
      </w:pPr>
    </w:p>
    <w:p w14:paraId="1A81D7E3" w14:textId="77777777" w:rsidR="00D67916" w:rsidRDefault="00D67916">
      <w:pPr>
        <w:rPr>
          <w:rFonts w:eastAsiaTheme="majorEastAsia"/>
          <w:b/>
          <w:bCs/>
          <w:lang w:eastAsia="en-US"/>
        </w:rPr>
      </w:pPr>
    </w:p>
    <w:p w14:paraId="7F9B723C" w14:textId="77777777" w:rsidR="00D67916" w:rsidRDefault="00D67916">
      <w:pPr>
        <w:rPr>
          <w:rFonts w:eastAsiaTheme="majorEastAsia"/>
          <w:b/>
          <w:bCs/>
          <w:lang w:eastAsia="en-US"/>
        </w:rPr>
      </w:pPr>
    </w:p>
    <w:p w14:paraId="3908A443" w14:textId="77777777" w:rsidR="00D67916" w:rsidRDefault="00D67916">
      <w:pPr>
        <w:rPr>
          <w:rFonts w:eastAsiaTheme="majorEastAsia"/>
          <w:b/>
          <w:bCs/>
          <w:lang w:eastAsia="en-US"/>
        </w:rPr>
      </w:pPr>
    </w:p>
    <w:p w14:paraId="59E0537F" w14:textId="77777777" w:rsidR="00D67916" w:rsidRDefault="00D67916">
      <w:pPr>
        <w:rPr>
          <w:rFonts w:eastAsiaTheme="majorEastAsia"/>
          <w:b/>
          <w:bCs/>
          <w:lang w:eastAsia="en-US"/>
        </w:rPr>
      </w:pPr>
    </w:p>
    <w:p w14:paraId="51499A4E" w14:textId="77777777" w:rsidR="00D67916" w:rsidRDefault="00D67916">
      <w:pPr>
        <w:rPr>
          <w:rFonts w:eastAsiaTheme="majorEastAsia"/>
          <w:b/>
          <w:bCs/>
          <w:lang w:eastAsia="en-US"/>
        </w:rPr>
      </w:pPr>
    </w:p>
    <w:p w14:paraId="268B0666" w14:textId="26BAAC44" w:rsidR="00D67916" w:rsidRDefault="00D67916">
      <w:pPr>
        <w:rPr>
          <w:rFonts w:eastAsiaTheme="majorEastAsia"/>
          <w:b/>
          <w:bCs/>
          <w:lang w:eastAsia="en-US"/>
        </w:rPr>
      </w:pPr>
      <w:r w:rsidRPr="00D67916">
        <w:rPr>
          <w:rFonts w:eastAsiaTheme="majorEastAsia"/>
          <w:b/>
          <w:bCs/>
          <w:lang w:eastAsia="en-US"/>
        </w:rPr>
        <w:drawing>
          <wp:anchor distT="0" distB="0" distL="114300" distR="114300" simplePos="0" relativeHeight="251680256" behindDoc="1" locked="0" layoutInCell="1" allowOverlap="1" wp14:anchorId="626F7229" wp14:editId="1DBDAF28">
            <wp:simplePos x="0" y="0"/>
            <wp:positionH relativeFrom="margin">
              <wp:align>right</wp:align>
            </wp:positionH>
            <wp:positionV relativeFrom="paragraph">
              <wp:posOffset>1019126</wp:posOffset>
            </wp:positionV>
            <wp:extent cx="5731510" cy="3921125"/>
            <wp:effectExtent l="0" t="0" r="2540" b="317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21125"/>
                    </a:xfrm>
                    <a:prstGeom prst="rect">
                      <a:avLst/>
                    </a:prstGeom>
                  </pic:spPr>
                </pic:pic>
              </a:graphicData>
            </a:graphic>
          </wp:anchor>
        </w:drawing>
      </w:r>
      <w:r>
        <w:rPr>
          <w:rFonts w:eastAsiaTheme="majorEastAsia"/>
          <w:b/>
          <w:bCs/>
          <w:lang w:eastAsia="en-US"/>
        </w:rPr>
        <w:br w:type="page"/>
      </w:r>
    </w:p>
    <w:p w14:paraId="2FC629C8" w14:textId="77777777" w:rsidR="00BE5BE7" w:rsidRDefault="00BE5BE7" w:rsidP="00B56911">
      <w:pPr>
        <w:rPr>
          <w:rFonts w:eastAsiaTheme="majorEastAsia"/>
          <w:b/>
          <w:bCs/>
          <w:lang w:eastAsia="en-US"/>
        </w:rPr>
      </w:pPr>
    </w:p>
    <w:bookmarkStart w:id="8" w:name="_Toc228449151" w:displacedByCustomXml="next"/>
    <w:sdt>
      <w:sdtPr>
        <w:id w:val="2139673089"/>
        <w:docPartObj>
          <w:docPartGallery w:val="Bibliographies"/>
          <w:docPartUnique/>
        </w:docPartObj>
      </w:sdtPr>
      <w:sdtEndPr>
        <w:rPr>
          <w:rFonts w:asciiTheme="minorHAnsi" w:eastAsiaTheme="minorEastAsia" w:hAnsiTheme="minorHAnsi" w:cstheme="minorBidi"/>
          <w:color w:val="auto"/>
          <w:sz w:val="24"/>
          <w:szCs w:val="24"/>
        </w:rPr>
      </w:sdtEndPr>
      <w:sdtContent>
        <w:p w14:paraId="579BF97E" w14:textId="5D2717AE" w:rsidR="00BE5BE7" w:rsidRDefault="00BE5BE7">
          <w:pPr>
            <w:pStyle w:val="Heading1"/>
          </w:pPr>
          <w:r>
            <w:t>References</w:t>
          </w:r>
          <w:bookmarkEnd w:id="8"/>
        </w:p>
        <w:sdt>
          <w:sdtPr>
            <w:id w:val="-573587230"/>
            <w:bibliography/>
          </w:sdtPr>
          <w:sdtContent>
            <w:p w14:paraId="5403ACCF" w14:textId="77777777" w:rsidR="0050136F" w:rsidRDefault="00BE5BE7">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50136F" w14:paraId="756E32A3" w14:textId="77777777">
                <w:trPr>
                  <w:divId w:val="1239942967"/>
                  <w:tblCellSpacing w:w="15" w:type="dxa"/>
                </w:trPr>
                <w:tc>
                  <w:tcPr>
                    <w:tcW w:w="50" w:type="pct"/>
                    <w:hideMark/>
                  </w:tcPr>
                  <w:p w14:paraId="4C3BABA2" w14:textId="39823A4F" w:rsidR="0050136F" w:rsidRDefault="0050136F">
                    <w:pPr>
                      <w:pStyle w:val="Bibliography"/>
                      <w:rPr>
                        <w:noProof/>
                        <w:kern w:val="0"/>
                        <w14:ligatures w14:val="none"/>
                      </w:rPr>
                    </w:pPr>
                    <w:r>
                      <w:rPr>
                        <w:noProof/>
                      </w:rPr>
                      <w:t xml:space="preserve">[1] </w:t>
                    </w:r>
                  </w:p>
                </w:tc>
                <w:tc>
                  <w:tcPr>
                    <w:tcW w:w="0" w:type="auto"/>
                    <w:hideMark/>
                  </w:tcPr>
                  <w:p w14:paraId="283431FB" w14:textId="77777777" w:rsidR="0050136F" w:rsidRDefault="0050136F">
                    <w:pPr>
                      <w:pStyle w:val="Bibliography"/>
                      <w:rPr>
                        <w:noProof/>
                      </w:rPr>
                    </w:pPr>
                    <w:r>
                      <w:rPr>
                        <w:noProof/>
                      </w:rPr>
                      <w:t xml:space="preserve">J. X. Jiang, J. S. Ross and G. Bai, “Ransomware Attacks and Data Breaches in US Health Care Systems,” </w:t>
                    </w:r>
                    <w:r>
                      <w:rPr>
                        <w:i/>
                        <w:iCs/>
                        <w:noProof/>
                      </w:rPr>
                      <w:t xml:space="preserve">JAMA Network Open, </w:t>
                    </w:r>
                    <w:r>
                      <w:rPr>
                        <w:noProof/>
                      </w:rPr>
                      <w:t xml:space="preserve">vol. 8, no. 5, 2025. </w:t>
                    </w:r>
                  </w:p>
                </w:tc>
              </w:tr>
              <w:tr w:rsidR="0050136F" w14:paraId="2248506B" w14:textId="77777777">
                <w:trPr>
                  <w:divId w:val="1239942967"/>
                  <w:tblCellSpacing w:w="15" w:type="dxa"/>
                </w:trPr>
                <w:tc>
                  <w:tcPr>
                    <w:tcW w:w="50" w:type="pct"/>
                    <w:hideMark/>
                  </w:tcPr>
                  <w:p w14:paraId="1F9989DC" w14:textId="77777777" w:rsidR="0050136F" w:rsidRDefault="0050136F">
                    <w:pPr>
                      <w:pStyle w:val="Bibliography"/>
                      <w:rPr>
                        <w:noProof/>
                      </w:rPr>
                    </w:pPr>
                    <w:r>
                      <w:rPr>
                        <w:noProof/>
                      </w:rPr>
                      <w:t xml:space="preserve">[2] </w:t>
                    </w:r>
                  </w:p>
                </w:tc>
                <w:tc>
                  <w:tcPr>
                    <w:tcW w:w="0" w:type="auto"/>
                    <w:hideMark/>
                  </w:tcPr>
                  <w:p w14:paraId="604A6D19" w14:textId="77777777" w:rsidR="0050136F" w:rsidRDefault="0050136F">
                    <w:pPr>
                      <w:pStyle w:val="Bibliography"/>
                      <w:rPr>
                        <w:noProof/>
                      </w:rPr>
                    </w:pPr>
                    <w:r>
                      <w:rPr>
                        <w:noProof/>
                      </w:rPr>
                      <w:t xml:space="preserve">V. Falkevych and A. Lisnyak, “Prevention, Internal and External Threats in Cyber Security and Methods for Their,” in </w:t>
                    </w:r>
                    <w:r>
                      <w:rPr>
                        <w:i/>
                        <w:iCs/>
                        <w:noProof/>
                      </w:rPr>
                      <w:t>2023 13th International Conference on Advanced Computer Information Technologies (ACIT)</w:t>
                    </w:r>
                    <w:r>
                      <w:rPr>
                        <w:noProof/>
                      </w:rPr>
                      <w:t xml:space="preserve">, 2023. </w:t>
                    </w:r>
                  </w:p>
                </w:tc>
              </w:tr>
              <w:tr w:rsidR="0050136F" w14:paraId="5C6E17BC" w14:textId="77777777">
                <w:trPr>
                  <w:divId w:val="1239942967"/>
                  <w:tblCellSpacing w:w="15" w:type="dxa"/>
                </w:trPr>
                <w:tc>
                  <w:tcPr>
                    <w:tcW w:w="50" w:type="pct"/>
                    <w:hideMark/>
                  </w:tcPr>
                  <w:p w14:paraId="4B41E7C5" w14:textId="77777777" w:rsidR="0050136F" w:rsidRDefault="0050136F">
                    <w:pPr>
                      <w:pStyle w:val="Bibliography"/>
                      <w:rPr>
                        <w:noProof/>
                      </w:rPr>
                    </w:pPr>
                    <w:r>
                      <w:rPr>
                        <w:noProof/>
                      </w:rPr>
                      <w:t xml:space="preserve">[3] </w:t>
                    </w:r>
                  </w:p>
                </w:tc>
                <w:tc>
                  <w:tcPr>
                    <w:tcW w:w="0" w:type="auto"/>
                    <w:hideMark/>
                  </w:tcPr>
                  <w:p w14:paraId="3A6554AC" w14:textId="77777777" w:rsidR="0050136F" w:rsidRDefault="0050136F">
                    <w:pPr>
                      <w:pStyle w:val="Bibliography"/>
                      <w:rPr>
                        <w:noProof/>
                      </w:rPr>
                    </w:pPr>
                    <w:r>
                      <w:rPr>
                        <w:noProof/>
                      </w:rPr>
                      <w:t>P. Langlois, “2020 Data Breach Investigations Report,” Verizon, 2020.</w:t>
                    </w:r>
                  </w:p>
                </w:tc>
              </w:tr>
              <w:tr w:rsidR="0050136F" w14:paraId="5B092728" w14:textId="77777777">
                <w:trPr>
                  <w:divId w:val="1239942967"/>
                  <w:tblCellSpacing w:w="15" w:type="dxa"/>
                </w:trPr>
                <w:tc>
                  <w:tcPr>
                    <w:tcW w:w="50" w:type="pct"/>
                    <w:hideMark/>
                  </w:tcPr>
                  <w:p w14:paraId="06916B8E" w14:textId="77777777" w:rsidR="0050136F" w:rsidRDefault="0050136F">
                    <w:pPr>
                      <w:pStyle w:val="Bibliography"/>
                      <w:rPr>
                        <w:noProof/>
                      </w:rPr>
                    </w:pPr>
                    <w:r>
                      <w:rPr>
                        <w:noProof/>
                      </w:rPr>
                      <w:t xml:space="preserve">[4] </w:t>
                    </w:r>
                  </w:p>
                </w:tc>
                <w:tc>
                  <w:tcPr>
                    <w:tcW w:w="0" w:type="auto"/>
                    <w:hideMark/>
                  </w:tcPr>
                  <w:p w14:paraId="13D7DB6A" w14:textId="77777777" w:rsidR="0050136F" w:rsidRDefault="0050136F">
                    <w:pPr>
                      <w:pStyle w:val="Bibliography"/>
                      <w:rPr>
                        <w:noProof/>
                      </w:rPr>
                    </w:pPr>
                    <w:r>
                      <w:rPr>
                        <w:noProof/>
                      </w:rPr>
                      <w:t>NIST, “Security and Privacy Controls for Information Systems and Organizations,” National Institute of Standards and Technology, 2020.</w:t>
                    </w:r>
                  </w:p>
                </w:tc>
              </w:tr>
              <w:tr w:rsidR="0050136F" w14:paraId="6D98EA66" w14:textId="77777777">
                <w:trPr>
                  <w:divId w:val="1239942967"/>
                  <w:tblCellSpacing w:w="15" w:type="dxa"/>
                </w:trPr>
                <w:tc>
                  <w:tcPr>
                    <w:tcW w:w="50" w:type="pct"/>
                    <w:hideMark/>
                  </w:tcPr>
                  <w:p w14:paraId="09300579" w14:textId="77777777" w:rsidR="0050136F" w:rsidRDefault="0050136F">
                    <w:pPr>
                      <w:pStyle w:val="Bibliography"/>
                      <w:rPr>
                        <w:noProof/>
                      </w:rPr>
                    </w:pPr>
                    <w:r>
                      <w:rPr>
                        <w:noProof/>
                      </w:rPr>
                      <w:t xml:space="preserve">[5] </w:t>
                    </w:r>
                  </w:p>
                </w:tc>
                <w:tc>
                  <w:tcPr>
                    <w:tcW w:w="0" w:type="auto"/>
                    <w:hideMark/>
                  </w:tcPr>
                  <w:p w14:paraId="124EA191" w14:textId="77777777" w:rsidR="0050136F" w:rsidRDefault="0050136F">
                    <w:pPr>
                      <w:pStyle w:val="Bibliography"/>
                      <w:rPr>
                        <w:noProof/>
                      </w:rPr>
                    </w:pPr>
                    <w:r>
                      <w:rPr>
                        <w:noProof/>
                      </w:rPr>
                      <w:t>International Organization for Standardization (ISO), “ISO/IEC 27035-1:2023 Information technology — Information security incident management — Part 1: Principles and process,” ISO, 2023.</w:t>
                    </w:r>
                  </w:p>
                </w:tc>
              </w:tr>
              <w:tr w:rsidR="0050136F" w14:paraId="760A2955" w14:textId="77777777">
                <w:trPr>
                  <w:divId w:val="1239942967"/>
                  <w:tblCellSpacing w:w="15" w:type="dxa"/>
                </w:trPr>
                <w:tc>
                  <w:tcPr>
                    <w:tcW w:w="50" w:type="pct"/>
                    <w:hideMark/>
                  </w:tcPr>
                  <w:p w14:paraId="1E654A23" w14:textId="77777777" w:rsidR="0050136F" w:rsidRDefault="0050136F">
                    <w:pPr>
                      <w:pStyle w:val="Bibliography"/>
                      <w:rPr>
                        <w:noProof/>
                      </w:rPr>
                    </w:pPr>
                    <w:r>
                      <w:rPr>
                        <w:noProof/>
                      </w:rPr>
                      <w:t xml:space="preserve">[6] </w:t>
                    </w:r>
                  </w:p>
                </w:tc>
                <w:tc>
                  <w:tcPr>
                    <w:tcW w:w="0" w:type="auto"/>
                    <w:hideMark/>
                  </w:tcPr>
                  <w:p w14:paraId="2ED9D697" w14:textId="77777777" w:rsidR="0050136F" w:rsidRDefault="0050136F">
                    <w:pPr>
                      <w:pStyle w:val="Bibliography"/>
                      <w:rPr>
                        <w:noProof/>
                      </w:rPr>
                    </w:pPr>
                    <w:r>
                      <w:rPr>
                        <w:noProof/>
                      </w:rPr>
                      <w:t>R. K. (. W. B. (. J. F. (. J. G. (. Kevin Stine (NIST), “Guide for Mapping Types of Information and Information Systems to Security Categories,” NIST, 2008.</w:t>
                    </w:r>
                  </w:p>
                </w:tc>
              </w:tr>
              <w:tr w:rsidR="0050136F" w14:paraId="0F480D75" w14:textId="77777777">
                <w:trPr>
                  <w:divId w:val="1239942967"/>
                  <w:tblCellSpacing w:w="15" w:type="dxa"/>
                </w:trPr>
                <w:tc>
                  <w:tcPr>
                    <w:tcW w:w="50" w:type="pct"/>
                    <w:hideMark/>
                  </w:tcPr>
                  <w:p w14:paraId="7EE090D8" w14:textId="77777777" w:rsidR="0050136F" w:rsidRDefault="0050136F">
                    <w:pPr>
                      <w:pStyle w:val="Bibliography"/>
                      <w:rPr>
                        <w:noProof/>
                      </w:rPr>
                    </w:pPr>
                    <w:r>
                      <w:rPr>
                        <w:noProof/>
                      </w:rPr>
                      <w:t xml:space="preserve">[7] </w:t>
                    </w:r>
                  </w:p>
                </w:tc>
                <w:tc>
                  <w:tcPr>
                    <w:tcW w:w="0" w:type="auto"/>
                    <w:hideMark/>
                  </w:tcPr>
                  <w:p w14:paraId="0821AF20" w14:textId="77777777" w:rsidR="0050136F" w:rsidRDefault="0050136F">
                    <w:pPr>
                      <w:pStyle w:val="Bibliography"/>
                      <w:rPr>
                        <w:noProof/>
                      </w:rPr>
                    </w:pPr>
                    <w:r>
                      <w:rPr>
                        <w:noProof/>
                      </w:rPr>
                      <w:t xml:space="preserve">S. R. G. B. T. B. A. W. J. L. F. Lucas Augusto Meyer, “How effective is multifactor authentication at deterring cyberattacks?,” </w:t>
                    </w:r>
                    <w:r>
                      <w:rPr>
                        <w:i/>
                        <w:iCs/>
                        <w:noProof/>
                      </w:rPr>
                      <w:t xml:space="preserve">arXiv, </w:t>
                    </w:r>
                    <w:r>
                      <w:rPr>
                        <w:noProof/>
                      </w:rPr>
                      <w:t xml:space="preserve">2023. </w:t>
                    </w:r>
                  </w:p>
                </w:tc>
              </w:tr>
              <w:tr w:rsidR="0050136F" w14:paraId="47AC7989" w14:textId="77777777">
                <w:trPr>
                  <w:divId w:val="1239942967"/>
                  <w:tblCellSpacing w:w="15" w:type="dxa"/>
                </w:trPr>
                <w:tc>
                  <w:tcPr>
                    <w:tcW w:w="50" w:type="pct"/>
                    <w:hideMark/>
                  </w:tcPr>
                  <w:p w14:paraId="5A390922" w14:textId="77777777" w:rsidR="0050136F" w:rsidRDefault="0050136F">
                    <w:pPr>
                      <w:pStyle w:val="Bibliography"/>
                      <w:rPr>
                        <w:noProof/>
                      </w:rPr>
                    </w:pPr>
                    <w:r>
                      <w:rPr>
                        <w:noProof/>
                      </w:rPr>
                      <w:t xml:space="preserve">[8] </w:t>
                    </w:r>
                  </w:p>
                </w:tc>
                <w:tc>
                  <w:tcPr>
                    <w:tcW w:w="0" w:type="auto"/>
                    <w:hideMark/>
                  </w:tcPr>
                  <w:p w14:paraId="59205011" w14:textId="77777777" w:rsidR="0050136F" w:rsidRDefault="0050136F">
                    <w:pPr>
                      <w:pStyle w:val="Bibliography"/>
                      <w:rPr>
                        <w:noProof/>
                      </w:rPr>
                    </w:pPr>
                    <w:r>
                      <w:rPr>
                        <w:noProof/>
                      </w:rPr>
                      <w:t xml:space="preserve">S. M. Ryan Bredesen, “Network Segmentation Security with the Implementation of Threats,” in </w:t>
                    </w:r>
                    <w:r>
                      <w:rPr>
                        <w:i/>
                        <w:iCs/>
                        <w:noProof/>
                      </w:rPr>
                      <w:t>ICSIM '25: Proceedings of the 2025 8th International Conference on Software Engineering and Information Management</w:t>
                    </w:r>
                    <w:r>
                      <w:rPr>
                        <w:noProof/>
                      </w:rPr>
                      <w:t xml:space="preserve">, 2025. </w:t>
                    </w:r>
                  </w:p>
                </w:tc>
              </w:tr>
              <w:tr w:rsidR="0050136F" w14:paraId="090D6336" w14:textId="77777777">
                <w:trPr>
                  <w:divId w:val="1239942967"/>
                  <w:tblCellSpacing w:w="15" w:type="dxa"/>
                </w:trPr>
                <w:tc>
                  <w:tcPr>
                    <w:tcW w:w="50" w:type="pct"/>
                    <w:hideMark/>
                  </w:tcPr>
                  <w:p w14:paraId="3EBF630C" w14:textId="77777777" w:rsidR="0050136F" w:rsidRDefault="0050136F">
                    <w:pPr>
                      <w:pStyle w:val="Bibliography"/>
                      <w:rPr>
                        <w:noProof/>
                      </w:rPr>
                    </w:pPr>
                    <w:r>
                      <w:rPr>
                        <w:noProof/>
                      </w:rPr>
                      <w:t xml:space="preserve">[9] </w:t>
                    </w:r>
                  </w:p>
                </w:tc>
                <w:tc>
                  <w:tcPr>
                    <w:tcW w:w="0" w:type="auto"/>
                    <w:hideMark/>
                  </w:tcPr>
                  <w:p w14:paraId="4F479AE0" w14:textId="77777777" w:rsidR="0050136F" w:rsidRDefault="0050136F">
                    <w:pPr>
                      <w:pStyle w:val="Bibliography"/>
                      <w:rPr>
                        <w:noProof/>
                      </w:rPr>
                    </w:pPr>
                    <w:r>
                      <w:rPr>
                        <w:noProof/>
                      </w:rPr>
                      <w:t xml:space="preserve">R. A. D. O. L. N. T. Rebeka Toth, “Sustaining Cyber Awareness: The Long-Term Impact of Continuous Phishing Training and Emotional Triggers,” </w:t>
                    </w:r>
                    <w:r>
                      <w:rPr>
                        <w:i/>
                        <w:iCs/>
                        <w:noProof/>
                      </w:rPr>
                      <w:t xml:space="preserve">arXiv, </w:t>
                    </w:r>
                    <w:r>
                      <w:rPr>
                        <w:noProof/>
                      </w:rPr>
                      <w:t xml:space="preserve">2025. </w:t>
                    </w:r>
                  </w:p>
                </w:tc>
              </w:tr>
              <w:tr w:rsidR="0050136F" w14:paraId="647115E5" w14:textId="77777777">
                <w:trPr>
                  <w:divId w:val="1239942967"/>
                  <w:tblCellSpacing w:w="15" w:type="dxa"/>
                </w:trPr>
                <w:tc>
                  <w:tcPr>
                    <w:tcW w:w="50" w:type="pct"/>
                    <w:hideMark/>
                  </w:tcPr>
                  <w:p w14:paraId="61A3CE4E" w14:textId="77777777" w:rsidR="0050136F" w:rsidRDefault="0050136F">
                    <w:pPr>
                      <w:pStyle w:val="Bibliography"/>
                      <w:rPr>
                        <w:noProof/>
                      </w:rPr>
                    </w:pPr>
                    <w:r>
                      <w:rPr>
                        <w:noProof/>
                      </w:rPr>
                      <w:t xml:space="preserve">[10] </w:t>
                    </w:r>
                  </w:p>
                </w:tc>
                <w:tc>
                  <w:tcPr>
                    <w:tcW w:w="0" w:type="auto"/>
                    <w:hideMark/>
                  </w:tcPr>
                  <w:p w14:paraId="642E6F4F" w14:textId="77777777" w:rsidR="0050136F" w:rsidRDefault="0050136F">
                    <w:pPr>
                      <w:pStyle w:val="Bibliography"/>
                      <w:rPr>
                        <w:noProof/>
                      </w:rPr>
                    </w:pPr>
                    <w:r>
                      <w:rPr>
                        <w:noProof/>
                      </w:rPr>
                      <w:t xml:space="preserve">J. L. F.-A. J. M. C.-d.-G. &amp;. J. A. G.-B. Carlos M. Mejía-Granda, “Security vulnerabilities in healthcare: an analysis of medical devices and software,” </w:t>
                    </w:r>
                    <w:r>
                      <w:rPr>
                        <w:i/>
                        <w:iCs/>
                        <w:noProof/>
                      </w:rPr>
                      <w:t xml:space="preserve">Medical &amp; Biological Engineering &amp; Computing, </w:t>
                    </w:r>
                    <w:r>
                      <w:rPr>
                        <w:noProof/>
                      </w:rPr>
                      <w:t xml:space="preserve">vol. 62, pp. 257-273, 2024. </w:t>
                    </w:r>
                  </w:p>
                </w:tc>
              </w:tr>
              <w:tr w:rsidR="0050136F" w14:paraId="21ECDEFA" w14:textId="77777777">
                <w:trPr>
                  <w:divId w:val="1239942967"/>
                  <w:tblCellSpacing w:w="15" w:type="dxa"/>
                </w:trPr>
                <w:tc>
                  <w:tcPr>
                    <w:tcW w:w="50" w:type="pct"/>
                    <w:hideMark/>
                  </w:tcPr>
                  <w:p w14:paraId="6161D71E" w14:textId="77777777" w:rsidR="0050136F" w:rsidRDefault="0050136F">
                    <w:pPr>
                      <w:pStyle w:val="Bibliography"/>
                      <w:rPr>
                        <w:noProof/>
                      </w:rPr>
                    </w:pPr>
                    <w:r>
                      <w:rPr>
                        <w:noProof/>
                      </w:rPr>
                      <w:t xml:space="preserve">[11] </w:t>
                    </w:r>
                  </w:p>
                </w:tc>
                <w:tc>
                  <w:tcPr>
                    <w:tcW w:w="0" w:type="auto"/>
                    <w:hideMark/>
                  </w:tcPr>
                  <w:p w14:paraId="01868D71" w14:textId="77777777" w:rsidR="0050136F" w:rsidRDefault="0050136F">
                    <w:pPr>
                      <w:pStyle w:val="Bibliography"/>
                      <w:rPr>
                        <w:noProof/>
                      </w:rPr>
                    </w:pPr>
                    <w:r>
                      <w:rPr>
                        <w:noProof/>
                      </w:rPr>
                      <w:t xml:space="preserve">S. K. M. C. V. G. Naresh Kilaru, “Enhancing Healthcare Security: Proactive Threat,” </w:t>
                    </w:r>
                    <w:r>
                      <w:rPr>
                        <w:i/>
                        <w:iCs/>
                        <w:noProof/>
                      </w:rPr>
                      <w:t xml:space="preserve">International Journal of Computer Science and Mechatronics, </w:t>
                    </w:r>
                    <w:r>
                      <w:rPr>
                        <w:noProof/>
                      </w:rPr>
                      <w:t xml:space="preserve">vol. 8, no. 6, 2022. </w:t>
                    </w:r>
                  </w:p>
                </w:tc>
              </w:tr>
              <w:tr w:rsidR="0050136F" w14:paraId="6903A2B6" w14:textId="77777777">
                <w:trPr>
                  <w:divId w:val="1239942967"/>
                  <w:tblCellSpacing w:w="15" w:type="dxa"/>
                </w:trPr>
                <w:tc>
                  <w:tcPr>
                    <w:tcW w:w="50" w:type="pct"/>
                    <w:hideMark/>
                  </w:tcPr>
                  <w:p w14:paraId="1732D5C5" w14:textId="77777777" w:rsidR="0050136F" w:rsidRDefault="0050136F">
                    <w:pPr>
                      <w:pStyle w:val="Bibliography"/>
                      <w:rPr>
                        <w:noProof/>
                      </w:rPr>
                    </w:pPr>
                    <w:r>
                      <w:rPr>
                        <w:noProof/>
                      </w:rPr>
                      <w:t xml:space="preserve">[12] </w:t>
                    </w:r>
                  </w:p>
                </w:tc>
                <w:tc>
                  <w:tcPr>
                    <w:tcW w:w="0" w:type="auto"/>
                    <w:hideMark/>
                  </w:tcPr>
                  <w:p w14:paraId="143FA758" w14:textId="77777777" w:rsidR="0050136F" w:rsidRDefault="0050136F">
                    <w:pPr>
                      <w:pStyle w:val="Bibliography"/>
                      <w:rPr>
                        <w:noProof/>
                      </w:rPr>
                    </w:pPr>
                    <w:r>
                      <w:rPr>
                        <w:noProof/>
                      </w:rPr>
                      <w:t>S. R. M. S. K. S. Alex Nelson, “Incident Response Recommendations and Considerations for Cybersecurity Risk Management: A CSF 2.0 Community Profile,” NIST, 2025.</w:t>
                    </w:r>
                  </w:p>
                </w:tc>
              </w:tr>
              <w:tr w:rsidR="0050136F" w14:paraId="26A2429D" w14:textId="77777777">
                <w:trPr>
                  <w:divId w:val="1239942967"/>
                  <w:tblCellSpacing w:w="15" w:type="dxa"/>
                </w:trPr>
                <w:tc>
                  <w:tcPr>
                    <w:tcW w:w="50" w:type="pct"/>
                    <w:hideMark/>
                  </w:tcPr>
                  <w:p w14:paraId="4B860A1A" w14:textId="77777777" w:rsidR="0050136F" w:rsidRDefault="0050136F">
                    <w:pPr>
                      <w:pStyle w:val="Bibliography"/>
                      <w:rPr>
                        <w:noProof/>
                      </w:rPr>
                    </w:pPr>
                    <w:r>
                      <w:rPr>
                        <w:noProof/>
                      </w:rPr>
                      <w:t xml:space="preserve">[13] </w:t>
                    </w:r>
                  </w:p>
                </w:tc>
                <w:tc>
                  <w:tcPr>
                    <w:tcW w:w="0" w:type="auto"/>
                    <w:hideMark/>
                  </w:tcPr>
                  <w:p w14:paraId="703E71D7" w14:textId="77777777" w:rsidR="0050136F" w:rsidRDefault="0050136F">
                    <w:pPr>
                      <w:pStyle w:val="Bibliography"/>
                      <w:rPr>
                        <w:noProof/>
                      </w:rPr>
                    </w:pPr>
                    <w:r>
                      <w:rPr>
                        <w:noProof/>
                      </w:rPr>
                      <w:t xml:space="preserve">N. CHAPIN, “Flowcharting With the ANSI Standard: A Tutorial,” </w:t>
                    </w:r>
                    <w:r>
                      <w:rPr>
                        <w:i/>
                        <w:iCs/>
                        <w:noProof/>
                      </w:rPr>
                      <w:t xml:space="preserve">Communications of the ACM, </w:t>
                    </w:r>
                    <w:r>
                      <w:rPr>
                        <w:noProof/>
                      </w:rPr>
                      <w:t xml:space="preserve">1970. </w:t>
                    </w:r>
                  </w:p>
                </w:tc>
              </w:tr>
              <w:tr w:rsidR="0050136F" w14:paraId="292670BC" w14:textId="77777777">
                <w:trPr>
                  <w:divId w:val="1239942967"/>
                  <w:tblCellSpacing w:w="15" w:type="dxa"/>
                </w:trPr>
                <w:tc>
                  <w:tcPr>
                    <w:tcW w:w="50" w:type="pct"/>
                    <w:hideMark/>
                  </w:tcPr>
                  <w:p w14:paraId="39E23E1A" w14:textId="77777777" w:rsidR="0050136F" w:rsidRDefault="0050136F">
                    <w:pPr>
                      <w:pStyle w:val="Bibliography"/>
                      <w:rPr>
                        <w:noProof/>
                      </w:rPr>
                    </w:pPr>
                    <w:r>
                      <w:rPr>
                        <w:noProof/>
                      </w:rPr>
                      <w:t xml:space="preserve">[14] </w:t>
                    </w:r>
                  </w:p>
                </w:tc>
                <w:tc>
                  <w:tcPr>
                    <w:tcW w:w="0" w:type="auto"/>
                    <w:hideMark/>
                  </w:tcPr>
                  <w:p w14:paraId="377546B5" w14:textId="77777777" w:rsidR="0050136F" w:rsidRDefault="0050136F">
                    <w:pPr>
                      <w:pStyle w:val="Bibliography"/>
                      <w:rPr>
                        <w:noProof/>
                      </w:rPr>
                    </w:pPr>
                    <w:r>
                      <w:rPr>
                        <w:noProof/>
                      </w:rPr>
                      <w:t xml:space="preserve">D. V. P. M. O. B. I. Morić Zlatan, “Evaluating End-User Defensive Approaches Against Phishing Using Education and Simulated Attacks in a Croatian University,” </w:t>
                    </w:r>
                    <w:r>
                      <w:rPr>
                        <w:i/>
                        <w:iCs/>
                        <w:noProof/>
                      </w:rPr>
                      <w:t xml:space="preserve">Journal of Cybersecurity and Privacy, </w:t>
                    </w:r>
                    <w:r>
                      <w:rPr>
                        <w:noProof/>
                      </w:rPr>
                      <w:t xml:space="preserve">p. 3, 2025. </w:t>
                    </w:r>
                  </w:p>
                </w:tc>
              </w:tr>
            </w:tbl>
            <w:p w14:paraId="42BFB41D" w14:textId="77777777" w:rsidR="0050136F" w:rsidRDefault="0050136F">
              <w:pPr>
                <w:divId w:val="1239942967"/>
                <w:rPr>
                  <w:rFonts w:eastAsia="Times New Roman"/>
                  <w:noProof/>
                </w:rPr>
              </w:pPr>
            </w:p>
            <w:p w14:paraId="15BF3DCE" w14:textId="1F3F5EDD" w:rsidR="00BE5BE7" w:rsidRDefault="00BE5BE7">
              <w:r>
                <w:rPr>
                  <w:b/>
                  <w:bCs/>
                  <w:noProof/>
                </w:rPr>
                <w:fldChar w:fldCharType="end"/>
              </w:r>
            </w:p>
          </w:sdtContent>
        </w:sdt>
      </w:sdtContent>
    </w:sdt>
    <w:p w14:paraId="7C9ABEF0" w14:textId="77777777" w:rsidR="00BE5BE7" w:rsidRPr="00B56911" w:rsidRDefault="00BE5BE7" w:rsidP="00B56911">
      <w:pPr>
        <w:rPr>
          <w:rFonts w:eastAsiaTheme="majorEastAsia"/>
          <w:lang w:eastAsia="en-US"/>
        </w:rPr>
      </w:pPr>
    </w:p>
    <w:p w14:paraId="27001A25" w14:textId="77777777" w:rsidR="00B56911" w:rsidRPr="00B56911" w:rsidRDefault="00B56911" w:rsidP="00B56911">
      <w:pPr>
        <w:rPr>
          <w:rFonts w:eastAsiaTheme="majorEastAsia"/>
          <w:lang w:eastAsia="en-US"/>
        </w:rPr>
      </w:pPr>
    </w:p>
    <w:p w14:paraId="029649CA" w14:textId="77777777" w:rsidR="00F52F29" w:rsidRDefault="00F52F29" w:rsidP="00440846">
      <w:pPr>
        <w:rPr>
          <w:rFonts w:eastAsiaTheme="majorEastAsia"/>
          <w:lang w:eastAsia="en-US"/>
        </w:rPr>
      </w:pPr>
    </w:p>
    <w:p w14:paraId="2A5DD45D" w14:textId="77777777" w:rsidR="00440846" w:rsidRPr="00440846" w:rsidRDefault="00440846" w:rsidP="00440846">
      <w:pPr>
        <w:rPr>
          <w:rFonts w:eastAsiaTheme="majorEastAsia"/>
          <w:lang w:eastAsia="en-US"/>
        </w:rPr>
      </w:pPr>
    </w:p>
    <w:p w14:paraId="2D9D5BC1" w14:textId="77777777" w:rsidR="00440846" w:rsidRPr="00FD61F7" w:rsidRDefault="00440846" w:rsidP="00FD61F7">
      <w:pPr>
        <w:rPr>
          <w:rFonts w:eastAsiaTheme="majorEastAsia"/>
          <w:lang w:eastAsia="en-US"/>
        </w:rPr>
      </w:pPr>
    </w:p>
    <w:p w14:paraId="639A5C0A" w14:textId="77777777" w:rsidR="00FD61F7" w:rsidRDefault="00FD61F7" w:rsidP="00B35641">
      <w:pPr>
        <w:rPr>
          <w:rFonts w:eastAsiaTheme="majorEastAsia"/>
          <w:lang w:eastAsia="en-US"/>
        </w:rPr>
      </w:pPr>
    </w:p>
    <w:p w14:paraId="45934744" w14:textId="77777777" w:rsidR="00565879" w:rsidRPr="00565879" w:rsidRDefault="00565879" w:rsidP="00B35641">
      <w:pPr>
        <w:rPr>
          <w:rFonts w:eastAsiaTheme="majorEastAsia"/>
          <w:lang w:eastAsia="en-US"/>
        </w:rPr>
      </w:pPr>
    </w:p>
    <w:p w14:paraId="730FA8CC" w14:textId="77777777" w:rsidR="00B35641" w:rsidRDefault="00B35641" w:rsidP="00B35641">
      <w:pPr>
        <w:rPr>
          <w:rFonts w:eastAsiaTheme="majorEastAsia"/>
          <w:lang w:eastAsia="en-US"/>
        </w:rPr>
      </w:pPr>
    </w:p>
    <w:p w14:paraId="1E33BB32" w14:textId="77777777" w:rsidR="004A73F8" w:rsidRPr="004A73F8" w:rsidRDefault="004A73F8" w:rsidP="004A73F8">
      <w:pPr>
        <w:rPr>
          <w:lang w:eastAsia="en-US"/>
        </w:rPr>
      </w:pPr>
    </w:p>
    <w:p w14:paraId="52506344" w14:textId="3FFC5EA4" w:rsidR="004A73F8" w:rsidRPr="004A73F8" w:rsidRDefault="004A73F8" w:rsidP="004A73F8">
      <w:pPr>
        <w:rPr>
          <w:lang w:eastAsia="en-US"/>
        </w:rPr>
      </w:pPr>
    </w:p>
    <w:p w14:paraId="62F5D9C2" w14:textId="77777777" w:rsidR="004A73F8" w:rsidRPr="004A73F8" w:rsidRDefault="004A73F8" w:rsidP="004A73F8">
      <w:pPr>
        <w:rPr>
          <w:lang w:eastAsia="en-US"/>
        </w:rPr>
      </w:pPr>
    </w:p>
    <w:sectPr w:rsidR="004A73F8" w:rsidRPr="004A73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3F8"/>
    <w:rsid w:val="0006715F"/>
    <w:rsid w:val="0007345D"/>
    <w:rsid w:val="00141A87"/>
    <w:rsid w:val="00242278"/>
    <w:rsid w:val="002629D1"/>
    <w:rsid w:val="00440846"/>
    <w:rsid w:val="00452C42"/>
    <w:rsid w:val="004A73F8"/>
    <w:rsid w:val="004E6B6E"/>
    <w:rsid w:val="004E7AD1"/>
    <w:rsid w:val="0050136F"/>
    <w:rsid w:val="00560398"/>
    <w:rsid w:val="00565879"/>
    <w:rsid w:val="005701ED"/>
    <w:rsid w:val="00664A42"/>
    <w:rsid w:val="007247D1"/>
    <w:rsid w:val="00756D07"/>
    <w:rsid w:val="009F38BE"/>
    <w:rsid w:val="00AB5DF4"/>
    <w:rsid w:val="00B2475C"/>
    <w:rsid w:val="00B35641"/>
    <w:rsid w:val="00B37FFB"/>
    <w:rsid w:val="00B56911"/>
    <w:rsid w:val="00BE5BE7"/>
    <w:rsid w:val="00CC41DF"/>
    <w:rsid w:val="00CD6424"/>
    <w:rsid w:val="00D07DEA"/>
    <w:rsid w:val="00D67916"/>
    <w:rsid w:val="00DD49A5"/>
    <w:rsid w:val="00E34000"/>
    <w:rsid w:val="00E810E5"/>
    <w:rsid w:val="00EC1F0A"/>
    <w:rsid w:val="00EF2D72"/>
    <w:rsid w:val="00F52F29"/>
    <w:rsid w:val="00F64EBF"/>
    <w:rsid w:val="00FD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8AEE5"/>
  <w15:chartTrackingRefBased/>
  <w15:docId w15:val="{7B734E7C-AF06-4479-AAF8-0B52EE9EF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3F8"/>
    <w:rPr>
      <w:rFonts w:eastAsiaTheme="minorEastAsia"/>
      <w:lang w:eastAsia="zh-CN"/>
    </w:rPr>
  </w:style>
  <w:style w:type="paragraph" w:styleId="Heading1">
    <w:name w:val="heading 1"/>
    <w:basedOn w:val="Normal"/>
    <w:next w:val="Normal"/>
    <w:link w:val="Heading1Char"/>
    <w:uiPriority w:val="9"/>
    <w:qFormat/>
    <w:rsid w:val="004A73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3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3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3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3F8"/>
    <w:rPr>
      <w:rFonts w:eastAsiaTheme="majorEastAsia" w:cstheme="majorBidi"/>
      <w:color w:val="272727" w:themeColor="text1" w:themeTint="D8"/>
    </w:rPr>
  </w:style>
  <w:style w:type="paragraph" w:styleId="Title">
    <w:name w:val="Title"/>
    <w:basedOn w:val="Normal"/>
    <w:next w:val="Normal"/>
    <w:link w:val="TitleChar"/>
    <w:uiPriority w:val="10"/>
    <w:qFormat/>
    <w:rsid w:val="004A7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3F8"/>
    <w:pPr>
      <w:spacing w:before="160"/>
      <w:jc w:val="center"/>
    </w:pPr>
    <w:rPr>
      <w:i/>
      <w:iCs/>
      <w:color w:val="404040" w:themeColor="text1" w:themeTint="BF"/>
    </w:rPr>
  </w:style>
  <w:style w:type="character" w:customStyle="1" w:styleId="QuoteChar">
    <w:name w:val="Quote Char"/>
    <w:basedOn w:val="DefaultParagraphFont"/>
    <w:link w:val="Quote"/>
    <w:uiPriority w:val="29"/>
    <w:rsid w:val="004A73F8"/>
    <w:rPr>
      <w:i/>
      <w:iCs/>
      <w:color w:val="404040" w:themeColor="text1" w:themeTint="BF"/>
    </w:rPr>
  </w:style>
  <w:style w:type="paragraph" w:styleId="ListParagraph">
    <w:name w:val="List Paragraph"/>
    <w:basedOn w:val="Normal"/>
    <w:uiPriority w:val="34"/>
    <w:qFormat/>
    <w:rsid w:val="004A73F8"/>
    <w:pPr>
      <w:ind w:left="720"/>
      <w:contextualSpacing/>
    </w:pPr>
  </w:style>
  <w:style w:type="character" w:styleId="IntenseEmphasis">
    <w:name w:val="Intense Emphasis"/>
    <w:basedOn w:val="DefaultParagraphFont"/>
    <w:uiPriority w:val="21"/>
    <w:qFormat/>
    <w:rsid w:val="004A73F8"/>
    <w:rPr>
      <w:i/>
      <w:iCs/>
      <w:color w:val="0F4761" w:themeColor="accent1" w:themeShade="BF"/>
    </w:rPr>
  </w:style>
  <w:style w:type="paragraph" w:styleId="IntenseQuote">
    <w:name w:val="Intense Quote"/>
    <w:basedOn w:val="Normal"/>
    <w:next w:val="Normal"/>
    <w:link w:val="IntenseQuoteChar"/>
    <w:uiPriority w:val="30"/>
    <w:qFormat/>
    <w:rsid w:val="004A7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3F8"/>
    <w:rPr>
      <w:i/>
      <w:iCs/>
      <w:color w:val="0F4761" w:themeColor="accent1" w:themeShade="BF"/>
    </w:rPr>
  </w:style>
  <w:style w:type="character" w:styleId="IntenseReference">
    <w:name w:val="Intense Reference"/>
    <w:basedOn w:val="DefaultParagraphFont"/>
    <w:uiPriority w:val="32"/>
    <w:qFormat/>
    <w:rsid w:val="004A73F8"/>
    <w:rPr>
      <w:b/>
      <w:bCs/>
      <w:smallCaps/>
      <w:color w:val="0F4761" w:themeColor="accent1" w:themeShade="BF"/>
      <w:spacing w:val="5"/>
    </w:rPr>
  </w:style>
  <w:style w:type="paragraph" w:styleId="NoSpacing">
    <w:name w:val="No Spacing"/>
    <w:link w:val="NoSpacingChar"/>
    <w:uiPriority w:val="1"/>
    <w:qFormat/>
    <w:rsid w:val="004A73F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A73F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A73F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A73F8"/>
    <w:pPr>
      <w:spacing w:after="100"/>
    </w:pPr>
  </w:style>
  <w:style w:type="character" w:styleId="Hyperlink">
    <w:name w:val="Hyperlink"/>
    <w:basedOn w:val="DefaultParagraphFont"/>
    <w:uiPriority w:val="99"/>
    <w:unhideWhenUsed/>
    <w:rsid w:val="004A73F8"/>
    <w:rPr>
      <w:color w:val="467886" w:themeColor="hyperlink"/>
      <w:u w:val="single"/>
    </w:rPr>
  </w:style>
  <w:style w:type="paragraph" w:styleId="Bibliography">
    <w:name w:val="Bibliography"/>
    <w:basedOn w:val="Normal"/>
    <w:next w:val="Normal"/>
    <w:uiPriority w:val="37"/>
    <w:unhideWhenUsed/>
    <w:rsid w:val="00BE5BE7"/>
  </w:style>
  <w:style w:type="table" w:styleId="TableGrid">
    <w:name w:val="Table Grid"/>
    <w:basedOn w:val="TableNormal"/>
    <w:uiPriority w:val="39"/>
    <w:rsid w:val="00DD4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5449">
      <w:bodyDiv w:val="1"/>
      <w:marLeft w:val="0"/>
      <w:marRight w:val="0"/>
      <w:marTop w:val="0"/>
      <w:marBottom w:val="0"/>
      <w:divBdr>
        <w:top w:val="none" w:sz="0" w:space="0" w:color="auto"/>
        <w:left w:val="none" w:sz="0" w:space="0" w:color="auto"/>
        <w:bottom w:val="none" w:sz="0" w:space="0" w:color="auto"/>
        <w:right w:val="none" w:sz="0" w:space="0" w:color="auto"/>
      </w:divBdr>
    </w:div>
    <w:div w:id="97675674">
      <w:bodyDiv w:val="1"/>
      <w:marLeft w:val="0"/>
      <w:marRight w:val="0"/>
      <w:marTop w:val="0"/>
      <w:marBottom w:val="0"/>
      <w:divBdr>
        <w:top w:val="none" w:sz="0" w:space="0" w:color="auto"/>
        <w:left w:val="none" w:sz="0" w:space="0" w:color="auto"/>
        <w:bottom w:val="none" w:sz="0" w:space="0" w:color="auto"/>
        <w:right w:val="none" w:sz="0" w:space="0" w:color="auto"/>
      </w:divBdr>
    </w:div>
    <w:div w:id="98372894">
      <w:bodyDiv w:val="1"/>
      <w:marLeft w:val="0"/>
      <w:marRight w:val="0"/>
      <w:marTop w:val="0"/>
      <w:marBottom w:val="0"/>
      <w:divBdr>
        <w:top w:val="none" w:sz="0" w:space="0" w:color="auto"/>
        <w:left w:val="none" w:sz="0" w:space="0" w:color="auto"/>
        <w:bottom w:val="none" w:sz="0" w:space="0" w:color="auto"/>
        <w:right w:val="none" w:sz="0" w:space="0" w:color="auto"/>
      </w:divBdr>
    </w:div>
    <w:div w:id="132606889">
      <w:bodyDiv w:val="1"/>
      <w:marLeft w:val="0"/>
      <w:marRight w:val="0"/>
      <w:marTop w:val="0"/>
      <w:marBottom w:val="0"/>
      <w:divBdr>
        <w:top w:val="none" w:sz="0" w:space="0" w:color="auto"/>
        <w:left w:val="none" w:sz="0" w:space="0" w:color="auto"/>
        <w:bottom w:val="none" w:sz="0" w:space="0" w:color="auto"/>
        <w:right w:val="none" w:sz="0" w:space="0" w:color="auto"/>
      </w:divBdr>
    </w:div>
    <w:div w:id="141314058">
      <w:bodyDiv w:val="1"/>
      <w:marLeft w:val="0"/>
      <w:marRight w:val="0"/>
      <w:marTop w:val="0"/>
      <w:marBottom w:val="0"/>
      <w:divBdr>
        <w:top w:val="none" w:sz="0" w:space="0" w:color="auto"/>
        <w:left w:val="none" w:sz="0" w:space="0" w:color="auto"/>
        <w:bottom w:val="none" w:sz="0" w:space="0" w:color="auto"/>
        <w:right w:val="none" w:sz="0" w:space="0" w:color="auto"/>
      </w:divBdr>
    </w:div>
    <w:div w:id="150564825">
      <w:bodyDiv w:val="1"/>
      <w:marLeft w:val="0"/>
      <w:marRight w:val="0"/>
      <w:marTop w:val="0"/>
      <w:marBottom w:val="0"/>
      <w:divBdr>
        <w:top w:val="none" w:sz="0" w:space="0" w:color="auto"/>
        <w:left w:val="none" w:sz="0" w:space="0" w:color="auto"/>
        <w:bottom w:val="none" w:sz="0" w:space="0" w:color="auto"/>
        <w:right w:val="none" w:sz="0" w:space="0" w:color="auto"/>
      </w:divBdr>
    </w:div>
    <w:div w:id="155996896">
      <w:bodyDiv w:val="1"/>
      <w:marLeft w:val="0"/>
      <w:marRight w:val="0"/>
      <w:marTop w:val="0"/>
      <w:marBottom w:val="0"/>
      <w:divBdr>
        <w:top w:val="none" w:sz="0" w:space="0" w:color="auto"/>
        <w:left w:val="none" w:sz="0" w:space="0" w:color="auto"/>
        <w:bottom w:val="none" w:sz="0" w:space="0" w:color="auto"/>
        <w:right w:val="none" w:sz="0" w:space="0" w:color="auto"/>
      </w:divBdr>
    </w:div>
    <w:div w:id="163210791">
      <w:bodyDiv w:val="1"/>
      <w:marLeft w:val="0"/>
      <w:marRight w:val="0"/>
      <w:marTop w:val="0"/>
      <w:marBottom w:val="0"/>
      <w:divBdr>
        <w:top w:val="none" w:sz="0" w:space="0" w:color="auto"/>
        <w:left w:val="none" w:sz="0" w:space="0" w:color="auto"/>
        <w:bottom w:val="none" w:sz="0" w:space="0" w:color="auto"/>
        <w:right w:val="none" w:sz="0" w:space="0" w:color="auto"/>
      </w:divBdr>
    </w:div>
    <w:div w:id="168057954">
      <w:bodyDiv w:val="1"/>
      <w:marLeft w:val="0"/>
      <w:marRight w:val="0"/>
      <w:marTop w:val="0"/>
      <w:marBottom w:val="0"/>
      <w:divBdr>
        <w:top w:val="none" w:sz="0" w:space="0" w:color="auto"/>
        <w:left w:val="none" w:sz="0" w:space="0" w:color="auto"/>
        <w:bottom w:val="none" w:sz="0" w:space="0" w:color="auto"/>
        <w:right w:val="none" w:sz="0" w:space="0" w:color="auto"/>
      </w:divBdr>
    </w:div>
    <w:div w:id="232157340">
      <w:bodyDiv w:val="1"/>
      <w:marLeft w:val="0"/>
      <w:marRight w:val="0"/>
      <w:marTop w:val="0"/>
      <w:marBottom w:val="0"/>
      <w:divBdr>
        <w:top w:val="none" w:sz="0" w:space="0" w:color="auto"/>
        <w:left w:val="none" w:sz="0" w:space="0" w:color="auto"/>
        <w:bottom w:val="none" w:sz="0" w:space="0" w:color="auto"/>
        <w:right w:val="none" w:sz="0" w:space="0" w:color="auto"/>
      </w:divBdr>
    </w:div>
    <w:div w:id="234051237">
      <w:bodyDiv w:val="1"/>
      <w:marLeft w:val="0"/>
      <w:marRight w:val="0"/>
      <w:marTop w:val="0"/>
      <w:marBottom w:val="0"/>
      <w:divBdr>
        <w:top w:val="none" w:sz="0" w:space="0" w:color="auto"/>
        <w:left w:val="none" w:sz="0" w:space="0" w:color="auto"/>
        <w:bottom w:val="none" w:sz="0" w:space="0" w:color="auto"/>
        <w:right w:val="none" w:sz="0" w:space="0" w:color="auto"/>
      </w:divBdr>
    </w:div>
    <w:div w:id="272640290">
      <w:bodyDiv w:val="1"/>
      <w:marLeft w:val="0"/>
      <w:marRight w:val="0"/>
      <w:marTop w:val="0"/>
      <w:marBottom w:val="0"/>
      <w:divBdr>
        <w:top w:val="none" w:sz="0" w:space="0" w:color="auto"/>
        <w:left w:val="none" w:sz="0" w:space="0" w:color="auto"/>
        <w:bottom w:val="none" w:sz="0" w:space="0" w:color="auto"/>
        <w:right w:val="none" w:sz="0" w:space="0" w:color="auto"/>
      </w:divBdr>
    </w:div>
    <w:div w:id="277298701">
      <w:bodyDiv w:val="1"/>
      <w:marLeft w:val="0"/>
      <w:marRight w:val="0"/>
      <w:marTop w:val="0"/>
      <w:marBottom w:val="0"/>
      <w:divBdr>
        <w:top w:val="none" w:sz="0" w:space="0" w:color="auto"/>
        <w:left w:val="none" w:sz="0" w:space="0" w:color="auto"/>
        <w:bottom w:val="none" w:sz="0" w:space="0" w:color="auto"/>
        <w:right w:val="none" w:sz="0" w:space="0" w:color="auto"/>
      </w:divBdr>
    </w:div>
    <w:div w:id="293601635">
      <w:bodyDiv w:val="1"/>
      <w:marLeft w:val="0"/>
      <w:marRight w:val="0"/>
      <w:marTop w:val="0"/>
      <w:marBottom w:val="0"/>
      <w:divBdr>
        <w:top w:val="none" w:sz="0" w:space="0" w:color="auto"/>
        <w:left w:val="none" w:sz="0" w:space="0" w:color="auto"/>
        <w:bottom w:val="none" w:sz="0" w:space="0" w:color="auto"/>
        <w:right w:val="none" w:sz="0" w:space="0" w:color="auto"/>
      </w:divBdr>
    </w:div>
    <w:div w:id="353574612">
      <w:bodyDiv w:val="1"/>
      <w:marLeft w:val="0"/>
      <w:marRight w:val="0"/>
      <w:marTop w:val="0"/>
      <w:marBottom w:val="0"/>
      <w:divBdr>
        <w:top w:val="none" w:sz="0" w:space="0" w:color="auto"/>
        <w:left w:val="none" w:sz="0" w:space="0" w:color="auto"/>
        <w:bottom w:val="none" w:sz="0" w:space="0" w:color="auto"/>
        <w:right w:val="none" w:sz="0" w:space="0" w:color="auto"/>
      </w:divBdr>
    </w:div>
    <w:div w:id="355158785">
      <w:bodyDiv w:val="1"/>
      <w:marLeft w:val="0"/>
      <w:marRight w:val="0"/>
      <w:marTop w:val="0"/>
      <w:marBottom w:val="0"/>
      <w:divBdr>
        <w:top w:val="none" w:sz="0" w:space="0" w:color="auto"/>
        <w:left w:val="none" w:sz="0" w:space="0" w:color="auto"/>
        <w:bottom w:val="none" w:sz="0" w:space="0" w:color="auto"/>
        <w:right w:val="none" w:sz="0" w:space="0" w:color="auto"/>
      </w:divBdr>
    </w:div>
    <w:div w:id="356977692">
      <w:bodyDiv w:val="1"/>
      <w:marLeft w:val="0"/>
      <w:marRight w:val="0"/>
      <w:marTop w:val="0"/>
      <w:marBottom w:val="0"/>
      <w:divBdr>
        <w:top w:val="none" w:sz="0" w:space="0" w:color="auto"/>
        <w:left w:val="none" w:sz="0" w:space="0" w:color="auto"/>
        <w:bottom w:val="none" w:sz="0" w:space="0" w:color="auto"/>
        <w:right w:val="none" w:sz="0" w:space="0" w:color="auto"/>
      </w:divBdr>
    </w:div>
    <w:div w:id="375936500">
      <w:bodyDiv w:val="1"/>
      <w:marLeft w:val="0"/>
      <w:marRight w:val="0"/>
      <w:marTop w:val="0"/>
      <w:marBottom w:val="0"/>
      <w:divBdr>
        <w:top w:val="none" w:sz="0" w:space="0" w:color="auto"/>
        <w:left w:val="none" w:sz="0" w:space="0" w:color="auto"/>
        <w:bottom w:val="none" w:sz="0" w:space="0" w:color="auto"/>
        <w:right w:val="none" w:sz="0" w:space="0" w:color="auto"/>
      </w:divBdr>
    </w:div>
    <w:div w:id="400716715">
      <w:bodyDiv w:val="1"/>
      <w:marLeft w:val="0"/>
      <w:marRight w:val="0"/>
      <w:marTop w:val="0"/>
      <w:marBottom w:val="0"/>
      <w:divBdr>
        <w:top w:val="none" w:sz="0" w:space="0" w:color="auto"/>
        <w:left w:val="none" w:sz="0" w:space="0" w:color="auto"/>
        <w:bottom w:val="none" w:sz="0" w:space="0" w:color="auto"/>
        <w:right w:val="none" w:sz="0" w:space="0" w:color="auto"/>
      </w:divBdr>
    </w:div>
    <w:div w:id="414664513">
      <w:bodyDiv w:val="1"/>
      <w:marLeft w:val="0"/>
      <w:marRight w:val="0"/>
      <w:marTop w:val="0"/>
      <w:marBottom w:val="0"/>
      <w:divBdr>
        <w:top w:val="none" w:sz="0" w:space="0" w:color="auto"/>
        <w:left w:val="none" w:sz="0" w:space="0" w:color="auto"/>
        <w:bottom w:val="none" w:sz="0" w:space="0" w:color="auto"/>
        <w:right w:val="none" w:sz="0" w:space="0" w:color="auto"/>
      </w:divBdr>
    </w:div>
    <w:div w:id="449281200">
      <w:bodyDiv w:val="1"/>
      <w:marLeft w:val="0"/>
      <w:marRight w:val="0"/>
      <w:marTop w:val="0"/>
      <w:marBottom w:val="0"/>
      <w:divBdr>
        <w:top w:val="none" w:sz="0" w:space="0" w:color="auto"/>
        <w:left w:val="none" w:sz="0" w:space="0" w:color="auto"/>
        <w:bottom w:val="none" w:sz="0" w:space="0" w:color="auto"/>
        <w:right w:val="none" w:sz="0" w:space="0" w:color="auto"/>
      </w:divBdr>
    </w:div>
    <w:div w:id="461581220">
      <w:bodyDiv w:val="1"/>
      <w:marLeft w:val="0"/>
      <w:marRight w:val="0"/>
      <w:marTop w:val="0"/>
      <w:marBottom w:val="0"/>
      <w:divBdr>
        <w:top w:val="none" w:sz="0" w:space="0" w:color="auto"/>
        <w:left w:val="none" w:sz="0" w:space="0" w:color="auto"/>
        <w:bottom w:val="none" w:sz="0" w:space="0" w:color="auto"/>
        <w:right w:val="none" w:sz="0" w:space="0" w:color="auto"/>
      </w:divBdr>
    </w:div>
    <w:div w:id="486286048">
      <w:bodyDiv w:val="1"/>
      <w:marLeft w:val="0"/>
      <w:marRight w:val="0"/>
      <w:marTop w:val="0"/>
      <w:marBottom w:val="0"/>
      <w:divBdr>
        <w:top w:val="none" w:sz="0" w:space="0" w:color="auto"/>
        <w:left w:val="none" w:sz="0" w:space="0" w:color="auto"/>
        <w:bottom w:val="none" w:sz="0" w:space="0" w:color="auto"/>
        <w:right w:val="none" w:sz="0" w:space="0" w:color="auto"/>
      </w:divBdr>
    </w:div>
    <w:div w:id="496306566">
      <w:bodyDiv w:val="1"/>
      <w:marLeft w:val="0"/>
      <w:marRight w:val="0"/>
      <w:marTop w:val="0"/>
      <w:marBottom w:val="0"/>
      <w:divBdr>
        <w:top w:val="none" w:sz="0" w:space="0" w:color="auto"/>
        <w:left w:val="none" w:sz="0" w:space="0" w:color="auto"/>
        <w:bottom w:val="none" w:sz="0" w:space="0" w:color="auto"/>
        <w:right w:val="none" w:sz="0" w:space="0" w:color="auto"/>
      </w:divBdr>
    </w:div>
    <w:div w:id="511647123">
      <w:bodyDiv w:val="1"/>
      <w:marLeft w:val="0"/>
      <w:marRight w:val="0"/>
      <w:marTop w:val="0"/>
      <w:marBottom w:val="0"/>
      <w:divBdr>
        <w:top w:val="none" w:sz="0" w:space="0" w:color="auto"/>
        <w:left w:val="none" w:sz="0" w:space="0" w:color="auto"/>
        <w:bottom w:val="none" w:sz="0" w:space="0" w:color="auto"/>
        <w:right w:val="none" w:sz="0" w:space="0" w:color="auto"/>
      </w:divBdr>
    </w:div>
    <w:div w:id="524253672">
      <w:bodyDiv w:val="1"/>
      <w:marLeft w:val="0"/>
      <w:marRight w:val="0"/>
      <w:marTop w:val="0"/>
      <w:marBottom w:val="0"/>
      <w:divBdr>
        <w:top w:val="none" w:sz="0" w:space="0" w:color="auto"/>
        <w:left w:val="none" w:sz="0" w:space="0" w:color="auto"/>
        <w:bottom w:val="none" w:sz="0" w:space="0" w:color="auto"/>
        <w:right w:val="none" w:sz="0" w:space="0" w:color="auto"/>
      </w:divBdr>
    </w:div>
    <w:div w:id="530457328">
      <w:bodyDiv w:val="1"/>
      <w:marLeft w:val="0"/>
      <w:marRight w:val="0"/>
      <w:marTop w:val="0"/>
      <w:marBottom w:val="0"/>
      <w:divBdr>
        <w:top w:val="none" w:sz="0" w:space="0" w:color="auto"/>
        <w:left w:val="none" w:sz="0" w:space="0" w:color="auto"/>
        <w:bottom w:val="none" w:sz="0" w:space="0" w:color="auto"/>
        <w:right w:val="none" w:sz="0" w:space="0" w:color="auto"/>
      </w:divBdr>
    </w:div>
    <w:div w:id="532303208">
      <w:bodyDiv w:val="1"/>
      <w:marLeft w:val="0"/>
      <w:marRight w:val="0"/>
      <w:marTop w:val="0"/>
      <w:marBottom w:val="0"/>
      <w:divBdr>
        <w:top w:val="none" w:sz="0" w:space="0" w:color="auto"/>
        <w:left w:val="none" w:sz="0" w:space="0" w:color="auto"/>
        <w:bottom w:val="none" w:sz="0" w:space="0" w:color="auto"/>
        <w:right w:val="none" w:sz="0" w:space="0" w:color="auto"/>
      </w:divBdr>
    </w:div>
    <w:div w:id="547685991">
      <w:bodyDiv w:val="1"/>
      <w:marLeft w:val="0"/>
      <w:marRight w:val="0"/>
      <w:marTop w:val="0"/>
      <w:marBottom w:val="0"/>
      <w:divBdr>
        <w:top w:val="none" w:sz="0" w:space="0" w:color="auto"/>
        <w:left w:val="none" w:sz="0" w:space="0" w:color="auto"/>
        <w:bottom w:val="none" w:sz="0" w:space="0" w:color="auto"/>
        <w:right w:val="none" w:sz="0" w:space="0" w:color="auto"/>
      </w:divBdr>
    </w:div>
    <w:div w:id="588126376">
      <w:bodyDiv w:val="1"/>
      <w:marLeft w:val="0"/>
      <w:marRight w:val="0"/>
      <w:marTop w:val="0"/>
      <w:marBottom w:val="0"/>
      <w:divBdr>
        <w:top w:val="none" w:sz="0" w:space="0" w:color="auto"/>
        <w:left w:val="none" w:sz="0" w:space="0" w:color="auto"/>
        <w:bottom w:val="none" w:sz="0" w:space="0" w:color="auto"/>
        <w:right w:val="none" w:sz="0" w:space="0" w:color="auto"/>
      </w:divBdr>
    </w:div>
    <w:div w:id="591662707">
      <w:bodyDiv w:val="1"/>
      <w:marLeft w:val="0"/>
      <w:marRight w:val="0"/>
      <w:marTop w:val="0"/>
      <w:marBottom w:val="0"/>
      <w:divBdr>
        <w:top w:val="none" w:sz="0" w:space="0" w:color="auto"/>
        <w:left w:val="none" w:sz="0" w:space="0" w:color="auto"/>
        <w:bottom w:val="none" w:sz="0" w:space="0" w:color="auto"/>
        <w:right w:val="none" w:sz="0" w:space="0" w:color="auto"/>
      </w:divBdr>
    </w:div>
    <w:div w:id="628701906">
      <w:bodyDiv w:val="1"/>
      <w:marLeft w:val="0"/>
      <w:marRight w:val="0"/>
      <w:marTop w:val="0"/>
      <w:marBottom w:val="0"/>
      <w:divBdr>
        <w:top w:val="none" w:sz="0" w:space="0" w:color="auto"/>
        <w:left w:val="none" w:sz="0" w:space="0" w:color="auto"/>
        <w:bottom w:val="none" w:sz="0" w:space="0" w:color="auto"/>
        <w:right w:val="none" w:sz="0" w:space="0" w:color="auto"/>
      </w:divBdr>
    </w:div>
    <w:div w:id="659700351">
      <w:bodyDiv w:val="1"/>
      <w:marLeft w:val="0"/>
      <w:marRight w:val="0"/>
      <w:marTop w:val="0"/>
      <w:marBottom w:val="0"/>
      <w:divBdr>
        <w:top w:val="none" w:sz="0" w:space="0" w:color="auto"/>
        <w:left w:val="none" w:sz="0" w:space="0" w:color="auto"/>
        <w:bottom w:val="none" w:sz="0" w:space="0" w:color="auto"/>
        <w:right w:val="none" w:sz="0" w:space="0" w:color="auto"/>
      </w:divBdr>
    </w:div>
    <w:div w:id="682366311">
      <w:bodyDiv w:val="1"/>
      <w:marLeft w:val="0"/>
      <w:marRight w:val="0"/>
      <w:marTop w:val="0"/>
      <w:marBottom w:val="0"/>
      <w:divBdr>
        <w:top w:val="none" w:sz="0" w:space="0" w:color="auto"/>
        <w:left w:val="none" w:sz="0" w:space="0" w:color="auto"/>
        <w:bottom w:val="none" w:sz="0" w:space="0" w:color="auto"/>
        <w:right w:val="none" w:sz="0" w:space="0" w:color="auto"/>
      </w:divBdr>
    </w:div>
    <w:div w:id="711001381">
      <w:bodyDiv w:val="1"/>
      <w:marLeft w:val="0"/>
      <w:marRight w:val="0"/>
      <w:marTop w:val="0"/>
      <w:marBottom w:val="0"/>
      <w:divBdr>
        <w:top w:val="none" w:sz="0" w:space="0" w:color="auto"/>
        <w:left w:val="none" w:sz="0" w:space="0" w:color="auto"/>
        <w:bottom w:val="none" w:sz="0" w:space="0" w:color="auto"/>
        <w:right w:val="none" w:sz="0" w:space="0" w:color="auto"/>
      </w:divBdr>
    </w:div>
    <w:div w:id="760027185">
      <w:bodyDiv w:val="1"/>
      <w:marLeft w:val="0"/>
      <w:marRight w:val="0"/>
      <w:marTop w:val="0"/>
      <w:marBottom w:val="0"/>
      <w:divBdr>
        <w:top w:val="none" w:sz="0" w:space="0" w:color="auto"/>
        <w:left w:val="none" w:sz="0" w:space="0" w:color="auto"/>
        <w:bottom w:val="none" w:sz="0" w:space="0" w:color="auto"/>
        <w:right w:val="none" w:sz="0" w:space="0" w:color="auto"/>
      </w:divBdr>
    </w:div>
    <w:div w:id="802694532">
      <w:bodyDiv w:val="1"/>
      <w:marLeft w:val="0"/>
      <w:marRight w:val="0"/>
      <w:marTop w:val="0"/>
      <w:marBottom w:val="0"/>
      <w:divBdr>
        <w:top w:val="none" w:sz="0" w:space="0" w:color="auto"/>
        <w:left w:val="none" w:sz="0" w:space="0" w:color="auto"/>
        <w:bottom w:val="none" w:sz="0" w:space="0" w:color="auto"/>
        <w:right w:val="none" w:sz="0" w:space="0" w:color="auto"/>
      </w:divBdr>
    </w:div>
    <w:div w:id="913592604">
      <w:bodyDiv w:val="1"/>
      <w:marLeft w:val="0"/>
      <w:marRight w:val="0"/>
      <w:marTop w:val="0"/>
      <w:marBottom w:val="0"/>
      <w:divBdr>
        <w:top w:val="none" w:sz="0" w:space="0" w:color="auto"/>
        <w:left w:val="none" w:sz="0" w:space="0" w:color="auto"/>
        <w:bottom w:val="none" w:sz="0" w:space="0" w:color="auto"/>
        <w:right w:val="none" w:sz="0" w:space="0" w:color="auto"/>
      </w:divBdr>
    </w:div>
    <w:div w:id="968433236">
      <w:bodyDiv w:val="1"/>
      <w:marLeft w:val="0"/>
      <w:marRight w:val="0"/>
      <w:marTop w:val="0"/>
      <w:marBottom w:val="0"/>
      <w:divBdr>
        <w:top w:val="none" w:sz="0" w:space="0" w:color="auto"/>
        <w:left w:val="none" w:sz="0" w:space="0" w:color="auto"/>
        <w:bottom w:val="none" w:sz="0" w:space="0" w:color="auto"/>
        <w:right w:val="none" w:sz="0" w:space="0" w:color="auto"/>
      </w:divBdr>
    </w:div>
    <w:div w:id="993070385">
      <w:bodyDiv w:val="1"/>
      <w:marLeft w:val="0"/>
      <w:marRight w:val="0"/>
      <w:marTop w:val="0"/>
      <w:marBottom w:val="0"/>
      <w:divBdr>
        <w:top w:val="none" w:sz="0" w:space="0" w:color="auto"/>
        <w:left w:val="none" w:sz="0" w:space="0" w:color="auto"/>
        <w:bottom w:val="none" w:sz="0" w:space="0" w:color="auto"/>
        <w:right w:val="none" w:sz="0" w:space="0" w:color="auto"/>
      </w:divBdr>
    </w:div>
    <w:div w:id="1044134849">
      <w:bodyDiv w:val="1"/>
      <w:marLeft w:val="0"/>
      <w:marRight w:val="0"/>
      <w:marTop w:val="0"/>
      <w:marBottom w:val="0"/>
      <w:divBdr>
        <w:top w:val="none" w:sz="0" w:space="0" w:color="auto"/>
        <w:left w:val="none" w:sz="0" w:space="0" w:color="auto"/>
        <w:bottom w:val="none" w:sz="0" w:space="0" w:color="auto"/>
        <w:right w:val="none" w:sz="0" w:space="0" w:color="auto"/>
      </w:divBdr>
    </w:div>
    <w:div w:id="1052576502">
      <w:bodyDiv w:val="1"/>
      <w:marLeft w:val="0"/>
      <w:marRight w:val="0"/>
      <w:marTop w:val="0"/>
      <w:marBottom w:val="0"/>
      <w:divBdr>
        <w:top w:val="none" w:sz="0" w:space="0" w:color="auto"/>
        <w:left w:val="none" w:sz="0" w:space="0" w:color="auto"/>
        <w:bottom w:val="none" w:sz="0" w:space="0" w:color="auto"/>
        <w:right w:val="none" w:sz="0" w:space="0" w:color="auto"/>
      </w:divBdr>
    </w:div>
    <w:div w:id="1054425535">
      <w:bodyDiv w:val="1"/>
      <w:marLeft w:val="0"/>
      <w:marRight w:val="0"/>
      <w:marTop w:val="0"/>
      <w:marBottom w:val="0"/>
      <w:divBdr>
        <w:top w:val="none" w:sz="0" w:space="0" w:color="auto"/>
        <w:left w:val="none" w:sz="0" w:space="0" w:color="auto"/>
        <w:bottom w:val="none" w:sz="0" w:space="0" w:color="auto"/>
        <w:right w:val="none" w:sz="0" w:space="0" w:color="auto"/>
      </w:divBdr>
    </w:div>
    <w:div w:id="1071388451">
      <w:bodyDiv w:val="1"/>
      <w:marLeft w:val="0"/>
      <w:marRight w:val="0"/>
      <w:marTop w:val="0"/>
      <w:marBottom w:val="0"/>
      <w:divBdr>
        <w:top w:val="none" w:sz="0" w:space="0" w:color="auto"/>
        <w:left w:val="none" w:sz="0" w:space="0" w:color="auto"/>
        <w:bottom w:val="none" w:sz="0" w:space="0" w:color="auto"/>
        <w:right w:val="none" w:sz="0" w:space="0" w:color="auto"/>
      </w:divBdr>
    </w:div>
    <w:div w:id="1100641166">
      <w:bodyDiv w:val="1"/>
      <w:marLeft w:val="0"/>
      <w:marRight w:val="0"/>
      <w:marTop w:val="0"/>
      <w:marBottom w:val="0"/>
      <w:divBdr>
        <w:top w:val="none" w:sz="0" w:space="0" w:color="auto"/>
        <w:left w:val="none" w:sz="0" w:space="0" w:color="auto"/>
        <w:bottom w:val="none" w:sz="0" w:space="0" w:color="auto"/>
        <w:right w:val="none" w:sz="0" w:space="0" w:color="auto"/>
      </w:divBdr>
    </w:div>
    <w:div w:id="1122304639">
      <w:bodyDiv w:val="1"/>
      <w:marLeft w:val="0"/>
      <w:marRight w:val="0"/>
      <w:marTop w:val="0"/>
      <w:marBottom w:val="0"/>
      <w:divBdr>
        <w:top w:val="none" w:sz="0" w:space="0" w:color="auto"/>
        <w:left w:val="none" w:sz="0" w:space="0" w:color="auto"/>
        <w:bottom w:val="none" w:sz="0" w:space="0" w:color="auto"/>
        <w:right w:val="none" w:sz="0" w:space="0" w:color="auto"/>
      </w:divBdr>
    </w:div>
    <w:div w:id="1151557588">
      <w:bodyDiv w:val="1"/>
      <w:marLeft w:val="0"/>
      <w:marRight w:val="0"/>
      <w:marTop w:val="0"/>
      <w:marBottom w:val="0"/>
      <w:divBdr>
        <w:top w:val="none" w:sz="0" w:space="0" w:color="auto"/>
        <w:left w:val="none" w:sz="0" w:space="0" w:color="auto"/>
        <w:bottom w:val="none" w:sz="0" w:space="0" w:color="auto"/>
        <w:right w:val="none" w:sz="0" w:space="0" w:color="auto"/>
      </w:divBdr>
    </w:div>
    <w:div w:id="1203666653">
      <w:bodyDiv w:val="1"/>
      <w:marLeft w:val="0"/>
      <w:marRight w:val="0"/>
      <w:marTop w:val="0"/>
      <w:marBottom w:val="0"/>
      <w:divBdr>
        <w:top w:val="none" w:sz="0" w:space="0" w:color="auto"/>
        <w:left w:val="none" w:sz="0" w:space="0" w:color="auto"/>
        <w:bottom w:val="none" w:sz="0" w:space="0" w:color="auto"/>
        <w:right w:val="none" w:sz="0" w:space="0" w:color="auto"/>
      </w:divBdr>
    </w:div>
    <w:div w:id="1219240066">
      <w:bodyDiv w:val="1"/>
      <w:marLeft w:val="0"/>
      <w:marRight w:val="0"/>
      <w:marTop w:val="0"/>
      <w:marBottom w:val="0"/>
      <w:divBdr>
        <w:top w:val="none" w:sz="0" w:space="0" w:color="auto"/>
        <w:left w:val="none" w:sz="0" w:space="0" w:color="auto"/>
        <w:bottom w:val="none" w:sz="0" w:space="0" w:color="auto"/>
        <w:right w:val="none" w:sz="0" w:space="0" w:color="auto"/>
      </w:divBdr>
    </w:div>
    <w:div w:id="1221674460">
      <w:bodyDiv w:val="1"/>
      <w:marLeft w:val="0"/>
      <w:marRight w:val="0"/>
      <w:marTop w:val="0"/>
      <w:marBottom w:val="0"/>
      <w:divBdr>
        <w:top w:val="none" w:sz="0" w:space="0" w:color="auto"/>
        <w:left w:val="none" w:sz="0" w:space="0" w:color="auto"/>
        <w:bottom w:val="none" w:sz="0" w:space="0" w:color="auto"/>
        <w:right w:val="none" w:sz="0" w:space="0" w:color="auto"/>
      </w:divBdr>
    </w:div>
    <w:div w:id="1239942967">
      <w:bodyDiv w:val="1"/>
      <w:marLeft w:val="0"/>
      <w:marRight w:val="0"/>
      <w:marTop w:val="0"/>
      <w:marBottom w:val="0"/>
      <w:divBdr>
        <w:top w:val="none" w:sz="0" w:space="0" w:color="auto"/>
        <w:left w:val="none" w:sz="0" w:space="0" w:color="auto"/>
        <w:bottom w:val="none" w:sz="0" w:space="0" w:color="auto"/>
        <w:right w:val="none" w:sz="0" w:space="0" w:color="auto"/>
      </w:divBdr>
    </w:div>
    <w:div w:id="1244996067">
      <w:bodyDiv w:val="1"/>
      <w:marLeft w:val="0"/>
      <w:marRight w:val="0"/>
      <w:marTop w:val="0"/>
      <w:marBottom w:val="0"/>
      <w:divBdr>
        <w:top w:val="none" w:sz="0" w:space="0" w:color="auto"/>
        <w:left w:val="none" w:sz="0" w:space="0" w:color="auto"/>
        <w:bottom w:val="none" w:sz="0" w:space="0" w:color="auto"/>
        <w:right w:val="none" w:sz="0" w:space="0" w:color="auto"/>
      </w:divBdr>
    </w:div>
    <w:div w:id="1267232717">
      <w:bodyDiv w:val="1"/>
      <w:marLeft w:val="0"/>
      <w:marRight w:val="0"/>
      <w:marTop w:val="0"/>
      <w:marBottom w:val="0"/>
      <w:divBdr>
        <w:top w:val="none" w:sz="0" w:space="0" w:color="auto"/>
        <w:left w:val="none" w:sz="0" w:space="0" w:color="auto"/>
        <w:bottom w:val="none" w:sz="0" w:space="0" w:color="auto"/>
        <w:right w:val="none" w:sz="0" w:space="0" w:color="auto"/>
      </w:divBdr>
    </w:div>
    <w:div w:id="1284768624">
      <w:bodyDiv w:val="1"/>
      <w:marLeft w:val="0"/>
      <w:marRight w:val="0"/>
      <w:marTop w:val="0"/>
      <w:marBottom w:val="0"/>
      <w:divBdr>
        <w:top w:val="none" w:sz="0" w:space="0" w:color="auto"/>
        <w:left w:val="none" w:sz="0" w:space="0" w:color="auto"/>
        <w:bottom w:val="none" w:sz="0" w:space="0" w:color="auto"/>
        <w:right w:val="none" w:sz="0" w:space="0" w:color="auto"/>
      </w:divBdr>
    </w:div>
    <w:div w:id="1299606265">
      <w:bodyDiv w:val="1"/>
      <w:marLeft w:val="0"/>
      <w:marRight w:val="0"/>
      <w:marTop w:val="0"/>
      <w:marBottom w:val="0"/>
      <w:divBdr>
        <w:top w:val="none" w:sz="0" w:space="0" w:color="auto"/>
        <w:left w:val="none" w:sz="0" w:space="0" w:color="auto"/>
        <w:bottom w:val="none" w:sz="0" w:space="0" w:color="auto"/>
        <w:right w:val="none" w:sz="0" w:space="0" w:color="auto"/>
      </w:divBdr>
    </w:div>
    <w:div w:id="1299801112">
      <w:bodyDiv w:val="1"/>
      <w:marLeft w:val="0"/>
      <w:marRight w:val="0"/>
      <w:marTop w:val="0"/>
      <w:marBottom w:val="0"/>
      <w:divBdr>
        <w:top w:val="none" w:sz="0" w:space="0" w:color="auto"/>
        <w:left w:val="none" w:sz="0" w:space="0" w:color="auto"/>
        <w:bottom w:val="none" w:sz="0" w:space="0" w:color="auto"/>
        <w:right w:val="none" w:sz="0" w:space="0" w:color="auto"/>
      </w:divBdr>
    </w:div>
    <w:div w:id="1351683793">
      <w:bodyDiv w:val="1"/>
      <w:marLeft w:val="0"/>
      <w:marRight w:val="0"/>
      <w:marTop w:val="0"/>
      <w:marBottom w:val="0"/>
      <w:divBdr>
        <w:top w:val="none" w:sz="0" w:space="0" w:color="auto"/>
        <w:left w:val="none" w:sz="0" w:space="0" w:color="auto"/>
        <w:bottom w:val="none" w:sz="0" w:space="0" w:color="auto"/>
        <w:right w:val="none" w:sz="0" w:space="0" w:color="auto"/>
      </w:divBdr>
    </w:div>
    <w:div w:id="1394430313">
      <w:bodyDiv w:val="1"/>
      <w:marLeft w:val="0"/>
      <w:marRight w:val="0"/>
      <w:marTop w:val="0"/>
      <w:marBottom w:val="0"/>
      <w:divBdr>
        <w:top w:val="none" w:sz="0" w:space="0" w:color="auto"/>
        <w:left w:val="none" w:sz="0" w:space="0" w:color="auto"/>
        <w:bottom w:val="none" w:sz="0" w:space="0" w:color="auto"/>
        <w:right w:val="none" w:sz="0" w:space="0" w:color="auto"/>
      </w:divBdr>
    </w:div>
    <w:div w:id="1422533026">
      <w:bodyDiv w:val="1"/>
      <w:marLeft w:val="0"/>
      <w:marRight w:val="0"/>
      <w:marTop w:val="0"/>
      <w:marBottom w:val="0"/>
      <w:divBdr>
        <w:top w:val="none" w:sz="0" w:space="0" w:color="auto"/>
        <w:left w:val="none" w:sz="0" w:space="0" w:color="auto"/>
        <w:bottom w:val="none" w:sz="0" w:space="0" w:color="auto"/>
        <w:right w:val="none" w:sz="0" w:space="0" w:color="auto"/>
      </w:divBdr>
    </w:div>
    <w:div w:id="1437096067">
      <w:bodyDiv w:val="1"/>
      <w:marLeft w:val="0"/>
      <w:marRight w:val="0"/>
      <w:marTop w:val="0"/>
      <w:marBottom w:val="0"/>
      <w:divBdr>
        <w:top w:val="none" w:sz="0" w:space="0" w:color="auto"/>
        <w:left w:val="none" w:sz="0" w:space="0" w:color="auto"/>
        <w:bottom w:val="none" w:sz="0" w:space="0" w:color="auto"/>
        <w:right w:val="none" w:sz="0" w:space="0" w:color="auto"/>
      </w:divBdr>
    </w:div>
    <w:div w:id="1438938917">
      <w:bodyDiv w:val="1"/>
      <w:marLeft w:val="0"/>
      <w:marRight w:val="0"/>
      <w:marTop w:val="0"/>
      <w:marBottom w:val="0"/>
      <w:divBdr>
        <w:top w:val="none" w:sz="0" w:space="0" w:color="auto"/>
        <w:left w:val="none" w:sz="0" w:space="0" w:color="auto"/>
        <w:bottom w:val="none" w:sz="0" w:space="0" w:color="auto"/>
        <w:right w:val="none" w:sz="0" w:space="0" w:color="auto"/>
      </w:divBdr>
    </w:div>
    <w:div w:id="1485968662">
      <w:bodyDiv w:val="1"/>
      <w:marLeft w:val="0"/>
      <w:marRight w:val="0"/>
      <w:marTop w:val="0"/>
      <w:marBottom w:val="0"/>
      <w:divBdr>
        <w:top w:val="none" w:sz="0" w:space="0" w:color="auto"/>
        <w:left w:val="none" w:sz="0" w:space="0" w:color="auto"/>
        <w:bottom w:val="none" w:sz="0" w:space="0" w:color="auto"/>
        <w:right w:val="none" w:sz="0" w:space="0" w:color="auto"/>
      </w:divBdr>
    </w:div>
    <w:div w:id="1502768671">
      <w:bodyDiv w:val="1"/>
      <w:marLeft w:val="0"/>
      <w:marRight w:val="0"/>
      <w:marTop w:val="0"/>
      <w:marBottom w:val="0"/>
      <w:divBdr>
        <w:top w:val="none" w:sz="0" w:space="0" w:color="auto"/>
        <w:left w:val="none" w:sz="0" w:space="0" w:color="auto"/>
        <w:bottom w:val="none" w:sz="0" w:space="0" w:color="auto"/>
        <w:right w:val="none" w:sz="0" w:space="0" w:color="auto"/>
      </w:divBdr>
    </w:div>
    <w:div w:id="1504274006">
      <w:bodyDiv w:val="1"/>
      <w:marLeft w:val="0"/>
      <w:marRight w:val="0"/>
      <w:marTop w:val="0"/>
      <w:marBottom w:val="0"/>
      <w:divBdr>
        <w:top w:val="none" w:sz="0" w:space="0" w:color="auto"/>
        <w:left w:val="none" w:sz="0" w:space="0" w:color="auto"/>
        <w:bottom w:val="none" w:sz="0" w:space="0" w:color="auto"/>
        <w:right w:val="none" w:sz="0" w:space="0" w:color="auto"/>
      </w:divBdr>
    </w:div>
    <w:div w:id="1523282149">
      <w:bodyDiv w:val="1"/>
      <w:marLeft w:val="0"/>
      <w:marRight w:val="0"/>
      <w:marTop w:val="0"/>
      <w:marBottom w:val="0"/>
      <w:divBdr>
        <w:top w:val="none" w:sz="0" w:space="0" w:color="auto"/>
        <w:left w:val="none" w:sz="0" w:space="0" w:color="auto"/>
        <w:bottom w:val="none" w:sz="0" w:space="0" w:color="auto"/>
        <w:right w:val="none" w:sz="0" w:space="0" w:color="auto"/>
      </w:divBdr>
    </w:div>
    <w:div w:id="1528987513">
      <w:bodyDiv w:val="1"/>
      <w:marLeft w:val="0"/>
      <w:marRight w:val="0"/>
      <w:marTop w:val="0"/>
      <w:marBottom w:val="0"/>
      <w:divBdr>
        <w:top w:val="none" w:sz="0" w:space="0" w:color="auto"/>
        <w:left w:val="none" w:sz="0" w:space="0" w:color="auto"/>
        <w:bottom w:val="none" w:sz="0" w:space="0" w:color="auto"/>
        <w:right w:val="none" w:sz="0" w:space="0" w:color="auto"/>
      </w:divBdr>
    </w:div>
    <w:div w:id="1551726061">
      <w:bodyDiv w:val="1"/>
      <w:marLeft w:val="0"/>
      <w:marRight w:val="0"/>
      <w:marTop w:val="0"/>
      <w:marBottom w:val="0"/>
      <w:divBdr>
        <w:top w:val="none" w:sz="0" w:space="0" w:color="auto"/>
        <w:left w:val="none" w:sz="0" w:space="0" w:color="auto"/>
        <w:bottom w:val="none" w:sz="0" w:space="0" w:color="auto"/>
        <w:right w:val="none" w:sz="0" w:space="0" w:color="auto"/>
      </w:divBdr>
    </w:div>
    <w:div w:id="1554267357">
      <w:bodyDiv w:val="1"/>
      <w:marLeft w:val="0"/>
      <w:marRight w:val="0"/>
      <w:marTop w:val="0"/>
      <w:marBottom w:val="0"/>
      <w:divBdr>
        <w:top w:val="none" w:sz="0" w:space="0" w:color="auto"/>
        <w:left w:val="none" w:sz="0" w:space="0" w:color="auto"/>
        <w:bottom w:val="none" w:sz="0" w:space="0" w:color="auto"/>
        <w:right w:val="none" w:sz="0" w:space="0" w:color="auto"/>
      </w:divBdr>
    </w:div>
    <w:div w:id="1621642487">
      <w:bodyDiv w:val="1"/>
      <w:marLeft w:val="0"/>
      <w:marRight w:val="0"/>
      <w:marTop w:val="0"/>
      <w:marBottom w:val="0"/>
      <w:divBdr>
        <w:top w:val="none" w:sz="0" w:space="0" w:color="auto"/>
        <w:left w:val="none" w:sz="0" w:space="0" w:color="auto"/>
        <w:bottom w:val="none" w:sz="0" w:space="0" w:color="auto"/>
        <w:right w:val="none" w:sz="0" w:space="0" w:color="auto"/>
      </w:divBdr>
    </w:div>
    <w:div w:id="1665818292">
      <w:bodyDiv w:val="1"/>
      <w:marLeft w:val="0"/>
      <w:marRight w:val="0"/>
      <w:marTop w:val="0"/>
      <w:marBottom w:val="0"/>
      <w:divBdr>
        <w:top w:val="none" w:sz="0" w:space="0" w:color="auto"/>
        <w:left w:val="none" w:sz="0" w:space="0" w:color="auto"/>
        <w:bottom w:val="none" w:sz="0" w:space="0" w:color="auto"/>
        <w:right w:val="none" w:sz="0" w:space="0" w:color="auto"/>
      </w:divBdr>
    </w:div>
    <w:div w:id="1715038084">
      <w:bodyDiv w:val="1"/>
      <w:marLeft w:val="0"/>
      <w:marRight w:val="0"/>
      <w:marTop w:val="0"/>
      <w:marBottom w:val="0"/>
      <w:divBdr>
        <w:top w:val="none" w:sz="0" w:space="0" w:color="auto"/>
        <w:left w:val="none" w:sz="0" w:space="0" w:color="auto"/>
        <w:bottom w:val="none" w:sz="0" w:space="0" w:color="auto"/>
        <w:right w:val="none" w:sz="0" w:space="0" w:color="auto"/>
      </w:divBdr>
    </w:div>
    <w:div w:id="1724789923">
      <w:bodyDiv w:val="1"/>
      <w:marLeft w:val="0"/>
      <w:marRight w:val="0"/>
      <w:marTop w:val="0"/>
      <w:marBottom w:val="0"/>
      <w:divBdr>
        <w:top w:val="none" w:sz="0" w:space="0" w:color="auto"/>
        <w:left w:val="none" w:sz="0" w:space="0" w:color="auto"/>
        <w:bottom w:val="none" w:sz="0" w:space="0" w:color="auto"/>
        <w:right w:val="none" w:sz="0" w:space="0" w:color="auto"/>
      </w:divBdr>
    </w:div>
    <w:div w:id="1784495799">
      <w:bodyDiv w:val="1"/>
      <w:marLeft w:val="0"/>
      <w:marRight w:val="0"/>
      <w:marTop w:val="0"/>
      <w:marBottom w:val="0"/>
      <w:divBdr>
        <w:top w:val="none" w:sz="0" w:space="0" w:color="auto"/>
        <w:left w:val="none" w:sz="0" w:space="0" w:color="auto"/>
        <w:bottom w:val="none" w:sz="0" w:space="0" w:color="auto"/>
        <w:right w:val="none" w:sz="0" w:space="0" w:color="auto"/>
      </w:divBdr>
    </w:div>
    <w:div w:id="1827476307">
      <w:bodyDiv w:val="1"/>
      <w:marLeft w:val="0"/>
      <w:marRight w:val="0"/>
      <w:marTop w:val="0"/>
      <w:marBottom w:val="0"/>
      <w:divBdr>
        <w:top w:val="none" w:sz="0" w:space="0" w:color="auto"/>
        <w:left w:val="none" w:sz="0" w:space="0" w:color="auto"/>
        <w:bottom w:val="none" w:sz="0" w:space="0" w:color="auto"/>
        <w:right w:val="none" w:sz="0" w:space="0" w:color="auto"/>
      </w:divBdr>
    </w:div>
    <w:div w:id="1927228747">
      <w:bodyDiv w:val="1"/>
      <w:marLeft w:val="0"/>
      <w:marRight w:val="0"/>
      <w:marTop w:val="0"/>
      <w:marBottom w:val="0"/>
      <w:divBdr>
        <w:top w:val="none" w:sz="0" w:space="0" w:color="auto"/>
        <w:left w:val="none" w:sz="0" w:space="0" w:color="auto"/>
        <w:bottom w:val="none" w:sz="0" w:space="0" w:color="auto"/>
        <w:right w:val="none" w:sz="0" w:space="0" w:color="auto"/>
      </w:divBdr>
    </w:div>
    <w:div w:id="1958097730">
      <w:bodyDiv w:val="1"/>
      <w:marLeft w:val="0"/>
      <w:marRight w:val="0"/>
      <w:marTop w:val="0"/>
      <w:marBottom w:val="0"/>
      <w:divBdr>
        <w:top w:val="none" w:sz="0" w:space="0" w:color="auto"/>
        <w:left w:val="none" w:sz="0" w:space="0" w:color="auto"/>
        <w:bottom w:val="none" w:sz="0" w:space="0" w:color="auto"/>
        <w:right w:val="none" w:sz="0" w:space="0" w:color="auto"/>
      </w:divBdr>
    </w:div>
    <w:div w:id="1959026108">
      <w:bodyDiv w:val="1"/>
      <w:marLeft w:val="0"/>
      <w:marRight w:val="0"/>
      <w:marTop w:val="0"/>
      <w:marBottom w:val="0"/>
      <w:divBdr>
        <w:top w:val="none" w:sz="0" w:space="0" w:color="auto"/>
        <w:left w:val="none" w:sz="0" w:space="0" w:color="auto"/>
        <w:bottom w:val="none" w:sz="0" w:space="0" w:color="auto"/>
        <w:right w:val="none" w:sz="0" w:space="0" w:color="auto"/>
      </w:divBdr>
    </w:div>
    <w:div w:id="1962565618">
      <w:bodyDiv w:val="1"/>
      <w:marLeft w:val="0"/>
      <w:marRight w:val="0"/>
      <w:marTop w:val="0"/>
      <w:marBottom w:val="0"/>
      <w:divBdr>
        <w:top w:val="none" w:sz="0" w:space="0" w:color="auto"/>
        <w:left w:val="none" w:sz="0" w:space="0" w:color="auto"/>
        <w:bottom w:val="none" w:sz="0" w:space="0" w:color="auto"/>
        <w:right w:val="none" w:sz="0" w:space="0" w:color="auto"/>
      </w:divBdr>
    </w:div>
    <w:div w:id="1973049232">
      <w:bodyDiv w:val="1"/>
      <w:marLeft w:val="0"/>
      <w:marRight w:val="0"/>
      <w:marTop w:val="0"/>
      <w:marBottom w:val="0"/>
      <w:divBdr>
        <w:top w:val="none" w:sz="0" w:space="0" w:color="auto"/>
        <w:left w:val="none" w:sz="0" w:space="0" w:color="auto"/>
        <w:bottom w:val="none" w:sz="0" w:space="0" w:color="auto"/>
        <w:right w:val="none" w:sz="0" w:space="0" w:color="auto"/>
      </w:divBdr>
    </w:div>
    <w:div w:id="2005428495">
      <w:bodyDiv w:val="1"/>
      <w:marLeft w:val="0"/>
      <w:marRight w:val="0"/>
      <w:marTop w:val="0"/>
      <w:marBottom w:val="0"/>
      <w:divBdr>
        <w:top w:val="none" w:sz="0" w:space="0" w:color="auto"/>
        <w:left w:val="none" w:sz="0" w:space="0" w:color="auto"/>
        <w:bottom w:val="none" w:sz="0" w:space="0" w:color="auto"/>
        <w:right w:val="none" w:sz="0" w:space="0" w:color="auto"/>
      </w:divBdr>
    </w:div>
    <w:div w:id="2026978627">
      <w:bodyDiv w:val="1"/>
      <w:marLeft w:val="0"/>
      <w:marRight w:val="0"/>
      <w:marTop w:val="0"/>
      <w:marBottom w:val="0"/>
      <w:divBdr>
        <w:top w:val="none" w:sz="0" w:space="0" w:color="auto"/>
        <w:left w:val="none" w:sz="0" w:space="0" w:color="auto"/>
        <w:bottom w:val="none" w:sz="0" w:space="0" w:color="auto"/>
        <w:right w:val="none" w:sz="0" w:space="0" w:color="auto"/>
      </w:divBdr>
    </w:div>
    <w:div w:id="2103378130">
      <w:bodyDiv w:val="1"/>
      <w:marLeft w:val="0"/>
      <w:marRight w:val="0"/>
      <w:marTop w:val="0"/>
      <w:marBottom w:val="0"/>
      <w:divBdr>
        <w:top w:val="none" w:sz="0" w:space="0" w:color="auto"/>
        <w:left w:val="none" w:sz="0" w:space="0" w:color="auto"/>
        <w:bottom w:val="none" w:sz="0" w:space="0" w:color="auto"/>
        <w:right w:val="none" w:sz="0" w:space="0" w:color="auto"/>
      </w:divBdr>
    </w:div>
    <w:div w:id="2107920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Jia25</b:Tag>
    <b:SourceType>JournalArticle</b:SourceType>
    <b:Guid>{F9E61D6D-2604-4A18-8FCC-D13D0DBA1454}</b:Guid>
    <b:Title>Ransomware Attacks and Data Breaches in US Health Care Systems</b:Title>
    <b:Year>2025</b:Year>
    <b:JournalName>JAMA Network Open</b:JournalName>
    <b:Volume>8</b:Volume>
    <b:Issue>5</b:Issue>
    <b:Author>
      <b:Author>
        <b:NameList>
          <b:Person>
            <b:Last>Jiang</b:Last>
            <b:First>John</b:First>
            <b:Middle>X.</b:Middle>
          </b:Person>
          <b:Person>
            <b:Last>Ross</b:Last>
            <b:First>Joseph</b:First>
            <b:Middle>S.</b:Middle>
          </b:Person>
          <b:Person>
            <b:Last>Bai</b:Last>
            <b:First>Ge</b:First>
          </b:Person>
        </b:NameList>
      </b:Author>
    </b:Author>
    <b:YearAccessed>2026</b:YearAccessed>
    <b:MonthAccessed>04</b:MonthAccessed>
    <b:DayAccessed>29</b:DayAccessed>
    <b:URL>https://jamanetwork.com/journals/jamanetworkopen/fullarticle/2833984</b:URL>
    <b:RefOrder>1</b:RefOrder>
  </b:Source>
  <b:Source>
    <b:Tag>Vit23</b:Tag>
    <b:SourceType>ConferenceProceedings</b:SourceType>
    <b:Guid>{05CB436F-6368-497F-BBF6-21B94CCB9CF7}</b:Guid>
    <b:Title>Prevention, Internal and External Threats in Cyber Security and Methods for Their</b:Title>
    <b:Year>2023</b:Year>
    <b:Author>
      <b:Author>
        <b:NameList>
          <b:Person>
            <b:Last>Falkevych</b:Last>
            <b:First>Vitalii</b:First>
          </b:Person>
          <b:Person>
            <b:Last>Lisnyak</b:Last>
            <b:First>Andrey</b:First>
          </b:Person>
        </b:NameList>
      </b:Author>
    </b:Author>
    <b:ConferenceName>2023 13th International Conference on Advanced Computer Information Technologies (ACIT)</b:ConferenceName>
    <b:Publisher>IEEE</b:Publisher>
    <b:YearAccessed>2026</b:YearAccessed>
    <b:MonthAccessed>04</b:MonthAccessed>
    <b:DayAccessed>29</b:DayAccessed>
    <b:URL>https://ieeexplore.ieee.org/abstract/document/10275516</b:URL>
    <b:RefOrder>2</b:RefOrder>
  </b:Source>
  <b:Source>
    <b:Tag>Phi20</b:Tag>
    <b:SourceType>Report</b:SourceType>
    <b:Guid>{CDBEF7E7-6E2D-4CF1-8938-362875AE926F}</b:Guid>
    <b:Title>2020 Data Breach Investigations Report</b:Title>
    <b:Year>2020</b:Year>
    <b:Publisher>Verizon</b:Publisher>
    <b:Author>
      <b:Author>
        <b:NameList>
          <b:Person>
            <b:Last>Langlois</b:Last>
            <b:First>Philippe</b:First>
          </b:Person>
        </b:NameList>
      </b:Author>
    </b:Author>
    <b:YearAccessed>2026</b:YearAccessed>
    <b:MonthAccessed>04</b:MonthAccessed>
    <b:DayAccessed>29</b:DayAccessed>
    <b:URL>https://scholar.googleusercontent.com/scholar?q=cache:9RdlI_ky7ZwJ:scholar.google.com/+2020+Data+Breach+Investigations+Report&amp;hl=en&amp;as_sdt=0,5</b:URL>
    <b:RefOrder>3</b:RefOrder>
  </b:Source>
  <b:Source>
    <b:Tag>Int23</b:Tag>
    <b:SourceType>Report</b:SourceType>
    <b:Guid>{10FA542F-D2B0-43E7-9611-3687C0CA860F}</b:Guid>
    <b:Title>ISO/IEC 27035-1:2023 Information technology — Information security incident management — Part 1: Principles and process</b:Title>
    <b:Year>2023</b:Year>
    <b:Publisher>ISO</b:Publisher>
    <b:YearAccessed>2025</b:YearAccessed>
    <b:MonthAccessed>04</b:MonthAccessed>
    <b:DayAccessed>29</b:DayAccessed>
    <b:URL>https://www.iso.org/obp/ui/en/#iso:std:78973:en</b:URL>
    <b:Author>
      <b:Author>
        <b:Corporate>International Organization for Standardization (ISO)</b:Corporate>
      </b:Author>
    </b:Author>
    <b:RefOrder>5</b:RefOrder>
  </b:Source>
  <b:Source>
    <b:Tag>Kev08</b:Tag>
    <b:SourceType>Report</b:SourceType>
    <b:Guid>{73E811E6-D24A-4C2E-B571-7DD07F190642}</b:Guid>
    <b:Title>Guide for Mapping Types of Information and Information Systems to Security Categories</b:Title>
    <b:Year>2008</b:Year>
    <b:Publisher>NIST</b:Publisher>
    <b:YearAccessed>2026</b:YearAccessed>
    <b:MonthAccessed>04</b:MonthAccessed>
    <b:DayAccessed>29</b:DayAccessed>
    <b:URL>https://csrc.nist.gov/Pubs/sp/800/60/v1/r1/Final</b:URL>
    <b:Author>
      <b:Author>
        <b:NameList>
          <b:Person>
            <b:Last>Kevin Stine (NIST)</b:Last>
            <b:First>Richard</b:First>
            <b:Middle>Kissel (NIST), William Barker (NIST), Jim Fahlsing (SAIC), Jessica Gulick (SAIC)</b:Middle>
          </b:Person>
        </b:NameList>
      </b:Author>
    </b:Author>
    <b:RefOrder>6</b:RefOrder>
  </b:Source>
  <b:Source>
    <b:Tag>Luc23</b:Tag>
    <b:SourceType>JournalArticle</b:SourceType>
    <b:Guid>{8CEFDF4D-654D-4246-9FF1-525F71C5765B}</b:Guid>
    <b:Title>How effective is multifactor authentication at deterring cyberattacks?</b:Title>
    <b:Year>2023</b:Year>
    <b:Author>
      <b:Author>
        <b:NameList>
          <b:Person>
            <b:Last>Lucas Augusto Meyer</b:Last>
            <b:First>Sergio</b:First>
            <b:Middle>Romero, Gabriele Bertoli, Tom Burt, Alex Weinert, Juan Lavista Ferres</b:Middle>
          </b:Person>
        </b:NameList>
      </b:Author>
    </b:Author>
    <b:JournalName>arXiv</b:JournalName>
    <b:YearAccessed>2026</b:YearAccessed>
    <b:MonthAccessed>04</b:MonthAccessed>
    <b:DayAccessed>29</b:DayAccessed>
    <b:URL>https://arxiv.org/abs/2305.00945</b:URL>
    <b:RefOrder>7</b:RefOrder>
  </b:Source>
  <b:Source>
    <b:Tag>Rya25</b:Tag>
    <b:SourceType>ConferenceProceedings</b:SourceType>
    <b:Guid>{37387079-A73B-40E4-9D7B-740750518AFE}</b:Guid>
    <b:Title>Network Segmentation Security with the Implementation of Threats</b:Title>
    <b:Year>2025</b:Year>
    <b:Pages>137-141</b:Pages>
    <b:ConferenceName>ICSIM '25: Proceedings of the 2025 8th International Conference on Software Engineering and Information Management</b:ConferenceName>
    <b:Author>
      <b:Author>
        <b:NameList>
          <b:Person>
            <b:Last>Ryan Bredesen</b:Last>
            <b:First>Stephen</b:First>
            <b:Middle>Mujeye</b:Middle>
          </b:Person>
        </b:NameList>
      </b:Author>
    </b:Author>
    <b:Publisher>ACM (Association for Computing Machinery)</b:Publisher>
    <b:YearAccessed>2026</b:YearAccessed>
    <b:MonthAccessed>04</b:MonthAccessed>
    <b:DayAccessed>29</b:DayAccessed>
    <b:URL>https://dl.acm.org/doi/full/10.1145/3725899.3725920</b:URL>
    <b:RefOrder>8</b:RefOrder>
  </b:Source>
  <b:Source>
    <b:Tag>Reb25</b:Tag>
    <b:SourceType>JournalArticle</b:SourceType>
    <b:Guid>{2CD79BF9-C663-4091-B67E-57C82FDB69AF}</b:Guid>
    <b:Title>Sustaining Cyber Awareness: The Long-Term Impact of Continuous Phishing Training and Emotional Triggers</b:Title>
    <b:Year>2025</b:Year>
    <b:Author>
      <b:Author>
        <b:NameList>
          <b:Person>
            <b:Last>Rebeka Toth</b:Last>
            <b:First>Richard</b:First>
            <b:Middle>A. Dubniczky, Olga Limonova, Norbert Tihanyi</b:Middle>
          </b:Person>
        </b:NameList>
      </b:Author>
    </b:Author>
    <b:JournalName>arXiv</b:JournalName>
    <b:YearAccessed>2026</b:YearAccessed>
    <b:MonthAccessed>04</b:MonthAccessed>
    <b:DayAccessed>29</b:DayAccessed>
    <b:URL>https://arxiv.org/abs/2510.27298</b:URL>
    <b:RefOrder>9</b:RefOrder>
  </b:Source>
  <b:Source>
    <b:Tag>Car24</b:Tag>
    <b:SourceType>JournalArticle</b:SourceType>
    <b:Guid>{64209FE6-3DCD-4162-89FF-A54F5D2EE7BB}</b:Guid>
    <b:Title>Security vulnerabilities in healthcare: an analysis of medical devices and software</b:Title>
    <b:JournalName>Medical &amp; Biological Engineering &amp; Computing</b:JournalName>
    <b:Year>2024</b:Year>
    <b:Pages>257-273</b:Pages>
    <b:Volume>62</b:Volume>
    <b:Author>
      <b:Author>
        <b:NameList>
          <b:Person>
            <b:Last>Carlos M. Mejía-Granda</b:Last>
            <b:First>José</b:First>
            <b:Middle>L. Fernández-Alemán, Juan M. Carrillo-de-Gea &amp; José A. García-Berná</b:Middle>
          </b:Person>
        </b:NameList>
      </b:Author>
    </b:Author>
    <b:Publisher>Springer</b:Publisher>
    <b:YearAccessed>2026</b:YearAccessed>
    <b:MonthAccessed>04</b:MonthAccessed>
    <b:DayAccessed>29</b:DayAccessed>
    <b:URL>https://link.springer.com/article/10.1007/s11517-023-02912-0</b:URL>
    <b:RefOrder>10</b:RefOrder>
  </b:Source>
  <b:Source>
    <b:Tag>Nar22</b:Tag>
    <b:SourceType>JournalArticle</b:SourceType>
    <b:Guid>{8F86F298-74B9-4EF5-9597-E03D40513F66}</b:Guid>
    <b:Title>Enhancing Healthcare Security: Proactive Threat</b:Title>
    <b:JournalName>International Journal of Computer Science and Mechatronics</b:JournalName>
    <b:Year>2022</b:Year>
    <b:Volume>8</b:Volume>
    <b:Issue>6</b:Issue>
    <b:Author>
      <b:Author>
        <b:NameList>
          <b:Person>
            <b:Last>Naresh Kilaru</b:Last>
            <b:First>Sai</b:First>
            <b:Middle>Krishna Manohar Cheemakurthi, Vinodh Gunnam</b:Middle>
          </b:Person>
        </b:NameList>
      </b:Author>
    </b:Author>
    <b:Publisher>IJCSM Publications</b:Publisher>
    <b:YearAccessed>2026</b:YearAccessed>
    <b:MonthAccessed>04</b:MonthAccessed>
    <b:DayAccessed>29</b:DayAccessed>
    <b:URL>https://www.researchgate.net/profile/Vinodh-Gunnam/publication/383228575_Enhancing_Healthcare_Security_Proactive_Threat_Hunting_And_Incident_Management_Utilizing_Siem_And_Soar/links/66c36da45f116e7c5306be25/Enhancing-Healthcare-Security-Proactive-Threat-H</b:URL>
    <b:RefOrder>11</b:RefOrder>
  </b:Source>
  <b:Source>
    <b:Tag>Ale25</b:Tag>
    <b:SourceType>Report</b:SourceType>
    <b:Guid>{E40BCB56-8453-451C-8782-E666ADF0DB01}</b:Guid>
    <b:Title>Security and Privacy Controls for Information Systems and Organizations</b:Title>
    <b:Year>2020</b:Year>
    <b:Publisher>National Institute of Standards and Technology</b:Publisher>
    <b:Author>
      <b:Author>
        <b:Corporate>NIST</b:Corporate>
      </b:Author>
    </b:Author>
    <b:YearAccessed>2026</b:YearAccessed>
    <b:MonthAccessed>04</b:MonthAccessed>
    <b:DayAccessed>29</b:DayAccessed>
    <b:URL>https://csrc.nist.gov/pubs/sp/800/53/r5/upd1/final</b:URL>
    <b:StandardNumber>NIST SP 800-53 Rev. 5</b:StandardNumber>
    <b:DOI>10.6028/NIST.SP.800-53r5</b:DOI>
    <b:RefOrder>4</b:RefOrder>
  </b:Source>
  <b:Source>
    <b:Tag>Ale251</b:Tag>
    <b:SourceType>Report</b:SourceType>
    <b:Guid>{3EE39CE9-4215-4C91-A27C-9FA420C7390B}</b:Guid>
    <b:Title>Incident Response Recommendations and Considerations for Cybersecurity Risk Management: A CSF 2.0 Community Profile</b:Title>
    <b:Year>2025</b:Year>
    <b:Author>
      <b:Author>
        <b:NameList>
          <b:Person>
            <b:Last>Alex Nelson</b:Last>
            <b:First>Sanjay</b:First>
            <b:Middle>Rekhi, Murugiah Souppaya, Karen Scarfone</b:Middle>
          </b:Person>
        </b:NameList>
      </b:Author>
    </b:Author>
    <b:Publisher>NIST</b:Publisher>
    <b:YearAccessed>2026</b:YearAccessed>
    <b:MonthAccessed>04</b:MonthAccessed>
    <b:DayAccessed>30</b:DayAccessed>
    <b:URL>https://csrc.nist.gov/pubs/sp/800/61/r3/final</b:URL>
    <b:DOI>10.6028/NIST.SP.800-61r3</b:DOI>
    <b:RefOrder>12</b:RefOrder>
  </b:Source>
  <b:Source>
    <b:Tag>CHA70</b:Tag>
    <b:SourceType>JournalArticle</b:SourceType>
    <b:Guid>{5BEACD8B-68BD-40A1-AF0F-E8CEBEDCADF4}</b:Guid>
    <b:Title>Flowcharting With the ANSI Standard: A Tutorial</b:Title>
    <b:Year>1970</b:Year>
    <b:Publisher>ACM (Association for Computing Machinery)</b:Publisher>
    <b:Author>
      <b:Author>
        <b:NameList>
          <b:Person>
            <b:Last>CHAPIN</b:Last>
            <b:First>NED</b:First>
          </b:Person>
        </b:NameList>
      </b:Author>
    </b:Author>
    <b:JournalName>Communications of the ACM</b:JournalName>
    <b:YearAccessed>2026</b:YearAccessed>
    <b:MonthAccessed>04</b:MonthAccessed>
    <b:DayAccessed>30</b:DayAccessed>
    <b:URL>https://dl.acm.org/doi/pdf/10.1145/356566.356570</b:URL>
    <b:RefOrder>13</b:RefOrder>
  </b:Source>
  <b:Source>
    <b:Tag>Mor25</b:Tag>
    <b:SourceType>JournalArticle</b:SourceType>
    <b:Guid>{950402B2-AFC9-4783-9B16-C4BFB0F0D612}</b:Guid>
    <b:Author>
      <b:Author>
        <b:NameList>
          <b:Person>
            <b:Last>Morić Zlatan</b:Last>
            <b:First>Dakić</b:First>
            <b:Middle>Vedran, Plećaš Mladen, Ogrizek Biškupić Ivana</b:Middle>
          </b:Person>
        </b:NameList>
      </b:Author>
    </b:Author>
    <b:Title>Evaluating End-User Defensive Approaches Against Phishing Using Education and Simulated Attacks in a Croatian University</b:Title>
    <b:JournalName>Journal of Cybersecurity and Privacy</b:JournalName>
    <b:Year>2025</b:Year>
    <b:Pages>3</b:Pages>
    <b:Publisher>MDPI</b:Publisher>
    <b:YearAccessed>2026</b:YearAccessed>
    <b:MonthAccessed>04</b:MonthAccessed>
    <b:DayAccessed>30</b:DayAccessed>
    <b:URL>https://www.mdpi.com/2624-800X/5/3/38</b:URL>
    <b:RefOrder>14</b:RefOrder>
  </b:Source>
</b:Sources>
</file>

<file path=customXml/itemProps1.xml><?xml version="1.0" encoding="utf-8"?>
<ds:datastoreItem xmlns:ds="http://schemas.openxmlformats.org/officeDocument/2006/customXml" ds:itemID="{BCA6F779-584A-404B-951B-AC6F190F3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18</Pages>
  <Words>2905</Words>
  <Characters>16560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Tandazo</dc:creator>
  <cp:keywords/>
  <dc:description/>
  <cp:lastModifiedBy>John Tandazo</cp:lastModifiedBy>
  <cp:revision>2</cp:revision>
  <dcterms:created xsi:type="dcterms:W3CDTF">2026-04-30T12:46:00Z</dcterms:created>
  <dcterms:modified xsi:type="dcterms:W3CDTF">2026-04-30T12:46:00Z</dcterms:modified>
</cp:coreProperties>
</file>