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Heading"/>
      </w:pPr>
      <w:r>
        <w:rPr>
          <w:rtl w:val="0"/>
        </w:rPr>
        <w:t xml:space="preserve">Graeme Guthrie </w:t>
      </w:r>
    </w:p>
    <w:p>
      <w:pPr>
        <w:pStyle w:val="Heading"/>
      </w:pPr>
      <w:r>
        <w:rPr>
          <w:rtl w:val="0"/>
        </w:rPr>
        <w:t>Student  1805312</w:t>
      </w:r>
    </w:p>
    <w:p>
      <w:pPr>
        <w:pStyle w:val="Heading"/>
      </w:pPr>
      <w:r>
        <w:rPr/>
        <w:fldChar w:fldCharType="begin" w:fldLock="0"/>
      </w:r>
      <w:r>
        <w:instrText xml:space="preserve"> DATE \@ "MMMM d, y" </w:instrText>
      </w:r>
      <w:r>
        <w:rPr/>
        <w:fldChar w:fldCharType="separate" w:fldLock="0"/>
      </w:r>
      <w:r>
        <w:rPr>
          <w:rtl w:val="0"/>
        </w:rPr>
        <w:t>27 December 2018</w:t>
      </w:r>
      <w:r>
        <w:rPr/>
        <w:fldChar w:fldCharType="end" w:fldLock="0"/>
      </w:r>
    </w:p>
    <w:p>
      <w:pPr>
        <w:pStyle w:val="Heading"/>
      </w:pPr>
    </w:p>
    <w:p>
      <w:pPr>
        <w:pStyle w:val="Subtitle"/>
        <w:rPr>
          <w:color w:val="000000"/>
          <w:sz w:val="40"/>
          <w:szCs w:val="40"/>
          <w:u w:color="000000"/>
        </w:rPr>
      </w:pPr>
      <w:r>
        <w:rPr>
          <w:color w:val="000000"/>
          <w:sz w:val="42"/>
          <w:szCs w:val="42"/>
          <w:u w:color="000000"/>
          <w:rtl w:val="0"/>
          <w:lang w:val="en-US"/>
        </w:rPr>
        <w:t>Introduction to study skills assignment: Literature Survey</w:t>
      </w:r>
    </w:p>
    <w:p>
      <w:pPr>
        <w:pStyle w:val="Subheading"/>
      </w:pPr>
    </w:p>
    <w:p>
      <w:pPr>
        <w:pStyle w:val="Subheading"/>
        <w:rPr>
          <w:color w:val="000000"/>
          <w:sz w:val="34"/>
          <w:szCs w:val="34"/>
          <w:u w:color="000000"/>
        </w:rPr>
      </w:pPr>
      <w:r>
        <w:rPr>
          <w:rFonts w:cs="Arial Unicode MS" w:eastAsia="Arial Unicode MS" w:hint="default"/>
          <w:color w:val="000000"/>
          <w:sz w:val="34"/>
          <w:szCs w:val="34"/>
          <w:u w:color="000000"/>
          <w:rtl w:val="0"/>
          <w:lang w:val="en-US"/>
        </w:rPr>
        <w:t>“</w:t>
      </w:r>
      <w:r>
        <w:rPr>
          <w:rFonts w:cs="Arial Unicode MS" w:eastAsia="Arial Unicode MS"/>
          <w:color w:val="000000"/>
          <w:sz w:val="34"/>
          <w:szCs w:val="34"/>
          <w:u w:color="000000"/>
          <w:rtl w:val="0"/>
          <w:lang w:val="en-US"/>
        </w:rPr>
        <w:t>Discuss the use of creation imagery in John</w:t>
      </w:r>
      <w:r>
        <w:rPr>
          <w:rFonts w:cs="Arial Unicode MS" w:eastAsia="Arial Unicode MS" w:hint="default"/>
          <w:color w:val="000000"/>
          <w:sz w:val="34"/>
          <w:szCs w:val="34"/>
          <w:u w:color="000000"/>
          <w:rtl w:val="0"/>
          <w:lang w:val="en-US"/>
        </w:rPr>
        <w:t>’</w:t>
      </w:r>
      <w:r>
        <w:rPr>
          <w:rFonts w:cs="Arial Unicode MS" w:eastAsia="Arial Unicode MS"/>
          <w:color w:val="000000"/>
          <w:sz w:val="34"/>
          <w:szCs w:val="34"/>
          <w:u w:color="000000"/>
          <w:rtl w:val="0"/>
          <w:lang w:val="en-US"/>
        </w:rPr>
        <w:t>s Gospel</w:t>
      </w:r>
      <w:r>
        <w:rPr>
          <w:rFonts w:cs="Arial Unicode MS" w:eastAsia="Arial Unicode MS" w:hint="default"/>
          <w:color w:val="000000"/>
          <w:sz w:val="34"/>
          <w:szCs w:val="34"/>
          <w:u w:color="000000"/>
          <w:rtl w:val="0"/>
          <w:lang w:val="en-US"/>
        </w:rPr>
        <w:t>”</w:t>
      </w:r>
      <w:r>
        <w:rPr>
          <w:rFonts w:cs="Arial Unicode MS" w:eastAsia="Arial Unicode MS"/>
          <w:color w:val="000000"/>
          <w:sz w:val="34"/>
          <w:szCs w:val="34"/>
          <w:u w:color="000000"/>
          <w:rtl w:val="0"/>
          <w:lang w:val="en-US"/>
        </w:rPr>
        <w:t>.</w:t>
      </w:r>
    </w:p>
    <w:p>
      <w:pPr>
        <w:pStyle w:val="Body A"/>
      </w:pPr>
    </w:p>
    <w:p>
      <w:pPr>
        <w:pStyle w:val="Body A"/>
        <w:rPr>
          <w:sz w:val="28"/>
          <w:szCs w:val="28"/>
        </w:rPr>
      </w:pPr>
      <w:r>
        <w:rPr>
          <w:rFonts w:cs="Arial Unicode MS" w:eastAsia="Arial Unicode MS"/>
          <w:sz w:val="28"/>
          <w:szCs w:val="28"/>
          <w:rtl w:val="0"/>
          <w:lang w:val="en-US"/>
        </w:rPr>
        <w:t>The way in which John</w:t>
      </w:r>
      <w:r>
        <w:rPr>
          <w:rFonts w:ascii="Baskerville" w:cs="Baskerville" w:hAnsi="Baskerville" w:eastAsia="Baskerville"/>
          <w:b w:val="0"/>
          <w:bCs w:val="0"/>
          <w:i w:val="0"/>
          <w:iCs w:val="0"/>
          <w:sz w:val="28"/>
          <w:szCs w:val="28"/>
          <w:vertAlign w:val="superscript"/>
        </w:rPr>
        <w:footnoteReference w:id="1"/>
      </w:r>
      <w:r>
        <w:rPr>
          <w:rFonts w:cs="Arial Unicode MS" w:eastAsia="Arial Unicode MS"/>
          <w:sz w:val="28"/>
          <w:szCs w:val="28"/>
          <w:rtl w:val="0"/>
          <w:lang w:val="en-US"/>
        </w:rPr>
        <w:t xml:space="preserve"> draws upon scripture throughout his gospel (henceforth GJohn) is a vast topic, with numerous allusions identified throughout the text.</w:t>
      </w:r>
      <w:r>
        <w:rPr>
          <w:rFonts w:ascii="Baskerville" w:cs="Baskerville" w:hAnsi="Baskerville" w:eastAsia="Baskerville"/>
          <w:b w:val="0"/>
          <w:bCs w:val="0"/>
          <w:i w:val="0"/>
          <w:iCs w:val="0"/>
          <w:sz w:val="28"/>
          <w:szCs w:val="28"/>
          <w:vertAlign w:val="superscript"/>
        </w:rPr>
        <w:footnoteReference w:id="2"/>
      </w:r>
      <w:r>
        <w:rPr>
          <w:rFonts w:cs="Arial Unicode MS" w:eastAsia="Arial Unicode MS"/>
          <w:sz w:val="28"/>
          <w:szCs w:val="28"/>
          <w:rtl w:val="0"/>
          <w:lang w:val="en-US"/>
        </w:rPr>
        <w:t xml:space="preserve"> For the purpose of this essay I have limited my literature search to, firstly, the use of creation imagery (from Genesis 1-2) in the prologue to John and, secondly, the use of such themes in the resurrection narrative of John chapter 20. I will outline the various scholarly positions found in the literature on the prologue followed chapter 20, and offer my own reflections on each section.</w:t>
      </w:r>
    </w:p>
    <w:p>
      <w:pPr>
        <w:pStyle w:val="Body A"/>
        <w:rPr>
          <w:sz w:val="28"/>
          <w:szCs w:val="28"/>
        </w:rPr>
      </w:pPr>
    </w:p>
    <w:p>
      <w:pPr>
        <w:pStyle w:val="Body A"/>
        <w:rPr>
          <w:i w:val="1"/>
          <w:iCs w:val="1"/>
          <w:sz w:val="28"/>
          <w:szCs w:val="28"/>
        </w:rPr>
      </w:pPr>
      <w:r>
        <w:rPr>
          <w:rFonts w:cs="Arial Unicode MS" w:eastAsia="Arial Unicode MS"/>
          <w:i w:val="1"/>
          <w:iCs w:val="1"/>
          <w:sz w:val="28"/>
          <w:szCs w:val="28"/>
          <w:rtl w:val="0"/>
          <w:lang w:val="en-US"/>
        </w:rPr>
        <w:t>The Prologue (Jn 1:1-1:18)</w:t>
      </w:r>
    </w:p>
    <w:p>
      <w:pPr>
        <w:pStyle w:val="Body A"/>
        <w:rPr>
          <w:i w:val="1"/>
          <w:iCs w:val="1"/>
          <w:sz w:val="28"/>
          <w:szCs w:val="28"/>
        </w:rPr>
      </w:pPr>
    </w:p>
    <w:p>
      <w:pPr>
        <w:pStyle w:val="Body A"/>
        <w:rPr>
          <w:sz w:val="28"/>
          <w:szCs w:val="28"/>
        </w:rPr>
      </w:pPr>
      <w:r>
        <w:rPr>
          <w:rFonts w:cs="Arial Unicode MS" w:eastAsia="Arial Unicode MS"/>
          <w:sz w:val="28"/>
          <w:szCs w:val="28"/>
          <w:rtl w:val="0"/>
          <w:lang w:val="en-US"/>
        </w:rPr>
        <w:t>That the opening words of GJohn are a direct reference to Genesis 1:1 is generally agreed upon</w:t>
      </w:r>
      <w:r>
        <w:rPr>
          <w:rFonts w:ascii="Baskerville" w:cs="Baskerville" w:hAnsi="Baskerville" w:eastAsia="Baskerville"/>
          <w:b w:val="0"/>
          <w:bCs w:val="0"/>
          <w:i w:val="0"/>
          <w:iCs w:val="0"/>
          <w:sz w:val="28"/>
          <w:szCs w:val="28"/>
          <w:vertAlign w:val="superscript"/>
        </w:rPr>
        <w:footnoteReference w:id="3"/>
      </w:r>
      <w:r>
        <w:rPr>
          <w:rFonts w:cs="Arial Unicode MS" w:eastAsia="Arial Unicode MS"/>
          <w:sz w:val="28"/>
          <w:szCs w:val="28"/>
          <w:rtl w:val="0"/>
          <w:lang w:val="en-US"/>
        </w:rPr>
        <w:t>. John</w:t>
      </w:r>
      <w:r>
        <w:rPr>
          <w:rFonts w:cs="Arial Unicode MS" w:eastAsia="Arial Unicode MS" w:hint="default"/>
          <w:sz w:val="28"/>
          <w:szCs w:val="28"/>
          <w:rtl w:val="0"/>
          <w:lang w:val="en-US"/>
        </w:rPr>
        <w:t>’</w:t>
      </w:r>
      <w:r>
        <w:rPr>
          <w:rFonts w:cs="Arial Unicode MS" w:eastAsia="Arial Unicode MS"/>
          <w:sz w:val="28"/>
          <w:szCs w:val="28"/>
          <w:rtl w:val="0"/>
          <w:lang w:val="en-US"/>
        </w:rPr>
        <w:t xml:space="preserve">s use of the Greek </w:t>
      </w:r>
      <w:r>
        <w:rPr>
          <w:rFonts w:cs="Arial Unicode MS" w:eastAsia="Arial Unicode MS" w:hint="default"/>
          <w:sz w:val="28"/>
          <w:szCs w:val="28"/>
          <w:rtl w:val="0"/>
        </w:rPr>
        <w:t>Ἐν ἀρχῇ</w:t>
      </w:r>
      <w:r>
        <w:rPr>
          <w:rFonts w:cs="Arial Unicode MS" w:eastAsia="Arial Unicode MS"/>
          <w:sz w:val="28"/>
          <w:szCs w:val="28"/>
          <w:rtl w:val="0"/>
          <w:lang w:val="en-US"/>
        </w:rPr>
        <w:t xml:space="preserve"> are the exact same words in the LXX of Gen 1:1</w:t>
      </w:r>
      <w:r>
        <w:rPr>
          <w:rFonts w:ascii="Baskerville" w:cs="Baskerville" w:hAnsi="Baskerville" w:eastAsia="Baskerville"/>
          <w:b w:val="0"/>
          <w:bCs w:val="0"/>
          <w:i w:val="0"/>
          <w:iCs w:val="0"/>
          <w:sz w:val="28"/>
          <w:szCs w:val="28"/>
          <w:vertAlign w:val="superscript"/>
        </w:rPr>
        <w:footnoteReference w:id="4"/>
      </w:r>
      <w:r>
        <w:rPr>
          <w:rFonts w:cs="Arial Unicode MS" w:eastAsia="Arial Unicode MS"/>
          <w:sz w:val="28"/>
          <w:szCs w:val="28"/>
          <w:rtl w:val="0"/>
          <w:lang w:val="en-US"/>
        </w:rPr>
        <w:t xml:space="preserve">. Siliezar notes that the phrase </w:t>
      </w:r>
      <w:r>
        <w:rPr>
          <w:rFonts w:cs="Arial Unicode MS" w:eastAsia="Arial Unicode MS" w:hint="default"/>
          <w:sz w:val="28"/>
          <w:szCs w:val="28"/>
          <w:rtl w:val="0"/>
        </w:rPr>
        <w:t>Ἐν ἀρχῇ ἦν ὁ λόγος</w:t>
      </w:r>
      <w:r>
        <w:rPr>
          <w:rFonts w:cs="Arial Unicode MS" w:eastAsia="Arial Unicode MS"/>
          <w:sz w:val="28"/>
          <w:szCs w:val="28"/>
          <w:rtl w:val="0"/>
          <w:lang w:val="en-US"/>
        </w:rPr>
        <w:t xml:space="preserve"> (Jn 1:1) is even similar linguistically to </w:t>
      </w:r>
      <w:r>
        <w:rPr>
          <w:rFonts w:cs="Arial Unicode MS" w:eastAsia="Arial Unicode MS" w:hint="default"/>
          <w:sz w:val="28"/>
          <w:szCs w:val="28"/>
          <w:rtl w:val="0"/>
        </w:rPr>
        <w:t>ἐν ἀρχῇ ἐποίησεν ὁ θεὸς</w:t>
      </w:r>
      <w:r>
        <w:rPr>
          <w:rFonts w:cs="Arial Unicode MS" w:eastAsia="Arial Unicode MS"/>
          <w:sz w:val="28"/>
          <w:szCs w:val="28"/>
          <w:rtl w:val="0"/>
          <w:lang w:val="en-US"/>
        </w:rPr>
        <w:t xml:space="preserve"> (Gen 1:1 LXX), thus it is highly probable that John is directly drawing upon the Genesis text. </w:t>
      </w:r>
      <w:r>
        <w:rPr>
          <w:rFonts w:ascii="Baskerville" w:cs="Baskerville" w:hAnsi="Baskerville" w:eastAsia="Baskerville"/>
          <w:b w:val="0"/>
          <w:bCs w:val="0"/>
          <w:i w:val="0"/>
          <w:iCs w:val="0"/>
          <w:sz w:val="28"/>
          <w:szCs w:val="28"/>
          <w:vertAlign w:val="superscript"/>
        </w:rPr>
        <w:footnoteReference w:id="5"/>
      </w:r>
      <w:r>
        <w:rPr>
          <w:rFonts w:cs="Arial Unicode MS" w:eastAsia="Arial Unicode MS"/>
          <w:sz w:val="28"/>
          <w:szCs w:val="28"/>
          <w:rtl w:val="0"/>
          <w:lang w:val="en-US"/>
        </w:rPr>
        <w:t xml:space="preserve"> Whilst</w:t>
      </w:r>
      <w:r>
        <w:rPr>
          <w:rFonts w:cs="Arial Unicode MS" w:eastAsia="Arial Unicode MS" w:hint="default"/>
          <w:sz w:val="28"/>
          <w:szCs w:val="28"/>
          <w:rtl w:val="0"/>
        </w:rPr>
        <w:t xml:space="preserve"> ἐν ἀρχῇ </w:t>
      </w:r>
      <w:r>
        <w:rPr>
          <w:rFonts w:cs="Arial Unicode MS" w:eastAsia="Arial Unicode MS"/>
          <w:sz w:val="28"/>
          <w:szCs w:val="28"/>
          <w:rtl w:val="0"/>
          <w:lang w:val="en-US"/>
        </w:rPr>
        <w:t>in itself is not unique throughout scripture,</w:t>
      </w:r>
      <w:r>
        <w:rPr>
          <w:rFonts w:ascii="Baskerville" w:cs="Baskerville" w:hAnsi="Baskerville" w:eastAsia="Baskerville"/>
          <w:b w:val="0"/>
          <w:bCs w:val="0"/>
          <w:i w:val="0"/>
          <w:iCs w:val="0"/>
          <w:sz w:val="28"/>
          <w:szCs w:val="28"/>
          <w:vertAlign w:val="superscript"/>
        </w:rPr>
        <w:footnoteReference w:id="6"/>
      </w:r>
      <w:r>
        <w:rPr>
          <w:rFonts w:cs="Arial Unicode MS" w:eastAsia="Arial Unicode MS"/>
          <w:sz w:val="28"/>
          <w:szCs w:val="28"/>
          <w:rtl w:val="0"/>
          <w:lang w:val="en-US"/>
        </w:rPr>
        <w:t xml:space="preserve"> the significance is emphasised by being situated at the beginning of the first line of the book. Culpepper suggests this is evidence that John regarded his work as scripture, a point supported by Wright</w:t>
      </w:r>
      <w:r>
        <w:rPr>
          <w:rFonts w:ascii="Baskerville" w:cs="Baskerville" w:hAnsi="Baskerville" w:eastAsia="Baskerville"/>
          <w:b w:val="0"/>
          <w:bCs w:val="0"/>
          <w:i w:val="0"/>
          <w:iCs w:val="0"/>
          <w:sz w:val="28"/>
          <w:szCs w:val="28"/>
          <w:vertAlign w:val="superscript"/>
        </w:rPr>
        <w:footnoteReference w:id="7"/>
      </w:r>
      <w:r>
        <w:rPr>
          <w:rFonts w:cs="Arial Unicode MS" w:eastAsia="Arial Unicode MS"/>
          <w:sz w:val="28"/>
          <w:szCs w:val="28"/>
          <w:rtl w:val="0"/>
          <w:lang w:val="en-US"/>
        </w:rPr>
        <w:t>.</w:t>
      </w:r>
    </w:p>
    <w:p>
      <w:pPr>
        <w:pStyle w:val="Body A"/>
        <w:rPr>
          <w:sz w:val="28"/>
          <w:szCs w:val="28"/>
        </w:rPr>
      </w:pPr>
      <w:r>
        <w:rPr>
          <w:rFonts w:cs="Arial Unicode MS" w:eastAsia="Arial Unicode MS"/>
          <w:sz w:val="28"/>
          <w:szCs w:val="28"/>
          <w:rtl w:val="0"/>
          <w:lang w:val="en-US"/>
        </w:rPr>
        <w:t xml:space="preserve">In the verses that follow  several themes from the creation narrative of Genesis 1 are repeated: light (Gen 1:3,4,5,14; </w:t>
      </w:r>
      <w:r>
        <w:rPr>
          <w:rFonts w:cs="Arial Unicode MS" w:eastAsia="Arial Unicode MS"/>
          <w:sz w:val="28"/>
          <w:szCs w:val="28"/>
          <w:rtl w:val="0"/>
        </w:rPr>
        <w:t>Jn 1:4,7,8,9</w:t>
      </w:r>
      <w:r>
        <w:rPr>
          <w:rFonts w:cs="Arial Unicode MS" w:eastAsia="Arial Unicode MS"/>
          <w:sz w:val="28"/>
          <w:szCs w:val="28"/>
          <w:rtl w:val="0"/>
          <w:lang w:val="en-US"/>
        </w:rPr>
        <w:t xml:space="preserve">), darkness (Gen 1:2,4,5; Jn 1:5), life (Gen 1:20,21,24; Jn 1:4) with the culmination of those who accept Jesus becoming children of God (Jn 1:12-13) seen as an echo of the creation of human beings (Gen 1:27). </w:t>
      </w:r>
      <w:r>
        <w:rPr>
          <w:rFonts w:ascii="Baskerville" w:cs="Baskerville" w:hAnsi="Baskerville" w:eastAsia="Baskerville"/>
          <w:b w:val="0"/>
          <w:bCs w:val="0"/>
          <w:i w:val="0"/>
          <w:iCs w:val="0"/>
          <w:sz w:val="28"/>
          <w:szCs w:val="28"/>
          <w:vertAlign w:val="superscript"/>
        </w:rPr>
        <w:footnoteReference w:id="8"/>
      </w:r>
    </w:p>
    <w:p>
      <w:pPr>
        <w:pStyle w:val="Body A"/>
        <w:rPr>
          <w:sz w:val="28"/>
          <w:szCs w:val="28"/>
        </w:rPr>
      </w:pPr>
      <w:r>
        <w:rPr>
          <w:rFonts w:cs="Arial Unicode MS" w:eastAsia="Arial Unicode MS"/>
          <w:sz w:val="28"/>
          <w:szCs w:val="28"/>
          <w:rtl w:val="0"/>
          <w:lang w:val="en-US"/>
        </w:rPr>
        <w:t xml:space="preserve">The use of </w:t>
      </w:r>
      <w:r>
        <w:rPr>
          <w:rFonts w:cs="Arial Unicode MS" w:eastAsia="Arial Unicode MS" w:hint="default"/>
          <w:sz w:val="28"/>
          <w:szCs w:val="28"/>
          <w:rtl w:val="0"/>
        </w:rPr>
        <w:t>ὁ λόγος</w:t>
      </w:r>
      <w:r>
        <w:rPr>
          <w:rFonts w:cs="Arial Unicode MS" w:eastAsia="Arial Unicode MS"/>
          <w:i w:val="1"/>
          <w:iCs w:val="1"/>
          <w:sz w:val="28"/>
          <w:szCs w:val="28"/>
          <w:rtl w:val="0"/>
          <w:lang w:val="en-US"/>
        </w:rPr>
        <w:t xml:space="preserve"> </w:t>
      </w:r>
      <w:r>
        <w:rPr>
          <w:rFonts w:cs="Arial Unicode MS" w:eastAsia="Arial Unicode MS"/>
          <w:sz w:val="28"/>
          <w:szCs w:val="28"/>
          <w:rtl w:val="0"/>
          <w:lang w:val="en-US"/>
        </w:rPr>
        <w:t>in John</w:t>
      </w:r>
      <w:r>
        <w:rPr>
          <w:rFonts w:cs="Arial Unicode MS" w:eastAsia="Arial Unicode MS" w:hint="default"/>
          <w:sz w:val="28"/>
          <w:szCs w:val="28"/>
          <w:rtl w:val="0"/>
          <w:lang w:val="en-US"/>
        </w:rPr>
        <w:t>’</w:t>
      </w:r>
      <w:r>
        <w:rPr>
          <w:rFonts w:cs="Arial Unicode MS" w:eastAsia="Arial Unicode MS"/>
          <w:sz w:val="28"/>
          <w:szCs w:val="28"/>
          <w:rtl w:val="0"/>
          <w:lang w:val="en-US"/>
        </w:rPr>
        <w:t>s prologue has been much discussed. Some scholars link this to the creative agent in Gen 1 being God</w:t>
      </w:r>
      <w:r>
        <w:rPr>
          <w:rFonts w:cs="Arial Unicode MS" w:eastAsia="Arial Unicode MS" w:hint="default"/>
          <w:sz w:val="28"/>
          <w:szCs w:val="28"/>
          <w:rtl w:val="0"/>
          <w:lang w:val="en-US"/>
        </w:rPr>
        <w:t>’</w:t>
      </w:r>
      <w:r>
        <w:rPr>
          <w:rFonts w:cs="Arial Unicode MS" w:eastAsia="Arial Unicode MS"/>
          <w:sz w:val="28"/>
          <w:szCs w:val="28"/>
          <w:rtl w:val="0"/>
          <w:lang w:val="en-US"/>
        </w:rPr>
        <w:t>s word,</w:t>
      </w:r>
      <w:r>
        <w:rPr>
          <w:rFonts w:ascii="Baskerville" w:cs="Baskerville" w:hAnsi="Baskerville" w:eastAsia="Baskerville"/>
          <w:b w:val="0"/>
          <w:bCs w:val="0"/>
          <w:i w:val="0"/>
          <w:iCs w:val="0"/>
          <w:sz w:val="28"/>
          <w:szCs w:val="28"/>
          <w:vertAlign w:val="superscript"/>
        </w:rPr>
        <w:footnoteReference w:id="9"/>
      </w:r>
      <w:r>
        <w:rPr>
          <w:rFonts w:cs="Arial Unicode MS" w:eastAsia="Arial Unicode MS"/>
          <w:sz w:val="28"/>
          <w:szCs w:val="28"/>
          <w:rtl w:val="0"/>
          <w:lang w:val="en-US"/>
        </w:rPr>
        <w:t xml:space="preserve"> whilst others see John as drawing upon Jewish Wisdom tradition. Wisdom in various texts (e.g Prov 8:22-31) is personified as the pre-existent agent through whom creation comes into being,. However John modifies this view and applies the notion of Wisdom to </w:t>
      </w:r>
      <w:r>
        <w:rPr>
          <w:rFonts w:cs="Arial Unicode MS" w:eastAsia="Arial Unicode MS" w:hint="default"/>
          <w:sz w:val="28"/>
          <w:szCs w:val="28"/>
          <w:rtl w:val="0"/>
        </w:rPr>
        <w:t>ὁ λόγος</w:t>
      </w:r>
      <w:r>
        <w:rPr>
          <w:rFonts w:cs="Arial Unicode MS" w:eastAsia="Arial Unicode MS"/>
          <w:sz w:val="28"/>
          <w:szCs w:val="28"/>
          <w:rtl w:val="0"/>
          <w:lang w:val="en-US"/>
        </w:rPr>
        <w:t xml:space="preserve">. Rather than some abstract concept of Greek thought (as can be found in the writings of Philo) it is the human Jesus whom John envisions as the true pre-existent </w:t>
      </w:r>
      <w:r>
        <w:rPr>
          <w:rFonts w:cs="Arial Unicode MS" w:eastAsia="Arial Unicode MS" w:hint="default"/>
          <w:sz w:val="28"/>
          <w:szCs w:val="28"/>
          <w:rtl w:val="0"/>
        </w:rPr>
        <w:t>λόγος</w:t>
      </w:r>
      <w:r>
        <w:rPr>
          <w:rFonts w:cs="Arial Unicode MS" w:eastAsia="Arial Unicode MS"/>
          <w:sz w:val="28"/>
          <w:szCs w:val="28"/>
          <w:rtl w:val="0"/>
          <w:lang w:val="en-US"/>
        </w:rPr>
        <w:t>.</w:t>
      </w:r>
      <w:r>
        <w:rPr>
          <w:rFonts w:ascii="Baskerville" w:cs="Baskerville" w:hAnsi="Baskerville" w:eastAsia="Baskerville"/>
          <w:b w:val="0"/>
          <w:bCs w:val="0"/>
          <w:i w:val="0"/>
          <w:iCs w:val="0"/>
          <w:sz w:val="28"/>
          <w:szCs w:val="28"/>
          <w:vertAlign w:val="superscript"/>
        </w:rPr>
        <w:footnoteReference w:id="10"/>
      </w:r>
    </w:p>
    <w:p>
      <w:pPr>
        <w:pStyle w:val="Body A"/>
        <w:rPr>
          <w:sz w:val="28"/>
          <w:szCs w:val="28"/>
        </w:rPr>
      </w:pPr>
      <w:r>
        <w:rPr>
          <w:rFonts w:cs="Arial Unicode MS" w:eastAsia="Arial Unicode MS"/>
          <w:sz w:val="28"/>
          <w:szCs w:val="28"/>
          <w:rtl w:val="0"/>
          <w:lang w:val="en-US"/>
        </w:rPr>
        <w:t xml:space="preserve"> Coloe, in a recent essay, suggests that even the literary structure of the prologue finds a corresponding structure in Genesis 1, with a 3 stage frame in GJohn corresponding to 3 stages of creation in Genesis 1. Whilst novel I am not persuaded this is an intentional work by John. Her suggested 3 stages in the prologue seem a rather unnatural flow to the text, and the link with each stage in Genesis is not obviously apparent. I concur rather with Menken that, for John, Genesis </w:t>
      </w:r>
      <w:r>
        <w:rPr>
          <w:rFonts w:cs="Arial Unicode MS" w:eastAsia="Arial Unicode MS" w:hint="default"/>
          <w:sz w:val="28"/>
          <w:szCs w:val="28"/>
          <w:rtl w:val="0"/>
          <w:lang w:val="en-US"/>
        </w:rPr>
        <w:t>“</w:t>
      </w:r>
      <w:r>
        <w:rPr>
          <w:rFonts w:cs="Arial Unicode MS" w:eastAsia="Arial Unicode MS"/>
          <w:sz w:val="28"/>
          <w:szCs w:val="28"/>
          <w:rtl w:val="0"/>
          <w:lang w:val="en-US"/>
        </w:rPr>
        <w:t>functions more as a narrative than as a text</w:t>
      </w:r>
      <w:r>
        <w:rPr>
          <w:rFonts w:cs="Arial Unicode MS" w:eastAsia="Arial Unicode MS" w:hint="default"/>
          <w:sz w:val="28"/>
          <w:szCs w:val="28"/>
          <w:rtl w:val="0"/>
          <w:lang w:val="en-US"/>
        </w:rPr>
        <w:t>”</w:t>
      </w:r>
      <w:r>
        <w:rPr>
          <w:rFonts w:ascii="Baskerville" w:cs="Baskerville" w:hAnsi="Baskerville" w:eastAsia="Baskerville"/>
          <w:b w:val="0"/>
          <w:bCs w:val="0"/>
          <w:i w:val="0"/>
          <w:iCs w:val="0"/>
          <w:sz w:val="28"/>
          <w:szCs w:val="28"/>
          <w:vertAlign w:val="superscript"/>
        </w:rPr>
        <w:footnoteReference w:id="11"/>
      </w:r>
      <w:r>
        <w:rPr>
          <w:rFonts w:cs="Arial Unicode MS" w:eastAsia="Arial Unicode MS"/>
          <w:sz w:val="28"/>
          <w:szCs w:val="28"/>
          <w:rtl w:val="0"/>
          <w:lang w:val="en-US"/>
        </w:rPr>
        <w:t>, thus it is the content rather than the structure of the text that John is utilising.</w:t>
      </w:r>
      <w:r>
        <w:rPr>
          <w:rFonts w:ascii="Baskerville" w:cs="Baskerville" w:hAnsi="Baskerville" w:eastAsia="Baskerville"/>
          <w:b w:val="0"/>
          <w:bCs w:val="0"/>
          <w:i w:val="0"/>
          <w:iCs w:val="0"/>
          <w:sz w:val="28"/>
          <w:szCs w:val="28"/>
          <w:vertAlign w:val="superscript"/>
        </w:rPr>
        <w:footnoteReference w:id="12"/>
      </w:r>
    </w:p>
    <w:p>
      <w:pPr>
        <w:pStyle w:val="Body A"/>
        <w:rPr>
          <w:sz w:val="28"/>
          <w:szCs w:val="28"/>
        </w:rPr>
      </w:pPr>
      <w:r>
        <w:rPr>
          <w:rFonts w:cs="Arial Unicode MS" w:eastAsia="Arial Unicode MS"/>
          <w:sz w:val="28"/>
          <w:szCs w:val="28"/>
          <w:rtl w:val="0"/>
          <w:lang w:val="en-US"/>
        </w:rPr>
        <w:t xml:space="preserve">Whilst there is general agreement that John draws upon Genesis 1 in his prologue, various options have been put froward as to the purpose of doing so.   </w:t>
      </w:r>
      <w:r>
        <w:rPr>
          <w:rFonts w:cs="Arial Unicode MS" w:eastAsia="Arial Unicode MS"/>
          <w:sz w:val="28"/>
          <w:szCs w:val="28"/>
          <w:rtl w:val="0"/>
        </w:rPr>
        <w:t>Siliezar</w:t>
      </w:r>
      <w:r>
        <w:rPr>
          <w:rFonts w:cs="Arial Unicode MS" w:eastAsia="Arial Unicode MS"/>
          <w:sz w:val="28"/>
          <w:szCs w:val="28"/>
          <w:rtl w:val="0"/>
          <w:lang w:val="en-US"/>
        </w:rPr>
        <w:t xml:space="preserve"> sees John as portraying Jesus as having primal and universal significance.</w:t>
      </w:r>
      <w:r>
        <w:rPr>
          <w:rFonts w:ascii="Baskerville" w:cs="Baskerville" w:hAnsi="Baskerville" w:eastAsia="Baskerville"/>
          <w:b w:val="0"/>
          <w:bCs w:val="0"/>
          <w:i w:val="0"/>
          <w:iCs w:val="0"/>
          <w:sz w:val="28"/>
          <w:szCs w:val="28"/>
          <w:vertAlign w:val="superscript"/>
        </w:rPr>
        <w:footnoteReference w:id="13"/>
      </w:r>
      <w:r>
        <w:rPr>
          <w:rFonts w:cs="Arial Unicode MS" w:eastAsia="Arial Unicode MS"/>
          <w:sz w:val="28"/>
          <w:szCs w:val="28"/>
          <w:rtl w:val="0"/>
          <w:lang w:val="en-US"/>
        </w:rPr>
        <w:t xml:space="preserve"> Hays, in his monograph </w:t>
      </w:r>
      <w:r>
        <w:rPr>
          <w:rFonts w:cs="Arial Unicode MS" w:eastAsia="Arial Unicode MS"/>
          <w:i w:val="1"/>
          <w:iCs w:val="1"/>
          <w:sz w:val="28"/>
          <w:szCs w:val="28"/>
          <w:rtl w:val="0"/>
          <w:lang w:val="en-US"/>
        </w:rPr>
        <w:t>Echoes of Scripture in the Gospels</w:t>
      </w:r>
      <w:r>
        <w:rPr>
          <w:rFonts w:cs="Arial Unicode MS" w:eastAsia="Arial Unicode MS"/>
          <w:sz w:val="28"/>
          <w:szCs w:val="28"/>
          <w:rtl w:val="0"/>
          <w:lang w:val="en-US"/>
        </w:rPr>
        <w:t>, sees John</w:t>
      </w:r>
      <w:r>
        <w:rPr>
          <w:rFonts w:cs="Arial Unicode MS" w:eastAsia="Arial Unicode MS" w:hint="default"/>
          <w:sz w:val="28"/>
          <w:szCs w:val="28"/>
          <w:rtl w:val="0"/>
          <w:lang w:val="en-US"/>
        </w:rPr>
        <w:t>’</w:t>
      </w:r>
      <w:r>
        <w:rPr>
          <w:rFonts w:cs="Arial Unicode MS" w:eastAsia="Arial Unicode MS"/>
          <w:sz w:val="28"/>
          <w:szCs w:val="28"/>
          <w:rtl w:val="0"/>
          <w:lang w:val="en-US"/>
        </w:rPr>
        <w:t>s prologue as essentially a midrash on Genesis 1, drawing upon the theme of Wisdom found in 1 Enoch. Whereas there the personified Wisdom searches for a home but does not find one and so returns to Heaven, in GJohn the divine</w:t>
      </w:r>
      <w:r>
        <w:rPr>
          <w:rFonts w:cs="Arial Unicode MS" w:eastAsia="Arial Unicode MS" w:hint="default"/>
          <w:sz w:val="28"/>
          <w:szCs w:val="28"/>
          <w:rtl w:val="0"/>
        </w:rPr>
        <w:t xml:space="preserve"> λόγος </w:t>
      </w:r>
      <w:r>
        <w:rPr>
          <w:rFonts w:cs="Arial Unicode MS" w:eastAsia="Arial Unicode MS"/>
          <w:sz w:val="28"/>
          <w:szCs w:val="28"/>
          <w:rtl w:val="0"/>
          <w:lang w:val="en-US"/>
        </w:rPr>
        <w:t>does not remain in Heaven but becomes flesh.</w:t>
      </w:r>
      <w:r>
        <w:rPr>
          <w:rFonts w:ascii="Baskerville" w:cs="Baskerville" w:hAnsi="Baskerville" w:eastAsia="Baskerville"/>
          <w:b w:val="0"/>
          <w:bCs w:val="0"/>
          <w:i w:val="0"/>
          <w:iCs w:val="0"/>
          <w:sz w:val="28"/>
          <w:szCs w:val="28"/>
          <w:vertAlign w:val="superscript"/>
        </w:rPr>
        <w:footnoteReference w:id="14"/>
      </w:r>
      <w:r>
        <w:rPr>
          <w:rFonts w:cs="Arial Unicode MS" w:eastAsia="Arial Unicode MS"/>
          <w:sz w:val="28"/>
          <w:szCs w:val="28"/>
          <w:rtl w:val="0"/>
          <w:lang w:val="en-US"/>
        </w:rPr>
        <w:t xml:space="preserve"> Either way, by telling the story of Jesus as the story beginning before creation, John is setting out a Christology unique amongst the gospels. </w:t>
      </w:r>
    </w:p>
    <w:p>
      <w:pPr>
        <w:pStyle w:val="Body A"/>
        <w:rPr>
          <w:sz w:val="28"/>
          <w:szCs w:val="28"/>
        </w:rPr>
      </w:pPr>
      <w:r>
        <w:rPr>
          <w:rFonts w:cs="Arial Unicode MS" w:eastAsia="Arial Unicode MS"/>
          <w:sz w:val="28"/>
          <w:szCs w:val="28"/>
          <w:rtl w:val="0"/>
          <w:lang w:val="en-US"/>
        </w:rPr>
        <w:t xml:space="preserve">   </w:t>
      </w:r>
    </w:p>
    <w:p>
      <w:pPr>
        <w:pStyle w:val="Body A"/>
        <w:rPr>
          <w:i w:val="1"/>
          <w:iCs w:val="1"/>
          <w:sz w:val="28"/>
          <w:szCs w:val="28"/>
        </w:rPr>
      </w:pPr>
      <w:r>
        <w:rPr>
          <w:rFonts w:cs="Arial Unicode MS" w:eastAsia="Arial Unicode MS"/>
          <w:i w:val="1"/>
          <w:iCs w:val="1"/>
          <w:sz w:val="28"/>
          <w:szCs w:val="28"/>
          <w:rtl w:val="0"/>
          <w:lang w:val="en-US"/>
        </w:rPr>
        <w:t>John 20</w:t>
      </w:r>
    </w:p>
    <w:p>
      <w:pPr>
        <w:pStyle w:val="Body A"/>
        <w:rPr>
          <w:sz w:val="28"/>
          <w:szCs w:val="28"/>
        </w:rPr>
      </w:pPr>
    </w:p>
    <w:p>
      <w:pPr>
        <w:pStyle w:val="Body A"/>
        <w:rPr>
          <w:sz w:val="28"/>
          <w:szCs w:val="28"/>
        </w:rPr>
      </w:pPr>
      <w:r>
        <w:rPr>
          <w:rFonts w:cs="Arial Unicode MS" w:eastAsia="Arial Unicode MS"/>
          <w:sz w:val="28"/>
          <w:szCs w:val="28"/>
          <w:rtl w:val="0"/>
          <w:lang w:val="en-US"/>
        </w:rPr>
        <w:t xml:space="preserve">As with Jn 1:1 there is general agreement amongst scholars regarding another allusion in GJohn to the Genesis creation account: Jn 20:22, where the risen Jesus breathes on his disciples. The verb </w:t>
      </w:r>
      <w:r>
        <w:rPr>
          <w:rFonts w:cs="Arial Unicode MS" w:eastAsia="Arial Unicode MS" w:hint="default"/>
          <w:sz w:val="28"/>
          <w:szCs w:val="28"/>
          <w:rtl w:val="0"/>
        </w:rPr>
        <w:t>ἐνεφύσησεν</w:t>
      </w:r>
      <w:r>
        <w:rPr>
          <w:rFonts w:cs="Arial Unicode MS" w:eastAsia="Arial Unicode MS"/>
          <w:sz w:val="28"/>
          <w:szCs w:val="28"/>
          <w:rtl w:val="0"/>
          <w:lang w:val="en-US"/>
        </w:rPr>
        <w:t xml:space="preserve"> (</w:t>
      </w:r>
      <w:r>
        <w:rPr>
          <w:rFonts w:cs="Arial Unicode MS" w:eastAsia="Arial Unicode MS" w:hint="default"/>
          <w:sz w:val="28"/>
          <w:szCs w:val="28"/>
          <w:rtl w:val="0"/>
          <w:lang w:val="en-US"/>
        </w:rPr>
        <w:t>“</w:t>
      </w:r>
      <w:r>
        <w:rPr>
          <w:rFonts w:cs="Arial Unicode MS" w:eastAsia="Arial Unicode MS"/>
          <w:sz w:val="28"/>
          <w:szCs w:val="28"/>
          <w:rtl w:val="0"/>
          <w:lang w:val="en-US"/>
        </w:rPr>
        <w:t>he breathed</w:t>
      </w:r>
      <w:r>
        <w:rPr>
          <w:rFonts w:cs="Arial Unicode MS" w:eastAsia="Arial Unicode MS" w:hint="default"/>
          <w:sz w:val="28"/>
          <w:szCs w:val="28"/>
          <w:rtl w:val="0"/>
          <w:lang w:val="en-US"/>
        </w:rPr>
        <w:t>”</w:t>
      </w:r>
      <w:r>
        <w:rPr>
          <w:rFonts w:cs="Arial Unicode MS" w:eastAsia="Arial Unicode MS"/>
          <w:sz w:val="28"/>
          <w:szCs w:val="28"/>
          <w:rtl w:val="0"/>
          <w:lang w:val="en-US"/>
        </w:rPr>
        <w:t>) is widely held to be a link to Gen 2:7 LXX, where God breaths into Adam to make him a living being, though the theological implications differ among interpreters.</w:t>
      </w:r>
    </w:p>
    <w:p>
      <w:pPr>
        <w:pStyle w:val="Body A"/>
        <w:rPr>
          <w:sz w:val="28"/>
          <w:szCs w:val="28"/>
        </w:rPr>
      </w:pPr>
    </w:p>
    <w:p>
      <w:pPr>
        <w:pStyle w:val="Body A"/>
        <w:rPr>
          <w:sz w:val="28"/>
          <w:szCs w:val="28"/>
        </w:rPr>
      </w:pPr>
      <w:r>
        <w:rPr>
          <w:rFonts w:cs="Arial Unicode MS" w:eastAsia="Arial Unicode MS"/>
          <w:sz w:val="28"/>
          <w:szCs w:val="28"/>
          <w:rtl w:val="0"/>
          <w:lang w:val="es-ES_tradnl"/>
        </w:rPr>
        <w:t xml:space="preserve">Siliezar </w:t>
      </w:r>
      <w:r>
        <w:rPr>
          <w:rFonts w:cs="Arial Unicode MS" w:eastAsia="Arial Unicode MS"/>
          <w:sz w:val="28"/>
          <w:szCs w:val="28"/>
          <w:rtl w:val="0"/>
          <w:lang w:val="en-US"/>
        </w:rPr>
        <w:t>notes that this verb is peculiar to John (indeed found nowhere else in the NT) and that both ancient and modern interpreter</w:t>
      </w:r>
      <w:r>
        <w:rPr>
          <w:rFonts w:cs="Arial Unicode MS" w:eastAsia="Arial Unicode MS" w:hint="default"/>
          <w:sz w:val="28"/>
          <w:szCs w:val="28"/>
          <w:rtl w:val="0"/>
          <w:lang w:val="en-US"/>
        </w:rPr>
        <w:t>’</w:t>
      </w:r>
      <w:r>
        <w:rPr>
          <w:rFonts w:cs="Arial Unicode MS" w:eastAsia="Arial Unicode MS"/>
          <w:sz w:val="28"/>
          <w:szCs w:val="28"/>
          <w:rtl w:val="0"/>
          <w:lang w:val="en-US"/>
        </w:rPr>
        <w:t>s have taken this to be a direct reference to Gen 2:7.</w:t>
      </w:r>
      <w:r>
        <w:rPr>
          <w:rFonts w:ascii="Baskerville" w:cs="Baskerville" w:hAnsi="Baskerville" w:eastAsia="Baskerville"/>
          <w:b w:val="0"/>
          <w:bCs w:val="0"/>
          <w:i w:val="0"/>
          <w:iCs w:val="0"/>
          <w:sz w:val="28"/>
          <w:szCs w:val="28"/>
          <w:vertAlign w:val="superscript"/>
        </w:rPr>
        <w:footnoteReference w:id="15"/>
      </w:r>
      <w:r>
        <w:rPr>
          <w:rFonts w:cs="Arial Unicode MS" w:eastAsia="Arial Unicode MS"/>
          <w:sz w:val="28"/>
          <w:szCs w:val="28"/>
          <w:rtl w:val="0"/>
          <w:lang w:val="en-US"/>
        </w:rPr>
        <w:t xml:space="preserve"> Following a thorough survey of the Second Temple literature and OT he concludes the event is essentially Christological. As the one who breathes the spirit of life Jesus is performing an act of the creator God. </w:t>
      </w:r>
      <w:r>
        <w:rPr>
          <w:rFonts w:ascii="Baskerville" w:cs="Baskerville" w:hAnsi="Baskerville" w:eastAsia="Baskerville"/>
          <w:b w:val="0"/>
          <w:bCs w:val="0"/>
          <w:i w:val="0"/>
          <w:iCs w:val="0"/>
          <w:sz w:val="28"/>
          <w:szCs w:val="28"/>
          <w:vertAlign w:val="superscript"/>
        </w:rPr>
        <w:footnoteReference w:id="16"/>
      </w:r>
    </w:p>
    <w:p>
      <w:pPr>
        <w:pStyle w:val="Body A"/>
        <w:rPr>
          <w:sz w:val="28"/>
          <w:szCs w:val="28"/>
        </w:rPr>
      </w:pPr>
      <w:r>
        <w:rPr>
          <w:rFonts w:cs="Arial Unicode MS" w:eastAsia="Arial Unicode MS"/>
          <w:sz w:val="28"/>
          <w:szCs w:val="28"/>
          <w:rtl w:val="0"/>
          <w:lang w:val="en-US"/>
        </w:rPr>
        <w:t xml:space="preserve">Similarly Menken, quoting Wis 15:11 where God is called </w:t>
      </w:r>
      <w:r>
        <w:rPr>
          <w:rFonts w:cs="Arial Unicode MS" w:eastAsia="Arial Unicode MS" w:hint="default"/>
          <w:sz w:val="28"/>
          <w:szCs w:val="28"/>
          <w:rtl w:val="0"/>
          <w:lang w:val="en-US"/>
        </w:rPr>
        <w:t>“</w:t>
      </w:r>
      <w:r>
        <w:rPr>
          <w:rFonts w:cs="Arial Unicode MS" w:eastAsia="Arial Unicode MS"/>
          <w:sz w:val="28"/>
          <w:szCs w:val="28"/>
          <w:rtl w:val="0"/>
          <w:lang w:val="en-US"/>
        </w:rPr>
        <w:t>He who breathed a life giving spirit</w:t>
      </w:r>
      <w:r>
        <w:rPr>
          <w:rFonts w:cs="Arial Unicode MS" w:eastAsia="Arial Unicode MS" w:hint="default"/>
          <w:sz w:val="28"/>
          <w:szCs w:val="28"/>
          <w:rtl w:val="0"/>
          <w:lang w:val="en-US"/>
        </w:rPr>
        <w:t xml:space="preserve">” </w:t>
      </w:r>
      <w:r>
        <w:rPr>
          <w:rFonts w:cs="Arial Unicode MS" w:eastAsia="Arial Unicode MS"/>
          <w:sz w:val="28"/>
          <w:szCs w:val="28"/>
          <w:rtl w:val="0"/>
          <w:lang w:val="en-US"/>
        </w:rPr>
        <w:t>sees the giving of the breath/spirit as an act of new creation by the divine Jesus</w:t>
      </w:r>
      <w:r>
        <w:rPr>
          <w:rFonts w:ascii="Baskerville" w:cs="Baskerville" w:hAnsi="Baskerville" w:eastAsia="Baskerville"/>
          <w:b w:val="0"/>
          <w:bCs w:val="0"/>
          <w:i w:val="0"/>
          <w:iCs w:val="0"/>
          <w:sz w:val="28"/>
          <w:szCs w:val="28"/>
          <w:vertAlign w:val="superscript"/>
        </w:rPr>
        <w:footnoteReference w:id="17"/>
      </w:r>
      <w:r>
        <w:rPr>
          <w:rFonts w:cs="Arial Unicode MS" w:eastAsia="Arial Unicode MS"/>
          <w:sz w:val="28"/>
          <w:szCs w:val="28"/>
          <w:rtl w:val="0"/>
          <w:lang w:val="en-US"/>
        </w:rPr>
        <w:t xml:space="preserve"> whilst </w:t>
      </w:r>
      <w:r>
        <w:rPr>
          <w:rFonts w:cs="Arial Unicode MS" w:eastAsia="Arial Unicode MS"/>
          <w:sz w:val="28"/>
          <w:szCs w:val="28"/>
          <w:rtl w:val="0"/>
        </w:rPr>
        <w:t>K</w:t>
      </w:r>
      <w:r>
        <w:rPr>
          <w:rFonts w:cs="Arial Unicode MS" w:eastAsia="Arial Unicode MS" w:hint="default"/>
          <w:sz w:val="28"/>
          <w:szCs w:val="28"/>
          <w:rtl w:val="0"/>
          <w:lang w:val="sv-SE"/>
        </w:rPr>
        <w:t>ö</w:t>
      </w:r>
      <w:r>
        <w:rPr>
          <w:rFonts w:cs="Arial Unicode MS" w:eastAsia="Arial Unicode MS"/>
          <w:sz w:val="28"/>
          <w:szCs w:val="28"/>
          <w:rtl w:val="0"/>
          <w:lang w:val="de-DE"/>
        </w:rPr>
        <w:t>stenberger</w:t>
      </w:r>
      <w:r>
        <w:rPr>
          <w:rFonts w:cs="Arial Unicode MS" w:eastAsia="Arial Unicode MS"/>
          <w:sz w:val="28"/>
          <w:szCs w:val="28"/>
          <w:rtl w:val="0"/>
          <w:lang w:val="en-US"/>
        </w:rPr>
        <w:t xml:space="preserve"> takes the story to be a symbolic foreshadowing of the outpouring of the Spirit at Pentecost</w:t>
      </w:r>
      <w:r>
        <w:rPr>
          <w:rFonts w:ascii="Baskerville" w:cs="Baskerville" w:hAnsi="Baskerville" w:eastAsia="Baskerville"/>
          <w:b w:val="0"/>
          <w:bCs w:val="0"/>
          <w:i w:val="0"/>
          <w:iCs w:val="0"/>
          <w:sz w:val="28"/>
          <w:szCs w:val="28"/>
          <w:vertAlign w:val="superscript"/>
        </w:rPr>
        <w:footnoteReference w:id="18"/>
      </w:r>
    </w:p>
    <w:p>
      <w:pPr>
        <w:pStyle w:val="Body A"/>
        <w:rPr>
          <w:sz w:val="28"/>
          <w:szCs w:val="28"/>
        </w:rPr>
      </w:pPr>
    </w:p>
    <w:p>
      <w:pPr>
        <w:pStyle w:val="Body A"/>
        <w:rPr>
          <w:sz w:val="28"/>
          <w:szCs w:val="28"/>
        </w:rPr>
      </w:pPr>
      <w:r>
        <w:rPr>
          <w:rFonts w:cs="Arial Unicode MS" w:eastAsia="Arial Unicode MS"/>
          <w:sz w:val="28"/>
          <w:szCs w:val="28"/>
          <w:rtl w:val="0"/>
          <w:lang w:val="en-US"/>
        </w:rPr>
        <w:t>A point of debate in the literature, however, is the portrayal of the first appearance of the risen Jesus in chapter 20, and John</w:t>
      </w:r>
      <w:r>
        <w:rPr>
          <w:rFonts w:cs="Arial Unicode MS" w:eastAsia="Arial Unicode MS" w:hint="default"/>
          <w:sz w:val="28"/>
          <w:szCs w:val="28"/>
          <w:rtl w:val="0"/>
          <w:lang w:val="en-US"/>
        </w:rPr>
        <w:t>’</w:t>
      </w:r>
      <w:r>
        <w:rPr>
          <w:rFonts w:cs="Arial Unicode MS" w:eastAsia="Arial Unicode MS"/>
          <w:sz w:val="28"/>
          <w:szCs w:val="28"/>
          <w:rtl w:val="0"/>
          <w:lang w:val="en-US"/>
        </w:rPr>
        <w:t xml:space="preserve">s setting of the event </w:t>
      </w:r>
      <w:r>
        <w:rPr>
          <w:rFonts w:cs="Arial Unicode MS" w:eastAsia="Arial Unicode MS" w:hint="default"/>
          <w:sz w:val="28"/>
          <w:szCs w:val="28"/>
          <w:rtl w:val="0"/>
          <w:lang w:val="en-US"/>
        </w:rPr>
        <w:t>“</w:t>
      </w:r>
      <w:r>
        <w:rPr>
          <w:rFonts w:cs="Arial Unicode MS" w:eastAsia="Arial Unicode MS"/>
          <w:sz w:val="28"/>
          <w:szCs w:val="28"/>
          <w:rtl w:val="0"/>
          <w:lang w:val="en-US"/>
        </w:rPr>
        <w:t>in a garden</w:t>
      </w:r>
      <w:r>
        <w:rPr>
          <w:rFonts w:cs="Arial Unicode MS" w:eastAsia="Arial Unicode MS" w:hint="default"/>
          <w:sz w:val="28"/>
          <w:szCs w:val="28"/>
          <w:rtl w:val="0"/>
          <w:lang w:val="en-US"/>
        </w:rPr>
        <w:t xml:space="preserve">” </w:t>
      </w:r>
      <w:r>
        <w:rPr>
          <w:rFonts w:cs="Arial Unicode MS" w:eastAsia="Arial Unicode MS"/>
          <w:sz w:val="28"/>
          <w:szCs w:val="28"/>
          <w:rtl w:val="0"/>
          <w:lang w:val="en-US"/>
        </w:rPr>
        <w:t>(20:41). Brown and Coloe, among others, see this as a reference once more to Genesis 2 and the garden of Eden.</w:t>
      </w:r>
      <w:r>
        <w:rPr>
          <w:rFonts w:ascii="Baskerville" w:cs="Baskerville" w:hAnsi="Baskerville" w:eastAsia="Baskerville"/>
          <w:b w:val="0"/>
          <w:bCs w:val="0"/>
          <w:i w:val="0"/>
          <w:iCs w:val="0"/>
          <w:sz w:val="28"/>
          <w:szCs w:val="28"/>
          <w:vertAlign w:val="superscript"/>
        </w:rPr>
        <w:footnoteReference w:id="19"/>
      </w:r>
      <w:r>
        <w:rPr>
          <w:rFonts w:cs="Arial Unicode MS" w:eastAsia="Arial Unicode MS"/>
          <w:sz w:val="28"/>
          <w:szCs w:val="28"/>
          <w:rtl w:val="0"/>
          <w:lang w:val="en-US"/>
        </w:rPr>
        <w:t xml:space="preserve"> However this leads to different conclusions: Brown sees Jesus in the garden as a new Adam</w:t>
      </w:r>
      <w:r>
        <w:rPr>
          <w:rFonts w:ascii="Baskerville" w:cs="Baskerville" w:hAnsi="Baskerville" w:eastAsia="Baskerville"/>
          <w:b w:val="0"/>
          <w:bCs w:val="0"/>
          <w:i w:val="0"/>
          <w:iCs w:val="0"/>
          <w:sz w:val="28"/>
          <w:szCs w:val="28"/>
          <w:vertAlign w:val="superscript"/>
        </w:rPr>
        <w:footnoteReference w:id="20"/>
      </w:r>
      <w:r>
        <w:rPr>
          <w:rFonts w:cs="Arial Unicode MS" w:eastAsia="Arial Unicode MS"/>
          <w:sz w:val="28"/>
          <w:szCs w:val="28"/>
          <w:rtl w:val="0"/>
          <w:lang w:val="en-US"/>
        </w:rPr>
        <w:t xml:space="preserve"> whereas Coloe, focusing on Mary </w:t>
      </w:r>
      <w:r>
        <w:rPr>
          <w:rFonts w:cs="Arial Unicode MS" w:eastAsia="Arial Unicode MS" w:hint="default"/>
          <w:sz w:val="28"/>
          <w:szCs w:val="28"/>
          <w:rtl w:val="0"/>
          <w:lang w:val="en-US"/>
        </w:rPr>
        <w:t>“</w:t>
      </w:r>
      <w:r>
        <w:rPr>
          <w:rFonts w:cs="Arial Unicode MS" w:eastAsia="Arial Unicode MS"/>
          <w:sz w:val="28"/>
          <w:szCs w:val="28"/>
          <w:rtl w:val="0"/>
          <w:lang w:val="en-US"/>
        </w:rPr>
        <w:t>thinking he was the gardener</w:t>
      </w:r>
      <w:r>
        <w:rPr>
          <w:rFonts w:cs="Arial Unicode MS" w:eastAsia="Arial Unicode MS" w:hint="default"/>
          <w:sz w:val="28"/>
          <w:szCs w:val="28"/>
          <w:rtl w:val="0"/>
          <w:lang w:val="en-US"/>
        </w:rPr>
        <w:t xml:space="preserve">” </w:t>
      </w:r>
      <w:r>
        <w:rPr>
          <w:rFonts w:cs="Arial Unicode MS" w:eastAsia="Arial Unicode MS"/>
          <w:sz w:val="28"/>
          <w:szCs w:val="28"/>
          <w:rtl w:val="0"/>
          <w:lang w:val="en-US"/>
        </w:rPr>
        <w:t>(20:15) sees John portraying Jesus as the Divine Gardener, God.</w:t>
      </w:r>
      <w:r>
        <w:rPr>
          <w:rFonts w:ascii="Baskerville" w:cs="Baskerville" w:hAnsi="Baskerville" w:eastAsia="Baskerville"/>
          <w:b w:val="0"/>
          <w:bCs w:val="0"/>
          <w:i w:val="0"/>
          <w:iCs w:val="0"/>
          <w:sz w:val="28"/>
          <w:szCs w:val="28"/>
          <w:vertAlign w:val="superscript"/>
        </w:rPr>
        <w:footnoteReference w:id="21"/>
      </w:r>
    </w:p>
    <w:p>
      <w:pPr>
        <w:pStyle w:val="Body A"/>
        <w:rPr>
          <w:sz w:val="28"/>
          <w:szCs w:val="28"/>
        </w:rPr>
      </w:pPr>
      <w:r>
        <w:rPr>
          <w:rFonts w:cs="Arial Unicode MS" w:eastAsia="Arial Unicode MS"/>
          <w:sz w:val="28"/>
          <w:szCs w:val="28"/>
          <w:rtl w:val="0"/>
        </w:rPr>
        <w:t>Siliezar</w:t>
      </w:r>
      <w:r>
        <w:rPr>
          <w:rFonts w:cs="Arial Unicode MS" w:eastAsia="Arial Unicode MS"/>
          <w:sz w:val="28"/>
          <w:szCs w:val="28"/>
          <w:rtl w:val="0"/>
          <w:lang w:val="en-US"/>
        </w:rPr>
        <w:t xml:space="preserve">, acknowledging the apparent similarity in two garden narratives, is unconvinced of a connection to Gen 2. He notes that </w:t>
      </w:r>
      <w:r>
        <w:rPr>
          <w:rFonts w:cs="Arial Unicode MS" w:eastAsia="Arial Unicode MS" w:hint="default"/>
          <w:sz w:val="28"/>
          <w:szCs w:val="28"/>
          <w:rtl w:val="0"/>
          <w:lang w:val="en-US"/>
        </w:rPr>
        <w:t>“</w:t>
      </w:r>
      <w:r>
        <w:rPr>
          <w:rFonts w:cs="Arial Unicode MS" w:eastAsia="Arial Unicode MS"/>
          <w:sz w:val="28"/>
          <w:szCs w:val="28"/>
          <w:rtl w:val="0"/>
          <w:lang w:val="en-US"/>
        </w:rPr>
        <w:t>gardener</w:t>
      </w:r>
      <w:r>
        <w:rPr>
          <w:rFonts w:cs="Arial Unicode MS" w:eastAsia="Arial Unicode MS" w:hint="default"/>
          <w:sz w:val="28"/>
          <w:szCs w:val="28"/>
          <w:rtl w:val="0"/>
          <w:lang w:val="en-US"/>
        </w:rPr>
        <w:t xml:space="preserve">” </w:t>
      </w:r>
      <w:r>
        <w:rPr>
          <w:rFonts w:cs="Arial Unicode MS" w:eastAsia="Arial Unicode MS"/>
          <w:sz w:val="28"/>
          <w:szCs w:val="28"/>
          <w:rtl w:val="0"/>
          <w:lang w:val="en-US"/>
        </w:rPr>
        <w:t>appears nowhere in the LXX or 2nd Temple texts as a title for Adam or God,</w:t>
      </w:r>
      <w:r>
        <w:rPr>
          <w:rFonts w:ascii="Baskerville" w:cs="Baskerville" w:hAnsi="Baskerville" w:eastAsia="Baskerville"/>
          <w:b w:val="0"/>
          <w:bCs w:val="0"/>
          <w:i w:val="0"/>
          <w:iCs w:val="0"/>
          <w:sz w:val="28"/>
          <w:szCs w:val="28"/>
          <w:vertAlign w:val="superscript"/>
        </w:rPr>
        <w:footnoteReference w:id="22"/>
      </w:r>
      <w:r>
        <w:rPr>
          <w:rFonts w:cs="Arial Unicode MS" w:eastAsia="Arial Unicode MS"/>
          <w:sz w:val="28"/>
          <w:szCs w:val="28"/>
          <w:rtl w:val="0"/>
          <w:lang w:val="en-US"/>
        </w:rPr>
        <w:t xml:space="preserve"> and opts instead for </w:t>
      </w:r>
      <w:r>
        <w:rPr>
          <w:rFonts w:cs="Arial Unicode MS" w:eastAsia="Arial Unicode MS" w:hint="default"/>
          <w:sz w:val="28"/>
          <w:szCs w:val="28"/>
          <w:rtl w:val="0"/>
          <w:lang w:val="en-US"/>
        </w:rPr>
        <w:t>“</w:t>
      </w:r>
      <w:r>
        <w:rPr>
          <w:rFonts w:cs="Arial Unicode MS" w:eastAsia="Arial Unicode MS"/>
          <w:sz w:val="28"/>
          <w:szCs w:val="28"/>
          <w:rtl w:val="0"/>
          <w:lang w:val="en-US"/>
        </w:rPr>
        <w:t>Royal overtones</w:t>
      </w:r>
      <w:r>
        <w:rPr>
          <w:rFonts w:cs="Arial Unicode MS" w:eastAsia="Arial Unicode MS" w:hint="default"/>
          <w:sz w:val="28"/>
          <w:szCs w:val="28"/>
          <w:rtl w:val="0"/>
          <w:lang w:val="en-US"/>
        </w:rPr>
        <w:t xml:space="preserve">” </w:t>
      </w:r>
      <w:r>
        <w:rPr>
          <w:rFonts w:cs="Arial Unicode MS" w:eastAsia="Arial Unicode MS"/>
          <w:sz w:val="28"/>
          <w:szCs w:val="28"/>
          <w:rtl w:val="0"/>
          <w:lang w:val="en-US"/>
        </w:rPr>
        <w:t>as the appropriate context of the scene in GJohn.</w:t>
      </w:r>
      <w:r>
        <w:rPr>
          <w:rFonts w:ascii="Baskerville" w:cs="Baskerville" w:hAnsi="Baskerville" w:eastAsia="Baskerville"/>
          <w:b w:val="0"/>
          <w:bCs w:val="0"/>
          <w:i w:val="0"/>
          <w:iCs w:val="0"/>
          <w:sz w:val="28"/>
          <w:szCs w:val="28"/>
          <w:vertAlign w:val="superscript"/>
        </w:rPr>
        <w:footnoteReference w:id="23"/>
      </w:r>
      <w:r>
        <w:rPr>
          <w:rFonts w:cs="Arial Unicode MS" w:eastAsia="Arial Unicode MS"/>
          <w:sz w:val="28"/>
          <w:szCs w:val="28"/>
          <w:rtl w:val="0"/>
          <w:lang w:val="en-US"/>
        </w:rPr>
        <w:t xml:space="preserve"> </w:t>
      </w:r>
    </w:p>
    <w:p>
      <w:pPr>
        <w:pStyle w:val="Body A"/>
        <w:rPr>
          <w:sz w:val="28"/>
          <w:szCs w:val="28"/>
        </w:rPr>
      </w:pPr>
      <w:r>
        <w:rPr>
          <w:rFonts w:cs="Arial Unicode MS" w:eastAsia="Arial Unicode MS"/>
          <w:sz w:val="28"/>
          <w:szCs w:val="28"/>
          <w:rtl w:val="0"/>
          <w:lang w:val="en-US"/>
        </w:rPr>
        <w:t xml:space="preserve">On this point I find myself disagreeing with </w:t>
      </w:r>
      <w:r>
        <w:rPr>
          <w:rFonts w:cs="Arial Unicode MS" w:eastAsia="Arial Unicode MS"/>
          <w:sz w:val="28"/>
          <w:szCs w:val="28"/>
          <w:rtl w:val="0"/>
        </w:rPr>
        <w:t>Siliezar</w:t>
      </w:r>
      <w:r>
        <w:rPr>
          <w:rFonts w:cs="Arial Unicode MS" w:eastAsia="Arial Unicode MS"/>
          <w:sz w:val="28"/>
          <w:szCs w:val="28"/>
          <w:rtl w:val="0"/>
          <w:lang w:val="en-US"/>
        </w:rPr>
        <w:t xml:space="preserve">. Adam is the one who </w:t>
      </w:r>
      <w:r>
        <w:rPr>
          <w:rFonts w:cs="Arial Unicode MS" w:eastAsia="Arial Unicode MS" w:hint="default"/>
          <w:sz w:val="28"/>
          <w:szCs w:val="28"/>
          <w:rtl w:val="0"/>
          <w:lang w:val="en-US"/>
        </w:rPr>
        <w:t>“</w:t>
      </w:r>
      <w:r>
        <w:rPr>
          <w:rFonts w:cs="Arial Unicode MS" w:eastAsia="Arial Unicode MS"/>
          <w:sz w:val="28"/>
          <w:szCs w:val="28"/>
          <w:rtl w:val="0"/>
          <w:lang w:val="en-US"/>
        </w:rPr>
        <w:t>tilled and kept the garden</w:t>
      </w:r>
      <w:r>
        <w:rPr>
          <w:rFonts w:cs="Arial Unicode MS" w:eastAsia="Arial Unicode MS" w:hint="default"/>
          <w:sz w:val="28"/>
          <w:szCs w:val="28"/>
          <w:rtl w:val="0"/>
          <w:lang w:val="en-US"/>
        </w:rPr>
        <w:t xml:space="preserve">” </w:t>
      </w:r>
      <w:r>
        <w:rPr>
          <w:rFonts w:cs="Arial Unicode MS" w:eastAsia="Arial Unicode MS"/>
          <w:sz w:val="28"/>
          <w:szCs w:val="28"/>
          <w:rtl w:val="0"/>
          <w:lang w:val="en-US"/>
        </w:rPr>
        <w:t xml:space="preserve">(Gen 2:15) and God is the one who </w:t>
      </w:r>
      <w:r>
        <w:rPr>
          <w:rFonts w:cs="Arial Unicode MS" w:eastAsia="Arial Unicode MS" w:hint="default"/>
          <w:sz w:val="28"/>
          <w:szCs w:val="28"/>
          <w:rtl w:val="0"/>
          <w:lang w:val="en-US"/>
        </w:rPr>
        <w:t>“</w:t>
      </w:r>
      <w:r>
        <w:rPr>
          <w:rFonts w:cs="Arial Unicode MS" w:eastAsia="Arial Unicode MS"/>
          <w:sz w:val="28"/>
          <w:szCs w:val="28"/>
          <w:rtl w:val="0"/>
          <w:lang w:val="en-US"/>
        </w:rPr>
        <w:t>planted a garden</w:t>
      </w:r>
      <w:r>
        <w:rPr>
          <w:rFonts w:cs="Arial Unicode MS" w:eastAsia="Arial Unicode MS" w:hint="default"/>
          <w:sz w:val="28"/>
          <w:szCs w:val="28"/>
          <w:rtl w:val="0"/>
          <w:lang w:val="en-US"/>
        </w:rPr>
        <w:t xml:space="preserve">” </w:t>
      </w:r>
      <w:r>
        <w:rPr>
          <w:rFonts w:cs="Arial Unicode MS" w:eastAsia="Arial Unicode MS"/>
          <w:sz w:val="28"/>
          <w:szCs w:val="28"/>
          <w:rtl w:val="0"/>
          <w:lang w:val="en-US"/>
        </w:rPr>
        <w:t xml:space="preserve">(Gen 2:8). Given the creative reworking of scripture by John in the prologue, I do not think it is a stretch to say John could allude to either of the two being  </w:t>
      </w:r>
      <w:r>
        <w:rPr>
          <w:rFonts w:cs="Arial Unicode MS" w:eastAsia="Arial Unicode MS" w:hint="default"/>
          <w:sz w:val="28"/>
          <w:szCs w:val="28"/>
          <w:rtl w:val="0"/>
          <w:lang w:val="en-US"/>
        </w:rPr>
        <w:t>“</w:t>
      </w:r>
      <w:r>
        <w:rPr>
          <w:rFonts w:cs="Arial Unicode MS" w:eastAsia="Arial Unicode MS"/>
          <w:sz w:val="28"/>
          <w:szCs w:val="28"/>
          <w:rtl w:val="0"/>
          <w:lang w:val="en-US"/>
        </w:rPr>
        <w:t>a Gardner</w:t>
      </w:r>
      <w:r>
        <w:rPr>
          <w:rFonts w:cs="Arial Unicode MS" w:eastAsia="Arial Unicode MS" w:hint="default"/>
          <w:sz w:val="28"/>
          <w:szCs w:val="28"/>
          <w:rtl w:val="0"/>
          <w:lang w:val="en-US"/>
        </w:rPr>
        <w:t>”</w:t>
      </w:r>
      <w:r>
        <w:rPr>
          <w:rFonts w:cs="Arial Unicode MS" w:eastAsia="Arial Unicode MS"/>
          <w:sz w:val="28"/>
          <w:szCs w:val="28"/>
          <w:rtl w:val="0"/>
          <w:lang w:val="en-US"/>
        </w:rPr>
        <w:t xml:space="preserve">, despite a paucity of the term in the literature. </w:t>
      </w:r>
    </w:p>
    <w:p>
      <w:pPr>
        <w:pStyle w:val="Body A"/>
        <w:rPr>
          <w:sz w:val="28"/>
          <w:szCs w:val="28"/>
        </w:rPr>
      </w:pPr>
      <w:r>
        <w:rPr>
          <w:rFonts w:cs="Arial Unicode MS" w:eastAsia="Arial Unicode MS"/>
          <w:sz w:val="28"/>
          <w:szCs w:val="28"/>
          <w:rtl w:val="0"/>
          <w:lang w:val="en-US"/>
        </w:rPr>
        <w:t>Secondly, given the almost universal agreement that Jn 20:22  is referring to Gen 2:7 (God breathing into Adam), it seems logical that the preceding event in Genesis (God had planted a garden in Eden) could plausibly correspond to the preceding event in John (the garden in which Jesus is risen).</w:t>
      </w:r>
    </w:p>
    <w:p>
      <w:pPr>
        <w:pStyle w:val="Body A"/>
        <w:rPr>
          <w:sz w:val="28"/>
          <w:szCs w:val="28"/>
        </w:rPr>
      </w:pPr>
      <w:r>
        <w:rPr>
          <w:rFonts w:cs="Arial Unicode MS" w:eastAsia="Arial Unicode MS"/>
          <w:sz w:val="28"/>
          <w:szCs w:val="28"/>
          <w:rtl w:val="0"/>
          <w:lang w:val="en-US"/>
        </w:rPr>
        <w:t xml:space="preserve">Finally, and a point unnoticed in much of the literature, is the description of Jesus being crucified with two others, with </w:t>
      </w:r>
      <w:r>
        <w:rPr>
          <w:rFonts w:cs="Arial Unicode MS" w:eastAsia="Arial Unicode MS" w:hint="default"/>
          <w:sz w:val="28"/>
          <w:szCs w:val="28"/>
          <w:rtl w:val="0"/>
          <w:lang w:val="en-US"/>
        </w:rPr>
        <w:t>“</w:t>
      </w:r>
      <w:r>
        <w:rPr>
          <w:rFonts w:cs="Arial Unicode MS" w:eastAsia="Arial Unicode MS"/>
          <w:sz w:val="28"/>
          <w:szCs w:val="28"/>
          <w:rtl w:val="0"/>
          <w:lang w:val="en-US"/>
        </w:rPr>
        <w:t>Jesus in the middle</w:t>
      </w:r>
      <w:r>
        <w:rPr>
          <w:rFonts w:cs="Arial Unicode MS" w:eastAsia="Arial Unicode MS" w:hint="default"/>
          <w:sz w:val="28"/>
          <w:szCs w:val="28"/>
          <w:rtl w:val="0"/>
          <w:lang w:val="en-US"/>
        </w:rPr>
        <w:t xml:space="preserve">” </w:t>
      </w:r>
      <w:r>
        <w:rPr>
          <w:rFonts w:cs="Arial Unicode MS" w:eastAsia="Arial Unicode MS"/>
          <w:sz w:val="28"/>
          <w:szCs w:val="28"/>
          <w:rtl w:val="0"/>
          <w:lang w:val="en-US"/>
        </w:rPr>
        <w:t xml:space="preserve">(Jn 19:18). Coloe argues persuasively  that this is a direct reference to the Tree of Life </w:t>
      </w:r>
      <w:r>
        <w:rPr>
          <w:rFonts w:cs="Arial Unicode MS" w:eastAsia="Arial Unicode MS" w:hint="default"/>
          <w:sz w:val="28"/>
          <w:szCs w:val="28"/>
          <w:rtl w:val="0"/>
          <w:lang w:val="en-US"/>
        </w:rPr>
        <w:t>“</w:t>
      </w:r>
      <w:r>
        <w:rPr>
          <w:rFonts w:cs="Arial Unicode MS" w:eastAsia="Arial Unicode MS"/>
          <w:sz w:val="28"/>
          <w:szCs w:val="28"/>
          <w:rtl w:val="0"/>
          <w:lang w:val="en-US"/>
        </w:rPr>
        <w:t>in the middle</w:t>
      </w:r>
      <w:r>
        <w:rPr>
          <w:rFonts w:cs="Arial Unicode MS" w:eastAsia="Arial Unicode MS" w:hint="default"/>
          <w:sz w:val="28"/>
          <w:szCs w:val="28"/>
          <w:rtl w:val="0"/>
          <w:lang w:val="en-US"/>
        </w:rPr>
        <w:t xml:space="preserve">” </w:t>
      </w:r>
      <w:r>
        <w:rPr>
          <w:rFonts w:cs="Arial Unicode MS" w:eastAsia="Arial Unicode MS"/>
          <w:sz w:val="28"/>
          <w:szCs w:val="28"/>
          <w:rtl w:val="0"/>
          <w:lang w:val="en-US"/>
        </w:rPr>
        <w:t>of the garden of Eden (Gen 2:9), in which case it would be likely that the following scene (chapter 20) is likewise alluding to Eden and Gen 2.</w:t>
      </w:r>
      <w:r>
        <w:rPr>
          <w:rFonts w:ascii="Baskerville" w:cs="Baskerville" w:hAnsi="Baskerville" w:eastAsia="Baskerville"/>
          <w:b w:val="0"/>
          <w:bCs w:val="0"/>
          <w:i w:val="0"/>
          <w:iCs w:val="0"/>
          <w:sz w:val="28"/>
          <w:szCs w:val="28"/>
          <w:vertAlign w:val="superscript"/>
        </w:rPr>
        <w:footnoteReference w:id="24"/>
      </w:r>
    </w:p>
    <w:p>
      <w:pPr>
        <w:pStyle w:val="Body A"/>
        <w:rPr>
          <w:sz w:val="28"/>
          <w:szCs w:val="28"/>
        </w:rPr>
      </w:pPr>
    </w:p>
    <w:p>
      <w:pPr>
        <w:pStyle w:val="Body A"/>
      </w:pPr>
    </w:p>
    <w:p>
      <w:pPr>
        <w:pStyle w:val="Body A"/>
      </w:pPr>
    </w:p>
    <w:p>
      <w:pPr>
        <w:pStyle w:val="Body A"/>
        <w:rPr>
          <w:i w:val="1"/>
          <w:iCs w:val="1"/>
          <w:sz w:val="28"/>
          <w:szCs w:val="28"/>
        </w:rPr>
      </w:pPr>
      <w:r>
        <w:rPr>
          <w:rFonts w:cs="Arial Unicode MS" w:eastAsia="Arial Unicode MS"/>
          <w:i w:val="1"/>
          <w:iCs w:val="1"/>
          <w:sz w:val="28"/>
          <w:szCs w:val="28"/>
          <w:rtl w:val="0"/>
          <w:lang w:val="en-US"/>
        </w:rPr>
        <w:t>Conclusion</w:t>
      </w:r>
    </w:p>
    <w:p>
      <w:pPr>
        <w:pStyle w:val="Body A"/>
        <w:rPr>
          <w:i w:val="1"/>
          <w:iCs w:val="1"/>
          <w:sz w:val="28"/>
          <w:szCs w:val="28"/>
        </w:rPr>
      </w:pPr>
    </w:p>
    <w:p>
      <w:pPr>
        <w:pStyle w:val="Body A"/>
        <w:rPr>
          <w:sz w:val="28"/>
          <w:szCs w:val="28"/>
        </w:rPr>
      </w:pPr>
      <w:r>
        <w:rPr>
          <w:rFonts w:cs="Arial Unicode MS" w:eastAsia="Arial Unicode MS"/>
          <w:sz w:val="28"/>
          <w:szCs w:val="28"/>
          <w:rtl w:val="0"/>
          <w:lang w:val="en-US"/>
        </w:rPr>
        <w:t>John is is clearly familiar with the Genesis creation account and has drawn upon it in his particular telling of the story of Jesus. A survey of the literature shows that his prologue contains multiple themes from Gen 1, linking  Jesus not just with the story of Israel but with the entire cosmos, indeed the pre-creation state. The Jesus of Jn 20:22 breathes onto his disciples in the manner of the Creator in Gen 2:7, again portraying John</w:t>
      </w:r>
      <w:r>
        <w:rPr>
          <w:rFonts w:cs="Arial Unicode MS" w:eastAsia="Arial Unicode MS" w:hint="default"/>
          <w:sz w:val="28"/>
          <w:szCs w:val="28"/>
          <w:rtl w:val="0"/>
          <w:lang w:val="en-US"/>
        </w:rPr>
        <w:t>’</w:t>
      </w:r>
      <w:r>
        <w:rPr>
          <w:rFonts w:cs="Arial Unicode MS" w:eastAsia="Arial Unicode MS"/>
          <w:sz w:val="28"/>
          <w:szCs w:val="28"/>
          <w:rtl w:val="0"/>
          <w:lang w:val="en-US"/>
        </w:rPr>
        <w:t>s distinctive Christology. The garden motif of Jn 20 is debated, though on balance I see this also as a plausible allusion to the Edenic garden of Gen 2.</w:t>
      </w:r>
    </w:p>
    <w:p>
      <w:pPr>
        <w:pStyle w:val="Body A"/>
        <w:rPr>
          <w:sz w:val="28"/>
          <w:szCs w:val="28"/>
        </w:rPr>
      </w:pPr>
      <w:r>
        <w:rPr>
          <w:rFonts w:cs="Arial Unicode MS" w:eastAsia="Arial Unicode MS"/>
          <w:sz w:val="28"/>
          <w:szCs w:val="28"/>
          <w:rtl w:val="0"/>
          <w:lang w:val="en-US"/>
        </w:rPr>
        <w:t>Given the specific nature of the literature surveyed, it would  be interesting to consider John</w:t>
      </w:r>
      <w:r>
        <w:rPr>
          <w:rFonts w:cs="Arial Unicode MS" w:eastAsia="Arial Unicode MS" w:hint="default"/>
          <w:sz w:val="28"/>
          <w:szCs w:val="28"/>
          <w:rtl w:val="0"/>
          <w:lang w:val="en-US"/>
        </w:rPr>
        <w:t>’</w:t>
      </w:r>
      <w:r>
        <w:rPr>
          <w:rFonts w:cs="Arial Unicode MS" w:eastAsia="Arial Unicode MS"/>
          <w:sz w:val="28"/>
          <w:szCs w:val="28"/>
          <w:rtl w:val="0"/>
          <w:lang w:val="en-US"/>
        </w:rPr>
        <w:t>s use of Genesis as a whole (e.g. Jn 1:51), his use of other OT books (such as Psalms and Isaiah) and comparing his particular hermeneutics with that of the synoptics.</w:t>
      </w:r>
    </w:p>
    <w:p>
      <w:pPr>
        <w:pStyle w:val="Body A"/>
        <w:rPr>
          <w:sz w:val="28"/>
          <w:szCs w:val="28"/>
        </w:rPr>
      </w:pPr>
    </w:p>
    <w:p>
      <w:pPr>
        <w:pStyle w:val="Body A"/>
        <w:rPr>
          <w:sz w:val="28"/>
          <w:szCs w:val="28"/>
        </w:rPr>
      </w:pPr>
    </w:p>
    <w:p>
      <w:pPr>
        <w:pStyle w:val="Body A"/>
        <w:rPr>
          <w:sz w:val="28"/>
          <w:szCs w:val="28"/>
        </w:rPr>
      </w:pPr>
    </w:p>
    <w:p>
      <w:pPr>
        <w:pStyle w:val="Body A"/>
        <w:rPr>
          <w:sz w:val="28"/>
          <w:szCs w:val="28"/>
        </w:rPr>
      </w:pPr>
    </w:p>
    <w:p>
      <w:pPr>
        <w:pStyle w:val="Body A"/>
        <w:rPr>
          <w:sz w:val="28"/>
          <w:szCs w:val="28"/>
        </w:rPr>
      </w:pPr>
    </w:p>
    <w:p>
      <w:pPr>
        <w:pStyle w:val="Body A"/>
        <w:rPr>
          <w:sz w:val="28"/>
          <w:szCs w:val="28"/>
        </w:rPr>
      </w:pPr>
    </w:p>
    <w:p>
      <w:pPr>
        <w:pStyle w:val="Body A"/>
        <w:rPr>
          <w:sz w:val="28"/>
          <w:szCs w:val="28"/>
        </w:rPr>
      </w:pPr>
    </w:p>
    <w:p>
      <w:pPr>
        <w:pStyle w:val="Body A"/>
        <w:rPr>
          <w:i w:val="1"/>
          <w:iCs w:val="1"/>
          <w:sz w:val="28"/>
          <w:szCs w:val="28"/>
        </w:rPr>
      </w:pPr>
    </w:p>
    <w:p>
      <w:pPr>
        <w:pStyle w:val="Body A"/>
        <w:rPr>
          <w:i w:val="1"/>
          <w:iCs w:val="1"/>
          <w:sz w:val="28"/>
          <w:szCs w:val="28"/>
        </w:rPr>
      </w:pPr>
    </w:p>
    <w:p>
      <w:pPr>
        <w:pStyle w:val="Body A"/>
        <w:rPr>
          <w:i w:val="1"/>
          <w:iCs w:val="1"/>
          <w:sz w:val="28"/>
          <w:szCs w:val="28"/>
        </w:rPr>
      </w:pPr>
    </w:p>
    <w:p>
      <w:pPr>
        <w:pStyle w:val="Body A"/>
        <w:rPr>
          <w:i w:val="1"/>
          <w:iCs w:val="1"/>
          <w:sz w:val="28"/>
          <w:szCs w:val="28"/>
        </w:rPr>
      </w:pPr>
    </w:p>
    <w:p>
      <w:pPr>
        <w:pStyle w:val="Body A"/>
        <w:rPr>
          <w:i w:val="1"/>
          <w:iCs w:val="1"/>
          <w:sz w:val="28"/>
          <w:szCs w:val="28"/>
        </w:rPr>
      </w:pPr>
    </w:p>
    <w:p>
      <w:pPr>
        <w:pStyle w:val="Body A"/>
        <w:rPr>
          <w:i w:val="1"/>
          <w:iCs w:val="1"/>
          <w:sz w:val="28"/>
          <w:szCs w:val="28"/>
        </w:rPr>
      </w:pPr>
    </w:p>
    <w:p>
      <w:pPr>
        <w:pStyle w:val="Body A"/>
        <w:rPr>
          <w:i w:val="1"/>
          <w:iCs w:val="1"/>
          <w:sz w:val="28"/>
          <w:szCs w:val="28"/>
        </w:rPr>
      </w:pPr>
    </w:p>
    <w:p>
      <w:pPr>
        <w:pStyle w:val="Body A"/>
        <w:rPr>
          <w:i w:val="1"/>
          <w:iCs w:val="1"/>
          <w:sz w:val="28"/>
          <w:szCs w:val="28"/>
        </w:rPr>
      </w:pPr>
    </w:p>
    <w:p>
      <w:pPr>
        <w:pStyle w:val="Body A"/>
      </w:pPr>
    </w:p>
    <w:p>
      <w:pPr>
        <w:pStyle w:val="Body A"/>
        <w:rPr>
          <w:i w:val="1"/>
          <w:iCs w:val="1"/>
          <w:sz w:val="28"/>
          <w:szCs w:val="28"/>
        </w:rPr>
      </w:pPr>
      <w:r>
        <w:rPr>
          <w:rFonts w:cs="Arial Unicode MS" w:eastAsia="Arial Unicode MS"/>
          <w:i w:val="1"/>
          <w:iCs w:val="1"/>
          <w:sz w:val="28"/>
          <w:szCs w:val="28"/>
          <w:rtl w:val="0"/>
          <w:lang w:val="en-US"/>
        </w:rPr>
        <w:t>Bibliography</w:t>
      </w:r>
    </w:p>
    <w:p>
      <w:pPr>
        <w:pStyle w:val="Body A"/>
        <w:rPr>
          <w:sz w:val="28"/>
          <w:szCs w:val="28"/>
        </w:rPr>
      </w:pPr>
    </w:p>
    <w:p>
      <w:pPr>
        <w:pStyle w:val="Body A"/>
        <w:rPr>
          <w:sz w:val="28"/>
          <w:szCs w:val="28"/>
        </w:rPr>
      </w:pPr>
      <w:r>
        <w:rPr>
          <w:rFonts w:cs="Arial Unicode MS" w:eastAsia="Arial Unicode MS"/>
          <w:sz w:val="28"/>
          <w:szCs w:val="28"/>
          <w:rtl w:val="0"/>
        </w:rPr>
        <w:t>B</w:t>
      </w:r>
      <w:r>
        <w:rPr>
          <w:rFonts w:cs="Arial Unicode MS" w:eastAsia="Arial Unicode MS"/>
          <w:sz w:val="28"/>
          <w:szCs w:val="28"/>
          <w:rtl w:val="0"/>
          <w:lang w:val="en-US"/>
        </w:rPr>
        <w:t xml:space="preserve">rown, J. Creation's Renewal In the Gospel of John. </w:t>
      </w:r>
      <w:r>
        <w:rPr>
          <w:rFonts w:cs="Arial Unicode MS" w:eastAsia="Arial Unicode MS"/>
          <w:i w:val="1"/>
          <w:iCs w:val="1"/>
          <w:sz w:val="28"/>
          <w:szCs w:val="28"/>
          <w:rtl w:val="0"/>
          <w:lang w:val="en-US"/>
        </w:rPr>
        <w:t>The Catholic Biblical Quarterly,</w:t>
      </w:r>
      <w:r>
        <w:rPr>
          <w:rFonts w:cs="Arial Unicode MS" w:eastAsia="Arial Unicode MS"/>
          <w:sz w:val="28"/>
          <w:szCs w:val="28"/>
          <w:rtl w:val="0"/>
        </w:rPr>
        <w:t xml:space="preserve"> </w:t>
      </w:r>
      <w:r>
        <w:rPr>
          <w:rFonts w:cs="Arial Unicode MS" w:eastAsia="Arial Unicode MS"/>
          <w:sz w:val="28"/>
          <w:szCs w:val="28"/>
          <w:rtl w:val="0"/>
          <w:lang w:val="en-US"/>
        </w:rPr>
        <w:t>(2010):</w:t>
      </w:r>
      <w:r>
        <w:rPr>
          <w:rFonts w:cs="Arial Unicode MS" w:eastAsia="Arial Unicode MS"/>
          <w:i w:val="1"/>
          <w:iCs w:val="1"/>
          <w:sz w:val="28"/>
          <w:szCs w:val="28"/>
          <w:rtl w:val="0"/>
        </w:rPr>
        <w:t>72</w:t>
      </w:r>
      <w:r>
        <w:rPr>
          <w:rFonts w:cs="Arial Unicode MS" w:eastAsia="Arial Unicode MS"/>
          <w:sz w:val="28"/>
          <w:szCs w:val="28"/>
          <w:rtl w:val="0"/>
        </w:rPr>
        <w:t xml:space="preserve">(2), </w:t>
      </w:r>
      <w:r>
        <w:rPr>
          <w:rFonts w:cs="Arial Unicode MS" w:eastAsia="Arial Unicode MS"/>
          <w:sz w:val="28"/>
          <w:szCs w:val="28"/>
          <w:rtl w:val="0"/>
          <w:lang w:val="en-US"/>
        </w:rPr>
        <w:t xml:space="preserve">pp. </w:t>
      </w:r>
      <w:r>
        <w:rPr>
          <w:rFonts w:cs="Arial Unicode MS" w:eastAsia="Arial Unicode MS"/>
          <w:sz w:val="28"/>
          <w:szCs w:val="28"/>
          <w:rtl w:val="0"/>
        </w:rPr>
        <w:t xml:space="preserve">275-290. </w:t>
      </w:r>
    </w:p>
    <w:p>
      <w:pPr>
        <w:pStyle w:val="Body A"/>
        <w:rPr>
          <w:sz w:val="28"/>
          <w:szCs w:val="28"/>
        </w:rPr>
      </w:pPr>
      <w:r>
        <w:rPr>
          <w:rFonts w:cs="Arial Unicode MS" w:eastAsia="Arial Unicode MS"/>
          <w:sz w:val="28"/>
          <w:szCs w:val="28"/>
          <w:rtl w:val="0"/>
          <w:lang w:val="en-US"/>
        </w:rPr>
        <w:t>Coloe, M. L. Theological Reflections On Creation I</w:t>
      </w:r>
      <w:r>
        <w:rPr>
          <w:rFonts w:cs="Arial Unicode MS" w:eastAsia="Arial Unicode MS"/>
          <w:sz w:val="28"/>
          <w:szCs w:val="28"/>
          <w:rtl w:val="0"/>
        </w:rPr>
        <w:t xml:space="preserve">n </w:t>
      </w:r>
      <w:r>
        <w:rPr>
          <w:rFonts w:cs="Arial Unicode MS" w:eastAsia="Arial Unicode MS"/>
          <w:sz w:val="28"/>
          <w:szCs w:val="28"/>
          <w:rtl w:val="0"/>
          <w:lang w:val="en-US"/>
        </w:rPr>
        <w:t>T</w:t>
      </w:r>
      <w:r>
        <w:rPr>
          <w:rFonts w:cs="Arial Unicode MS" w:eastAsia="Arial Unicode MS"/>
          <w:sz w:val="28"/>
          <w:szCs w:val="28"/>
          <w:rtl w:val="0"/>
          <w:lang w:val="it-IT"/>
        </w:rPr>
        <w:t xml:space="preserve">he Gospel </w:t>
      </w:r>
      <w:r>
        <w:rPr>
          <w:rFonts w:cs="Arial Unicode MS" w:eastAsia="Arial Unicode MS"/>
          <w:sz w:val="28"/>
          <w:szCs w:val="28"/>
          <w:rtl w:val="0"/>
          <w:lang w:val="en-US"/>
        </w:rPr>
        <w:t>O</w:t>
      </w:r>
      <w:r>
        <w:rPr>
          <w:rFonts w:cs="Arial Unicode MS" w:eastAsia="Arial Unicode MS"/>
          <w:sz w:val="28"/>
          <w:szCs w:val="28"/>
          <w:rtl w:val="0"/>
        </w:rPr>
        <w:t xml:space="preserve">f John. </w:t>
      </w:r>
      <w:r>
        <w:rPr>
          <w:rFonts w:cs="Arial Unicode MS" w:eastAsia="Arial Unicode MS"/>
          <w:i w:val="1"/>
          <w:iCs w:val="1"/>
          <w:sz w:val="28"/>
          <w:szCs w:val="28"/>
          <w:rtl w:val="0"/>
          <w:lang w:val="it-IT"/>
        </w:rPr>
        <w:t>Pacifica</w:t>
      </w:r>
      <w:r>
        <w:rPr>
          <w:rFonts w:cs="Arial Unicode MS" w:eastAsia="Arial Unicode MS"/>
          <w:sz w:val="28"/>
          <w:szCs w:val="28"/>
          <w:rtl w:val="0"/>
        </w:rPr>
        <w:t xml:space="preserve">, </w:t>
      </w:r>
      <w:r>
        <w:rPr>
          <w:rFonts w:cs="Arial Unicode MS" w:eastAsia="Arial Unicode MS"/>
          <w:sz w:val="28"/>
          <w:szCs w:val="28"/>
          <w:rtl w:val="0"/>
          <w:lang w:val="en-US"/>
        </w:rPr>
        <w:t xml:space="preserve">(2011): </w:t>
      </w:r>
      <w:r>
        <w:rPr>
          <w:rFonts w:cs="Arial Unicode MS" w:eastAsia="Arial Unicode MS"/>
          <w:i w:val="1"/>
          <w:iCs w:val="1"/>
          <w:sz w:val="28"/>
          <w:szCs w:val="28"/>
          <w:rtl w:val="0"/>
        </w:rPr>
        <w:t>24</w:t>
      </w:r>
      <w:r>
        <w:rPr>
          <w:rFonts w:cs="Arial Unicode MS" w:eastAsia="Arial Unicode MS"/>
          <w:sz w:val="28"/>
          <w:szCs w:val="28"/>
          <w:rtl w:val="0"/>
        </w:rPr>
        <w:t xml:space="preserve">(1), </w:t>
      </w:r>
      <w:r>
        <w:rPr>
          <w:rFonts w:cs="Arial Unicode MS" w:eastAsia="Arial Unicode MS"/>
          <w:sz w:val="28"/>
          <w:szCs w:val="28"/>
          <w:rtl w:val="0"/>
          <w:lang w:val="en-US"/>
        </w:rPr>
        <w:t>pp.</w:t>
      </w:r>
      <w:r>
        <w:rPr>
          <w:rFonts w:cs="Arial Unicode MS" w:eastAsia="Arial Unicode MS"/>
          <w:sz w:val="28"/>
          <w:szCs w:val="28"/>
          <w:rtl w:val="0"/>
        </w:rPr>
        <w:t>1</w:t>
      </w:r>
      <w:r>
        <w:rPr>
          <w:rFonts w:cs="Arial Unicode MS" w:eastAsia="Arial Unicode MS" w:hint="default"/>
          <w:sz w:val="28"/>
          <w:szCs w:val="28"/>
          <w:rtl w:val="0"/>
        </w:rPr>
        <w:t>–</w:t>
      </w:r>
      <w:r>
        <w:rPr>
          <w:rFonts w:cs="Arial Unicode MS" w:eastAsia="Arial Unicode MS"/>
          <w:sz w:val="28"/>
          <w:szCs w:val="28"/>
          <w:rtl w:val="0"/>
        </w:rPr>
        <w:t>12.</w:t>
      </w:r>
    </w:p>
    <w:p>
      <w:pPr>
        <w:pStyle w:val="Body A"/>
        <w:rPr>
          <w:sz w:val="28"/>
          <w:szCs w:val="28"/>
        </w:rPr>
      </w:pPr>
      <w:r>
        <w:rPr>
          <w:rFonts w:cs="Arial Unicode MS" w:eastAsia="Arial Unicode MS"/>
          <w:sz w:val="28"/>
          <w:szCs w:val="28"/>
          <w:rtl w:val="0"/>
          <w:lang w:val="en-US"/>
        </w:rPr>
        <w:t xml:space="preserve">Culpepper, R.A. </w:t>
      </w:r>
      <w:r>
        <w:rPr>
          <w:rFonts w:cs="Arial Unicode MS" w:eastAsia="Arial Unicode MS" w:hint="default"/>
          <w:sz w:val="28"/>
          <w:szCs w:val="28"/>
          <w:rtl w:val="0"/>
          <w:lang w:val="en-US"/>
        </w:rPr>
        <w:t>“</w:t>
      </w:r>
      <w:r>
        <w:rPr>
          <w:rFonts w:cs="Arial Unicode MS" w:eastAsia="Arial Unicode MS"/>
          <w:sz w:val="28"/>
          <w:szCs w:val="28"/>
          <w:rtl w:val="0"/>
          <w:lang w:val="en-US"/>
        </w:rPr>
        <w:t xml:space="preserve">The prologue as theological prolegomenon to the Gospel of John. In Watt, J.G.V.D., Culpepper, A., Schnelle, U. (eds.) </w:t>
      </w:r>
      <w:r>
        <w:rPr>
          <w:rFonts w:cs="Arial Unicode MS" w:eastAsia="Arial Unicode MS"/>
          <w:i w:val="1"/>
          <w:iCs w:val="1"/>
          <w:sz w:val="28"/>
          <w:szCs w:val="28"/>
          <w:rtl w:val="0"/>
          <w:lang w:val="en-US"/>
        </w:rPr>
        <w:t>The Prologue Of The Gospel Of John: Its Literary, Theological, and Philosophical Contexts. Papers Read At The Colloquium Ioanneum 2013</w:t>
      </w:r>
      <w:r>
        <w:rPr>
          <w:rFonts w:cs="Arial Unicode MS" w:eastAsia="Arial Unicode MS"/>
          <w:sz w:val="28"/>
          <w:szCs w:val="28"/>
          <w:rtl w:val="0"/>
          <w:lang w:val="en-US"/>
        </w:rPr>
        <w:t>. (Tubingen: Mohr Siebeck, 2016). pp. 3-26.</w:t>
      </w:r>
      <w:r>
        <w:rPr>
          <w:rFonts w:cs="Arial Unicode MS" w:eastAsia="Arial Unicode MS"/>
          <w:sz w:val="28"/>
          <w:szCs w:val="28"/>
          <w:rtl w:val="0"/>
        </w:rPr>
        <w:t xml:space="preserve"> </w:t>
      </w:r>
    </w:p>
    <w:p>
      <w:pPr>
        <w:pStyle w:val="Body A"/>
        <w:rPr>
          <w:sz w:val="28"/>
          <w:szCs w:val="28"/>
        </w:rPr>
      </w:pPr>
      <w:r>
        <w:rPr>
          <w:rFonts w:cs="Arial Unicode MS" w:eastAsia="Arial Unicode MS"/>
          <w:sz w:val="28"/>
          <w:szCs w:val="28"/>
          <w:rtl w:val="0"/>
        </w:rPr>
        <w:t xml:space="preserve"> </w:t>
      </w:r>
      <w:r>
        <w:rPr>
          <w:rFonts w:cs="Arial Unicode MS" w:eastAsia="Arial Unicode MS"/>
          <w:sz w:val="28"/>
          <w:szCs w:val="28"/>
          <w:rtl w:val="0"/>
          <w:lang w:val="en-US"/>
        </w:rPr>
        <w:t xml:space="preserve">Hays, R.B. </w:t>
      </w:r>
      <w:r>
        <w:rPr>
          <w:rFonts w:cs="Arial Unicode MS" w:eastAsia="Arial Unicode MS"/>
          <w:i w:val="1"/>
          <w:iCs w:val="1"/>
          <w:sz w:val="28"/>
          <w:szCs w:val="28"/>
          <w:rtl w:val="0"/>
          <w:lang w:val="en-US"/>
        </w:rPr>
        <w:t xml:space="preserve">Echoes Of Scripture In The Gospels. </w:t>
      </w:r>
      <w:r>
        <w:rPr>
          <w:rFonts w:cs="Arial Unicode MS" w:eastAsia="Arial Unicode MS"/>
          <w:sz w:val="28"/>
          <w:szCs w:val="28"/>
          <w:rtl w:val="0"/>
          <w:lang w:val="en-US"/>
        </w:rPr>
        <w:t>(Waco: Baylor University Press, 2016).</w:t>
      </w:r>
    </w:p>
    <w:p>
      <w:pPr>
        <w:pStyle w:val="Body A"/>
        <w:rPr>
          <w:sz w:val="28"/>
          <w:szCs w:val="28"/>
        </w:rPr>
      </w:pPr>
      <w:r>
        <w:rPr>
          <w:rFonts w:cs="Arial Unicode MS" w:eastAsia="Arial Unicode MS"/>
          <w:sz w:val="28"/>
          <w:szCs w:val="28"/>
          <w:rtl w:val="0"/>
        </w:rPr>
        <w:t>K</w:t>
      </w:r>
      <w:r>
        <w:rPr>
          <w:rFonts w:cs="Arial Unicode MS" w:eastAsia="Arial Unicode MS" w:hint="default"/>
          <w:sz w:val="28"/>
          <w:szCs w:val="28"/>
          <w:rtl w:val="0"/>
          <w:lang w:val="sv-SE"/>
        </w:rPr>
        <w:t>ö</w:t>
      </w:r>
      <w:r>
        <w:rPr>
          <w:rFonts w:cs="Arial Unicode MS" w:eastAsia="Arial Unicode MS"/>
          <w:sz w:val="28"/>
          <w:szCs w:val="28"/>
          <w:rtl w:val="0"/>
          <w:lang w:val="de-DE"/>
        </w:rPr>
        <w:t>stenberger</w:t>
      </w:r>
      <w:r>
        <w:rPr>
          <w:rFonts w:cs="Arial Unicode MS" w:eastAsia="Arial Unicode MS"/>
          <w:sz w:val="28"/>
          <w:szCs w:val="28"/>
          <w:rtl w:val="0"/>
          <w:lang w:val="en-US"/>
        </w:rPr>
        <w:t xml:space="preserve">, A.J. </w:t>
      </w:r>
      <w:r>
        <w:rPr>
          <w:rFonts w:cs="Arial Unicode MS" w:eastAsia="Arial Unicode MS" w:hint="default"/>
          <w:sz w:val="28"/>
          <w:szCs w:val="28"/>
          <w:rtl w:val="0"/>
          <w:lang w:val="en-US"/>
        </w:rPr>
        <w:t>“</w:t>
      </w:r>
      <w:r>
        <w:rPr>
          <w:rFonts w:cs="Arial Unicode MS" w:eastAsia="Arial Unicode MS"/>
          <w:sz w:val="28"/>
          <w:szCs w:val="28"/>
          <w:rtl w:val="0"/>
          <w:lang w:val="en-US"/>
        </w:rPr>
        <w:t>John</w:t>
      </w:r>
      <w:r>
        <w:rPr>
          <w:rFonts w:cs="Arial Unicode MS" w:eastAsia="Arial Unicode MS" w:hint="default"/>
          <w:sz w:val="28"/>
          <w:szCs w:val="28"/>
          <w:rtl w:val="0"/>
          <w:lang w:val="en-US"/>
        </w:rPr>
        <w:t>”</w:t>
      </w:r>
      <w:r>
        <w:rPr>
          <w:rFonts w:cs="Arial Unicode MS" w:eastAsia="Arial Unicode MS"/>
          <w:sz w:val="28"/>
          <w:szCs w:val="28"/>
          <w:rtl w:val="0"/>
          <w:lang w:val="en-US"/>
        </w:rPr>
        <w:t xml:space="preserve">. In Beale, G.K. and Carson, D.A. (eds.) </w:t>
      </w:r>
      <w:r>
        <w:rPr>
          <w:rFonts w:cs="Arial Unicode MS" w:eastAsia="Arial Unicode MS"/>
          <w:i w:val="1"/>
          <w:iCs w:val="1"/>
          <w:sz w:val="28"/>
          <w:szCs w:val="28"/>
          <w:rtl w:val="0"/>
          <w:lang w:val="en-US"/>
        </w:rPr>
        <w:t xml:space="preserve">Commentary On The Old Testament Use Of The Old Testament. </w:t>
      </w:r>
      <w:r>
        <w:rPr>
          <w:rFonts w:cs="Arial Unicode MS" w:eastAsia="Arial Unicode MS"/>
          <w:sz w:val="28"/>
          <w:szCs w:val="28"/>
          <w:rtl w:val="0"/>
          <w:lang w:val="en-US"/>
        </w:rPr>
        <w:t>(Grand Rapids: Baker Academic, 2007).</w:t>
      </w:r>
      <w:r>
        <w:rPr>
          <w:rFonts w:cs="Arial Unicode MS" w:eastAsia="Arial Unicode MS"/>
          <w:sz w:val="28"/>
          <w:szCs w:val="28"/>
          <w:rtl w:val="0"/>
        </w:rPr>
        <w:t xml:space="preserve"> </w:t>
      </w:r>
      <w:r>
        <w:rPr>
          <w:rFonts w:cs="Arial Unicode MS" w:eastAsia="Arial Unicode MS"/>
          <w:sz w:val="28"/>
          <w:szCs w:val="28"/>
          <w:rtl w:val="0"/>
          <w:lang w:val="en-US"/>
        </w:rPr>
        <w:t>pp. 415-512.</w:t>
      </w:r>
    </w:p>
    <w:p>
      <w:pPr>
        <w:pStyle w:val="Body A"/>
        <w:rPr>
          <w:sz w:val="28"/>
          <w:szCs w:val="28"/>
        </w:rPr>
      </w:pPr>
      <w:r>
        <w:rPr>
          <w:rFonts w:cs="Arial Unicode MS" w:eastAsia="Arial Unicode MS"/>
          <w:sz w:val="28"/>
          <w:szCs w:val="28"/>
          <w:rtl w:val="0"/>
          <w:lang w:val="en-US"/>
        </w:rPr>
        <w:t xml:space="preserve">Menken, M.J.J. </w:t>
      </w:r>
      <w:r>
        <w:rPr>
          <w:rFonts w:cs="Arial Unicode MS" w:eastAsia="Arial Unicode MS" w:hint="default"/>
          <w:sz w:val="28"/>
          <w:szCs w:val="28"/>
          <w:rtl w:val="0"/>
          <w:lang w:val="en-US"/>
        </w:rPr>
        <w:t>“</w:t>
      </w:r>
      <w:r>
        <w:rPr>
          <w:rFonts w:cs="Arial Unicode MS" w:eastAsia="Arial Unicode MS"/>
          <w:sz w:val="28"/>
          <w:szCs w:val="28"/>
          <w:rtl w:val="0"/>
          <w:lang w:val="en-US"/>
        </w:rPr>
        <w:t>Genesis in John</w:t>
      </w:r>
      <w:r>
        <w:rPr>
          <w:rFonts w:cs="Arial Unicode MS" w:eastAsia="Arial Unicode MS" w:hint="default"/>
          <w:sz w:val="28"/>
          <w:szCs w:val="28"/>
          <w:rtl w:val="0"/>
          <w:lang w:val="en-US"/>
        </w:rPr>
        <w:t>’</w:t>
      </w:r>
      <w:r>
        <w:rPr>
          <w:rFonts w:cs="Arial Unicode MS" w:eastAsia="Arial Unicode MS"/>
          <w:sz w:val="28"/>
          <w:szCs w:val="28"/>
          <w:rtl w:val="0"/>
          <w:lang w:val="en-US"/>
        </w:rPr>
        <w:t>s Gospel and 1 John</w:t>
      </w:r>
      <w:r>
        <w:rPr>
          <w:rFonts w:cs="Arial Unicode MS" w:eastAsia="Arial Unicode MS" w:hint="default"/>
          <w:sz w:val="28"/>
          <w:szCs w:val="28"/>
          <w:rtl w:val="0"/>
          <w:lang w:val="en-US"/>
        </w:rPr>
        <w:t xml:space="preserve">” </w:t>
      </w:r>
      <w:r>
        <w:rPr>
          <w:rFonts w:cs="Arial Unicode MS" w:eastAsia="Arial Unicode MS"/>
          <w:sz w:val="28"/>
          <w:szCs w:val="28"/>
          <w:rtl w:val="0"/>
          <w:lang w:val="en-US"/>
        </w:rPr>
        <w:t xml:space="preserve">in Menken M.J.J and Moyise, S. (eds.) </w:t>
      </w:r>
      <w:r>
        <w:rPr>
          <w:rFonts w:cs="Arial Unicode MS" w:eastAsia="Arial Unicode MS"/>
          <w:i w:val="1"/>
          <w:iCs w:val="1"/>
          <w:sz w:val="28"/>
          <w:szCs w:val="28"/>
          <w:rtl w:val="0"/>
          <w:lang w:val="en-US"/>
        </w:rPr>
        <w:t xml:space="preserve">Genesis In The New Testament. </w:t>
      </w:r>
      <w:r>
        <w:rPr>
          <w:rFonts w:cs="Arial Unicode MS" w:eastAsia="Arial Unicode MS"/>
          <w:sz w:val="28"/>
          <w:szCs w:val="28"/>
          <w:rtl w:val="0"/>
          <w:lang w:val="en-US"/>
        </w:rPr>
        <w:t>(London: T &amp; T Clark, 2012). pp. 83-98.</w:t>
      </w:r>
    </w:p>
    <w:p>
      <w:pPr>
        <w:pStyle w:val="Body A"/>
        <w:rPr>
          <w:sz w:val="28"/>
          <w:szCs w:val="28"/>
        </w:rPr>
      </w:pPr>
      <w:r>
        <w:rPr>
          <w:rFonts w:cs="Arial Unicode MS" w:eastAsia="Arial Unicode MS"/>
          <w:sz w:val="28"/>
          <w:szCs w:val="28"/>
          <w:rtl w:val="0"/>
        </w:rPr>
        <w:t xml:space="preserve">Siliezar, C. R. S. </w:t>
      </w:r>
      <w:r>
        <w:rPr>
          <w:rFonts w:cs="Arial Unicode MS" w:eastAsia="Arial Unicode MS" w:hint="default"/>
          <w:sz w:val="28"/>
          <w:szCs w:val="28"/>
          <w:rtl w:val="0"/>
        </w:rPr>
        <w:t>“</w:t>
      </w:r>
      <w:r>
        <w:rPr>
          <w:rFonts w:cs="Arial Unicode MS" w:eastAsia="Arial Unicode MS"/>
          <w:sz w:val="28"/>
          <w:szCs w:val="28"/>
          <w:rtl w:val="0"/>
          <w:lang w:val="en-US"/>
        </w:rPr>
        <w:t>The Place And Significance Of Creation Imagery In The Gospel Of John</w:t>
      </w:r>
      <w:r>
        <w:rPr>
          <w:rFonts w:cs="Arial Unicode MS" w:eastAsia="Arial Unicode MS" w:hint="default"/>
          <w:sz w:val="28"/>
          <w:szCs w:val="28"/>
          <w:rtl w:val="0"/>
        </w:rPr>
        <w:t>”</w:t>
      </w:r>
      <w:r>
        <w:rPr>
          <w:rFonts w:cs="Arial Unicode MS" w:eastAsia="Arial Unicode MS"/>
          <w:sz w:val="28"/>
          <w:szCs w:val="28"/>
          <w:rtl w:val="0"/>
          <w:lang w:val="en-US"/>
        </w:rPr>
        <w:t>. PhD Thesis, University of Edinburgh (</w:t>
      </w:r>
      <w:r>
        <w:rPr>
          <w:rFonts w:cs="Arial Unicode MS" w:eastAsia="Arial Unicode MS"/>
          <w:sz w:val="28"/>
          <w:szCs w:val="28"/>
          <w:rtl w:val="0"/>
        </w:rPr>
        <w:t>2014</w:t>
      </w:r>
      <w:r>
        <w:rPr>
          <w:rFonts w:cs="Arial Unicode MS" w:eastAsia="Arial Unicode MS"/>
          <w:sz w:val="28"/>
          <w:szCs w:val="28"/>
          <w:rtl w:val="0"/>
          <w:lang w:val="en-US"/>
        </w:rPr>
        <w:t>).</w:t>
      </w:r>
    </w:p>
    <w:p>
      <w:pPr>
        <w:pStyle w:val="Body A"/>
        <w:rPr>
          <w:sz w:val="28"/>
          <w:szCs w:val="28"/>
        </w:rPr>
      </w:pPr>
      <w:r>
        <w:rPr>
          <w:rFonts w:cs="Arial Unicode MS" w:eastAsia="Arial Unicode MS"/>
          <w:sz w:val="28"/>
          <w:szCs w:val="28"/>
          <w:rtl w:val="0"/>
          <w:lang w:val="en-US"/>
        </w:rPr>
        <w:t xml:space="preserve">Wright, N.T. </w:t>
      </w:r>
      <w:r>
        <w:rPr>
          <w:rFonts w:cs="Arial Unicode MS" w:eastAsia="Arial Unicode MS"/>
          <w:i w:val="1"/>
          <w:iCs w:val="1"/>
          <w:sz w:val="28"/>
          <w:szCs w:val="28"/>
          <w:rtl w:val="0"/>
          <w:lang w:val="en-US"/>
        </w:rPr>
        <w:t>The Resurrection Of The Son Of God.</w:t>
      </w:r>
      <w:r>
        <w:rPr>
          <w:rFonts w:cs="Arial Unicode MS" w:eastAsia="Arial Unicode MS"/>
          <w:sz w:val="28"/>
          <w:szCs w:val="28"/>
          <w:rtl w:val="0"/>
          <w:lang w:val="en-US"/>
        </w:rPr>
        <w:t xml:space="preserve"> (London: SPCK, 2003).</w:t>
      </w:r>
    </w:p>
    <w:p>
      <w:pPr>
        <w:pStyle w:val="Body A"/>
        <w:rPr>
          <w:sz w:val="28"/>
          <w:szCs w:val="28"/>
        </w:rPr>
      </w:pPr>
      <w:r>
        <w:rPr>
          <w:rFonts w:cs="Arial Unicode MS" w:eastAsia="Arial Unicode MS"/>
          <w:sz w:val="28"/>
          <w:szCs w:val="28"/>
          <w:rtl w:val="0"/>
          <w:lang w:val="en-US"/>
        </w:rPr>
        <w:t xml:space="preserve">Wright, N.T. </w:t>
      </w:r>
      <w:r>
        <w:rPr>
          <w:rFonts w:cs="Arial Unicode MS" w:eastAsia="Arial Unicode MS"/>
          <w:i w:val="1"/>
          <w:iCs w:val="1"/>
          <w:sz w:val="28"/>
          <w:szCs w:val="28"/>
          <w:rtl w:val="0"/>
          <w:lang w:val="en-US"/>
        </w:rPr>
        <w:t>Scripture And The Authority Of God.</w:t>
      </w:r>
      <w:r>
        <w:rPr>
          <w:rFonts w:cs="Arial Unicode MS" w:eastAsia="Arial Unicode MS"/>
          <w:sz w:val="28"/>
          <w:szCs w:val="28"/>
          <w:rtl w:val="0"/>
          <w:lang w:val="en-US"/>
        </w:rPr>
        <w:t xml:space="preserve"> (London: SPCK, 2005).</w:t>
      </w:r>
    </w:p>
    <w:p>
      <w:pPr>
        <w:pStyle w:val="Body A"/>
        <w:rPr>
          <w:sz w:val="28"/>
          <w:szCs w:val="28"/>
        </w:rPr>
      </w:pPr>
    </w:p>
    <w:p>
      <w:pPr>
        <w:pStyle w:val="Body A"/>
        <w:rPr>
          <w:sz w:val="28"/>
          <w:szCs w:val="28"/>
        </w:rPr>
      </w:pPr>
    </w:p>
    <w:p>
      <w:pPr>
        <w:pStyle w:val="Body A"/>
        <w:rPr>
          <w:sz w:val="28"/>
          <w:szCs w:val="28"/>
        </w:rPr>
      </w:pPr>
    </w:p>
    <w:p>
      <w:pPr>
        <w:pStyle w:val="Body A"/>
        <w:rPr>
          <w:sz w:val="28"/>
          <w:szCs w:val="28"/>
        </w:rPr>
      </w:pPr>
    </w:p>
    <w:p>
      <w:pPr>
        <w:pStyle w:val="Body A"/>
        <w:rPr>
          <w:sz w:val="28"/>
          <w:szCs w:val="28"/>
        </w:rPr>
      </w:pPr>
    </w:p>
    <w:p>
      <w:pPr>
        <w:pStyle w:val="Body A"/>
        <w:rPr>
          <w:sz w:val="28"/>
          <w:szCs w:val="28"/>
        </w:rPr>
      </w:pPr>
    </w:p>
    <w:p>
      <w:pPr>
        <w:pStyle w:val="Body A"/>
      </w:pPr>
      <w:r>
        <w:rPr>
          <w:sz w:val="28"/>
          <w:szCs w:val="28"/>
        </w:rPr>
      </w:r>
    </w:p>
    <w:sectPr>
      <w:headerReference w:type="default" r:id="rId4"/>
      <w:footerReference w:type="default" r:id="rId5"/>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Baskervill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 w:val="right" w:pos="9000"/>
        <w:tab w:val="clear" w:pos="9020"/>
      </w:tabs>
    </w:pPr>
    <w:r>
      <w:tab/>
      <w:tab/>
    </w:r>
    <w:r>
      <w:rPr/>
      <w:fldChar w:fldCharType="begin" w:fldLock="0"/>
    </w:r>
    <w:r>
      <w:instrText xml:space="preserve"> PAGE </w:instrText>
    </w:r>
    <w:r>
      <w:rPr/>
      <w:fldChar w:fldCharType="separate" w:fldLock="0"/>
    </w:r>
    <w:r>
      <w:t>8</w:t>
    </w:r>
    <w:r>
      <w:rPr/>
      <w:fldChar w:fldCharType="end" w:fldLock="0"/>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rtl w:val="0"/>
          <w:lang w:val="en-US"/>
        </w:rPr>
        <w:t>Due to the brevity of this work I have made no attempt to engage with questions regarding authorship of the fourth  Gospel. I shall simply refer to the author as John.</w:t>
      </w:r>
    </w:p>
  </w:footnote>
  <w:footnote w:id="2">
    <w:p>
      <w:pPr>
        <w:pStyle w:val="Footnote"/>
      </w:pPr>
      <w:r>
        <w:rPr>
          <w:sz w:val="28"/>
          <w:szCs w:val="28"/>
          <w:vertAlign w:val="superscript"/>
        </w:rPr>
        <w:footnoteRef/>
      </w:r>
      <w:r>
        <w:rPr>
          <w:rFonts w:cs="Arial Unicode MS" w:eastAsia="Arial Unicode MS"/>
          <w:rtl w:val="0"/>
          <w:lang w:val="en-US"/>
        </w:rPr>
        <w:t xml:space="preserve">For a useful summary of OT references and allusions throughout GJohn see </w:t>
      </w:r>
      <w:r>
        <w:rPr>
          <w:rFonts w:cs="Arial Unicode MS" w:eastAsia="Arial Unicode MS"/>
          <w:rtl w:val="0"/>
        </w:rPr>
        <w:t>K</w:t>
      </w:r>
      <w:r>
        <w:rPr>
          <w:rFonts w:cs="Arial Unicode MS" w:eastAsia="Arial Unicode MS" w:hint="default"/>
          <w:rtl w:val="0"/>
          <w:lang w:val="sv-SE"/>
        </w:rPr>
        <w:t>ö</w:t>
      </w:r>
      <w:r>
        <w:rPr>
          <w:rFonts w:cs="Arial Unicode MS" w:eastAsia="Arial Unicode MS"/>
          <w:rtl w:val="0"/>
          <w:lang w:val="de-DE"/>
        </w:rPr>
        <w:t>stenberger</w:t>
      </w:r>
      <w:r>
        <w:rPr>
          <w:rFonts w:cs="Arial Unicode MS" w:eastAsia="Arial Unicode MS"/>
          <w:rtl w:val="0"/>
          <w:lang w:val="en-US"/>
        </w:rPr>
        <w:t xml:space="preserve">. A.J. </w:t>
      </w:r>
      <w:r>
        <w:rPr>
          <w:rFonts w:cs="Arial Unicode MS" w:eastAsia="Arial Unicode MS" w:hint="default"/>
          <w:rtl w:val="0"/>
          <w:lang w:val="en-US"/>
        </w:rPr>
        <w:t>“</w:t>
      </w:r>
      <w:r>
        <w:rPr>
          <w:rFonts w:cs="Arial Unicode MS" w:eastAsia="Arial Unicode MS"/>
          <w:rtl w:val="0"/>
          <w:lang w:val="en-US"/>
        </w:rPr>
        <w:t>John</w:t>
      </w:r>
      <w:r>
        <w:rPr>
          <w:rFonts w:cs="Arial Unicode MS" w:eastAsia="Arial Unicode MS" w:hint="default"/>
          <w:rtl w:val="0"/>
          <w:lang w:val="en-US"/>
        </w:rPr>
        <w:t xml:space="preserve">” </w:t>
      </w:r>
      <w:r>
        <w:rPr>
          <w:rFonts w:cs="Arial Unicode MS" w:eastAsia="Arial Unicode MS"/>
          <w:rtl w:val="0"/>
          <w:lang w:val="en-US"/>
        </w:rPr>
        <w:t xml:space="preserve">in Carson, D.A. and Beale, G.K. (eds.) </w:t>
      </w:r>
      <w:r>
        <w:rPr>
          <w:rFonts w:cs="Arial Unicode MS" w:eastAsia="Arial Unicode MS"/>
          <w:i w:val="1"/>
          <w:iCs w:val="1"/>
          <w:rtl w:val="0"/>
          <w:lang w:val="en-US"/>
        </w:rPr>
        <w:t xml:space="preserve">Commentary On The New Testament Use Of The Old Testament </w:t>
      </w:r>
      <w:r>
        <w:rPr>
          <w:rFonts w:cs="Arial Unicode MS" w:eastAsia="Arial Unicode MS"/>
          <w:rtl w:val="0"/>
          <w:lang w:val="en-US"/>
        </w:rPr>
        <w:t>(Grand Rapids: Baker Academic, 2007) pp. 415-512 (pp. 415-420).</w:t>
      </w:r>
    </w:p>
  </w:footnote>
  <w:footnote w:id="3">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rtl w:val="0"/>
          <w:lang w:val="en-US"/>
        </w:rPr>
        <w:t>e.g.</w:t>
      </w:r>
      <w:r>
        <w:rPr>
          <w:rFonts w:cs="Arial Unicode MS" w:eastAsia="Arial Unicode MS"/>
          <w:rtl w:val="0"/>
        </w:rPr>
        <w:t xml:space="preserve"> B</w:t>
      </w:r>
      <w:r>
        <w:rPr>
          <w:rFonts w:cs="Arial Unicode MS" w:eastAsia="Arial Unicode MS"/>
          <w:rtl w:val="0"/>
          <w:lang w:val="en-US"/>
        </w:rPr>
        <w:t>rown</w:t>
      </w:r>
      <w:r>
        <w:rPr>
          <w:rFonts w:cs="Arial Unicode MS" w:eastAsia="Arial Unicode MS"/>
          <w:rtl w:val="0"/>
        </w:rPr>
        <w:t>, J.</w:t>
      </w:r>
      <w:r>
        <w:rPr>
          <w:rFonts w:cs="Arial Unicode MS" w:eastAsia="Arial Unicode MS" w:hint="default"/>
          <w:rtl w:val="0"/>
          <w:lang w:val="en-US"/>
        </w:rPr>
        <w:t xml:space="preserve"> “</w:t>
      </w:r>
      <w:r>
        <w:rPr>
          <w:rFonts w:cs="Arial Unicode MS" w:eastAsia="Arial Unicode MS"/>
          <w:rtl w:val="0"/>
          <w:lang w:val="en-US"/>
        </w:rPr>
        <w:t>Creation's Renewal In T</w:t>
      </w:r>
      <w:r>
        <w:rPr>
          <w:rFonts w:cs="Arial Unicode MS" w:eastAsia="Arial Unicode MS"/>
          <w:rtl w:val="0"/>
          <w:lang w:val="it-IT"/>
        </w:rPr>
        <w:t xml:space="preserve">he Gospel </w:t>
      </w:r>
      <w:r>
        <w:rPr>
          <w:rFonts w:cs="Arial Unicode MS" w:eastAsia="Arial Unicode MS"/>
          <w:rtl w:val="0"/>
          <w:lang w:val="en-US"/>
        </w:rPr>
        <w:t>O</w:t>
      </w:r>
      <w:r>
        <w:rPr>
          <w:rFonts w:cs="Arial Unicode MS" w:eastAsia="Arial Unicode MS"/>
          <w:rtl w:val="0"/>
          <w:lang w:val="de-DE"/>
        </w:rPr>
        <w:t>f John</w:t>
      </w:r>
      <w:r>
        <w:rPr>
          <w:rFonts w:cs="Arial Unicode MS" w:eastAsia="Arial Unicode MS" w:hint="default"/>
          <w:rtl w:val="0"/>
          <w:lang w:val="en-US"/>
        </w:rPr>
        <w:t>”</w:t>
      </w:r>
      <w:r>
        <w:rPr>
          <w:rFonts w:cs="Arial Unicode MS" w:eastAsia="Arial Unicode MS"/>
          <w:rtl w:val="0"/>
        </w:rPr>
        <w:t xml:space="preserve">. </w:t>
      </w:r>
      <w:r>
        <w:rPr>
          <w:rFonts w:cs="Arial Unicode MS" w:eastAsia="Arial Unicode MS"/>
          <w:i w:val="1"/>
          <w:iCs w:val="1"/>
          <w:rtl w:val="0"/>
          <w:lang w:val="en-US"/>
        </w:rPr>
        <w:t>The Catholic Biblical Quarterly,</w:t>
      </w:r>
      <w:r>
        <w:rPr>
          <w:rFonts w:cs="Arial Unicode MS" w:eastAsia="Arial Unicode MS"/>
          <w:rtl w:val="0"/>
        </w:rPr>
        <w:t xml:space="preserve"> </w:t>
      </w:r>
      <w:r>
        <w:rPr>
          <w:rFonts w:cs="Arial Unicode MS" w:eastAsia="Arial Unicode MS"/>
          <w:i w:val="1"/>
          <w:iCs w:val="1"/>
          <w:rtl w:val="0"/>
        </w:rPr>
        <w:t>72</w:t>
      </w:r>
      <w:r>
        <w:rPr>
          <w:rFonts w:cs="Arial Unicode MS" w:eastAsia="Arial Unicode MS"/>
          <w:rtl w:val="0"/>
        </w:rPr>
        <w:t xml:space="preserve">(2), </w:t>
      </w:r>
      <w:r>
        <w:rPr>
          <w:rFonts w:cs="Arial Unicode MS" w:eastAsia="Arial Unicode MS"/>
          <w:rtl w:val="0"/>
          <w:lang w:val="en-US"/>
        </w:rPr>
        <w:t xml:space="preserve">(2010) pp. </w:t>
      </w:r>
      <w:r>
        <w:rPr>
          <w:rFonts w:cs="Arial Unicode MS" w:eastAsia="Arial Unicode MS"/>
          <w:rtl w:val="0"/>
        </w:rPr>
        <w:t>275-290</w:t>
      </w:r>
      <w:r>
        <w:rPr>
          <w:rFonts w:cs="Arial Unicode MS" w:eastAsia="Arial Unicode MS"/>
          <w:rtl w:val="0"/>
          <w:lang w:val="en-US"/>
        </w:rPr>
        <w:t xml:space="preserve"> (p. 277);</w:t>
      </w:r>
      <w:r>
        <w:rPr>
          <w:rFonts w:cs="Arial Unicode MS" w:eastAsia="Arial Unicode MS"/>
          <w:rtl w:val="0"/>
          <w:lang w:val="nl-NL"/>
        </w:rPr>
        <w:t xml:space="preserve"> Coloe, M. L.</w:t>
      </w:r>
      <w:r>
        <w:rPr>
          <w:rFonts w:cs="Arial Unicode MS" w:eastAsia="Arial Unicode MS" w:hint="default"/>
          <w:rtl w:val="0"/>
          <w:lang w:val="en-US"/>
        </w:rPr>
        <w:t>“</w:t>
      </w:r>
      <w:r>
        <w:rPr>
          <w:rFonts w:cs="Arial Unicode MS" w:eastAsia="Arial Unicode MS"/>
          <w:rtl w:val="0"/>
          <w:lang w:val="en-US"/>
        </w:rPr>
        <w:t>Theological Reflections On Creation I</w:t>
      </w:r>
      <w:r>
        <w:rPr>
          <w:rFonts w:cs="Arial Unicode MS" w:eastAsia="Arial Unicode MS"/>
          <w:rtl w:val="0"/>
        </w:rPr>
        <w:t xml:space="preserve">n </w:t>
      </w:r>
      <w:r>
        <w:rPr>
          <w:rFonts w:cs="Arial Unicode MS" w:eastAsia="Arial Unicode MS"/>
          <w:rtl w:val="0"/>
          <w:lang w:val="en-US"/>
        </w:rPr>
        <w:t>T</w:t>
      </w:r>
      <w:r>
        <w:rPr>
          <w:rFonts w:cs="Arial Unicode MS" w:eastAsia="Arial Unicode MS"/>
          <w:rtl w:val="0"/>
          <w:lang w:val="it-IT"/>
        </w:rPr>
        <w:t xml:space="preserve">he Gospel </w:t>
      </w:r>
      <w:r>
        <w:rPr>
          <w:rFonts w:cs="Arial Unicode MS" w:eastAsia="Arial Unicode MS"/>
          <w:rtl w:val="0"/>
          <w:lang w:val="en-US"/>
        </w:rPr>
        <w:t>O</w:t>
      </w:r>
      <w:r>
        <w:rPr>
          <w:rFonts w:cs="Arial Unicode MS" w:eastAsia="Arial Unicode MS"/>
          <w:rtl w:val="0"/>
          <w:lang w:val="de-DE"/>
        </w:rPr>
        <w:t>f John</w:t>
      </w:r>
      <w:r>
        <w:rPr>
          <w:rFonts w:cs="Arial Unicode MS" w:eastAsia="Arial Unicode MS" w:hint="default"/>
          <w:rtl w:val="0"/>
          <w:lang w:val="en-US"/>
        </w:rPr>
        <w:t>”</w:t>
      </w:r>
      <w:r>
        <w:rPr>
          <w:rFonts w:cs="Arial Unicode MS" w:eastAsia="Arial Unicode MS"/>
          <w:rtl w:val="0"/>
        </w:rPr>
        <w:t xml:space="preserve">. </w:t>
      </w:r>
      <w:r>
        <w:rPr>
          <w:rFonts w:cs="Arial Unicode MS" w:eastAsia="Arial Unicode MS"/>
          <w:i w:val="1"/>
          <w:iCs w:val="1"/>
          <w:rtl w:val="0"/>
          <w:lang w:val="it-IT"/>
        </w:rPr>
        <w:t>Pacifica</w:t>
      </w:r>
      <w:r>
        <w:rPr>
          <w:rFonts w:cs="Arial Unicode MS" w:eastAsia="Arial Unicode MS"/>
          <w:rtl w:val="0"/>
        </w:rPr>
        <w:t xml:space="preserve">, </w:t>
      </w:r>
      <w:r>
        <w:rPr>
          <w:rFonts w:cs="Arial Unicode MS" w:eastAsia="Arial Unicode MS"/>
          <w:i w:val="1"/>
          <w:iCs w:val="1"/>
          <w:rtl w:val="0"/>
        </w:rPr>
        <w:t>24</w:t>
      </w:r>
      <w:r>
        <w:rPr>
          <w:rFonts w:cs="Arial Unicode MS" w:eastAsia="Arial Unicode MS"/>
          <w:rtl w:val="0"/>
        </w:rPr>
        <w:t xml:space="preserve">(1), </w:t>
      </w:r>
      <w:r>
        <w:rPr>
          <w:rFonts w:cs="Arial Unicode MS" w:eastAsia="Arial Unicode MS"/>
          <w:rtl w:val="0"/>
          <w:lang w:val="en-US"/>
        </w:rPr>
        <w:t xml:space="preserve">(2011)pp. </w:t>
      </w:r>
      <w:r>
        <w:rPr>
          <w:rFonts w:cs="Arial Unicode MS" w:eastAsia="Arial Unicode MS"/>
          <w:rtl w:val="0"/>
        </w:rPr>
        <w:t>1</w:t>
      </w:r>
      <w:r>
        <w:rPr>
          <w:rFonts w:cs="Arial Unicode MS" w:eastAsia="Arial Unicode MS" w:hint="default"/>
          <w:rtl w:val="0"/>
        </w:rPr>
        <w:t>–</w:t>
      </w:r>
      <w:r>
        <w:rPr>
          <w:rFonts w:cs="Arial Unicode MS" w:eastAsia="Arial Unicode MS"/>
          <w:rtl w:val="0"/>
        </w:rPr>
        <w:t xml:space="preserve">12. </w:t>
      </w:r>
      <w:r>
        <w:rPr>
          <w:rFonts w:cs="Arial Unicode MS" w:eastAsia="Arial Unicode MS"/>
          <w:rtl w:val="0"/>
          <w:lang w:val="en-US"/>
        </w:rPr>
        <w:t>(p. 1);</w:t>
      </w:r>
      <w:r>
        <w:rPr>
          <w:rFonts w:cs="Arial Unicode MS" w:eastAsia="Arial Unicode MS"/>
          <w:rtl w:val="0"/>
        </w:rPr>
        <w:t xml:space="preserve"> </w:t>
      </w:r>
      <w:r>
        <w:rPr>
          <w:rFonts w:cs="Arial Unicode MS" w:eastAsia="Arial Unicode MS"/>
          <w:rtl w:val="0"/>
          <w:lang w:val="en-US"/>
        </w:rPr>
        <w:t xml:space="preserve">Culpepper, R.A. </w:t>
      </w:r>
      <w:r>
        <w:rPr>
          <w:rFonts w:cs="Arial Unicode MS" w:eastAsia="Arial Unicode MS" w:hint="default"/>
          <w:rtl w:val="0"/>
          <w:lang w:val="en-US"/>
        </w:rPr>
        <w:t>“</w:t>
      </w:r>
      <w:r>
        <w:rPr>
          <w:rFonts w:cs="Arial Unicode MS" w:eastAsia="Arial Unicode MS"/>
          <w:rtl w:val="0"/>
          <w:lang w:val="en-US"/>
        </w:rPr>
        <w:t xml:space="preserve">The Prologue As Theological Prolegomenon To The Gospel Of John. In Watt, J.G.V.D., Culpepper, A., Schnelle, U. (eds.) </w:t>
      </w:r>
      <w:r>
        <w:rPr>
          <w:rFonts w:cs="Arial Unicode MS" w:eastAsia="Arial Unicode MS"/>
          <w:i w:val="1"/>
          <w:iCs w:val="1"/>
          <w:rtl w:val="0"/>
          <w:lang w:val="en-US"/>
        </w:rPr>
        <w:t>The Prologue Of The Gospel Of John: Its Literary, Theological, And Philosophical Contexts. Papers Read At The Colloquium Ioanneum 2013</w:t>
      </w:r>
      <w:r>
        <w:rPr>
          <w:rFonts w:cs="Arial Unicode MS" w:eastAsia="Arial Unicode MS"/>
          <w:rtl w:val="0"/>
          <w:lang w:val="en-US"/>
        </w:rPr>
        <w:t>. (Tubingen: Mohr Siebeck, 2016). pp. 3-26</w:t>
      </w:r>
      <w:r>
        <w:rPr>
          <w:rFonts w:cs="Arial Unicode MS" w:eastAsia="Arial Unicode MS"/>
          <w:rtl w:val="0"/>
        </w:rPr>
        <w:t xml:space="preserve"> </w:t>
      </w:r>
      <w:r>
        <w:rPr>
          <w:rFonts w:cs="Arial Unicode MS" w:eastAsia="Arial Unicode MS"/>
          <w:rtl w:val="0"/>
          <w:lang w:val="en-US"/>
        </w:rPr>
        <w:t>(p.5);</w:t>
      </w:r>
      <w:r>
        <w:rPr>
          <w:rFonts w:cs="Arial Unicode MS" w:eastAsia="Arial Unicode MS"/>
          <w:rtl w:val="0"/>
        </w:rPr>
        <w:t xml:space="preserve"> </w:t>
      </w:r>
      <w:r>
        <w:rPr>
          <w:rFonts w:cs="Arial Unicode MS" w:eastAsia="Arial Unicode MS"/>
          <w:rtl w:val="0"/>
          <w:lang w:val="en-US"/>
        </w:rPr>
        <w:t xml:space="preserve">Hays, R.B. </w:t>
      </w:r>
      <w:r>
        <w:rPr>
          <w:rFonts w:cs="Arial Unicode MS" w:eastAsia="Arial Unicode MS"/>
          <w:i w:val="1"/>
          <w:iCs w:val="1"/>
          <w:rtl w:val="0"/>
          <w:lang w:val="en-US"/>
        </w:rPr>
        <w:t xml:space="preserve">Echoes Of Scripture In The Gospels. </w:t>
      </w:r>
      <w:r>
        <w:rPr>
          <w:rFonts w:cs="Arial Unicode MS" w:eastAsia="Arial Unicode MS"/>
          <w:rtl w:val="0"/>
          <w:lang w:val="en-US"/>
        </w:rPr>
        <w:t>(Waco: Baylor University Press, 2016).</w:t>
      </w:r>
      <w:r>
        <w:rPr>
          <w:rFonts w:cs="Arial Unicode MS" w:eastAsia="Arial Unicode MS"/>
          <w:rtl w:val="0"/>
        </w:rPr>
        <w:t xml:space="preserve"> </w:t>
      </w:r>
      <w:r>
        <w:rPr>
          <w:rFonts w:cs="Arial Unicode MS" w:eastAsia="Arial Unicode MS"/>
          <w:rtl w:val="0"/>
          <w:lang w:val="en-US"/>
        </w:rPr>
        <w:t xml:space="preserve">p. 308; </w:t>
      </w:r>
      <w:r>
        <w:rPr>
          <w:rFonts w:cs="Arial Unicode MS" w:eastAsia="Arial Unicode MS"/>
          <w:rtl w:val="0"/>
        </w:rPr>
        <w:t>K</w:t>
      </w:r>
      <w:r>
        <w:rPr>
          <w:rFonts w:cs="Arial Unicode MS" w:eastAsia="Arial Unicode MS" w:hint="default"/>
          <w:rtl w:val="0"/>
          <w:lang w:val="sv-SE"/>
        </w:rPr>
        <w:t>ö</w:t>
      </w:r>
      <w:r>
        <w:rPr>
          <w:rFonts w:cs="Arial Unicode MS" w:eastAsia="Arial Unicode MS"/>
          <w:rtl w:val="0"/>
          <w:lang w:val="de-DE"/>
        </w:rPr>
        <w:t>stenberger</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John</w:t>
      </w:r>
      <w:r>
        <w:rPr>
          <w:rFonts w:cs="Arial Unicode MS" w:eastAsia="Arial Unicode MS" w:hint="default"/>
          <w:rtl w:val="0"/>
          <w:lang w:val="en-US"/>
        </w:rPr>
        <w:t>”</w:t>
      </w:r>
      <w:r>
        <w:rPr>
          <w:rFonts w:cs="Arial Unicode MS" w:eastAsia="Arial Unicode MS"/>
          <w:i w:val="1"/>
          <w:iCs w:val="1"/>
          <w:rtl w:val="0"/>
          <w:lang w:val="en-US"/>
        </w:rPr>
        <w:t xml:space="preserve">, </w:t>
      </w:r>
      <w:r>
        <w:rPr>
          <w:rFonts w:cs="Arial Unicode MS" w:eastAsia="Arial Unicode MS"/>
          <w:rtl w:val="0"/>
          <w:lang w:val="en-US"/>
        </w:rPr>
        <w:t xml:space="preserve">p.421; Menken, M.J.J. </w:t>
      </w:r>
      <w:r>
        <w:rPr>
          <w:rFonts w:cs="Arial Unicode MS" w:eastAsia="Arial Unicode MS" w:hint="default"/>
          <w:rtl w:val="0"/>
          <w:lang w:val="en-US"/>
        </w:rPr>
        <w:t>“</w:t>
      </w:r>
      <w:r>
        <w:rPr>
          <w:rFonts w:cs="Arial Unicode MS" w:eastAsia="Arial Unicode MS"/>
          <w:rtl w:val="0"/>
          <w:lang w:val="en-US"/>
        </w:rPr>
        <w:t>Genesis In John</w:t>
      </w:r>
      <w:r>
        <w:rPr>
          <w:rFonts w:cs="Arial Unicode MS" w:eastAsia="Arial Unicode MS" w:hint="default"/>
          <w:rtl w:val="0"/>
          <w:lang w:val="en-US"/>
        </w:rPr>
        <w:t>’</w:t>
      </w:r>
      <w:r>
        <w:rPr>
          <w:rFonts w:cs="Arial Unicode MS" w:eastAsia="Arial Unicode MS"/>
          <w:rtl w:val="0"/>
          <w:lang w:val="en-US"/>
        </w:rPr>
        <w:t>s Gospel And 1 John</w:t>
      </w:r>
      <w:r>
        <w:rPr>
          <w:rFonts w:cs="Arial Unicode MS" w:eastAsia="Arial Unicode MS" w:hint="default"/>
          <w:rtl w:val="0"/>
          <w:lang w:val="en-US"/>
        </w:rPr>
        <w:t xml:space="preserve">” </w:t>
      </w:r>
      <w:r>
        <w:rPr>
          <w:rFonts w:cs="Arial Unicode MS" w:eastAsia="Arial Unicode MS"/>
          <w:rtl w:val="0"/>
          <w:lang w:val="en-US"/>
        </w:rPr>
        <w:t xml:space="preserve">in Menken M.J.J and Moyise, S. (eds.) </w:t>
      </w:r>
      <w:r>
        <w:rPr>
          <w:rFonts w:cs="Arial Unicode MS" w:eastAsia="Arial Unicode MS"/>
          <w:i w:val="1"/>
          <w:iCs w:val="1"/>
          <w:rtl w:val="0"/>
          <w:lang w:val="en-US"/>
        </w:rPr>
        <w:t xml:space="preserve">Genesis In The New Testament. </w:t>
      </w:r>
      <w:r>
        <w:rPr>
          <w:rFonts w:cs="Arial Unicode MS" w:eastAsia="Arial Unicode MS"/>
          <w:rtl w:val="0"/>
          <w:lang w:val="en-US"/>
        </w:rPr>
        <w:t>(London: T &amp; T Clark., 2012) pp. 83-98.</w:t>
      </w:r>
      <w:r>
        <w:rPr>
          <w:rFonts w:cs="Arial Unicode MS" w:eastAsia="Arial Unicode MS"/>
          <w:rtl w:val="0"/>
        </w:rPr>
        <w:t xml:space="preserve"> </w:t>
      </w:r>
      <w:r>
        <w:rPr>
          <w:rFonts w:cs="Arial Unicode MS" w:eastAsia="Arial Unicode MS"/>
          <w:rtl w:val="0"/>
          <w:lang w:val="en-US"/>
        </w:rPr>
        <w:t>(pp. 88-89).</w:t>
      </w:r>
    </w:p>
  </w:footnote>
  <w:footnote w:id="4">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rtl w:val="0"/>
          <w:lang w:val="en-US"/>
        </w:rPr>
        <w:t>Brown, Creation</w:t>
      </w:r>
      <w:r>
        <w:rPr>
          <w:rFonts w:cs="Arial Unicode MS" w:eastAsia="Arial Unicode MS" w:hint="default"/>
          <w:rtl w:val="0"/>
          <w:lang w:val="en-US"/>
        </w:rPr>
        <w:t>’</w:t>
      </w:r>
      <w:r>
        <w:rPr>
          <w:rFonts w:cs="Arial Unicode MS" w:eastAsia="Arial Unicode MS"/>
          <w:rtl w:val="0"/>
          <w:lang w:val="en-US"/>
        </w:rPr>
        <w:t xml:space="preserve">s Renewal, p. 277; Menken, Genesis, pp. 88-89. </w:t>
      </w:r>
    </w:p>
  </w:footnote>
  <w:footnote w:id="5">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rtl w:val="0"/>
          <w:lang w:val="en-US"/>
        </w:rPr>
        <w:t xml:space="preserve">Siliezar, C.R.S. </w:t>
      </w:r>
      <w:r>
        <w:rPr>
          <w:rFonts w:cs="Arial Unicode MS" w:eastAsia="Arial Unicode MS" w:hint="default"/>
          <w:rtl w:val="0"/>
          <w:lang w:val="en-US"/>
        </w:rPr>
        <w:t>“</w:t>
      </w:r>
      <w:r>
        <w:rPr>
          <w:rFonts w:cs="Arial Unicode MS" w:eastAsia="Arial Unicode MS"/>
          <w:rtl w:val="0"/>
          <w:lang w:val="en-US"/>
        </w:rPr>
        <w:t>The Place And Significance Of Creation Imagery In The Gospel Of John</w:t>
      </w:r>
      <w:r>
        <w:rPr>
          <w:rFonts w:cs="Arial Unicode MS" w:eastAsia="Arial Unicode MS" w:hint="default"/>
          <w:rtl w:val="0"/>
          <w:lang w:val="en-US"/>
        </w:rPr>
        <w:t>”</w:t>
      </w:r>
      <w:r>
        <w:rPr>
          <w:rFonts w:cs="Arial Unicode MS" w:eastAsia="Arial Unicode MS"/>
          <w:rtl w:val="0"/>
          <w:lang w:val="en-US"/>
        </w:rPr>
        <w:t>, PhD Thesis, University of Edinburgh, 2014. pp. 32-33.</w:t>
      </w:r>
    </w:p>
  </w:footnote>
  <w:footnote w:id="6">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rtl w:val="0"/>
          <w:lang w:val="en-US"/>
        </w:rPr>
        <w:t>e.g. Jer 26:1; Judges 20:18; Ruth 1:22; Isa 51:9 (LXX). For an in depth analysis of</w:t>
      </w:r>
      <w:r>
        <w:rPr>
          <w:rFonts w:cs="Arial Unicode MS" w:eastAsia="Arial Unicode MS" w:hint="default"/>
          <w:rtl w:val="0"/>
        </w:rPr>
        <w:t xml:space="preserve"> ἐν ἀρχῇ</w:t>
      </w:r>
      <w:r>
        <w:rPr>
          <w:rFonts w:cs="Arial Unicode MS" w:eastAsia="Arial Unicode MS"/>
          <w:rtl w:val="0"/>
          <w:lang w:val="en-US"/>
        </w:rPr>
        <w:t xml:space="preserve"> in the OT see Siliezar, Creation Imagery, p.42.</w:t>
      </w:r>
    </w:p>
  </w:footnote>
  <w:footnote w:id="7">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rtl w:val="0"/>
          <w:lang w:val="en-US"/>
        </w:rPr>
        <w:t xml:space="preserve">Culpepper, The Prologue, p.5; Wright, N.T. </w:t>
      </w:r>
      <w:r>
        <w:rPr>
          <w:rFonts w:cs="Arial Unicode MS" w:eastAsia="Arial Unicode MS"/>
          <w:i w:val="1"/>
          <w:iCs w:val="1"/>
          <w:rtl w:val="0"/>
          <w:lang w:val="en-US"/>
        </w:rPr>
        <w:t>Scripture And The Authority Of God.</w:t>
      </w:r>
      <w:r>
        <w:rPr>
          <w:rFonts w:cs="Arial Unicode MS" w:eastAsia="Arial Unicode MS"/>
          <w:rtl w:val="0"/>
          <w:lang w:val="en-US"/>
        </w:rPr>
        <w:t xml:space="preserve"> (London: SPCK, 2005) p. 38.</w:t>
      </w:r>
    </w:p>
  </w:footnote>
  <w:footnote w:id="8">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rtl w:val="0"/>
          <w:lang w:val="en-US"/>
        </w:rPr>
        <w:t>Coloe, Theological Reflections, p. 4.</w:t>
      </w:r>
    </w:p>
  </w:footnote>
  <w:footnote w:id="9">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rtl w:val="0"/>
          <w:lang w:val="en-US"/>
        </w:rPr>
        <w:t xml:space="preserve"> </w:t>
      </w:r>
      <w:r>
        <w:rPr>
          <w:rFonts w:cs="Arial Unicode MS" w:eastAsia="Arial Unicode MS"/>
          <w:rtl w:val="0"/>
        </w:rPr>
        <w:t>K</w:t>
      </w:r>
      <w:r>
        <w:rPr>
          <w:rFonts w:cs="Arial Unicode MS" w:eastAsia="Arial Unicode MS" w:hint="default"/>
          <w:rtl w:val="0"/>
          <w:lang w:val="sv-SE"/>
        </w:rPr>
        <w:t>ö</w:t>
      </w:r>
      <w:r>
        <w:rPr>
          <w:rFonts w:cs="Arial Unicode MS" w:eastAsia="Arial Unicode MS"/>
          <w:rtl w:val="0"/>
          <w:lang w:val="de-DE"/>
        </w:rPr>
        <w:t>stenberger</w:t>
      </w:r>
      <w:r>
        <w:rPr>
          <w:rFonts w:cs="Arial Unicode MS" w:eastAsia="Arial Unicode MS"/>
          <w:rtl w:val="0"/>
          <w:lang w:val="en-US"/>
        </w:rPr>
        <w:t>, John, p. 421; Brown, Creation</w:t>
      </w:r>
      <w:r>
        <w:rPr>
          <w:rFonts w:cs="Arial Unicode MS" w:eastAsia="Arial Unicode MS" w:hint="default"/>
          <w:rtl w:val="0"/>
          <w:lang w:val="en-US"/>
        </w:rPr>
        <w:t>’</w:t>
      </w:r>
      <w:r>
        <w:rPr>
          <w:rFonts w:cs="Arial Unicode MS" w:eastAsia="Arial Unicode MS"/>
          <w:rtl w:val="0"/>
          <w:lang w:val="en-US"/>
        </w:rPr>
        <w:t>s Renewal, p. 277.</w:t>
      </w:r>
    </w:p>
  </w:footnote>
  <w:footnote w:id="10">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rtl w:val="0"/>
          <w:lang w:val="en-US"/>
        </w:rPr>
        <w:t xml:space="preserve">Hays, </w:t>
      </w:r>
      <w:r>
        <w:rPr>
          <w:rFonts w:cs="Arial Unicode MS" w:eastAsia="Arial Unicode MS"/>
          <w:i w:val="1"/>
          <w:iCs w:val="1"/>
          <w:rtl w:val="0"/>
          <w:lang w:val="en-US"/>
        </w:rPr>
        <w:t xml:space="preserve">Echoes, </w:t>
      </w:r>
      <w:r>
        <w:rPr>
          <w:rFonts w:cs="Arial Unicode MS" w:eastAsia="Arial Unicode MS"/>
          <w:rtl w:val="0"/>
          <w:lang w:val="en-US"/>
        </w:rPr>
        <w:t>p.309.</w:t>
      </w:r>
    </w:p>
  </w:footnote>
  <w:footnote w:id="11">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rtl w:val="0"/>
          <w:lang w:val="en-US"/>
        </w:rPr>
        <w:t>Menknen, Genesis, p. 84.</w:t>
      </w:r>
    </w:p>
  </w:footnote>
  <w:footnote w:id="12">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rtl w:val="0"/>
          <w:lang w:val="en-US"/>
        </w:rPr>
        <w:t>For an in depth critique of Coloe</w:t>
      </w:r>
      <w:r>
        <w:rPr>
          <w:rFonts w:cs="Arial Unicode MS" w:eastAsia="Arial Unicode MS" w:hint="default"/>
          <w:rtl w:val="0"/>
          <w:lang w:val="en-US"/>
        </w:rPr>
        <w:t>’</w:t>
      </w:r>
      <w:r>
        <w:rPr>
          <w:rFonts w:cs="Arial Unicode MS" w:eastAsia="Arial Unicode MS"/>
          <w:rtl w:val="0"/>
          <w:lang w:val="en-US"/>
        </w:rPr>
        <w:t xml:space="preserve">s theory see </w:t>
      </w:r>
      <w:r>
        <w:rPr>
          <w:rFonts w:cs="Arial Unicode MS" w:eastAsia="Arial Unicode MS"/>
          <w:rtl w:val="0"/>
        </w:rPr>
        <w:t>Siliezar</w:t>
      </w:r>
      <w:r>
        <w:rPr>
          <w:rFonts w:cs="Arial Unicode MS" w:eastAsia="Arial Unicode MS"/>
          <w:rtl w:val="0"/>
          <w:lang w:val="en-US"/>
        </w:rPr>
        <w:t>, Creation Imagery, p. 45.</w:t>
      </w:r>
    </w:p>
  </w:footnote>
  <w:footnote w:id="13">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rtl w:val="0"/>
          <w:lang w:val="en-US"/>
        </w:rPr>
        <w:t>Siliezar, Creation Imagery, pp. 201-205.</w:t>
      </w:r>
    </w:p>
  </w:footnote>
  <w:footnote w:id="14">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rtl w:val="0"/>
          <w:lang w:val="en-US"/>
        </w:rPr>
        <w:t xml:space="preserve">Hays, </w:t>
      </w:r>
      <w:r>
        <w:rPr>
          <w:rFonts w:cs="Arial Unicode MS" w:eastAsia="Arial Unicode MS"/>
          <w:i w:val="1"/>
          <w:iCs w:val="1"/>
          <w:rtl w:val="0"/>
          <w:lang w:val="en-US"/>
        </w:rPr>
        <w:t>Echoes</w:t>
      </w:r>
      <w:r>
        <w:rPr>
          <w:rFonts w:cs="Arial Unicode MS" w:eastAsia="Arial Unicode MS"/>
          <w:rtl w:val="0"/>
          <w:lang w:val="en-US"/>
        </w:rPr>
        <w:t>, p.310.</w:t>
      </w:r>
    </w:p>
  </w:footnote>
  <w:footnote w:id="15">
    <w:p>
      <w:pPr>
        <w:pStyle w:val="Footnote"/>
      </w:pPr>
      <w:r>
        <w:rPr>
          <w:sz w:val="28"/>
          <w:szCs w:val="28"/>
          <w:vertAlign w:val="superscript"/>
        </w:rPr>
        <w:footnoteRef/>
      </w:r>
      <w:r>
        <w:rPr>
          <w:rFonts w:cs="Arial Unicode MS" w:eastAsia="Arial Unicode MS"/>
          <w:rtl w:val="0"/>
          <w:lang w:val="en-US"/>
        </w:rPr>
        <w:t>Siliezar, Creation Imagery, p.161</w:t>
      </w:r>
    </w:p>
  </w:footnote>
  <w:footnote w:id="16">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i w:val="1"/>
          <w:iCs w:val="1"/>
          <w:rtl w:val="0"/>
          <w:lang w:val="en-US"/>
        </w:rPr>
        <w:t>Ibid</w:t>
      </w:r>
      <w:r>
        <w:rPr>
          <w:rFonts w:cs="Arial Unicode MS" w:eastAsia="Arial Unicode MS"/>
          <w:rtl w:val="0"/>
          <w:lang w:val="en-US"/>
        </w:rPr>
        <w:t>. pp.169-170.</w:t>
      </w:r>
    </w:p>
  </w:footnote>
  <w:footnote w:id="17">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rtl w:val="0"/>
          <w:lang w:val="en-US"/>
        </w:rPr>
        <w:t>Menken, Genesis, p. 91</w:t>
      </w:r>
    </w:p>
  </w:footnote>
  <w:footnote w:id="18">
    <w:p>
      <w:pPr>
        <w:pStyle w:val="Footnote"/>
      </w:pPr>
      <w:r>
        <w:rPr>
          <w:sz w:val="28"/>
          <w:szCs w:val="28"/>
          <w:vertAlign w:val="superscript"/>
        </w:rPr>
        <w:footnoteRef/>
      </w:r>
      <w:r>
        <w:rPr>
          <w:rFonts w:cs="Arial Unicode MS" w:eastAsia="Arial Unicode MS"/>
          <w:rtl w:val="0"/>
        </w:rPr>
        <w:t xml:space="preserve"> K</w:t>
      </w:r>
      <w:r>
        <w:rPr>
          <w:rFonts w:cs="Arial Unicode MS" w:eastAsia="Arial Unicode MS" w:hint="default"/>
          <w:rtl w:val="0"/>
          <w:lang w:val="sv-SE"/>
        </w:rPr>
        <w:t>ö</w:t>
      </w:r>
      <w:r>
        <w:rPr>
          <w:rFonts w:cs="Arial Unicode MS" w:eastAsia="Arial Unicode MS"/>
          <w:rtl w:val="0"/>
          <w:lang w:val="de-DE"/>
        </w:rPr>
        <w:t>stenberger,</w:t>
      </w:r>
      <w:r>
        <w:rPr>
          <w:rFonts w:cs="Arial Unicode MS" w:eastAsia="Arial Unicode MS"/>
          <w:rtl w:val="0"/>
          <w:lang w:val="en-US"/>
        </w:rPr>
        <w:t xml:space="preserve"> John, p. 506.</w:t>
      </w:r>
    </w:p>
  </w:footnote>
  <w:footnote w:id="19">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rtl w:val="0"/>
          <w:lang w:val="en-US"/>
        </w:rPr>
        <w:t>Brown, Creation</w:t>
      </w:r>
      <w:r>
        <w:rPr>
          <w:rFonts w:cs="Arial Unicode MS" w:eastAsia="Arial Unicode MS" w:hint="default"/>
          <w:rtl w:val="0"/>
          <w:lang w:val="en-US"/>
        </w:rPr>
        <w:t>’</w:t>
      </w:r>
      <w:r>
        <w:rPr>
          <w:rFonts w:cs="Arial Unicode MS" w:eastAsia="Arial Unicode MS"/>
          <w:rtl w:val="0"/>
          <w:lang w:val="en-US"/>
        </w:rPr>
        <w:t>s Renewal, pp. 279-282; Coloe, Theological Reflections, pp.8-9.</w:t>
      </w:r>
    </w:p>
  </w:footnote>
  <w:footnote w:id="20">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rtl w:val="0"/>
          <w:lang w:val="en-US"/>
        </w:rPr>
        <w:t>Brown, Creation</w:t>
      </w:r>
      <w:r>
        <w:rPr>
          <w:rFonts w:cs="Arial Unicode MS" w:eastAsia="Arial Unicode MS" w:hint="default"/>
          <w:rtl w:val="0"/>
          <w:lang w:val="en-US"/>
        </w:rPr>
        <w:t>’</w:t>
      </w:r>
      <w:r>
        <w:rPr>
          <w:rFonts w:cs="Arial Unicode MS" w:eastAsia="Arial Unicode MS"/>
          <w:rtl w:val="0"/>
          <w:lang w:val="en-US"/>
        </w:rPr>
        <w:t>s Renewal, p.281</w:t>
      </w:r>
    </w:p>
  </w:footnote>
  <w:footnote w:id="21">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rtl w:val="0"/>
          <w:lang w:val="en-US"/>
        </w:rPr>
        <w:t>Coloe, Theological Reflections, p.8.</w:t>
      </w:r>
    </w:p>
  </w:footnote>
  <w:footnote w:id="22">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rtl w:val="0"/>
          <w:lang w:val="en-US"/>
        </w:rPr>
        <w:t>Siliezar, Creation Imagery, p. 183.</w:t>
      </w:r>
    </w:p>
  </w:footnote>
  <w:footnote w:id="23">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i w:val="1"/>
          <w:iCs w:val="1"/>
          <w:rtl w:val="0"/>
          <w:lang w:val="en-US"/>
        </w:rPr>
        <w:t>Ibid</w:t>
      </w:r>
      <w:r>
        <w:rPr>
          <w:rFonts w:cs="Arial Unicode MS" w:eastAsia="Arial Unicode MS"/>
          <w:rtl w:val="0"/>
          <w:lang w:val="en-US"/>
        </w:rPr>
        <w:t>. p.187.</w:t>
      </w:r>
    </w:p>
  </w:footnote>
  <w:footnote w:id="24">
    <w:p>
      <w:pPr>
        <w:pStyle w:val="Footnote"/>
      </w:pPr>
      <w:r>
        <w:rPr>
          <w:sz w:val="28"/>
          <w:szCs w:val="28"/>
          <w:vertAlign w:val="superscript"/>
        </w:rPr>
        <w:footnoteRef/>
      </w:r>
      <w:r>
        <w:rPr>
          <w:rFonts w:cs="Arial Unicode MS" w:eastAsia="Arial Unicode MS"/>
          <w:rtl w:val="0"/>
        </w:rPr>
        <w:t xml:space="preserve"> </w:t>
      </w:r>
      <w:r>
        <w:rPr>
          <w:rFonts w:cs="Arial Unicode MS" w:eastAsia="Arial Unicode MS"/>
          <w:rtl w:val="0"/>
          <w:lang w:val="en-US"/>
        </w:rPr>
        <w:t>Coloe, Theological Reflections, p.5. See also Brown, Creations</w:t>
      </w:r>
      <w:r>
        <w:rPr>
          <w:rFonts w:cs="Arial Unicode MS" w:eastAsia="Arial Unicode MS" w:hint="default"/>
          <w:rtl w:val="0"/>
          <w:lang w:val="en-US"/>
        </w:rPr>
        <w:t xml:space="preserve">’ </w:t>
      </w:r>
      <w:r>
        <w:rPr>
          <w:rFonts w:cs="Arial Unicode MS" w:eastAsia="Arial Unicode MS"/>
          <w:rtl w:val="0"/>
          <w:lang w:val="en-US"/>
        </w:rPr>
        <w:t xml:space="preserve">Renewal, p. 279. Surprisingly, despite thorough treatments of the topic, neither Hays nor </w:t>
      </w:r>
      <w:r>
        <w:rPr>
          <w:rFonts w:cs="Arial Unicode MS" w:eastAsia="Arial Unicode MS"/>
          <w:rtl w:val="0"/>
        </w:rPr>
        <w:t>K</w:t>
      </w:r>
      <w:r>
        <w:rPr>
          <w:rFonts w:cs="Arial Unicode MS" w:eastAsia="Arial Unicode MS" w:hint="default"/>
          <w:rtl w:val="0"/>
          <w:lang w:val="sv-SE"/>
        </w:rPr>
        <w:t>ö</w:t>
      </w:r>
      <w:r>
        <w:rPr>
          <w:rFonts w:cs="Arial Unicode MS" w:eastAsia="Arial Unicode MS"/>
          <w:rtl w:val="0"/>
          <w:lang w:val="de-DE"/>
        </w:rPr>
        <w:t>stenberger</w:t>
      </w:r>
      <w:r>
        <w:rPr>
          <w:rFonts w:cs="Arial Unicode MS" w:eastAsia="Arial Unicode MS"/>
          <w:rtl w:val="0"/>
          <w:lang w:val="en-US"/>
        </w:rPr>
        <w:t xml:space="preserve"> refer to the garden in Jn 20 as a possible allusion to Genesis 2.</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Baskerville" w:cs="Arial Unicode MS" w:hAnsi="Baskerville" w:eastAsia="Arial Unicode MS"/>
      <w:b w:val="0"/>
      <w:bCs w:val="0"/>
      <w:i w:val="0"/>
      <w:iCs w:val="0"/>
      <w:caps w:val="1"/>
      <w:strike w:val="0"/>
      <w:dstrike w:val="0"/>
      <w:outline w:val="0"/>
      <w:color w:val="000000"/>
      <w:spacing w:val="0"/>
      <w:kern w:val="0"/>
      <w:position w:val="0"/>
      <w:sz w:val="20"/>
      <w:szCs w:val="20"/>
      <w:u w:val="none" w:color="000000"/>
      <w:vertAlign w:val="baseline"/>
    </w:rPr>
  </w:style>
  <w:style w:type="paragraph" w:styleId="Heading">
    <w:name w:val="Heading"/>
    <w:next w:val="Heading"/>
    <w:pPr>
      <w:keepNext w:val="0"/>
      <w:keepLines w:val="0"/>
      <w:pageBreakBefore w:val="0"/>
      <w:widowControl w:val="1"/>
      <w:shd w:val="clear" w:color="auto" w:fill="auto"/>
      <w:suppressAutoHyphens w:val="0"/>
      <w:bidi w:val="0"/>
      <w:spacing w:before="0" w:after="0" w:line="312" w:lineRule="auto"/>
      <w:ind w:left="0" w:right="0" w:firstLine="0"/>
      <w:jc w:val="left"/>
      <w:outlineLvl w:val="0"/>
    </w:pPr>
    <w:rPr>
      <w:rFonts w:ascii="Baskerville" w:cs="Arial Unicode MS" w:hAnsi="Baskerville" w:eastAsia="Arial Unicode MS"/>
      <w:b w:val="0"/>
      <w:bCs w:val="0"/>
      <w:i w:val="0"/>
      <w:iCs w:val="0"/>
      <w:caps w:val="0"/>
      <w:smallCaps w:val="0"/>
      <w:strike w:val="0"/>
      <w:dstrike w:val="0"/>
      <w:outline w:val="0"/>
      <w:color w:val="000000"/>
      <w:spacing w:val="0"/>
      <w:kern w:val="0"/>
      <w:position w:val="0"/>
      <w:sz w:val="26"/>
      <w:szCs w:val="26"/>
      <w:u w:val="none" w:color="000000"/>
      <w:vertAlign w:val="baseline"/>
      <w:lang w:val="en-US"/>
    </w:rPr>
  </w:style>
  <w:style w:type="paragraph" w:styleId="Subtitle">
    <w:name w:val="Subtitle"/>
    <w:next w:val="Subtitle"/>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Baskerville" w:cs="Arial Unicode MS" w:hAnsi="Baskerville" w:eastAsia="Arial Unicode MS"/>
      <w:b w:val="0"/>
      <w:bCs w:val="0"/>
      <w:i w:val="0"/>
      <w:iCs w:val="0"/>
      <w:caps w:val="0"/>
      <w:smallCaps w:val="0"/>
      <w:strike w:val="0"/>
      <w:dstrike w:val="0"/>
      <w:outline w:val="0"/>
      <w:color w:val="dc5921"/>
      <w:spacing w:val="6"/>
      <w:kern w:val="0"/>
      <w:position w:val="0"/>
      <w:sz w:val="64"/>
      <w:szCs w:val="64"/>
      <w:u w:val="none" w:color="dc5921"/>
      <w:vertAlign w:val="baseline"/>
      <w:lang w:val="en-US"/>
    </w:rPr>
  </w:style>
  <w:style w:type="paragraph" w:styleId="Subheading">
    <w:name w:val="Subheading"/>
    <w:next w:val="Subheading"/>
    <w:pPr>
      <w:keepNext w:val="0"/>
      <w:keepLines w:val="0"/>
      <w:pageBreakBefore w:val="0"/>
      <w:widowControl w:val="1"/>
      <w:shd w:val="clear" w:color="auto" w:fill="auto"/>
      <w:suppressAutoHyphens w:val="0"/>
      <w:bidi w:val="0"/>
      <w:spacing w:before="0" w:after="160" w:line="240" w:lineRule="auto"/>
      <w:ind w:left="0" w:right="0" w:firstLine="0"/>
      <w:jc w:val="center"/>
      <w:outlineLvl w:val="0"/>
    </w:pPr>
    <w:rPr>
      <w:rFonts w:ascii="Baskerville" w:cs="Baskerville" w:hAnsi="Baskerville" w:eastAsia="Baskerville"/>
      <w:b w:val="0"/>
      <w:bCs w:val="0"/>
      <w:i w:val="0"/>
      <w:iCs w:val="0"/>
      <w:caps w:val="0"/>
      <w:smallCaps w:val="0"/>
      <w:strike w:val="0"/>
      <w:dstrike w:val="0"/>
      <w:outline w:val="0"/>
      <w:color w:val="5b422a"/>
      <w:spacing w:val="0"/>
      <w:kern w:val="0"/>
      <w:position w:val="0"/>
      <w:sz w:val="36"/>
      <w:szCs w:val="36"/>
      <w:u w:val="none" w:color="5b422a"/>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360" w:lineRule="auto"/>
      <w:ind w:left="0" w:right="0" w:firstLine="540"/>
      <w:jc w:val="left"/>
      <w:outlineLvl w:val="9"/>
    </w:pPr>
    <w:rPr>
      <w:rFonts w:ascii="Baskerville" w:cs="Baskerville" w:hAnsi="Baskerville" w:eastAsia="Baskerville"/>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Footnote">
    <w:name w:val="Footnote"/>
    <w:next w:val="Footnote"/>
    <w:pPr>
      <w:keepNext w:val="0"/>
      <w:keepLines w:val="0"/>
      <w:pageBreakBefore w:val="0"/>
      <w:widowControl w:val="1"/>
      <w:shd w:val="clear" w:color="auto" w:fill="auto"/>
      <w:suppressAutoHyphens w:val="0"/>
      <w:bidi w:val="0"/>
      <w:spacing w:before="0" w:after="200" w:line="240" w:lineRule="auto"/>
      <w:ind w:left="0" w:right="0" w:firstLine="0"/>
      <w:jc w:val="left"/>
      <w:outlineLvl w:val="9"/>
    </w:pPr>
    <w:rPr>
      <w:rFonts w:ascii="Baskerville" w:cs="Baskerville" w:hAnsi="Baskerville" w:eastAsia="Baskerville"/>
      <w:b w:val="0"/>
      <w:bCs w:val="0"/>
      <w:i w:val="0"/>
      <w:iCs w:val="0"/>
      <w:caps w:val="0"/>
      <w:smallCaps w:val="0"/>
      <w:strike w:val="0"/>
      <w:dstrike w:val="0"/>
      <w:outline w:val="0"/>
      <w:color w:val="434343"/>
      <w:spacing w:val="0"/>
      <w:kern w:val="0"/>
      <w:position w:val="0"/>
      <w:sz w:val="20"/>
      <w:szCs w:val="20"/>
      <w:u w:val="none" w:color="434343"/>
      <w:vertAlign w:val="baseli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4_Essay">
  <a:themeElements>
    <a:clrScheme name="04_Essay">
      <a:dk1>
        <a:srgbClr val="000000"/>
      </a:dk1>
      <a:lt1>
        <a:srgbClr val="FFFFFF"/>
      </a:lt1>
      <a:dk2>
        <a:srgbClr val="A7A7A7"/>
      </a:dk2>
      <a:lt2>
        <a:srgbClr val="535353"/>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Helvetica Neue"/>
        <a:ea typeface="Helvetica Neue"/>
        <a:cs typeface="Helvetica Neue"/>
      </a:majorFont>
      <a:minorFont>
        <a:latin typeface="Baskerville"/>
        <a:ea typeface="Baskerville"/>
        <a:cs typeface="Baskerville"/>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Baskerville SemiBold"/>
            <a:ea typeface="Baskerville SemiBold"/>
            <a:cs typeface="Baskerville SemiBold"/>
            <a:sym typeface="Baskerville SemiBold"/>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Baskerville SemiBold"/>
            <a:ea typeface="Baskerville SemiBold"/>
            <a:cs typeface="Baskerville SemiBold"/>
            <a:sym typeface="Baskerville SemiBold"/>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