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9D1DB7" w14:textId="77777777" w:rsidR="00B67A04" w:rsidRDefault="00B67A04">
      <w:pPr>
        <w:jc w:val="center"/>
        <w:rPr>
          <w:b/>
          <w:bCs/>
          <w:sz w:val="32"/>
          <w:szCs w:val="32"/>
        </w:rPr>
      </w:pPr>
    </w:p>
    <w:p w14:paraId="2A89D757" w14:textId="77777777" w:rsidR="00B67A04" w:rsidRDefault="00B67A04">
      <w:pPr>
        <w:jc w:val="center"/>
        <w:rPr>
          <w:b/>
          <w:bCs/>
          <w:sz w:val="32"/>
          <w:szCs w:val="32"/>
        </w:rPr>
      </w:pPr>
    </w:p>
    <w:p w14:paraId="0516E0A1" w14:textId="77777777" w:rsidR="00B67A04" w:rsidRDefault="00B67A04">
      <w:pPr>
        <w:jc w:val="center"/>
        <w:rPr>
          <w:b/>
          <w:bCs/>
          <w:sz w:val="32"/>
          <w:szCs w:val="32"/>
        </w:rPr>
      </w:pPr>
    </w:p>
    <w:p w14:paraId="59B4208E" w14:textId="77777777" w:rsidR="00B67A04" w:rsidRDefault="00B67A04">
      <w:pPr>
        <w:jc w:val="center"/>
        <w:rPr>
          <w:b/>
          <w:bCs/>
          <w:sz w:val="32"/>
          <w:szCs w:val="32"/>
        </w:rPr>
      </w:pPr>
    </w:p>
    <w:p w14:paraId="6E51DDE5" w14:textId="77777777" w:rsidR="00B67A04" w:rsidRDefault="007D292E">
      <w:pPr>
        <w:jc w:val="center"/>
        <w:rPr>
          <w:b/>
          <w:bCs/>
          <w:sz w:val="32"/>
          <w:szCs w:val="32"/>
        </w:rPr>
      </w:pPr>
      <w:r>
        <w:rPr>
          <w:b/>
          <w:bCs/>
          <w:sz w:val="32"/>
          <w:szCs w:val="32"/>
        </w:rPr>
        <w:t>BA (Hons) Business Management</w:t>
      </w:r>
    </w:p>
    <w:p w14:paraId="55BA9320" w14:textId="77777777" w:rsidR="00B67A04" w:rsidRDefault="00B67A04">
      <w:pPr>
        <w:jc w:val="center"/>
        <w:rPr>
          <w:b/>
          <w:bCs/>
          <w:sz w:val="32"/>
          <w:szCs w:val="32"/>
        </w:rPr>
      </w:pPr>
    </w:p>
    <w:p w14:paraId="71AB130E" w14:textId="77777777" w:rsidR="00B67A04" w:rsidRDefault="007D292E">
      <w:pPr>
        <w:jc w:val="center"/>
        <w:rPr>
          <w:b/>
          <w:bCs/>
          <w:sz w:val="32"/>
          <w:szCs w:val="32"/>
        </w:rPr>
      </w:pPr>
      <w:r>
        <w:rPr>
          <w:b/>
          <w:bCs/>
          <w:sz w:val="32"/>
          <w:szCs w:val="32"/>
        </w:rPr>
        <w:t>Stakeholder Engagement</w:t>
      </w:r>
    </w:p>
    <w:p w14:paraId="4B06F785" w14:textId="77777777" w:rsidR="00B67A04" w:rsidRDefault="00B67A04">
      <w:pPr>
        <w:jc w:val="center"/>
        <w:rPr>
          <w:b/>
          <w:bCs/>
          <w:sz w:val="32"/>
          <w:szCs w:val="32"/>
        </w:rPr>
      </w:pPr>
    </w:p>
    <w:p w14:paraId="655297D5" w14:textId="77777777" w:rsidR="00B67A04" w:rsidRDefault="007D292E">
      <w:pPr>
        <w:jc w:val="center"/>
        <w:rPr>
          <w:b/>
          <w:bCs/>
          <w:sz w:val="32"/>
          <w:szCs w:val="32"/>
        </w:rPr>
      </w:pPr>
      <w:r>
        <w:rPr>
          <w:b/>
          <w:bCs/>
          <w:sz w:val="32"/>
          <w:szCs w:val="32"/>
        </w:rPr>
        <w:t>LCBB4013</w:t>
      </w:r>
    </w:p>
    <w:p w14:paraId="2C97C383" w14:textId="77777777" w:rsidR="00B67A04" w:rsidRDefault="00B67A04">
      <w:pPr>
        <w:jc w:val="center"/>
        <w:rPr>
          <w:b/>
          <w:bCs/>
          <w:sz w:val="32"/>
          <w:szCs w:val="32"/>
        </w:rPr>
      </w:pPr>
    </w:p>
    <w:p w14:paraId="5534391A" w14:textId="77777777" w:rsidR="00B67A04" w:rsidRDefault="007D292E">
      <w:pPr>
        <w:jc w:val="center"/>
        <w:rPr>
          <w:b/>
          <w:bCs/>
          <w:sz w:val="32"/>
          <w:szCs w:val="32"/>
        </w:rPr>
      </w:pPr>
      <w:r>
        <w:rPr>
          <w:b/>
          <w:bCs/>
          <w:sz w:val="32"/>
          <w:szCs w:val="32"/>
        </w:rPr>
        <w:t>Component 1: Coursework-Portfolio (4 elements)</w:t>
      </w:r>
    </w:p>
    <w:p w14:paraId="4F7F8358" w14:textId="77777777" w:rsidR="00B67A04" w:rsidRDefault="00B67A04">
      <w:pPr>
        <w:jc w:val="center"/>
        <w:rPr>
          <w:b/>
          <w:bCs/>
          <w:sz w:val="32"/>
          <w:szCs w:val="32"/>
        </w:rPr>
      </w:pPr>
    </w:p>
    <w:p w14:paraId="69DEAC32" w14:textId="77777777" w:rsidR="00B67A04" w:rsidRDefault="007D292E">
      <w:pPr>
        <w:jc w:val="center"/>
        <w:rPr>
          <w:b/>
          <w:bCs/>
          <w:sz w:val="32"/>
          <w:szCs w:val="32"/>
        </w:rPr>
      </w:pPr>
      <w:r>
        <w:rPr>
          <w:b/>
          <w:bCs/>
          <w:sz w:val="32"/>
          <w:szCs w:val="32"/>
        </w:rPr>
        <w:t xml:space="preserve">Chosen local infrastructure project: Housing Redevelopment: </w:t>
      </w:r>
      <w:proofErr w:type="spellStart"/>
      <w:r>
        <w:rPr>
          <w:b/>
          <w:bCs/>
          <w:sz w:val="32"/>
          <w:szCs w:val="32"/>
        </w:rPr>
        <w:t>Tempsford</w:t>
      </w:r>
      <w:proofErr w:type="spellEnd"/>
      <w:r>
        <w:rPr>
          <w:b/>
          <w:bCs/>
          <w:sz w:val="32"/>
          <w:szCs w:val="32"/>
        </w:rPr>
        <w:t xml:space="preserve"> New Town project</w:t>
      </w:r>
    </w:p>
    <w:p w14:paraId="1E80E337" w14:textId="77777777" w:rsidR="00B67A04" w:rsidRDefault="00B67A04">
      <w:pPr>
        <w:jc w:val="center"/>
        <w:rPr>
          <w:b/>
          <w:bCs/>
          <w:sz w:val="32"/>
          <w:szCs w:val="32"/>
        </w:rPr>
      </w:pPr>
    </w:p>
    <w:p w14:paraId="519981C8" w14:textId="0E4A1D55" w:rsidR="00B67A04" w:rsidRDefault="007D292E">
      <w:pPr>
        <w:jc w:val="center"/>
        <w:rPr>
          <w:b/>
          <w:bCs/>
        </w:rPr>
      </w:pPr>
      <w:r>
        <w:rPr>
          <w:b/>
          <w:bCs/>
        </w:rPr>
        <w:t>Student Name:</w:t>
      </w:r>
      <w:r w:rsidR="00817626">
        <w:rPr>
          <w:b/>
          <w:bCs/>
        </w:rPr>
        <w:t xml:space="preserve"> </w:t>
      </w:r>
      <w:proofErr w:type="spellStart"/>
      <w:r w:rsidR="00817626">
        <w:rPr>
          <w:b/>
          <w:bCs/>
        </w:rPr>
        <w:t>Rares</w:t>
      </w:r>
      <w:proofErr w:type="spellEnd"/>
      <w:r w:rsidR="00817626">
        <w:rPr>
          <w:b/>
          <w:bCs/>
        </w:rPr>
        <w:t xml:space="preserve"> Constantinescu</w:t>
      </w:r>
    </w:p>
    <w:p w14:paraId="0914B678" w14:textId="77777777" w:rsidR="00B67A04" w:rsidRDefault="00B67A04">
      <w:pPr>
        <w:jc w:val="center"/>
        <w:rPr>
          <w:b/>
          <w:bCs/>
        </w:rPr>
      </w:pPr>
    </w:p>
    <w:p w14:paraId="7AA8C0C7" w14:textId="2AD8FD1F" w:rsidR="00B67A04" w:rsidRDefault="007D292E">
      <w:pPr>
        <w:jc w:val="center"/>
      </w:pPr>
      <w:r>
        <w:rPr>
          <w:b/>
          <w:bCs/>
        </w:rPr>
        <w:t>Student ID Number:</w:t>
      </w:r>
      <w:r w:rsidR="00817626">
        <w:rPr>
          <w:b/>
          <w:bCs/>
        </w:rPr>
        <w:t xml:space="preserve"> </w:t>
      </w:r>
      <w:r w:rsidR="00817626" w:rsidRPr="00817626">
        <w:rPr>
          <w:b/>
          <w:bCs/>
        </w:rPr>
        <w:t>2516174</w:t>
      </w:r>
      <w:r>
        <w:br w:type="page"/>
      </w:r>
    </w:p>
    <w:bookmarkStart w:id="0" w:name="_oe81q8qyeq0m" w:colFirst="0" w:colLast="0" w:displacedByCustomXml="next"/>
    <w:bookmarkEnd w:id="0" w:displacedByCustomXml="next"/>
    <w:sdt>
      <w:sdtPr>
        <w:rPr>
          <w:rFonts w:ascii="Times New Roman" w:eastAsia="Times New Roman" w:hAnsi="Times New Roman" w:cs="Times New Roman"/>
          <w:color w:val="auto"/>
          <w:sz w:val="24"/>
          <w:szCs w:val="24"/>
          <w:lang w:val="en-GB" w:eastAsia="en-GB"/>
        </w:rPr>
        <w:id w:val="668907371"/>
        <w:docPartObj>
          <w:docPartGallery w:val="Table of Contents"/>
          <w:docPartUnique/>
        </w:docPartObj>
      </w:sdtPr>
      <w:sdtEndPr>
        <w:rPr>
          <w:b/>
          <w:bCs/>
          <w:noProof/>
        </w:rPr>
      </w:sdtEndPr>
      <w:sdtContent>
        <w:p w14:paraId="518D20F9" w14:textId="73108C38" w:rsidR="00267D4F" w:rsidRPr="00267D4F" w:rsidRDefault="00267D4F" w:rsidP="00267D4F">
          <w:pPr>
            <w:pStyle w:val="TOCHeading"/>
            <w:spacing w:line="360" w:lineRule="auto"/>
            <w:jc w:val="center"/>
            <w:rPr>
              <w:rFonts w:ascii="Times New Roman" w:hAnsi="Times New Roman" w:cs="Times New Roman"/>
              <w:b/>
              <w:color w:val="000000" w:themeColor="text1"/>
              <w:sz w:val="24"/>
              <w:szCs w:val="24"/>
              <w:lang w:val="en-GB"/>
            </w:rPr>
          </w:pPr>
          <w:r w:rsidRPr="00267D4F">
            <w:rPr>
              <w:rFonts w:ascii="Times New Roman" w:hAnsi="Times New Roman" w:cs="Times New Roman"/>
              <w:b/>
              <w:color w:val="000000" w:themeColor="text1"/>
              <w:sz w:val="24"/>
              <w:szCs w:val="24"/>
              <w:lang w:val="en-GB"/>
            </w:rPr>
            <w:t>Table of Contents</w:t>
          </w:r>
        </w:p>
        <w:p w14:paraId="3165A7C3" w14:textId="77777777" w:rsidR="00267D4F" w:rsidRPr="00267D4F" w:rsidRDefault="00267D4F" w:rsidP="00267D4F">
          <w:pPr>
            <w:pStyle w:val="TOC1"/>
            <w:tabs>
              <w:tab w:val="right" w:leader="dot" w:pos="9019"/>
            </w:tabs>
            <w:rPr>
              <w:noProof/>
              <w:color w:val="000000" w:themeColor="text1"/>
            </w:rPr>
          </w:pPr>
          <w:r w:rsidRPr="00267D4F">
            <w:rPr>
              <w:color w:val="000000" w:themeColor="text1"/>
            </w:rPr>
            <w:fldChar w:fldCharType="begin"/>
          </w:r>
          <w:r w:rsidRPr="00267D4F">
            <w:rPr>
              <w:color w:val="000000" w:themeColor="text1"/>
            </w:rPr>
            <w:instrText xml:space="preserve"> TOC \o "1-3" \h \z \u </w:instrText>
          </w:r>
          <w:r w:rsidRPr="00267D4F">
            <w:rPr>
              <w:color w:val="000000" w:themeColor="text1"/>
            </w:rPr>
            <w:fldChar w:fldCharType="separate"/>
          </w:r>
          <w:hyperlink w:anchor="_Toc237447627" w:history="1">
            <w:r w:rsidRPr="00267D4F">
              <w:rPr>
                <w:rStyle w:val="Hyperlink"/>
                <w:noProof/>
                <w:color w:val="000000" w:themeColor="text1"/>
              </w:rPr>
              <w:t>Element 1: Introduction</w:t>
            </w:r>
            <w:r w:rsidRPr="00267D4F">
              <w:rPr>
                <w:noProof/>
                <w:webHidden/>
                <w:color w:val="000000" w:themeColor="text1"/>
              </w:rPr>
              <w:tab/>
            </w:r>
            <w:r w:rsidRPr="00267D4F">
              <w:rPr>
                <w:noProof/>
                <w:webHidden/>
                <w:color w:val="000000" w:themeColor="text1"/>
              </w:rPr>
              <w:fldChar w:fldCharType="begin"/>
            </w:r>
            <w:r w:rsidRPr="00267D4F">
              <w:rPr>
                <w:noProof/>
                <w:webHidden/>
                <w:color w:val="000000" w:themeColor="text1"/>
              </w:rPr>
              <w:instrText xml:space="preserve"> PAGEREF _Toc237447627 \h </w:instrText>
            </w:r>
            <w:r w:rsidRPr="00267D4F">
              <w:rPr>
                <w:noProof/>
                <w:webHidden/>
                <w:color w:val="000000" w:themeColor="text1"/>
              </w:rPr>
            </w:r>
            <w:r w:rsidRPr="00267D4F">
              <w:rPr>
                <w:noProof/>
                <w:webHidden/>
                <w:color w:val="000000" w:themeColor="text1"/>
              </w:rPr>
              <w:fldChar w:fldCharType="separate"/>
            </w:r>
            <w:r w:rsidRPr="00267D4F">
              <w:rPr>
                <w:noProof/>
                <w:webHidden/>
                <w:color w:val="000000" w:themeColor="text1"/>
              </w:rPr>
              <w:t>2</w:t>
            </w:r>
            <w:r w:rsidRPr="00267D4F">
              <w:rPr>
                <w:noProof/>
                <w:webHidden/>
                <w:color w:val="000000" w:themeColor="text1"/>
              </w:rPr>
              <w:fldChar w:fldCharType="end"/>
            </w:r>
          </w:hyperlink>
        </w:p>
        <w:p w14:paraId="23E1A7F4" w14:textId="77777777" w:rsidR="00267D4F" w:rsidRPr="00267D4F" w:rsidRDefault="004C3486" w:rsidP="00267D4F">
          <w:pPr>
            <w:pStyle w:val="TOC1"/>
            <w:tabs>
              <w:tab w:val="right" w:leader="dot" w:pos="9019"/>
            </w:tabs>
            <w:rPr>
              <w:noProof/>
              <w:color w:val="000000" w:themeColor="text1"/>
            </w:rPr>
          </w:pPr>
          <w:hyperlink w:anchor="_Toc237447628" w:history="1">
            <w:r w:rsidR="00267D4F" w:rsidRPr="00267D4F">
              <w:rPr>
                <w:rStyle w:val="Hyperlink"/>
                <w:noProof/>
                <w:color w:val="000000" w:themeColor="text1"/>
              </w:rPr>
              <w:t>Element 2: Application to include Stakeholder Engagement Strategies</w:t>
            </w:r>
            <w:r w:rsidR="00267D4F" w:rsidRPr="00267D4F">
              <w:rPr>
                <w:noProof/>
                <w:webHidden/>
                <w:color w:val="000000" w:themeColor="text1"/>
              </w:rPr>
              <w:tab/>
            </w:r>
            <w:r w:rsidR="00267D4F" w:rsidRPr="00267D4F">
              <w:rPr>
                <w:noProof/>
                <w:webHidden/>
                <w:color w:val="000000" w:themeColor="text1"/>
              </w:rPr>
              <w:fldChar w:fldCharType="begin"/>
            </w:r>
            <w:r w:rsidR="00267D4F" w:rsidRPr="00267D4F">
              <w:rPr>
                <w:noProof/>
                <w:webHidden/>
                <w:color w:val="000000" w:themeColor="text1"/>
              </w:rPr>
              <w:instrText xml:space="preserve"> PAGEREF _Toc237447628 \h </w:instrText>
            </w:r>
            <w:r w:rsidR="00267D4F" w:rsidRPr="00267D4F">
              <w:rPr>
                <w:noProof/>
                <w:webHidden/>
                <w:color w:val="000000" w:themeColor="text1"/>
              </w:rPr>
            </w:r>
            <w:r w:rsidR="00267D4F" w:rsidRPr="00267D4F">
              <w:rPr>
                <w:noProof/>
                <w:webHidden/>
                <w:color w:val="000000" w:themeColor="text1"/>
              </w:rPr>
              <w:fldChar w:fldCharType="separate"/>
            </w:r>
            <w:r w:rsidR="00267D4F" w:rsidRPr="00267D4F">
              <w:rPr>
                <w:noProof/>
                <w:webHidden/>
                <w:color w:val="000000" w:themeColor="text1"/>
              </w:rPr>
              <w:t>4</w:t>
            </w:r>
            <w:r w:rsidR="00267D4F" w:rsidRPr="00267D4F">
              <w:rPr>
                <w:noProof/>
                <w:webHidden/>
                <w:color w:val="000000" w:themeColor="text1"/>
              </w:rPr>
              <w:fldChar w:fldCharType="end"/>
            </w:r>
          </w:hyperlink>
        </w:p>
        <w:p w14:paraId="22F4F364" w14:textId="77777777" w:rsidR="00267D4F" w:rsidRPr="00267D4F" w:rsidRDefault="004C3486" w:rsidP="00267D4F">
          <w:pPr>
            <w:pStyle w:val="TOC1"/>
            <w:tabs>
              <w:tab w:val="right" w:leader="dot" w:pos="9019"/>
            </w:tabs>
            <w:rPr>
              <w:noProof/>
              <w:color w:val="000000" w:themeColor="text1"/>
            </w:rPr>
          </w:pPr>
          <w:hyperlink w:anchor="_Toc237447629" w:history="1">
            <w:r w:rsidR="00267D4F" w:rsidRPr="00267D4F">
              <w:rPr>
                <w:rStyle w:val="Hyperlink"/>
                <w:noProof/>
                <w:color w:val="000000" w:themeColor="text1"/>
              </w:rPr>
              <w:t>Element 3: Ethical Consideration in Stakeholders Consultation, Participation and Feedback</w:t>
            </w:r>
            <w:r w:rsidR="00267D4F" w:rsidRPr="00267D4F">
              <w:rPr>
                <w:noProof/>
                <w:webHidden/>
                <w:color w:val="000000" w:themeColor="text1"/>
              </w:rPr>
              <w:tab/>
            </w:r>
            <w:r w:rsidR="00267D4F" w:rsidRPr="00267D4F">
              <w:rPr>
                <w:noProof/>
                <w:webHidden/>
                <w:color w:val="000000" w:themeColor="text1"/>
              </w:rPr>
              <w:fldChar w:fldCharType="begin"/>
            </w:r>
            <w:r w:rsidR="00267D4F" w:rsidRPr="00267D4F">
              <w:rPr>
                <w:noProof/>
                <w:webHidden/>
                <w:color w:val="000000" w:themeColor="text1"/>
              </w:rPr>
              <w:instrText xml:space="preserve"> PAGEREF _Toc237447629 \h </w:instrText>
            </w:r>
            <w:r w:rsidR="00267D4F" w:rsidRPr="00267D4F">
              <w:rPr>
                <w:noProof/>
                <w:webHidden/>
                <w:color w:val="000000" w:themeColor="text1"/>
              </w:rPr>
            </w:r>
            <w:r w:rsidR="00267D4F" w:rsidRPr="00267D4F">
              <w:rPr>
                <w:noProof/>
                <w:webHidden/>
                <w:color w:val="000000" w:themeColor="text1"/>
              </w:rPr>
              <w:fldChar w:fldCharType="separate"/>
            </w:r>
            <w:r w:rsidR="00267D4F" w:rsidRPr="00267D4F">
              <w:rPr>
                <w:noProof/>
                <w:webHidden/>
                <w:color w:val="000000" w:themeColor="text1"/>
              </w:rPr>
              <w:t>8</w:t>
            </w:r>
            <w:r w:rsidR="00267D4F" w:rsidRPr="00267D4F">
              <w:rPr>
                <w:noProof/>
                <w:webHidden/>
                <w:color w:val="000000" w:themeColor="text1"/>
              </w:rPr>
              <w:fldChar w:fldCharType="end"/>
            </w:r>
          </w:hyperlink>
        </w:p>
        <w:p w14:paraId="2A29FC33" w14:textId="77777777" w:rsidR="00267D4F" w:rsidRPr="00267D4F" w:rsidRDefault="004C3486" w:rsidP="00267D4F">
          <w:pPr>
            <w:pStyle w:val="TOC1"/>
            <w:tabs>
              <w:tab w:val="right" w:leader="dot" w:pos="9019"/>
            </w:tabs>
            <w:rPr>
              <w:noProof/>
              <w:color w:val="000000" w:themeColor="text1"/>
            </w:rPr>
          </w:pPr>
          <w:hyperlink w:anchor="_Toc237447630" w:history="1">
            <w:r w:rsidR="00267D4F" w:rsidRPr="00267D4F">
              <w:rPr>
                <w:rStyle w:val="Hyperlink"/>
                <w:noProof/>
                <w:color w:val="000000" w:themeColor="text1"/>
              </w:rPr>
              <w:t>Element 4: Conclusion and Reflection</w:t>
            </w:r>
            <w:r w:rsidR="00267D4F" w:rsidRPr="00267D4F">
              <w:rPr>
                <w:noProof/>
                <w:webHidden/>
                <w:color w:val="000000" w:themeColor="text1"/>
              </w:rPr>
              <w:tab/>
            </w:r>
            <w:r w:rsidR="00267D4F" w:rsidRPr="00267D4F">
              <w:rPr>
                <w:noProof/>
                <w:webHidden/>
                <w:color w:val="000000" w:themeColor="text1"/>
              </w:rPr>
              <w:fldChar w:fldCharType="begin"/>
            </w:r>
            <w:r w:rsidR="00267D4F" w:rsidRPr="00267D4F">
              <w:rPr>
                <w:noProof/>
                <w:webHidden/>
                <w:color w:val="000000" w:themeColor="text1"/>
              </w:rPr>
              <w:instrText xml:space="preserve"> PAGEREF _Toc237447630 \h </w:instrText>
            </w:r>
            <w:r w:rsidR="00267D4F" w:rsidRPr="00267D4F">
              <w:rPr>
                <w:noProof/>
                <w:webHidden/>
                <w:color w:val="000000" w:themeColor="text1"/>
              </w:rPr>
            </w:r>
            <w:r w:rsidR="00267D4F" w:rsidRPr="00267D4F">
              <w:rPr>
                <w:noProof/>
                <w:webHidden/>
                <w:color w:val="000000" w:themeColor="text1"/>
              </w:rPr>
              <w:fldChar w:fldCharType="separate"/>
            </w:r>
            <w:r w:rsidR="00267D4F" w:rsidRPr="00267D4F">
              <w:rPr>
                <w:noProof/>
                <w:webHidden/>
                <w:color w:val="000000" w:themeColor="text1"/>
              </w:rPr>
              <w:t>11</w:t>
            </w:r>
            <w:r w:rsidR="00267D4F" w:rsidRPr="00267D4F">
              <w:rPr>
                <w:noProof/>
                <w:webHidden/>
                <w:color w:val="000000" w:themeColor="text1"/>
              </w:rPr>
              <w:fldChar w:fldCharType="end"/>
            </w:r>
          </w:hyperlink>
        </w:p>
        <w:p w14:paraId="27BD0533" w14:textId="77777777" w:rsidR="00267D4F" w:rsidRPr="00267D4F" w:rsidRDefault="004C3486" w:rsidP="00267D4F">
          <w:pPr>
            <w:pStyle w:val="TOC1"/>
            <w:tabs>
              <w:tab w:val="right" w:leader="dot" w:pos="9019"/>
            </w:tabs>
            <w:rPr>
              <w:noProof/>
              <w:color w:val="000000" w:themeColor="text1"/>
            </w:rPr>
          </w:pPr>
          <w:hyperlink w:anchor="_Toc237447631" w:history="1">
            <w:r w:rsidR="00267D4F" w:rsidRPr="00267D4F">
              <w:rPr>
                <w:rStyle w:val="Hyperlink"/>
                <w:noProof/>
                <w:color w:val="000000" w:themeColor="text1"/>
              </w:rPr>
              <w:t>Reference List</w:t>
            </w:r>
            <w:r w:rsidR="00267D4F" w:rsidRPr="00267D4F">
              <w:rPr>
                <w:noProof/>
                <w:webHidden/>
                <w:color w:val="000000" w:themeColor="text1"/>
              </w:rPr>
              <w:tab/>
            </w:r>
            <w:r w:rsidR="00267D4F" w:rsidRPr="00267D4F">
              <w:rPr>
                <w:noProof/>
                <w:webHidden/>
                <w:color w:val="000000" w:themeColor="text1"/>
              </w:rPr>
              <w:fldChar w:fldCharType="begin"/>
            </w:r>
            <w:r w:rsidR="00267D4F" w:rsidRPr="00267D4F">
              <w:rPr>
                <w:noProof/>
                <w:webHidden/>
                <w:color w:val="000000" w:themeColor="text1"/>
              </w:rPr>
              <w:instrText xml:space="preserve"> PAGEREF _Toc237447631 \h </w:instrText>
            </w:r>
            <w:r w:rsidR="00267D4F" w:rsidRPr="00267D4F">
              <w:rPr>
                <w:noProof/>
                <w:webHidden/>
                <w:color w:val="000000" w:themeColor="text1"/>
              </w:rPr>
            </w:r>
            <w:r w:rsidR="00267D4F" w:rsidRPr="00267D4F">
              <w:rPr>
                <w:noProof/>
                <w:webHidden/>
                <w:color w:val="000000" w:themeColor="text1"/>
              </w:rPr>
              <w:fldChar w:fldCharType="separate"/>
            </w:r>
            <w:r w:rsidR="00267D4F" w:rsidRPr="00267D4F">
              <w:rPr>
                <w:noProof/>
                <w:webHidden/>
                <w:color w:val="000000" w:themeColor="text1"/>
              </w:rPr>
              <w:t>15</w:t>
            </w:r>
            <w:r w:rsidR="00267D4F" w:rsidRPr="00267D4F">
              <w:rPr>
                <w:noProof/>
                <w:webHidden/>
                <w:color w:val="000000" w:themeColor="text1"/>
              </w:rPr>
              <w:fldChar w:fldCharType="end"/>
            </w:r>
          </w:hyperlink>
        </w:p>
        <w:p w14:paraId="2E36BF5C" w14:textId="197D32BF" w:rsidR="00267D4F" w:rsidRDefault="00267D4F" w:rsidP="00267D4F">
          <w:r w:rsidRPr="00267D4F">
            <w:rPr>
              <w:b/>
              <w:bCs/>
              <w:noProof/>
              <w:color w:val="000000" w:themeColor="text1"/>
            </w:rPr>
            <w:fldChar w:fldCharType="end"/>
          </w:r>
        </w:p>
      </w:sdtContent>
    </w:sdt>
    <w:p w14:paraId="434623BE" w14:textId="77777777" w:rsidR="00267D4F" w:rsidRDefault="00267D4F">
      <w:pPr>
        <w:rPr>
          <w:b/>
          <w:bCs/>
        </w:rPr>
      </w:pPr>
      <w:r>
        <w:br w:type="page"/>
      </w:r>
    </w:p>
    <w:p w14:paraId="36F8926C" w14:textId="033FD7CA" w:rsidR="00B67A04" w:rsidRDefault="007D292E">
      <w:pPr>
        <w:pStyle w:val="Heading1"/>
      </w:pPr>
      <w:bookmarkStart w:id="1" w:name="_Toc237447627"/>
      <w:r>
        <w:lastRenderedPageBreak/>
        <w:t>Element 1: Introduction</w:t>
      </w:r>
      <w:bookmarkEnd w:id="1"/>
    </w:p>
    <w:p w14:paraId="79160416" w14:textId="77777777" w:rsidR="00B67A04" w:rsidRDefault="007D292E">
      <w:r>
        <w:t xml:space="preserve">The construction sector with housing redevelopment projects intends to build modern residential infrastructure as a replacement of unsafe or old buildings regionally or locally. Hence, the study aims to develop a Stakeholder Management Plan for chosen housing redevelopment plan, which is </w:t>
      </w:r>
      <w:proofErr w:type="spellStart"/>
      <w:r>
        <w:t>Tempsford</w:t>
      </w:r>
      <w:proofErr w:type="spellEnd"/>
      <w:r>
        <w:t xml:space="preserve"> New Town. This research portfolio contains 4 elements, including brief introduction to the project, key relevance, and benefits of key stakeholders, engagement strategies, ethical consideration, conclusion, and reflective account.</w:t>
      </w:r>
    </w:p>
    <w:p w14:paraId="5CA7AB70" w14:textId="77777777" w:rsidR="00B67A04" w:rsidRDefault="007D292E">
      <w:r>
        <w:rPr>
          <w:b/>
          <w:bCs/>
        </w:rPr>
        <w:t>Project description</w:t>
      </w:r>
    </w:p>
    <w:p w14:paraId="2768D3D0" w14:textId="77777777" w:rsidR="00B67A04" w:rsidRDefault="007D292E">
      <w:r>
        <w:t>“</w:t>
      </w:r>
      <w:proofErr w:type="spellStart"/>
      <w:r>
        <w:rPr>
          <w:b/>
          <w:bCs/>
        </w:rPr>
        <w:t>Tempsford</w:t>
      </w:r>
      <w:proofErr w:type="spellEnd"/>
      <w:r>
        <w:rPr>
          <w:b/>
          <w:bCs/>
        </w:rPr>
        <w:t xml:space="preserve"> New Town</w:t>
      </w:r>
      <w:r>
        <w:t xml:space="preserve">” project is a shortlisted government-backed development initiative at Central Bedfordshire, England. The project aims to build near about </w:t>
      </w:r>
      <w:r>
        <w:rPr>
          <w:b/>
          <w:bCs/>
          <w:i/>
          <w:iCs/>
        </w:rPr>
        <w:t>40,000 new homes</w:t>
      </w:r>
      <w:r>
        <w:t xml:space="preserve"> on and around the former FAF </w:t>
      </w:r>
      <w:proofErr w:type="spellStart"/>
      <w:r>
        <w:t>Tempsford</w:t>
      </w:r>
      <w:proofErr w:type="spellEnd"/>
      <w:r>
        <w:t xml:space="preserve"> airfield, spanning around 1,200 hectares as a part of Oxford-Cambridge growth corridor (Richard Fuller MP, 2026).</w:t>
      </w:r>
    </w:p>
    <w:p w14:paraId="7B928A28" w14:textId="77777777" w:rsidR="00B67A04" w:rsidRDefault="007D292E">
      <w:pPr>
        <w:jc w:val="center"/>
      </w:pPr>
      <w:r>
        <w:rPr>
          <w:noProof/>
          <w:lang w:val="en-IN" w:eastAsia="en-IN"/>
        </w:rPr>
        <w:drawing>
          <wp:inline distT="114300" distB="114300" distL="114300" distR="114300" wp14:anchorId="74D2614B" wp14:editId="45EB77AD">
            <wp:extent cx="2857500" cy="2390775"/>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857500" cy="2390775"/>
                    </a:xfrm>
                    <a:prstGeom prst="rect">
                      <a:avLst/>
                    </a:prstGeom>
                    <a:ln w="12700">
                      <a:solidFill>
                        <a:srgbClr val="000000"/>
                      </a:solidFill>
                      <a:prstDash val="solid"/>
                    </a:ln>
                  </pic:spPr>
                </pic:pic>
              </a:graphicData>
            </a:graphic>
          </wp:inline>
        </w:drawing>
      </w:r>
    </w:p>
    <w:p w14:paraId="3FCB1831" w14:textId="77777777" w:rsidR="00B67A04" w:rsidRDefault="007D292E">
      <w:pPr>
        <w:jc w:val="center"/>
        <w:rPr>
          <w:b/>
          <w:bCs/>
        </w:rPr>
      </w:pPr>
      <w:r>
        <w:rPr>
          <w:b/>
          <w:bCs/>
        </w:rPr>
        <w:t xml:space="preserve">Figure 1: Glimpse of area to be used for </w:t>
      </w:r>
      <w:proofErr w:type="spellStart"/>
      <w:r>
        <w:rPr>
          <w:b/>
          <w:bCs/>
        </w:rPr>
        <w:t>Tempsford</w:t>
      </w:r>
      <w:proofErr w:type="spellEnd"/>
      <w:r>
        <w:rPr>
          <w:b/>
          <w:bCs/>
        </w:rPr>
        <w:t xml:space="preserve"> New Town project </w:t>
      </w:r>
    </w:p>
    <w:p w14:paraId="6D6BECC9" w14:textId="77777777" w:rsidR="00B67A04" w:rsidRDefault="007D292E">
      <w:pPr>
        <w:jc w:val="center"/>
      </w:pPr>
      <w:r>
        <w:t>(Source: CPRE Bedfordshire, 2026)</w:t>
      </w:r>
    </w:p>
    <w:p w14:paraId="6067C4D1" w14:textId="77777777" w:rsidR="00B67A04" w:rsidRDefault="007D292E">
      <w:r>
        <w:t xml:space="preserve">New Towns Taskforce has a target to initiate the construction phase of this project prior to 2029. According to Bates </w:t>
      </w:r>
      <w:r>
        <w:rPr>
          <w:i/>
          <w:iCs/>
        </w:rPr>
        <w:t xml:space="preserve">et al. </w:t>
      </w:r>
      <w:r>
        <w:t>(2025), housing redevelopment projects ensure strategic interchange and link roads, which are impactful for facilitating transportation within and nearby residential areas. This new town project uniformly connects A1 and A428 dual carriageway and acts as an intersection between the East coast main line and the East West rail route.</w:t>
      </w:r>
    </w:p>
    <w:p w14:paraId="07F6720D" w14:textId="77777777" w:rsidR="00B67A04" w:rsidRDefault="007D292E">
      <w:pPr>
        <w:rPr>
          <w:b/>
          <w:bCs/>
        </w:rPr>
      </w:pPr>
      <w:r>
        <w:rPr>
          <w:b/>
          <w:bCs/>
        </w:rPr>
        <w:t>Relevance</w:t>
      </w:r>
    </w:p>
    <w:p w14:paraId="14821453" w14:textId="77777777" w:rsidR="00B67A04" w:rsidRDefault="007D292E">
      <w:r>
        <w:t>The relevance of this project is it will tackle growing infrastructure demands and address national housing shortages in the United Kingdom. Higher authorities of this project are subject to establish a carbon conscious, transit-oriented regions model and use earlier developed brownfield land.</w:t>
      </w:r>
    </w:p>
    <w:p w14:paraId="5D525F16" w14:textId="77777777" w:rsidR="00B67A04" w:rsidRDefault="007D292E">
      <w:pPr>
        <w:rPr>
          <w:b/>
          <w:bCs/>
        </w:rPr>
      </w:pPr>
      <w:r>
        <w:rPr>
          <w:b/>
          <w:bCs/>
        </w:rPr>
        <w:lastRenderedPageBreak/>
        <w:t>Identification of key stakeholders and their benefits</w:t>
      </w:r>
    </w:p>
    <w:p w14:paraId="3C16ABE7" w14:textId="3282C749" w:rsidR="00B67A04" w:rsidRDefault="007D292E">
      <w:r>
        <w:t xml:space="preserve">Housing redevelopment projects bring distinct advantages for external and internal stakeholders by facilitating local housing pressures, driving regional economic growth and ensuring people will experience living in modern infrastructure. For example, </w:t>
      </w:r>
      <w:r>
        <w:rPr>
          <w:b/>
          <w:bCs/>
          <w:i/>
          <w:iCs/>
        </w:rPr>
        <w:t>Central Bedfordshire Council</w:t>
      </w:r>
      <w:r>
        <w:t xml:space="preserve"> and </w:t>
      </w:r>
      <w:proofErr w:type="spellStart"/>
      <w:r>
        <w:rPr>
          <w:b/>
          <w:bCs/>
          <w:i/>
          <w:iCs/>
        </w:rPr>
        <w:t>Tempsford</w:t>
      </w:r>
      <w:proofErr w:type="spellEnd"/>
      <w:r>
        <w:rPr>
          <w:b/>
          <w:bCs/>
          <w:i/>
          <w:iCs/>
        </w:rPr>
        <w:t xml:space="preserve"> &amp; Parish Councils </w:t>
      </w:r>
      <w:r>
        <w:t xml:space="preserve">will oversee the energy-efficient and modern housing areas within a planned community. </w:t>
      </w:r>
      <w:r>
        <w:rPr>
          <w:b/>
          <w:bCs/>
          <w:i/>
          <w:iCs/>
        </w:rPr>
        <w:t xml:space="preserve">National highways authorities </w:t>
      </w:r>
      <w:r>
        <w:t xml:space="preserve">can seamlessly expect proper connectivity between the East Coast main line along with the East West Rail station. The project is about to meet the needs of </w:t>
      </w:r>
      <w:r>
        <w:rPr>
          <w:b/>
          <w:bCs/>
          <w:i/>
          <w:iCs/>
        </w:rPr>
        <w:t xml:space="preserve">local communities and residents </w:t>
      </w:r>
      <w:r>
        <w:t xml:space="preserve">seeking for advanced park spaces near the Oxford Cambridge area. The </w:t>
      </w:r>
      <w:r>
        <w:rPr>
          <w:b/>
          <w:bCs/>
          <w:i/>
          <w:iCs/>
        </w:rPr>
        <w:t>national government</w:t>
      </w:r>
      <w:r>
        <w:t xml:space="preserve"> can remain committed with estimating regional productivity and supply national housing among needy people. </w:t>
      </w:r>
      <w:r>
        <w:rPr>
          <w:b/>
          <w:bCs/>
          <w:i/>
          <w:iCs/>
        </w:rPr>
        <w:t>Central Bedfordshire council</w:t>
      </w:r>
      <w:r>
        <w:t xml:space="preserve"> can expand their council tax base for a long time, while </w:t>
      </w:r>
      <w:r>
        <w:rPr>
          <w:b/>
          <w:bCs/>
          <w:i/>
          <w:iCs/>
        </w:rPr>
        <w:t xml:space="preserve">landowners </w:t>
      </w:r>
      <w:r>
        <w:t xml:space="preserve">are supposed to benefit from witnessing concurrent upgradation into roads, transportation, connectivity, and peaceful ecosystem. In addition, </w:t>
      </w:r>
      <w:r>
        <w:rPr>
          <w:b/>
          <w:bCs/>
          <w:i/>
          <w:iCs/>
        </w:rPr>
        <w:t xml:space="preserve">Urban and civic construction developers </w:t>
      </w:r>
      <w:r>
        <w:t>will have the opportunity to receive proposals of commercial contracts, generate employment and functionalise supply chain operations.</w:t>
      </w:r>
    </w:p>
    <w:p w14:paraId="4CCD9FBF" w14:textId="77777777" w:rsidR="00B67A04" w:rsidRDefault="007D292E">
      <w:r>
        <w:br w:type="page"/>
      </w:r>
    </w:p>
    <w:p w14:paraId="077652A2" w14:textId="77777777" w:rsidR="00B67A04" w:rsidRDefault="007D292E">
      <w:pPr>
        <w:pStyle w:val="Heading1"/>
      </w:pPr>
      <w:bookmarkStart w:id="2" w:name="_ooxlo16lzx2f" w:colFirst="0" w:colLast="0"/>
      <w:bookmarkStart w:id="3" w:name="_Toc237447628"/>
      <w:bookmarkEnd w:id="2"/>
      <w:r>
        <w:lastRenderedPageBreak/>
        <w:t>Element 2: Application to include Stakeholder Engagement Strategies</w:t>
      </w:r>
      <w:bookmarkEnd w:id="3"/>
    </w:p>
    <w:p w14:paraId="614CC812" w14:textId="77777777" w:rsidR="00B67A04" w:rsidRDefault="007D292E">
      <w:r>
        <w:rPr>
          <w:b/>
          <w:bCs/>
        </w:rPr>
        <w:t>Power, influence and, interest table and stakeholders positions</w:t>
      </w:r>
    </w:p>
    <w:p w14:paraId="59A455B8" w14:textId="77777777" w:rsidR="00B67A04" w:rsidRDefault="007D292E">
      <w:pPr>
        <w:rPr>
          <w:b/>
          <w:bCs/>
        </w:rPr>
      </w:pPr>
      <w:r>
        <w:rPr>
          <w:b/>
          <w:bCs/>
        </w:rPr>
        <w:t>Stakeholder matrix</w:t>
      </w:r>
    </w:p>
    <w:p w14:paraId="1079655D" w14:textId="77777777" w:rsidR="00B67A04" w:rsidRDefault="007D292E">
      <w:pPr>
        <w:jc w:val="center"/>
        <w:rPr>
          <w:b/>
          <w:bCs/>
        </w:rPr>
      </w:pPr>
      <w:r>
        <w:rPr>
          <w:b/>
          <w:bCs/>
          <w:noProof/>
          <w:lang w:val="en-IN" w:eastAsia="en-IN"/>
        </w:rPr>
        <w:drawing>
          <wp:inline distT="114300" distB="114300" distL="114300" distR="114300" wp14:anchorId="755B0462" wp14:editId="3FC409F4">
            <wp:extent cx="5731200" cy="4267200"/>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731200" cy="4267200"/>
                    </a:xfrm>
                    <a:prstGeom prst="rect">
                      <a:avLst/>
                    </a:prstGeom>
                    <a:ln w="12700">
                      <a:solidFill>
                        <a:srgbClr val="000000"/>
                      </a:solidFill>
                      <a:prstDash val="solid"/>
                    </a:ln>
                  </pic:spPr>
                </pic:pic>
              </a:graphicData>
            </a:graphic>
          </wp:inline>
        </w:drawing>
      </w:r>
    </w:p>
    <w:p w14:paraId="1C325B62" w14:textId="77777777" w:rsidR="00B67A04" w:rsidRDefault="007D292E">
      <w:pPr>
        <w:jc w:val="center"/>
        <w:rPr>
          <w:b/>
          <w:bCs/>
        </w:rPr>
      </w:pPr>
      <w:r>
        <w:rPr>
          <w:b/>
          <w:bCs/>
        </w:rPr>
        <w:t xml:space="preserve">Figure 2: External and internal Stakeholder matrix for </w:t>
      </w:r>
      <w:proofErr w:type="spellStart"/>
      <w:r>
        <w:rPr>
          <w:b/>
          <w:bCs/>
        </w:rPr>
        <w:t>Tempsford</w:t>
      </w:r>
      <w:proofErr w:type="spellEnd"/>
      <w:r>
        <w:rPr>
          <w:b/>
          <w:bCs/>
        </w:rPr>
        <w:t xml:space="preserve"> New Town project</w:t>
      </w:r>
    </w:p>
    <w:p w14:paraId="52E873BA" w14:textId="77777777" w:rsidR="00B67A04" w:rsidRDefault="007D292E">
      <w:r>
        <w:rPr>
          <w:b/>
          <w:bCs/>
        </w:rPr>
        <w:t xml:space="preserve">Manage Closely: </w:t>
      </w:r>
      <w:r>
        <w:t>High power, high interest</w:t>
      </w:r>
    </w:p>
    <w:p w14:paraId="3AAC7818" w14:textId="77777777" w:rsidR="00B67A04" w:rsidRDefault="007D292E">
      <w:r>
        <w:rPr>
          <w:b/>
          <w:bCs/>
        </w:rPr>
        <w:t xml:space="preserve">Keep satisfied: </w:t>
      </w:r>
      <w:r>
        <w:t>High power, low interest</w:t>
      </w:r>
    </w:p>
    <w:p w14:paraId="0587FC2D" w14:textId="77777777" w:rsidR="00B67A04" w:rsidRDefault="007D292E">
      <w:r>
        <w:rPr>
          <w:b/>
          <w:bCs/>
        </w:rPr>
        <w:t xml:space="preserve">Keep informed: </w:t>
      </w:r>
      <w:r>
        <w:t>Low power, high interest</w:t>
      </w:r>
    </w:p>
    <w:p w14:paraId="61C26B0B" w14:textId="7A917ADB" w:rsidR="00267D4F" w:rsidRPr="00267D4F" w:rsidRDefault="007D292E">
      <w:r>
        <w:rPr>
          <w:b/>
          <w:bCs/>
        </w:rPr>
        <w:t xml:space="preserve">Monitor: </w:t>
      </w:r>
      <w:r>
        <w:t>Low power, low interest</w:t>
      </w:r>
      <w:r w:rsidR="00267D4F">
        <w:rPr>
          <w:b/>
          <w:bCs/>
        </w:rPr>
        <w:br w:type="page"/>
      </w:r>
    </w:p>
    <w:p w14:paraId="1451FF26" w14:textId="3CF36DA7" w:rsidR="00B67A04" w:rsidRDefault="007D292E">
      <w:pPr>
        <w:rPr>
          <w:b/>
          <w:bCs/>
        </w:rPr>
      </w:pPr>
      <w:r>
        <w:rPr>
          <w:b/>
          <w:bCs/>
        </w:rPr>
        <w:lastRenderedPageBreak/>
        <w:t>Stakeholder map</w:t>
      </w:r>
    </w:p>
    <w:p w14:paraId="28B60177" w14:textId="77777777" w:rsidR="00B67A04" w:rsidRDefault="007D292E">
      <w:pPr>
        <w:rPr>
          <w:b/>
          <w:bCs/>
        </w:rPr>
      </w:pPr>
      <w:r>
        <w:rPr>
          <w:b/>
          <w:bCs/>
        </w:rPr>
        <w:t>Internal stakeholder mapping</w:t>
      </w:r>
    </w:p>
    <w:tbl>
      <w:tblPr>
        <w:tblStyle w:val="a"/>
        <w:tblW w:w="5000" w:type="pct"/>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253"/>
        <w:gridCol w:w="2252"/>
        <w:gridCol w:w="2252"/>
        <w:gridCol w:w="2252"/>
      </w:tblGrid>
      <w:tr w:rsidR="00B67A04" w14:paraId="688CB72C" w14:textId="77777777" w:rsidTr="00267D4F">
        <w:trPr>
          <w:jc w:val="center"/>
        </w:trPr>
        <w:tc>
          <w:tcPr>
            <w:tcW w:w="1250" w:type="pct"/>
            <w:shd w:val="clear" w:color="auto" w:fill="auto"/>
            <w:tcMar>
              <w:top w:w="100" w:type="dxa"/>
              <w:left w:w="100" w:type="dxa"/>
              <w:bottom w:w="100" w:type="dxa"/>
              <w:right w:w="100" w:type="dxa"/>
            </w:tcMar>
          </w:tcPr>
          <w:p w14:paraId="6962EF98" w14:textId="77777777" w:rsidR="00B67A04" w:rsidRDefault="007D292E">
            <w:pPr>
              <w:jc w:val="center"/>
              <w:rPr>
                <w:b/>
                <w:bCs/>
              </w:rPr>
            </w:pPr>
            <w:r>
              <w:rPr>
                <w:b/>
                <w:bCs/>
              </w:rPr>
              <w:t>Internal stakeholders</w:t>
            </w:r>
          </w:p>
        </w:tc>
        <w:tc>
          <w:tcPr>
            <w:tcW w:w="1250" w:type="pct"/>
            <w:shd w:val="clear" w:color="auto" w:fill="auto"/>
            <w:tcMar>
              <w:top w:w="100" w:type="dxa"/>
              <w:left w:w="100" w:type="dxa"/>
              <w:bottom w:w="100" w:type="dxa"/>
              <w:right w:w="100" w:type="dxa"/>
            </w:tcMar>
          </w:tcPr>
          <w:p w14:paraId="138E915C" w14:textId="77777777" w:rsidR="00B67A04" w:rsidRDefault="007D292E">
            <w:pPr>
              <w:jc w:val="center"/>
              <w:rPr>
                <w:b/>
                <w:bCs/>
              </w:rPr>
            </w:pPr>
            <w:r>
              <w:rPr>
                <w:b/>
                <w:bCs/>
              </w:rPr>
              <w:t>Power</w:t>
            </w:r>
          </w:p>
        </w:tc>
        <w:tc>
          <w:tcPr>
            <w:tcW w:w="1250" w:type="pct"/>
            <w:shd w:val="clear" w:color="auto" w:fill="auto"/>
            <w:tcMar>
              <w:top w:w="100" w:type="dxa"/>
              <w:left w:w="100" w:type="dxa"/>
              <w:bottom w:w="100" w:type="dxa"/>
              <w:right w:w="100" w:type="dxa"/>
            </w:tcMar>
          </w:tcPr>
          <w:p w14:paraId="5F6B228E" w14:textId="77777777" w:rsidR="00B67A04" w:rsidRDefault="007D292E">
            <w:pPr>
              <w:jc w:val="center"/>
              <w:rPr>
                <w:b/>
                <w:bCs/>
              </w:rPr>
            </w:pPr>
            <w:r>
              <w:rPr>
                <w:b/>
                <w:bCs/>
              </w:rPr>
              <w:t>Influence</w:t>
            </w:r>
          </w:p>
        </w:tc>
        <w:tc>
          <w:tcPr>
            <w:tcW w:w="1250" w:type="pct"/>
            <w:shd w:val="clear" w:color="auto" w:fill="auto"/>
            <w:tcMar>
              <w:top w:w="100" w:type="dxa"/>
              <w:left w:w="100" w:type="dxa"/>
              <w:bottom w:w="100" w:type="dxa"/>
              <w:right w:w="100" w:type="dxa"/>
            </w:tcMar>
          </w:tcPr>
          <w:p w14:paraId="2C197AE7" w14:textId="77777777" w:rsidR="00B67A04" w:rsidRDefault="007D292E">
            <w:pPr>
              <w:jc w:val="center"/>
              <w:rPr>
                <w:b/>
                <w:bCs/>
              </w:rPr>
            </w:pPr>
            <w:r>
              <w:rPr>
                <w:b/>
                <w:bCs/>
              </w:rPr>
              <w:t>Interest</w:t>
            </w:r>
          </w:p>
        </w:tc>
      </w:tr>
      <w:tr w:rsidR="00B67A04" w14:paraId="3AEECEB3" w14:textId="77777777" w:rsidTr="00267D4F">
        <w:trPr>
          <w:jc w:val="center"/>
        </w:trPr>
        <w:tc>
          <w:tcPr>
            <w:tcW w:w="1250" w:type="pct"/>
            <w:shd w:val="clear" w:color="auto" w:fill="auto"/>
            <w:tcMar>
              <w:top w:w="100" w:type="dxa"/>
              <w:left w:w="100" w:type="dxa"/>
              <w:bottom w:w="100" w:type="dxa"/>
              <w:right w:w="100" w:type="dxa"/>
            </w:tcMar>
          </w:tcPr>
          <w:p w14:paraId="795C0938" w14:textId="77777777" w:rsidR="00B67A04" w:rsidRDefault="007D292E">
            <w:pPr>
              <w:rPr>
                <w:b/>
                <w:bCs/>
              </w:rPr>
            </w:pPr>
            <w:r>
              <w:rPr>
                <w:b/>
                <w:bCs/>
              </w:rPr>
              <w:t>Network rail</w:t>
            </w:r>
          </w:p>
        </w:tc>
        <w:tc>
          <w:tcPr>
            <w:tcW w:w="1250" w:type="pct"/>
            <w:shd w:val="clear" w:color="auto" w:fill="auto"/>
            <w:tcMar>
              <w:top w:w="100" w:type="dxa"/>
              <w:left w:w="100" w:type="dxa"/>
              <w:bottom w:w="100" w:type="dxa"/>
              <w:right w:w="100" w:type="dxa"/>
            </w:tcMar>
          </w:tcPr>
          <w:p w14:paraId="5ADA9B4F" w14:textId="77777777" w:rsidR="00B67A04" w:rsidRDefault="007D292E">
            <w:pPr>
              <w:jc w:val="center"/>
            </w:pPr>
            <w:r>
              <w:t>Medium</w:t>
            </w:r>
          </w:p>
        </w:tc>
        <w:tc>
          <w:tcPr>
            <w:tcW w:w="1250" w:type="pct"/>
            <w:shd w:val="clear" w:color="auto" w:fill="auto"/>
            <w:tcMar>
              <w:top w:w="100" w:type="dxa"/>
              <w:left w:w="100" w:type="dxa"/>
              <w:bottom w:w="100" w:type="dxa"/>
              <w:right w:w="100" w:type="dxa"/>
            </w:tcMar>
          </w:tcPr>
          <w:p w14:paraId="0F850A2E" w14:textId="77777777" w:rsidR="00B67A04" w:rsidRDefault="007D292E">
            <w:pPr>
              <w:jc w:val="center"/>
            </w:pPr>
            <w:r>
              <w:t>Medium</w:t>
            </w:r>
          </w:p>
        </w:tc>
        <w:tc>
          <w:tcPr>
            <w:tcW w:w="1250" w:type="pct"/>
            <w:shd w:val="clear" w:color="auto" w:fill="auto"/>
            <w:tcMar>
              <w:top w:w="100" w:type="dxa"/>
              <w:left w:w="100" w:type="dxa"/>
              <w:bottom w:w="100" w:type="dxa"/>
              <w:right w:w="100" w:type="dxa"/>
            </w:tcMar>
          </w:tcPr>
          <w:p w14:paraId="7DE45070" w14:textId="77777777" w:rsidR="00B67A04" w:rsidRDefault="007D292E">
            <w:pPr>
              <w:jc w:val="center"/>
            </w:pPr>
            <w:r>
              <w:t>Medium</w:t>
            </w:r>
          </w:p>
        </w:tc>
      </w:tr>
      <w:tr w:rsidR="00B67A04" w14:paraId="0F944FF6" w14:textId="77777777" w:rsidTr="00267D4F">
        <w:trPr>
          <w:jc w:val="center"/>
        </w:trPr>
        <w:tc>
          <w:tcPr>
            <w:tcW w:w="1250" w:type="pct"/>
            <w:shd w:val="clear" w:color="auto" w:fill="auto"/>
            <w:tcMar>
              <w:top w:w="100" w:type="dxa"/>
              <w:left w:w="100" w:type="dxa"/>
              <w:bottom w:w="100" w:type="dxa"/>
              <w:right w:w="100" w:type="dxa"/>
            </w:tcMar>
          </w:tcPr>
          <w:p w14:paraId="767C8629" w14:textId="77777777" w:rsidR="00B67A04" w:rsidRDefault="007D292E">
            <w:pPr>
              <w:rPr>
                <w:b/>
                <w:bCs/>
              </w:rPr>
            </w:pPr>
            <w:r>
              <w:rPr>
                <w:b/>
                <w:bCs/>
              </w:rPr>
              <w:t>New Towns Taskforce</w:t>
            </w:r>
          </w:p>
        </w:tc>
        <w:tc>
          <w:tcPr>
            <w:tcW w:w="1250" w:type="pct"/>
            <w:shd w:val="clear" w:color="auto" w:fill="auto"/>
            <w:tcMar>
              <w:top w:w="100" w:type="dxa"/>
              <w:left w:w="100" w:type="dxa"/>
              <w:bottom w:w="100" w:type="dxa"/>
              <w:right w:w="100" w:type="dxa"/>
            </w:tcMar>
          </w:tcPr>
          <w:p w14:paraId="2233CAA2" w14:textId="77777777" w:rsidR="00B67A04" w:rsidRDefault="007D292E">
            <w:pPr>
              <w:jc w:val="center"/>
            </w:pPr>
            <w:r>
              <w:t>High</w:t>
            </w:r>
          </w:p>
        </w:tc>
        <w:tc>
          <w:tcPr>
            <w:tcW w:w="1250" w:type="pct"/>
            <w:shd w:val="clear" w:color="auto" w:fill="auto"/>
            <w:tcMar>
              <w:top w:w="100" w:type="dxa"/>
              <w:left w:w="100" w:type="dxa"/>
              <w:bottom w:w="100" w:type="dxa"/>
              <w:right w:w="100" w:type="dxa"/>
            </w:tcMar>
          </w:tcPr>
          <w:p w14:paraId="37F16685" w14:textId="77777777" w:rsidR="00B67A04" w:rsidRDefault="007D292E">
            <w:pPr>
              <w:jc w:val="center"/>
            </w:pPr>
            <w:r>
              <w:t>High</w:t>
            </w:r>
          </w:p>
        </w:tc>
        <w:tc>
          <w:tcPr>
            <w:tcW w:w="1250" w:type="pct"/>
            <w:shd w:val="clear" w:color="auto" w:fill="auto"/>
            <w:tcMar>
              <w:top w:w="100" w:type="dxa"/>
              <w:left w:w="100" w:type="dxa"/>
              <w:bottom w:w="100" w:type="dxa"/>
              <w:right w:w="100" w:type="dxa"/>
            </w:tcMar>
          </w:tcPr>
          <w:p w14:paraId="42F6C299" w14:textId="77777777" w:rsidR="00B67A04" w:rsidRDefault="007D292E">
            <w:pPr>
              <w:jc w:val="center"/>
            </w:pPr>
            <w:r>
              <w:t>High</w:t>
            </w:r>
          </w:p>
        </w:tc>
      </w:tr>
      <w:tr w:rsidR="00B67A04" w14:paraId="6A8EA0D7" w14:textId="77777777" w:rsidTr="00267D4F">
        <w:trPr>
          <w:jc w:val="center"/>
        </w:trPr>
        <w:tc>
          <w:tcPr>
            <w:tcW w:w="1250" w:type="pct"/>
            <w:shd w:val="clear" w:color="auto" w:fill="auto"/>
            <w:tcMar>
              <w:top w:w="100" w:type="dxa"/>
              <w:left w:w="100" w:type="dxa"/>
              <w:bottom w:w="100" w:type="dxa"/>
              <w:right w:w="100" w:type="dxa"/>
            </w:tcMar>
          </w:tcPr>
          <w:p w14:paraId="47CC44D1" w14:textId="77777777" w:rsidR="00B67A04" w:rsidRDefault="007D292E">
            <w:pPr>
              <w:rPr>
                <w:b/>
                <w:bCs/>
              </w:rPr>
            </w:pPr>
            <w:r>
              <w:rPr>
                <w:b/>
                <w:bCs/>
              </w:rPr>
              <w:t>Landowners</w:t>
            </w:r>
          </w:p>
        </w:tc>
        <w:tc>
          <w:tcPr>
            <w:tcW w:w="1250" w:type="pct"/>
            <w:shd w:val="clear" w:color="auto" w:fill="auto"/>
            <w:tcMar>
              <w:top w:w="100" w:type="dxa"/>
              <w:left w:w="100" w:type="dxa"/>
              <w:bottom w:w="100" w:type="dxa"/>
              <w:right w:w="100" w:type="dxa"/>
            </w:tcMar>
          </w:tcPr>
          <w:p w14:paraId="0278E577" w14:textId="77777777" w:rsidR="00B67A04" w:rsidRDefault="007D292E">
            <w:pPr>
              <w:jc w:val="center"/>
            </w:pPr>
            <w:r>
              <w:t>Medium</w:t>
            </w:r>
          </w:p>
        </w:tc>
        <w:tc>
          <w:tcPr>
            <w:tcW w:w="1250" w:type="pct"/>
            <w:shd w:val="clear" w:color="auto" w:fill="auto"/>
            <w:tcMar>
              <w:top w:w="100" w:type="dxa"/>
              <w:left w:w="100" w:type="dxa"/>
              <w:bottom w:w="100" w:type="dxa"/>
              <w:right w:w="100" w:type="dxa"/>
            </w:tcMar>
          </w:tcPr>
          <w:p w14:paraId="7307AA0B" w14:textId="77777777" w:rsidR="00B67A04" w:rsidRDefault="007D292E">
            <w:pPr>
              <w:jc w:val="center"/>
            </w:pPr>
            <w:r>
              <w:t>Medium</w:t>
            </w:r>
          </w:p>
        </w:tc>
        <w:tc>
          <w:tcPr>
            <w:tcW w:w="1250" w:type="pct"/>
            <w:shd w:val="clear" w:color="auto" w:fill="auto"/>
            <w:tcMar>
              <w:top w:w="100" w:type="dxa"/>
              <w:left w:w="100" w:type="dxa"/>
              <w:bottom w:w="100" w:type="dxa"/>
              <w:right w:w="100" w:type="dxa"/>
            </w:tcMar>
          </w:tcPr>
          <w:p w14:paraId="08136176" w14:textId="77777777" w:rsidR="00B67A04" w:rsidRDefault="007D292E">
            <w:pPr>
              <w:jc w:val="center"/>
            </w:pPr>
            <w:r>
              <w:t>High</w:t>
            </w:r>
          </w:p>
        </w:tc>
      </w:tr>
      <w:tr w:rsidR="00B67A04" w14:paraId="7C7DBD7D" w14:textId="77777777" w:rsidTr="00267D4F">
        <w:trPr>
          <w:jc w:val="center"/>
        </w:trPr>
        <w:tc>
          <w:tcPr>
            <w:tcW w:w="1250" w:type="pct"/>
            <w:shd w:val="clear" w:color="auto" w:fill="auto"/>
            <w:tcMar>
              <w:top w:w="100" w:type="dxa"/>
              <w:left w:w="100" w:type="dxa"/>
              <w:bottom w:w="100" w:type="dxa"/>
              <w:right w:w="100" w:type="dxa"/>
            </w:tcMar>
          </w:tcPr>
          <w:p w14:paraId="7CBD420D" w14:textId="77777777" w:rsidR="00B67A04" w:rsidRDefault="007D292E">
            <w:pPr>
              <w:rPr>
                <w:b/>
                <w:bCs/>
              </w:rPr>
            </w:pPr>
            <w:r>
              <w:rPr>
                <w:b/>
                <w:bCs/>
              </w:rPr>
              <w:t>East West rail company (EWR)</w:t>
            </w:r>
          </w:p>
        </w:tc>
        <w:tc>
          <w:tcPr>
            <w:tcW w:w="1250" w:type="pct"/>
            <w:shd w:val="clear" w:color="auto" w:fill="auto"/>
            <w:tcMar>
              <w:top w:w="100" w:type="dxa"/>
              <w:left w:w="100" w:type="dxa"/>
              <w:bottom w:w="100" w:type="dxa"/>
              <w:right w:w="100" w:type="dxa"/>
            </w:tcMar>
          </w:tcPr>
          <w:p w14:paraId="039BE6C9" w14:textId="77777777" w:rsidR="00B67A04" w:rsidRDefault="007D292E">
            <w:pPr>
              <w:jc w:val="center"/>
            </w:pPr>
            <w:r>
              <w:t>High</w:t>
            </w:r>
          </w:p>
        </w:tc>
        <w:tc>
          <w:tcPr>
            <w:tcW w:w="1250" w:type="pct"/>
            <w:shd w:val="clear" w:color="auto" w:fill="auto"/>
            <w:tcMar>
              <w:top w:w="100" w:type="dxa"/>
              <w:left w:w="100" w:type="dxa"/>
              <w:bottom w:w="100" w:type="dxa"/>
              <w:right w:w="100" w:type="dxa"/>
            </w:tcMar>
          </w:tcPr>
          <w:p w14:paraId="0EF15C74" w14:textId="77777777" w:rsidR="00B67A04" w:rsidRDefault="007D292E">
            <w:pPr>
              <w:jc w:val="center"/>
            </w:pPr>
            <w:r>
              <w:t>High</w:t>
            </w:r>
          </w:p>
        </w:tc>
        <w:tc>
          <w:tcPr>
            <w:tcW w:w="1250" w:type="pct"/>
            <w:shd w:val="clear" w:color="auto" w:fill="auto"/>
            <w:tcMar>
              <w:top w:w="100" w:type="dxa"/>
              <w:left w:w="100" w:type="dxa"/>
              <w:bottom w:w="100" w:type="dxa"/>
              <w:right w:w="100" w:type="dxa"/>
            </w:tcMar>
          </w:tcPr>
          <w:p w14:paraId="5C7480CA" w14:textId="77777777" w:rsidR="00B67A04" w:rsidRDefault="007D292E">
            <w:pPr>
              <w:jc w:val="center"/>
            </w:pPr>
            <w:r>
              <w:t>High</w:t>
            </w:r>
          </w:p>
        </w:tc>
      </w:tr>
      <w:tr w:rsidR="00B67A04" w14:paraId="4694D946" w14:textId="77777777" w:rsidTr="00267D4F">
        <w:trPr>
          <w:jc w:val="center"/>
        </w:trPr>
        <w:tc>
          <w:tcPr>
            <w:tcW w:w="1250" w:type="pct"/>
            <w:shd w:val="clear" w:color="auto" w:fill="auto"/>
            <w:tcMar>
              <w:top w:w="100" w:type="dxa"/>
              <w:left w:w="100" w:type="dxa"/>
              <w:bottom w:w="100" w:type="dxa"/>
              <w:right w:w="100" w:type="dxa"/>
            </w:tcMar>
          </w:tcPr>
          <w:p w14:paraId="7EDB6B21" w14:textId="77777777" w:rsidR="00B67A04" w:rsidRDefault="007D292E">
            <w:pPr>
              <w:rPr>
                <w:b/>
                <w:bCs/>
              </w:rPr>
            </w:pPr>
            <w:r>
              <w:rPr>
                <w:b/>
                <w:bCs/>
              </w:rPr>
              <w:t>Urban and civic construction developers</w:t>
            </w:r>
          </w:p>
        </w:tc>
        <w:tc>
          <w:tcPr>
            <w:tcW w:w="1250" w:type="pct"/>
            <w:shd w:val="clear" w:color="auto" w:fill="auto"/>
            <w:tcMar>
              <w:top w:w="100" w:type="dxa"/>
              <w:left w:w="100" w:type="dxa"/>
              <w:bottom w:w="100" w:type="dxa"/>
              <w:right w:w="100" w:type="dxa"/>
            </w:tcMar>
          </w:tcPr>
          <w:p w14:paraId="42A9C19B" w14:textId="77777777" w:rsidR="00B67A04" w:rsidRDefault="007D292E">
            <w:pPr>
              <w:jc w:val="center"/>
            </w:pPr>
            <w:r>
              <w:t>High</w:t>
            </w:r>
          </w:p>
        </w:tc>
        <w:tc>
          <w:tcPr>
            <w:tcW w:w="1250" w:type="pct"/>
            <w:shd w:val="clear" w:color="auto" w:fill="auto"/>
            <w:tcMar>
              <w:top w:w="100" w:type="dxa"/>
              <w:left w:w="100" w:type="dxa"/>
              <w:bottom w:w="100" w:type="dxa"/>
              <w:right w:w="100" w:type="dxa"/>
            </w:tcMar>
          </w:tcPr>
          <w:p w14:paraId="05753174" w14:textId="77777777" w:rsidR="00B67A04" w:rsidRDefault="007D292E">
            <w:pPr>
              <w:jc w:val="center"/>
            </w:pPr>
            <w:r>
              <w:t>High</w:t>
            </w:r>
          </w:p>
        </w:tc>
        <w:tc>
          <w:tcPr>
            <w:tcW w:w="1250" w:type="pct"/>
            <w:shd w:val="clear" w:color="auto" w:fill="auto"/>
            <w:tcMar>
              <w:top w:w="100" w:type="dxa"/>
              <w:left w:w="100" w:type="dxa"/>
              <w:bottom w:w="100" w:type="dxa"/>
              <w:right w:w="100" w:type="dxa"/>
            </w:tcMar>
          </w:tcPr>
          <w:p w14:paraId="7BF6CFF5" w14:textId="77777777" w:rsidR="00B67A04" w:rsidRDefault="007D292E">
            <w:pPr>
              <w:jc w:val="center"/>
            </w:pPr>
            <w:r>
              <w:t>High</w:t>
            </w:r>
          </w:p>
        </w:tc>
      </w:tr>
    </w:tbl>
    <w:p w14:paraId="5760223A" w14:textId="77777777" w:rsidR="00B67A04" w:rsidRDefault="007D292E">
      <w:pPr>
        <w:jc w:val="center"/>
        <w:rPr>
          <w:b/>
          <w:bCs/>
        </w:rPr>
      </w:pPr>
      <w:r>
        <w:rPr>
          <w:b/>
          <w:bCs/>
        </w:rPr>
        <w:t>Table 1: Internal stakeholder mapping</w:t>
      </w:r>
    </w:p>
    <w:p w14:paraId="1E0DF612" w14:textId="77777777" w:rsidR="00B67A04" w:rsidRDefault="007D292E">
      <w:r>
        <w:rPr>
          <w:b/>
          <w:bCs/>
        </w:rPr>
        <w:t>Justification</w:t>
      </w:r>
    </w:p>
    <w:p w14:paraId="6F84B401" w14:textId="50FA719D" w:rsidR="00267D4F" w:rsidRPr="00267D4F" w:rsidRDefault="007D292E">
      <w:r>
        <w:t xml:space="preserve">Internal stakeholder mapping is fundamental for learners gaining profound knowledge into how power, influence, and interest are distributed. Based on the viewpoint of </w:t>
      </w:r>
      <w:proofErr w:type="spellStart"/>
      <w:r>
        <w:t>Gibbeson</w:t>
      </w:r>
      <w:proofErr w:type="spellEnd"/>
      <w:r>
        <w:t xml:space="preserve"> (2024), internal stakeholders share detailed knowledge, align unmet needs, and have direct decision-making power in housing redevelopment projects. Network Rail will have medium power, </w:t>
      </w:r>
      <w:r w:rsidR="00427547">
        <w:t>influence,</w:t>
      </w:r>
      <w:r>
        <w:t xml:space="preserve"> and interest for being engaged in integrating East Coast Main Line (ECML). They hold authority over rail integration, yet may have zero control over master planning or regional housing budgets. New Towns Taskforce is expected to have high power, influence, and interest, driven by prime strategic location at the intersection of ECML EWR link with Oxford Cambridge. Conversely, landowners' medium power and influence together with high interest are accelerated by witnessing strategic infrastructure hubs and fast-tasked development timelines. On the other hand, East West Railway Company acts as a core anchor that easily unlocks regional economic growth, so it is placed in high power, influence, and interest quadrants in Table 1. Urban and civic construction developers have high power, influence, and interest, as they connect governmental growth mandates to commercial viability.</w:t>
      </w:r>
      <w:r w:rsidR="00267D4F">
        <w:rPr>
          <w:b/>
          <w:bCs/>
        </w:rPr>
        <w:br w:type="page"/>
      </w:r>
    </w:p>
    <w:p w14:paraId="2C9105C7" w14:textId="3A23190C" w:rsidR="00B67A04" w:rsidRDefault="007D292E">
      <w:pPr>
        <w:rPr>
          <w:b/>
          <w:bCs/>
        </w:rPr>
      </w:pPr>
      <w:r>
        <w:rPr>
          <w:b/>
          <w:bCs/>
        </w:rPr>
        <w:lastRenderedPageBreak/>
        <w:t>External stakeholder mapping</w:t>
      </w:r>
    </w:p>
    <w:tbl>
      <w:tblPr>
        <w:tblStyle w:val="a0"/>
        <w:tblW w:w="5000" w:type="pct"/>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253"/>
        <w:gridCol w:w="2252"/>
        <w:gridCol w:w="2252"/>
        <w:gridCol w:w="2252"/>
      </w:tblGrid>
      <w:tr w:rsidR="00B67A04" w14:paraId="053D8AEA" w14:textId="77777777" w:rsidTr="00267D4F">
        <w:trPr>
          <w:jc w:val="center"/>
        </w:trPr>
        <w:tc>
          <w:tcPr>
            <w:tcW w:w="1250" w:type="pct"/>
            <w:shd w:val="clear" w:color="auto" w:fill="auto"/>
            <w:tcMar>
              <w:top w:w="100" w:type="dxa"/>
              <w:left w:w="100" w:type="dxa"/>
              <w:bottom w:w="100" w:type="dxa"/>
              <w:right w:w="100" w:type="dxa"/>
            </w:tcMar>
          </w:tcPr>
          <w:p w14:paraId="52977A95" w14:textId="77777777" w:rsidR="00B67A04" w:rsidRDefault="007D292E">
            <w:pPr>
              <w:jc w:val="center"/>
              <w:rPr>
                <w:b/>
                <w:bCs/>
              </w:rPr>
            </w:pPr>
            <w:r>
              <w:rPr>
                <w:b/>
                <w:bCs/>
              </w:rPr>
              <w:t>External stakeholders</w:t>
            </w:r>
          </w:p>
        </w:tc>
        <w:tc>
          <w:tcPr>
            <w:tcW w:w="1250" w:type="pct"/>
            <w:shd w:val="clear" w:color="auto" w:fill="auto"/>
            <w:tcMar>
              <w:top w:w="100" w:type="dxa"/>
              <w:left w:w="100" w:type="dxa"/>
              <w:bottom w:w="100" w:type="dxa"/>
              <w:right w:w="100" w:type="dxa"/>
            </w:tcMar>
          </w:tcPr>
          <w:p w14:paraId="1846976C" w14:textId="77777777" w:rsidR="00B67A04" w:rsidRDefault="007D292E">
            <w:pPr>
              <w:jc w:val="center"/>
              <w:rPr>
                <w:b/>
                <w:bCs/>
              </w:rPr>
            </w:pPr>
            <w:r>
              <w:rPr>
                <w:b/>
                <w:bCs/>
              </w:rPr>
              <w:t>Power</w:t>
            </w:r>
          </w:p>
        </w:tc>
        <w:tc>
          <w:tcPr>
            <w:tcW w:w="1250" w:type="pct"/>
            <w:shd w:val="clear" w:color="auto" w:fill="auto"/>
            <w:tcMar>
              <w:top w:w="100" w:type="dxa"/>
              <w:left w:w="100" w:type="dxa"/>
              <w:bottom w:w="100" w:type="dxa"/>
              <w:right w:w="100" w:type="dxa"/>
            </w:tcMar>
          </w:tcPr>
          <w:p w14:paraId="672BD649" w14:textId="77777777" w:rsidR="00B67A04" w:rsidRDefault="007D292E">
            <w:pPr>
              <w:jc w:val="center"/>
              <w:rPr>
                <w:b/>
                <w:bCs/>
              </w:rPr>
            </w:pPr>
            <w:r>
              <w:rPr>
                <w:b/>
                <w:bCs/>
              </w:rPr>
              <w:t>Influence</w:t>
            </w:r>
          </w:p>
        </w:tc>
        <w:tc>
          <w:tcPr>
            <w:tcW w:w="1250" w:type="pct"/>
            <w:shd w:val="clear" w:color="auto" w:fill="auto"/>
            <w:tcMar>
              <w:top w:w="100" w:type="dxa"/>
              <w:left w:w="100" w:type="dxa"/>
              <w:bottom w:w="100" w:type="dxa"/>
              <w:right w:w="100" w:type="dxa"/>
            </w:tcMar>
          </w:tcPr>
          <w:p w14:paraId="17C8965F" w14:textId="77777777" w:rsidR="00B67A04" w:rsidRDefault="007D292E">
            <w:pPr>
              <w:jc w:val="center"/>
              <w:rPr>
                <w:b/>
                <w:bCs/>
              </w:rPr>
            </w:pPr>
            <w:r>
              <w:rPr>
                <w:b/>
                <w:bCs/>
              </w:rPr>
              <w:t>Interest</w:t>
            </w:r>
          </w:p>
        </w:tc>
      </w:tr>
      <w:tr w:rsidR="00B67A04" w14:paraId="7D27762F" w14:textId="77777777" w:rsidTr="00267D4F">
        <w:trPr>
          <w:jc w:val="center"/>
        </w:trPr>
        <w:tc>
          <w:tcPr>
            <w:tcW w:w="1250" w:type="pct"/>
            <w:shd w:val="clear" w:color="auto" w:fill="auto"/>
            <w:tcMar>
              <w:top w:w="100" w:type="dxa"/>
              <w:left w:w="100" w:type="dxa"/>
              <w:bottom w:w="100" w:type="dxa"/>
              <w:right w:w="100" w:type="dxa"/>
            </w:tcMar>
          </w:tcPr>
          <w:p w14:paraId="2506E2AA" w14:textId="77777777" w:rsidR="00B67A04" w:rsidRDefault="007D292E">
            <w:pPr>
              <w:rPr>
                <w:b/>
                <w:bCs/>
              </w:rPr>
            </w:pPr>
            <w:r>
              <w:rPr>
                <w:b/>
                <w:bCs/>
              </w:rPr>
              <w:t>Local communities and residents</w:t>
            </w:r>
          </w:p>
        </w:tc>
        <w:tc>
          <w:tcPr>
            <w:tcW w:w="1250" w:type="pct"/>
            <w:shd w:val="clear" w:color="auto" w:fill="auto"/>
            <w:tcMar>
              <w:top w:w="100" w:type="dxa"/>
              <w:left w:w="100" w:type="dxa"/>
              <w:bottom w:w="100" w:type="dxa"/>
              <w:right w:w="100" w:type="dxa"/>
            </w:tcMar>
          </w:tcPr>
          <w:p w14:paraId="14325B51" w14:textId="77777777" w:rsidR="00B67A04" w:rsidRDefault="007D292E">
            <w:pPr>
              <w:jc w:val="center"/>
            </w:pPr>
            <w:r>
              <w:t>Low</w:t>
            </w:r>
          </w:p>
        </w:tc>
        <w:tc>
          <w:tcPr>
            <w:tcW w:w="1250" w:type="pct"/>
            <w:shd w:val="clear" w:color="auto" w:fill="auto"/>
            <w:tcMar>
              <w:top w:w="100" w:type="dxa"/>
              <w:left w:w="100" w:type="dxa"/>
              <w:bottom w:w="100" w:type="dxa"/>
              <w:right w:w="100" w:type="dxa"/>
            </w:tcMar>
          </w:tcPr>
          <w:p w14:paraId="6AE5F7CF" w14:textId="77777777" w:rsidR="00B67A04" w:rsidRDefault="007D292E">
            <w:pPr>
              <w:jc w:val="center"/>
            </w:pPr>
            <w:r>
              <w:t>Low</w:t>
            </w:r>
          </w:p>
        </w:tc>
        <w:tc>
          <w:tcPr>
            <w:tcW w:w="1250" w:type="pct"/>
            <w:shd w:val="clear" w:color="auto" w:fill="auto"/>
            <w:tcMar>
              <w:top w:w="100" w:type="dxa"/>
              <w:left w:w="100" w:type="dxa"/>
              <w:bottom w:w="100" w:type="dxa"/>
              <w:right w:w="100" w:type="dxa"/>
            </w:tcMar>
          </w:tcPr>
          <w:p w14:paraId="1360A1AF" w14:textId="77777777" w:rsidR="00B67A04" w:rsidRDefault="007D292E">
            <w:pPr>
              <w:jc w:val="center"/>
            </w:pPr>
            <w:r>
              <w:t>High</w:t>
            </w:r>
          </w:p>
        </w:tc>
      </w:tr>
      <w:tr w:rsidR="00B67A04" w14:paraId="4D8D6FC6" w14:textId="77777777" w:rsidTr="00267D4F">
        <w:trPr>
          <w:jc w:val="center"/>
        </w:trPr>
        <w:tc>
          <w:tcPr>
            <w:tcW w:w="1250" w:type="pct"/>
            <w:shd w:val="clear" w:color="auto" w:fill="auto"/>
            <w:tcMar>
              <w:top w:w="100" w:type="dxa"/>
              <w:left w:w="100" w:type="dxa"/>
              <w:bottom w:w="100" w:type="dxa"/>
              <w:right w:w="100" w:type="dxa"/>
            </w:tcMar>
          </w:tcPr>
          <w:p w14:paraId="6DEDF171" w14:textId="28A46290" w:rsidR="00B67A04" w:rsidRDefault="007D292E">
            <w:pPr>
              <w:rPr>
                <w:b/>
                <w:bCs/>
              </w:rPr>
            </w:pPr>
            <w:proofErr w:type="spellStart"/>
            <w:r>
              <w:rPr>
                <w:b/>
                <w:bCs/>
              </w:rPr>
              <w:t>Tempsford</w:t>
            </w:r>
            <w:proofErr w:type="spellEnd"/>
            <w:r>
              <w:rPr>
                <w:b/>
                <w:bCs/>
              </w:rPr>
              <w:t xml:space="preserve"> &amp; </w:t>
            </w:r>
            <w:r w:rsidR="00427547">
              <w:rPr>
                <w:b/>
                <w:bCs/>
              </w:rPr>
              <w:t>Neighbouring</w:t>
            </w:r>
            <w:r>
              <w:rPr>
                <w:b/>
                <w:bCs/>
              </w:rPr>
              <w:t xml:space="preserve"> Parish Councils</w:t>
            </w:r>
          </w:p>
        </w:tc>
        <w:tc>
          <w:tcPr>
            <w:tcW w:w="1250" w:type="pct"/>
            <w:shd w:val="clear" w:color="auto" w:fill="auto"/>
            <w:tcMar>
              <w:top w:w="100" w:type="dxa"/>
              <w:left w:w="100" w:type="dxa"/>
              <w:bottom w:w="100" w:type="dxa"/>
              <w:right w:w="100" w:type="dxa"/>
            </w:tcMar>
          </w:tcPr>
          <w:p w14:paraId="5C546C5E" w14:textId="77777777" w:rsidR="00B67A04" w:rsidRDefault="007D292E">
            <w:pPr>
              <w:jc w:val="center"/>
            </w:pPr>
            <w:r>
              <w:t>Low</w:t>
            </w:r>
          </w:p>
        </w:tc>
        <w:tc>
          <w:tcPr>
            <w:tcW w:w="1250" w:type="pct"/>
            <w:shd w:val="clear" w:color="auto" w:fill="auto"/>
            <w:tcMar>
              <w:top w:w="100" w:type="dxa"/>
              <w:left w:w="100" w:type="dxa"/>
              <w:bottom w:w="100" w:type="dxa"/>
              <w:right w:w="100" w:type="dxa"/>
            </w:tcMar>
          </w:tcPr>
          <w:p w14:paraId="2DCE36C7" w14:textId="77777777" w:rsidR="00B67A04" w:rsidRDefault="007D292E">
            <w:pPr>
              <w:jc w:val="center"/>
            </w:pPr>
            <w:r>
              <w:t xml:space="preserve">Medium </w:t>
            </w:r>
          </w:p>
        </w:tc>
        <w:tc>
          <w:tcPr>
            <w:tcW w:w="1250" w:type="pct"/>
            <w:shd w:val="clear" w:color="auto" w:fill="auto"/>
            <w:tcMar>
              <w:top w:w="100" w:type="dxa"/>
              <w:left w:w="100" w:type="dxa"/>
              <w:bottom w:w="100" w:type="dxa"/>
              <w:right w:w="100" w:type="dxa"/>
            </w:tcMar>
          </w:tcPr>
          <w:p w14:paraId="5B1847F5" w14:textId="77777777" w:rsidR="00B67A04" w:rsidRDefault="007D292E">
            <w:pPr>
              <w:jc w:val="center"/>
            </w:pPr>
            <w:r>
              <w:t>High</w:t>
            </w:r>
          </w:p>
        </w:tc>
      </w:tr>
      <w:tr w:rsidR="00B67A04" w14:paraId="77BE2115" w14:textId="77777777" w:rsidTr="00267D4F">
        <w:trPr>
          <w:jc w:val="center"/>
        </w:trPr>
        <w:tc>
          <w:tcPr>
            <w:tcW w:w="1250" w:type="pct"/>
            <w:shd w:val="clear" w:color="auto" w:fill="auto"/>
            <w:tcMar>
              <w:top w:w="100" w:type="dxa"/>
              <w:left w:w="100" w:type="dxa"/>
              <w:bottom w:w="100" w:type="dxa"/>
              <w:right w:w="100" w:type="dxa"/>
            </w:tcMar>
          </w:tcPr>
          <w:p w14:paraId="4605DCBD" w14:textId="77777777" w:rsidR="00B67A04" w:rsidRDefault="007D292E">
            <w:pPr>
              <w:rPr>
                <w:b/>
                <w:bCs/>
              </w:rPr>
            </w:pPr>
            <w:r>
              <w:rPr>
                <w:b/>
                <w:bCs/>
              </w:rPr>
              <w:t>Central Bedfordshire Council</w:t>
            </w:r>
          </w:p>
        </w:tc>
        <w:tc>
          <w:tcPr>
            <w:tcW w:w="1250" w:type="pct"/>
            <w:shd w:val="clear" w:color="auto" w:fill="auto"/>
            <w:tcMar>
              <w:top w:w="100" w:type="dxa"/>
              <w:left w:w="100" w:type="dxa"/>
              <w:bottom w:w="100" w:type="dxa"/>
              <w:right w:w="100" w:type="dxa"/>
            </w:tcMar>
          </w:tcPr>
          <w:p w14:paraId="69F22862" w14:textId="77777777" w:rsidR="00B67A04" w:rsidRDefault="007D292E">
            <w:pPr>
              <w:jc w:val="center"/>
            </w:pPr>
            <w:r>
              <w:t>High</w:t>
            </w:r>
          </w:p>
        </w:tc>
        <w:tc>
          <w:tcPr>
            <w:tcW w:w="1250" w:type="pct"/>
            <w:shd w:val="clear" w:color="auto" w:fill="auto"/>
            <w:tcMar>
              <w:top w:w="100" w:type="dxa"/>
              <w:left w:w="100" w:type="dxa"/>
              <w:bottom w:w="100" w:type="dxa"/>
              <w:right w:w="100" w:type="dxa"/>
            </w:tcMar>
          </w:tcPr>
          <w:p w14:paraId="0A041CC2" w14:textId="77777777" w:rsidR="00B67A04" w:rsidRDefault="007D292E">
            <w:pPr>
              <w:jc w:val="center"/>
            </w:pPr>
            <w:r>
              <w:t>High</w:t>
            </w:r>
          </w:p>
        </w:tc>
        <w:tc>
          <w:tcPr>
            <w:tcW w:w="1250" w:type="pct"/>
            <w:shd w:val="clear" w:color="auto" w:fill="auto"/>
            <w:tcMar>
              <w:top w:w="100" w:type="dxa"/>
              <w:left w:w="100" w:type="dxa"/>
              <w:bottom w:w="100" w:type="dxa"/>
              <w:right w:w="100" w:type="dxa"/>
            </w:tcMar>
          </w:tcPr>
          <w:p w14:paraId="5ACFFA31" w14:textId="77777777" w:rsidR="00B67A04" w:rsidRDefault="007D292E">
            <w:pPr>
              <w:jc w:val="center"/>
            </w:pPr>
            <w:r>
              <w:t>High</w:t>
            </w:r>
          </w:p>
        </w:tc>
      </w:tr>
      <w:tr w:rsidR="00B67A04" w14:paraId="08B2CA45" w14:textId="77777777" w:rsidTr="00267D4F">
        <w:trPr>
          <w:jc w:val="center"/>
        </w:trPr>
        <w:tc>
          <w:tcPr>
            <w:tcW w:w="1250" w:type="pct"/>
            <w:shd w:val="clear" w:color="auto" w:fill="auto"/>
            <w:tcMar>
              <w:top w:w="100" w:type="dxa"/>
              <w:left w:w="100" w:type="dxa"/>
              <w:bottom w:w="100" w:type="dxa"/>
              <w:right w:w="100" w:type="dxa"/>
            </w:tcMar>
          </w:tcPr>
          <w:p w14:paraId="5408296D" w14:textId="77777777" w:rsidR="00B67A04" w:rsidRDefault="007D292E">
            <w:pPr>
              <w:rPr>
                <w:b/>
                <w:bCs/>
              </w:rPr>
            </w:pPr>
            <w:r>
              <w:rPr>
                <w:b/>
                <w:bCs/>
              </w:rPr>
              <w:t xml:space="preserve">National highways authorities </w:t>
            </w:r>
          </w:p>
        </w:tc>
        <w:tc>
          <w:tcPr>
            <w:tcW w:w="1250" w:type="pct"/>
            <w:shd w:val="clear" w:color="auto" w:fill="auto"/>
            <w:tcMar>
              <w:top w:w="100" w:type="dxa"/>
              <w:left w:w="100" w:type="dxa"/>
              <w:bottom w:w="100" w:type="dxa"/>
              <w:right w:w="100" w:type="dxa"/>
            </w:tcMar>
          </w:tcPr>
          <w:p w14:paraId="582A0BBE" w14:textId="77777777" w:rsidR="00B67A04" w:rsidRDefault="007D292E">
            <w:pPr>
              <w:jc w:val="center"/>
            </w:pPr>
            <w:r>
              <w:t>Medium</w:t>
            </w:r>
          </w:p>
        </w:tc>
        <w:tc>
          <w:tcPr>
            <w:tcW w:w="1250" w:type="pct"/>
            <w:shd w:val="clear" w:color="auto" w:fill="auto"/>
            <w:tcMar>
              <w:top w:w="100" w:type="dxa"/>
              <w:left w:w="100" w:type="dxa"/>
              <w:bottom w:w="100" w:type="dxa"/>
              <w:right w:w="100" w:type="dxa"/>
            </w:tcMar>
          </w:tcPr>
          <w:p w14:paraId="60116D5C" w14:textId="77777777" w:rsidR="00B67A04" w:rsidRDefault="007D292E">
            <w:pPr>
              <w:jc w:val="center"/>
            </w:pPr>
            <w:r>
              <w:t>Medium</w:t>
            </w:r>
          </w:p>
        </w:tc>
        <w:tc>
          <w:tcPr>
            <w:tcW w:w="1250" w:type="pct"/>
            <w:shd w:val="clear" w:color="auto" w:fill="auto"/>
            <w:tcMar>
              <w:top w:w="100" w:type="dxa"/>
              <w:left w:w="100" w:type="dxa"/>
              <w:bottom w:w="100" w:type="dxa"/>
              <w:right w:w="100" w:type="dxa"/>
            </w:tcMar>
          </w:tcPr>
          <w:p w14:paraId="179D4D7F" w14:textId="77777777" w:rsidR="00B67A04" w:rsidRDefault="007D292E">
            <w:pPr>
              <w:jc w:val="center"/>
            </w:pPr>
            <w:r>
              <w:t>Medium</w:t>
            </w:r>
          </w:p>
        </w:tc>
      </w:tr>
      <w:tr w:rsidR="00B67A04" w14:paraId="0297FE51" w14:textId="77777777" w:rsidTr="00267D4F">
        <w:trPr>
          <w:jc w:val="center"/>
        </w:trPr>
        <w:tc>
          <w:tcPr>
            <w:tcW w:w="1250" w:type="pct"/>
            <w:shd w:val="clear" w:color="auto" w:fill="auto"/>
            <w:tcMar>
              <w:top w:w="100" w:type="dxa"/>
              <w:left w:w="100" w:type="dxa"/>
              <w:bottom w:w="100" w:type="dxa"/>
              <w:right w:w="100" w:type="dxa"/>
            </w:tcMar>
          </w:tcPr>
          <w:p w14:paraId="4E067755" w14:textId="77777777" w:rsidR="00B67A04" w:rsidRDefault="007D292E">
            <w:pPr>
              <w:rPr>
                <w:b/>
                <w:bCs/>
              </w:rPr>
            </w:pPr>
            <w:r>
              <w:rPr>
                <w:b/>
                <w:bCs/>
              </w:rPr>
              <w:t>Campaign to Protect Rural England (CPRE Bedfordshire)</w:t>
            </w:r>
          </w:p>
        </w:tc>
        <w:tc>
          <w:tcPr>
            <w:tcW w:w="1250" w:type="pct"/>
            <w:shd w:val="clear" w:color="auto" w:fill="auto"/>
            <w:tcMar>
              <w:top w:w="100" w:type="dxa"/>
              <w:left w:w="100" w:type="dxa"/>
              <w:bottom w:w="100" w:type="dxa"/>
              <w:right w:w="100" w:type="dxa"/>
            </w:tcMar>
          </w:tcPr>
          <w:p w14:paraId="691CCF8B" w14:textId="77777777" w:rsidR="00B67A04" w:rsidRDefault="007D292E">
            <w:pPr>
              <w:jc w:val="center"/>
            </w:pPr>
            <w:r>
              <w:t>Low</w:t>
            </w:r>
          </w:p>
        </w:tc>
        <w:tc>
          <w:tcPr>
            <w:tcW w:w="1250" w:type="pct"/>
            <w:shd w:val="clear" w:color="auto" w:fill="auto"/>
            <w:tcMar>
              <w:top w:w="100" w:type="dxa"/>
              <w:left w:w="100" w:type="dxa"/>
              <w:bottom w:w="100" w:type="dxa"/>
              <w:right w:w="100" w:type="dxa"/>
            </w:tcMar>
          </w:tcPr>
          <w:p w14:paraId="1152F545" w14:textId="77777777" w:rsidR="00B67A04" w:rsidRDefault="007D292E">
            <w:pPr>
              <w:jc w:val="center"/>
            </w:pPr>
            <w:r>
              <w:t>Medium</w:t>
            </w:r>
          </w:p>
        </w:tc>
        <w:tc>
          <w:tcPr>
            <w:tcW w:w="1250" w:type="pct"/>
            <w:shd w:val="clear" w:color="auto" w:fill="auto"/>
            <w:tcMar>
              <w:top w:w="100" w:type="dxa"/>
              <w:left w:w="100" w:type="dxa"/>
              <w:bottom w:w="100" w:type="dxa"/>
              <w:right w:w="100" w:type="dxa"/>
            </w:tcMar>
          </w:tcPr>
          <w:p w14:paraId="36980F84" w14:textId="77777777" w:rsidR="00B67A04" w:rsidRDefault="007D292E">
            <w:pPr>
              <w:jc w:val="center"/>
            </w:pPr>
            <w:r>
              <w:t>High</w:t>
            </w:r>
          </w:p>
        </w:tc>
      </w:tr>
      <w:tr w:rsidR="00B67A04" w14:paraId="0700DD98" w14:textId="77777777" w:rsidTr="00267D4F">
        <w:trPr>
          <w:jc w:val="center"/>
        </w:trPr>
        <w:tc>
          <w:tcPr>
            <w:tcW w:w="1250" w:type="pct"/>
            <w:shd w:val="clear" w:color="auto" w:fill="auto"/>
            <w:tcMar>
              <w:top w:w="100" w:type="dxa"/>
              <w:left w:w="100" w:type="dxa"/>
              <w:bottom w:w="100" w:type="dxa"/>
              <w:right w:w="100" w:type="dxa"/>
            </w:tcMar>
          </w:tcPr>
          <w:p w14:paraId="1C042838" w14:textId="77777777" w:rsidR="00B67A04" w:rsidRDefault="007D292E">
            <w:pPr>
              <w:rPr>
                <w:b/>
                <w:bCs/>
              </w:rPr>
            </w:pPr>
            <w:r>
              <w:rPr>
                <w:b/>
                <w:bCs/>
              </w:rPr>
              <w:t>Richard Fuller MP</w:t>
            </w:r>
          </w:p>
        </w:tc>
        <w:tc>
          <w:tcPr>
            <w:tcW w:w="1250" w:type="pct"/>
            <w:shd w:val="clear" w:color="auto" w:fill="auto"/>
            <w:tcMar>
              <w:top w:w="100" w:type="dxa"/>
              <w:left w:w="100" w:type="dxa"/>
              <w:bottom w:w="100" w:type="dxa"/>
              <w:right w:w="100" w:type="dxa"/>
            </w:tcMar>
          </w:tcPr>
          <w:p w14:paraId="6687A810" w14:textId="77777777" w:rsidR="00B67A04" w:rsidRDefault="007D292E">
            <w:pPr>
              <w:jc w:val="center"/>
            </w:pPr>
            <w:r>
              <w:t>Medium</w:t>
            </w:r>
          </w:p>
        </w:tc>
        <w:tc>
          <w:tcPr>
            <w:tcW w:w="1250" w:type="pct"/>
            <w:shd w:val="clear" w:color="auto" w:fill="auto"/>
            <w:tcMar>
              <w:top w:w="100" w:type="dxa"/>
              <w:left w:w="100" w:type="dxa"/>
              <w:bottom w:w="100" w:type="dxa"/>
              <w:right w:w="100" w:type="dxa"/>
            </w:tcMar>
          </w:tcPr>
          <w:p w14:paraId="7D4755BC" w14:textId="77777777" w:rsidR="00B67A04" w:rsidRDefault="007D292E">
            <w:pPr>
              <w:jc w:val="center"/>
            </w:pPr>
            <w:r>
              <w:t>High</w:t>
            </w:r>
          </w:p>
        </w:tc>
        <w:tc>
          <w:tcPr>
            <w:tcW w:w="1250" w:type="pct"/>
            <w:shd w:val="clear" w:color="auto" w:fill="auto"/>
            <w:tcMar>
              <w:top w:w="100" w:type="dxa"/>
              <w:left w:w="100" w:type="dxa"/>
              <w:bottom w:w="100" w:type="dxa"/>
              <w:right w:w="100" w:type="dxa"/>
            </w:tcMar>
          </w:tcPr>
          <w:p w14:paraId="34B10B07" w14:textId="77777777" w:rsidR="00B67A04" w:rsidRDefault="007D292E">
            <w:pPr>
              <w:jc w:val="center"/>
            </w:pPr>
            <w:r>
              <w:t>High</w:t>
            </w:r>
          </w:p>
        </w:tc>
      </w:tr>
    </w:tbl>
    <w:p w14:paraId="4741BFB9" w14:textId="77777777" w:rsidR="00B67A04" w:rsidRDefault="007D292E">
      <w:pPr>
        <w:jc w:val="center"/>
        <w:rPr>
          <w:b/>
          <w:bCs/>
        </w:rPr>
      </w:pPr>
      <w:r>
        <w:rPr>
          <w:b/>
          <w:bCs/>
        </w:rPr>
        <w:t>Table 2: External stakeholder mapping</w:t>
      </w:r>
    </w:p>
    <w:p w14:paraId="4064FC31" w14:textId="77777777" w:rsidR="00B67A04" w:rsidRDefault="007D292E">
      <w:pPr>
        <w:rPr>
          <w:b/>
          <w:bCs/>
        </w:rPr>
      </w:pPr>
      <w:r>
        <w:rPr>
          <w:b/>
          <w:bCs/>
        </w:rPr>
        <w:t>Justification</w:t>
      </w:r>
    </w:p>
    <w:p w14:paraId="2385DB38" w14:textId="77777777" w:rsidR="00267D4F" w:rsidRDefault="007D292E">
      <w:r>
        <w:t xml:space="preserve">External stakeholder mapping is significant for practitioners built through comprehension into the power, influence and interests shared among different groups. According to Furman and </w:t>
      </w:r>
      <w:proofErr w:type="spellStart"/>
      <w:r>
        <w:t>Hadjri</w:t>
      </w:r>
      <w:proofErr w:type="spellEnd"/>
      <w:r>
        <w:t xml:space="preserve"> (2025), from large to small scale projects generally designed to address unmet needs to external stakeholders. For example, local communities and residents will have low power and influence, while rationale behind high interest includes experiencing modern infrastructure developed nearby their residence. On the contrary, </w:t>
      </w:r>
      <w:proofErr w:type="spellStart"/>
      <w:r>
        <w:t>Tempsford</w:t>
      </w:r>
      <w:proofErr w:type="spellEnd"/>
      <w:r>
        <w:t xml:space="preserve"> &amp; </w:t>
      </w:r>
      <w:r w:rsidR="00427547">
        <w:t>Neighbouring</w:t>
      </w:r>
      <w:r>
        <w:t xml:space="preserve"> Parish Councils may share medium influence, high interests, and low power because the government holds statutory</w:t>
      </w:r>
      <w:r w:rsidR="00267D4F">
        <w:t xml:space="preserve"> planning control or authority.</w:t>
      </w:r>
    </w:p>
    <w:p w14:paraId="3085E6C3" w14:textId="77777777" w:rsidR="00267D4F" w:rsidRDefault="00267D4F">
      <w:r>
        <w:br w:type="page"/>
      </w:r>
    </w:p>
    <w:p w14:paraId="7D2BB16C" w14:textId="47B1E238" w:rsidR="00B67A04" w:rsidRDefault="007D292E">
      <w:r>
        <w:lastRenderedPageBreak/>
        <w:t xml:space="preserve">High power, influence, and interest of Central Bedfordshire Council is likely exacerbated by the </w:t>
      </w:r>
      <w:proofErr w:type="spellStart"/>
      <w:r>
        <w:t>Tempsford</w:t>
      </w:r>
      <w:proofErr w:type="spellEnd"/>
      <w:r>
        <w:t xml:space="preserve"> New Town project scheme lying under its jurisdiction and encouraging local authorities to make necessary changes into housing </w:t>
      </w:r>
      <w:r w:rsidR="00267D4F">
        <w:t xml:space="preserve">redevelopment. </w:t>
      </w:r>
      <w:r>
        <w:t xml:space="preserve">Core purpose </w:t>
      </w:r>
      <w:r w:rsidR="00427547">
        <w:t xml:space="preserve">is </w:t>
      </w:r>
      <w:r>
        <w:t xml:space="preserve">to categorise National highways authorities in medium quadrant because of its major involvement in regional connectivity yet secondary role in housing development. CPRE Bedfordshire has no direct authority to this future project, and its medium interest may stem from its future involvement in sharing support. Additionally, public credibility makes this stakeholder sit on a high influence quadrant. Reason behind positioning MP Richard Fuller </w:t>
      </w:r>
      <w:r w:rsidR="00427547">
        <w:t>is due to its</w:t>
      </w:r>
      <w:r>
        <w:t xml:space="preserve"> engagement with ministers while stating infrastructure concerns.</w:t>
      </w:r>
    </w:p>
    <w:p w14:paraId="10428355" w14:textId="77777777" w:rsidR="00B67A04" w:rsidRDefault="007D292E">
      <w:pPr>
        <w:rPr>
          <w:b/>
          <w:bCs/>
        </w:rPr>
      </w:pPr>
      <w:r>
        <w:rPr>
          <w:b/>
          <w:bCs/>
        </w:rPr>
        <w:t>Communication and consultation strategy with justification</w:t>
      </w:r>
    </w:p>
    <w:p w14:paraId="62B51A89" w14:textId="77777777" w:rsidR="00B67A04" w:rsidRDefault="007D292E">
      <w:pPr>
        <w:rPr>
          <w:b/>
          <w:bCs/>
          <w:i/>
          <w:iCs/>
        </w:rPr>
      </w:pPr>
      <w:r>
        <w:t>A successful project depends on tailored communication and consultation strategy between internal and external stakeholders. Structured communication plan fills with detailed information, timeline, and communication medium (</w:t>
      </w:r>
      <w:proofErr w:type="spellStart"/>
      <w:r>
        <w:t>Mayouf</w:t>
      </w:r>
      <w:proofErr w:type="spellEnd"/>
      <w:r>
        <w:t xml:space="preserve"> </w:t>
      </w:r>
      <w:r>
        <w:rPr>
          <w:i/>
          <w:iCs/>
        </w:rPr>
        <w:t>et al.</w:t>
      </w:r>
      <w:r>
        <w:t xml:space="preserve">, 2024). </w:t>
      </w:r>
      <w:r>
        <w:rPr>
          <w:i/>
          <w:iCs/>
        </w:rPr>
        <w:t>Thus, the following communication and consultancy strategy includes:</w:t>
      </w:r>
    </w:p>
    <w:p w14:paraId="58C7DE9F" w14:textId="77777777" w:rsidR="00B67A04" w:rsidRDefault="007D292E">
      <w:r>
        <w:rPr>
          <w:b/>
          <w:bCs/>
        </w:rPr>
        <w:t>Internal Stakeholders</w:t>
      </w:r>
    </w:p>
    <w:p w14:paraId="06B46656" w14:textId="77777777" w:rsidR="00B67A04" w:rsidRDefault="007D292E">
      <w:r>
        <w:rPr>
          <w:b/>
          <w:bCs/>
        </w:rPr>
        <w:t xml:space="preserve">Information: </w:t>
      </w:r>
      <w:r>
        <w:t>Network rail and New Town Taskforce can engage in integrating rain interchange, ensure plans held accordingly, and accelerate delivery milestones. Further, East West Rail company and Network rail authorities will communicate with one another upon following matters pertaining to construction scheduling, station interchange designs, and fulfilment of land access requirements. Besides, Central Bedfordshire Council will share information regarding public service integration and zoning applications. Conversely, landowners alongside urban and civic developers are about to explore and inform necessary land valuations, site master planning with the other stakeholders.</w:t>
      </w:r>
    </w:p>
    <w:p w14:paraId="51C6AC49" w14:textId="77777777" w:rsidR="00B67A04" w:rsidRDefault="007D292E">
      <w:r>
        <w:rPr>
          <w:b/>
          <w:bCs/>
        </w:rPr>
        <w:t xml:space="preserve">When: </w:t>
      </w:r>
      <w:r>
        <w:t xml:space="preserve">Network rail and New Town Taskforce may engage in milestone alignment briefing and sending operational updates bi-weekly. On the contrary, Network rail and EWR are subject to dispatch engineering related updates regularly and assist technical groups weekly. Further, Central Bedfordshire Council may hold board meetings monthly and focus on tracking how milestones are achieved. Landowners along with urban and civic construction developers projected to conduct targeted direct negotiations monthly. </w:t>
      </w:r>
    </w:p>
    <w:p w14:paraId="1C11419C" w14:textId="77777777" w:rsidR="00267D4F" w:rsidRDefault="007D292E">
      <w:r>
        <w:rPr>
          <w:b/>
          <w:bCs/>
        </w:rPr>
        <w:t xml:space="preserve">Communication medium: </w:t>
      </w:r>
      <w:r>
        <w:t xml:space="preserve">Video conference or telephonic communication and email are the primary communication medium between Network rail and New Town Taskforce. In contrast, EWR along with Network Rail will interact via telephone or video </w:t>
      </w:r>
      <w:r w:rsidR="00427547">
        <w:t>conferences</w:t>
      </w:r>
      <w:r>
        <w:t xml:space="preserve"> meet digital workplaces or exchange rela</w:t>
      </w:r>
      <w:r w:rsidR="00267D4F">
        <w:t>ted information through emails.</w:t>
      </w:r>
    </w:p>
    <w:p w14:paraId="182D4ACA" w14:textId="77777777" w:rsidR="00267D4F" w:rsidRDefault="00267D4F">
      <w:r>
        <w:br w:type="page"/>
      </w:r>
    </w:p>
    <w:p w14:paraId="4DCC4B74" w14:textId="5D0EB471" w:rsidR="00B67A04" w:rsidRDefault="007D292E">
      <w:r>
        <w:lastRenderedPageBreak/>
        <w:t>Central Bedfordshire Council may send necessary information with the concerned person via formal letter and official email. On the other hand, landowners, urban and civic construction developers are required to be involved in face-to-face meetings.</w:t>
      </w:r>
    </w:p>
    <w:p w14:paraId="3177804D" w14:textId="77777777" w:rsidR="00B67A04" w:rsidRDefault="007D292E">
      <w:r>
        <w:rPr>
          <w:b/>
          <w:bCs/>
        </w:rPr>
        <w:t xml:space="preserve">Justification: </w:t>
      </w:r>
      <w:r>
        <w:t>The strategy or Network rail and New Town Taskforce is justified for comprehensively maintained timeline compliance as well as central government sponsorships. Communication strategy for EWR and Network rail will act fundamentally while addressing demands for bilateral technical coordination together with fast-moving engineering interfaces. This strategy seems valuable for restricting unexpected delays, which is central for successfully completing planned projects within fixed deadlines. The consultation strategy for Central Bedfordshire Council is crucial to ensure a smoother chain of command over formal and traceable regulatory aspects. In contrast, the communication lines between active partners will be secure with the strategies proposed for landowners, urban and civic developers.</w:t>
      </w:r>
    </w:p>
    <w:p w14:paraId="5081D7AC" w14:textId="77777777" w:rsidR="00B67A04" w:rsidRDefault="007D292E">
      <w:pPr>
        <w:rPr>
          <w:b/>
          <w:bCs/>
        </w:rPr>
      </w:pPr>
      <w:r>
        <w:rPr>
          <w:b/>
          <w:bCs/>
        </w:rPr>
        <w:t>External Stakeholders</w:t>
      </w:r>
    </w:p>
    <w:p w14:paraId="203BC930" w14:textId="29FBEF66" w:rsidR="00B67A04" w:rsidRDefault="007D292E">
      <w:pPr>
        <w:rPr>
          <w:i/>
          <w:iCs/>
        </w:rPr>
      </w:pPr>
      <w:r>
        <w:t xml:space="preserve">Effective </w:t>
      </w:r>
      <w:r w:rsidR="00427547">
        <w:t>straight-line</w:t>
      </w:r>
      <w:r>
        <w:t xml:space="preserve"> communication is critical for the construction team to address demands of external stakeholders. </w:t>
      </w:r>
      <w:proofErr w:type="spellStart"/>
      <w:r>
        <w:t>Hwabamungu</w:t>
      </w:r>
      <w:proofErr w:type="spellEnd"/>
      <w:r>
        <w:t xml:space="preserve"> and Shepherd (2024) pinpointed that tailored communication and consultation strategy is impactful for proactively responding to external stakeholders demands. </w:t>
      </w:r>
      <w:r>
        <w:rPr>
          <w:i/>
          <w:iCs/>
        </w:rPr>
        <w:t>Hence, the communication strategy for external stakeholders as fellow:</w:t>
      </w:r>
    </w:p>
    <w:p w14:paraId="30A1F8E6" w14:textId="1FE57EEE" w:rsidR="00B67A04" w:rsidRDefault="007D292E">
      <w:r>
        <w:rPr>
          <w:b/>
          <w:bCs/>
        </w:rPr>
        <w:t xml:space="preserve">Information: </w:t>
      </w:r>
      <w:proofErr w:type="spellStart"/>
      <w:r>
        <w:t>Tempsford</w:t>
      </w:r>
      <w:proofErr w:type="spellEnd"/>
      <w:r>
        <w:t xml:space="preserve"> &amp; </w:t>
      </w:r>
      <w:r w:rsidR="00427547">
        <w:t>Neighbouring</w:t>
      </w:r>
      <w:r>
        <w:t xml:space="preserve"> Parish Councils will share feedback over broader impact of local amenity and provide insights into mitigation responses. Moreover, local project mitigation measures and related information can be collected from local communities and residents. National highway authorities keep updates on traffic impact </w:t>
      </w:r>
      <w:r w:rsidR="00427547">
        <w:t>assessments;</w:t>
      </w:r>
      <w:r>
        <w:t xml:space="preserve"> CPRE Bedfordshire offers details over environmental impact, whereas Richard Fuller MP ensures faster risk mitigation for local communities.</w:t>
      </w:r>
    </w:p>
    <w:p w14:paraId="50D66DD0" w14:textId="6DA77FE2" w:rsidR="00B67A04" w:rsidRDefault="007D292E">
      <w:pPr>
        <w:rPr>
          <w:b/>
          <w:bCs/>
        </w:rPr>
      </w:pPr>
      <w:r>
        <w:rPr>
          <w:b/>
          <w:bCs/>
        </w:rPr>
        <w:t xml:space="preserve">When: </w:t>
      </w:r>
      <w:r>
        <w:t xml:space="preserve">Pre-agenda submission estimated to be held by </w:t>
      </w:r>
      <w:proofErr w:type="spellStart"/>
      <w:r>
        <w:t>Tempsford</w:t>
      </w:r>
      <w:proofErr w:type="spellEnd"/>
      <w:r>
        <w:t xml:space="preserve"> &amp; </w:t>
      </w:r>
      <w:r w:rsidR="00427547">
        <w:t>Neighbouring</w:t>
      </w:r>
      <w:r>
        <w:t xml:space="preserve"> Parish Councils on a monthly basis. Besides, monthly progress updates can easily be captured from local communities and residents. National Highways Authorities oversee infrastructure coordination forums bi-monthly, while Richard Fuller MP and CPRE Bedfordshire is subject to sharing crucial information during public policy release periods. </w:t>
      </w:r>
    </w:p>
    <w:p w14:paraId="4D3FB1BC" w14:textId="68E46DDD" w:rsidR="00B67A04" w:rsidRDefault="007D292E">
      <w:r>
        <w:rPr>
          <w:b/>
          <w:bCs/>
        </w:rPr>
        <w:t xml:space="preserve">Communication medium: </w:t>
      </w:r>
      <w:r>
        <w:t xml:space="preserve">Engaged personnel will communicate with parish clerks over the phone and provide official updates through email. Conversely, local residents and communities will read local newspapers and connect with upper authorities by delivering postal letters. National Highways Authorities, Richard Fuller </w:t>
      </w:r>
      <w:r w:rsidR="00427547">
        <w:t>MP,</w:t>
      </w:r>
      <w:r>
        <w:t xml:space="preserve"> and CPRE Bedfordshire communicate via official email and formal letters.</w:t>
      </w:r>
    </w:p>
    <w:p w14:paraId="1F9245BA" w14:textId="69ED1594" w:rsidR="00B67A04" w:rsidRDefault="007D292E">
      <w:pPr>
        <w:rPr>
          <w:b/>
          <w:bCs/>
        </w:rPr>
      </w:pPr>
      <w:r>
        <w:rPr>
          <w:b/>
          <w:bCs/>
        </w:rPr>
        <w:lastRenderedPageBreak/>
        <w:t xml:space="preserve">Justification: </w:t>
      </w:r>
      <w:proofErr w:type="spellStart"/>
      <w:r>
        <w:t>Tempsford</w:t>
      </w:r>
      <w:proofErr w:type="spellEnd"/>
      <w:r>
        <w:t xml:space="preserve"> &amp; </w:t>
      </w:r>
      <w:r w:rsidR="00427547">
        <w:t>Neighbouring</w:t>
      </w:r>
      <w:r>
        <w:t xml:space="preserve"> Parish Councils are to be engaged in addressing localised disruption concerns, whereas local communities and residents will update community-level change information. National Highways Authorities may address localised disruption, whereas CPRE Bedfordshire is about to formulate public policy and Richard Fuller MP will keep elected representatives informed.</w:t>
      </w:r>
    </w:p>
    <w:p w14:paraId="4989AE89" w14:textId="77777777" w:rsidR="00B67A04" w:rsidRDefault="007D292E">
      <w:pPr>
        <w:pStyle w:val="Heading1"/>
      </w:pPr>
      <w:bookmarkStart w:id="4" w:name="_esepgbde6cyk" w:colFirst="0" w:colLast="0"/>
      <w:bookmarkStart w:id="5" w:name="_Toc237447629"/>
      <w:bookmarkEnd w:id="4"/>
      <w:r>
        <w:t>Element 3: Ethical Consideration in Stakeholders Consultation, Participation and Feedback</w:t>
      </w:r>
      <w:bookmarkEnd w:id="5"/>
    </w:p>
    <w:p w14:paraId="41F99FED" w14:textId="77777777" w:rsidR="00B67A04" w:rsidRDefault="007D292E">
      <w:pPr>
        <w:rPr>
          <w:b/>
          <w:bCs/>
        </w:rPr>
      </w:pPr>
      <w:r>
        <w:rPr>
          <w:b/>
          <w:bCs/>
        </w:rPr>
        <w:t>Consultation method</w:t>
      </w:r>
    </w:p>
    <w:p w14:paraId="20791EFE" w14:textId="77777777" w:rsidR="00B67A04" w:rsidRDefault="007D292E">
      <w:r>
        <w:t>Project stakeholders communicate with each other to ensure all decisions are made upon planned project scope, objectives, budget, allocated resources, and timeline. While internal stakeholders ensure faster project completion, miscommunication often leads to project delays (</w:t>
      </w:r>
      <w:proofErr w:type="spellStart"/>
      <w:r>
        <w:t>Khahro</w:t>
      </w:r>
      <w:proofErr w:type="spellEnd"/>
      <w:r>
        <w:t xml:space="preserve"> </w:t>
      </w:r>
      <w:r>
        <w:rPr>
          <w:i/>
          <w:iCs/>
        </w:rPr>
        <w:t>et al.</w:t>
      </w:r>
      <w:r>
        <w:t xml:space="preserve">, 2023). Consequently, a structured consultation plan offers a granular overview of how information will be shared among stakeholders. Therefore, the method of consultation for the </w:t>
      </w:r>
      <w:proofErr w:type="spellStart"/>
      <w:r>
        <w:t>Tempsford</w:t>
      </w:r>
      <w:proofErr w:type="spellEnd"/>
      <w:r>
        <w:t xml:space="preserve"> New Town project can include public exhibitions together with in-person drop-in workshops, which might be hosted in local venues.</w:t>
      </w:r>
    </w:p>
    <w:p w14:paraId="61A6AC38" w14:textId="7E8D7A2F" w:rsidR="00B67A04" w:rsidRDefault="007D292E">
      <w:proofErr w:type="spellStart"/>
      <w:r>
        <w:t>Tempsford's</w:t>
      </w:r>
      <w:proofErr w:type="spellEnd"/>
      <w:r>
        <w:t xml:space="preserve"> Stuart Memorial Hall and virtual consultation rooms can be targeted for organising stakeholder and public events in the future. Regional MPs like Richard </w:t>
      </w:r>
      <w:r w:rsidR="00427547">
        <w:t>Fuller</w:t>
      </w:r>
      <w:r>
        <w:t xml:space="preserve"> and solely responsible official personnel from Central Bedfordshire Councils, and parish councils can hold consultative meetings to exchange briefings. Other than this, digital along with written forms of consultation can be held by using structured response templates, online feedback forums and sending direct emails. A lack of miscommunication and misunderstanding between project members can ensure faster completion of </w:t>
      </w:r>
      <w:proofErr w:type="spellStart"/>
      <w:r>
        <w:t>Tempsford</w:t>
      </w:r>
      <w:proofErr w:type="spellEnd"/>
      <w:r>
        <w:t xml:space="preserve"> New Town project. From large to </w:t>
      </w:r>
      <w:r w:rsidR="00427547">
        <w:t>small-scale</w:t>
      </w:r>
      <w:r>
        <w:t xml:space="preserve"> projects, construction supervisors must ensure a smoother chain of command, which is beneficial for making necessary changes before it is too late. The analysis depicted tailored consultation methods and strategies leading to successful project delivery within the promised deadlines.</w:t>
      </w:r>
    </w:p>
    <w:p w14:paraId="5229D827" w14:textId="77777777" w:rsidR="00B67A04" w:rsidRDefault="007D292E">
      <w:pPr>
        <w:rPr>
          <w:b/>
          <w:bCs/>
        </w:rPr>
      </w:pPr>
      <w:r>
        <w:rPr>
          <w:b/>
          <w:bCs/>
        </w:rPr>
        <w:t>Ethical considerations</w:t>
      </w:r>
    </w:p>
    <w:p w14:paraId="4D755D24" w14:textId="77777777" w:rsidR="00267D4F" w:rsidRDefault="007D292E">
      <w:r>
        <w:t xml:space="preserve">Higher authorities of construction projects ensure stakeholder engagement is not a checkbox yet it is a safer, inclusive, and meaningful process where </w:t>
      </w:r>
      <w:r w:rsidR="00427547">
        <w:t>individuals’</w:t>
      </w:r>
      <w:r>
        <w:t xml:space="preserve"> viewpoints matter truly without causing any harm. UK General Data Protection Regulation or Data Protection Act, 2018 can comply with data collection processes during public surveys. Saah, Yee, and Choi (2023) opined that data protection and privacy are the major aspects ensure zero loss of data, data breach, and restrict unauthor</w:t>
      </w:r>
      <w:r w:rsidR="00267D4F">
        <w:t>ised access.</w:t>
      </w:r>
    </w:p>
    <w:p w14:paraId="02CA71E8" w14:textId="77777777" w:rsidR="00267D4F" w:rsidRDefault="00267D4F">
      <w:r>
        <w:br w:type="page"/>
      </w:r>
    </w:p>
    <w:p w14:paraId="2A563B04" w14:textId="2A831BB3" w:rsidR="00B67A04" w:rsidRDefault="007D292E">
      <w:r>
        <w:lastRenderedPageBreak/>
        <w:t>Correspondingly, stakeholders of this project can ensure no negligence over conducting anonymous public surveys, store survey data securely, and their further usage. Failure in this will cause unexpected regulatory repercussions under the standards of Data Protection Act, 2018. This illustration clarified mandatory adherence to GDPR is fundamental for eliminating serious long-term legal obligations stemming from unexpected data breaches. Apart from this, consultation bias sometimes leads to project delays and major failure (</w:t>
      </w:r>
      <w:proofErr w:type="spellStart"/>
      <w:r>
        <w:t>Atanasov</w:t>
      </w:r>
      <w:proofErr w:type="spellEnd"/>
      <w:r>
        <w:t xml:space="preserve">, 2026). In essence, solely responsible stakeholders can mitigate consultation by reaching marginalised demographics, those residing in most impacted zones, namely Potton and Sandy. It is apparent from the discussion that lower </w:t>
      </w:r>
      <w:r>
        <w:rPr>
          <w:i/>
          <w:iCs/>
        </w:rPr>
        <w:t>consultation bias</w:t>
      </w:r>
      <w:r>
        <w:t xml:space="preserve"> is vital for ensuring faster project completion under the influence of targeted overall project plan. Furthermore, diversity, equity and inclusion or </w:t>
      </w:r>
      <w:r>
        <w:rPr>
          <w:i/>
          <w:iCs/>
        </w:rPr>
        <w:t>DEI</w:t>
      </w:r>
      <w:r>
        <w:t xml:space="preserve"> </w:t>
      </w:r>
      <w:r w:rsidR="00427547">
        <w:t>is</w:t>
      </w:r>
      <w:r>
        <w:t xml:space="preserve"> mandatory to justify the project held ethically (</w:t>
      </w:r>
      <w:proofErr w:type="spellStart"/>
      <w:r>
        <w:t>Georgiadou</w:t>
      </w:r>
      <w:proofErr w:type="spellEnd"/>
      <w:r>
        <w:t>, Mulholland, and Fitton</w:t>
      </w:r>
      <w:r w:rsidR="00427547">
        <w:t>,</w:t>
      </w:r>
      <w:r>
        <w:t xml:space="preserve"> 2025). Thus, project stakeholders will include large and digital print, and accessible online portals, which may assure or guarantee equitable participation across different mobility levels and diverse age groups. The overall evaluation noted that project team members must ensure higher autonomy among survey respondents to value their dignity.</w:t>
      </w:r>
    </w:p>
    <w:p w14:paraId="4922E30B" w14:textId="72798054" w:rsidR="00B67A04" w:rsidRDefault="00427547">
      <w:pPr>
        <w:rPr>
          <w:b/>
          <w:bCs/>
        </w:rPr>
      </w:pPr>
      <w:r>
        <w:rPr>
          <w:b/>
          <w:bCs/>
        </w:rPr>
        <w:t>Stakeholders’</w:t>
      </w:r>
      <w:r w:rsidR="007D292E">
        <w:rPr>
          <w:b/>
          <w:bCs/>
        </w:rPr>
        <w:t xml:space="preserve"> feedback collection and review</w:t>
      </w:r>
    </w:p>
    <w:p w14:paraId="1EFEBBAB" w14:textId="5E3B82F8" w:rsidR="00B67A04" w:rsidRDefault="007D292E">
      <w:r>
        <w:t>Assured faster project success varies on data-driven decisions, which is possible by collecting stakeholder feedback. Based on the opinion of Cooke and Williams (2024), proper data tracking and their rigorous analysis is fundamental for meeting project objectives. Uniformly, policy makers can manage a unified consultation database and systematically record all incoming digital and postal responses in the future. Centralised tracking method is on trend for gathering and securely recording stakeholder feedback (</w:t>
      </w:r>
      <w:proofErr w:type="spellStart"/>
      <w:r>
        <w:t>Omrany</w:t>
      </w:r>
      <w:proofErr w:type="spellEnd"/>
      <w:r>
        <w:t xml:space="preserve"> </w:t>
      </w:r>
      <w:r>
        <w:rPr>
          <w:i/>
          <w:iCs/>
        </w:rPr>
        <w:t>et al.,</w:t>
      </w:r>
      <w:r>
        <w:t xml:space="preserve"> 2023). Independent review teams engaged in the </w:t>
      </w:r>
      <w:proofErr w:type="spellStart"/>
      <w:r>
        <w:t>Tempsford</w:t>
      </w:r>
      <w:proofErr w:type="spellEnd"/>
      <w:r>
        <w:t xml:space="preserve"> New Town project may codify quantitative and qualitative data in several key themes. This strategy will reinforce depth thematic analysis over the impact of local heritage protection, water scarcity, and infrastructural strain. Moreover, consultation response reports summary can make transparently accessible among the public. The core purpose behind this is to offer a closer snapshot over the way structural alignments, environmental safeguarding, and project phases are deliberately reshaped with public input. This mode of data collection and</w:t>
      </w:r>
      <w:r>
        <w:rPr>
          <w:i/>
          <w:iCs/>
        </w:rPr>
        <w:t xml:space="preserve"> feedback review</w:t>
      </w:r>
      <w:r>
        <w:t xml:space="preserve"> may assist project </w:t>
      </w:r>
      <w:r w:rsidR="00427547">
        <w:t>administrators’</w:t>
      </w:r>
      <w:r>
        <w:t xml:space="preserve"> complete projects within the targeted budget, scope, and resources. Data-driven decision-making is necessary for making necessary and right decisions throughout the project lifecycle. Project lifecycle stages are initiation, planning, execution, </w:t>
      </w:r>
      <w:r w:rsidR="00427547">
        <w:t>monitoring,</w:t>
      </w:r>
      <w:r>
        <w:t xml:space="preserve"> and closure (</w:t>
      </w:r>
      <w:proofErr w:type="spellStart"/>
      <w:r>
        <w:t>Barajei</w:t>
      </w:r>
      <w:proofErr w:type="spellEnd"/>
      <w:r>
        <w:t xml:space="preserve">, 2024). Henceforth, different stages of </w:t>
      </w:r>
      <w:proofErr w:type="spellStart"/>
      <w:r>
        <w:t>Tempsford</w:t>
      </w:r>
      <w:proofErr w:type="spellEnd"/>
      <w:r>
        <w:t xml:space="preserve"> New Town project and associated actions need to customise or make changes based on stakeholders' shared feedback.</w:t>
      </w:r>
    </w:p>
    <w:p w14:paraId="2D726118" w14:textId="77777777" w:rsidR="00B67A04" w:rsidRDefault="007D292E">
      <w:pPr>
        <w:pStyle w:val="Heading1"/>
      </w:pPr>
      <w:bookmarkStart w:id="6" w:name="_mgewlgrgx4nw" w:colFirst="0" w:colLast="0"/>
      <w:bookmarkStart w:id="7" w:name="_Toc237447630"/>
      <w:bookmarkEnd w:id="6"/>
      <w:r>
        <w:lastRenderedPageBreak/>
        <w:t>Element 4: Conclusion and Reflection</w:t>
      </w:r>
      <w:bookmarkEnd w:id="7"/>
    </w:p>
    <w:p w14:paraId="1803A49F" w14:textId="77777777" w:rsidR="00B67A04" w:rsidRDefault="007D292E">
      <w:pPr>
        <w:rPr>
          <w:b/>
          <w:bCs/>
        </w:rPr>
      </w:pPr>
      <w:r>
        <w:rPr>
          <w:b/>
          <w:bCs/>
        </w:rPr>
        <w:t xml:space="preserve">Conclusion </w:t>
      </w:r>
    </w:p>
    <w:p w14:paraId="5ECF2580" w14:textId="000312B3" w:rsidR="00B67A04" w:rsidRDefault="007D292E">
      <w:r>
        <w:t xml:space="preserve">In a nutshell, the overall stakeholder management plan concludes that project team members prioritise meeting regular deadlines set for individual activities. Most in cases, constriction key stakeholders exchange information through email, video conferencing, and interact over phone calls. </w:t>
      </w:r>
      <w:proofErr w:type="spellStart"/>
      <w:r>
        <w:t>Tempsford</w:t>
      </w:r>
      <w:proofErr w:type="spellEnd"/>
      <w:r>
        <w:t xml:space="preserve"> New Town project is a chosen housing redevelopment project, which is a government-led project or scheme for building over 40,000 buildings within the community space. Deeper analysis revealed that stakeholder mapping is a fundamental process by which </w:t>
      </w:r>
      <w:r w:rsidR="00427547">
        <w:t>learners’</w:t>
      </w:r>
      <w:r>
        <w:t xml:space="preserve"> position external and internal stakeholders in different quadrants. This study highlighted how power, influence, and interests are distributed among internal and external stakeholders of this housing project. Further, structured communication plans and consultation strategies positively influence project planning, execution, and monitoring. This suggests the valuable impact of positive collaboration and communication among stakeholders throughout the different stages in project management lifecycles.</w:t>
      </w:r>
    </w:p>
    <w:p w14:paraId="5601A325" w14:textId="17DCAE6A" w:rsidR="00267D4F" w:rsidRPr="00267D4F" w:rsidRDefault="007D292E">
      <w:r>
        <w:t xml:space="preserve">Consultation bias mitigation and assurance of data privacy and security by complying with GDPR are fundamental for the project team ensuring DEI-driven decisions need to be considered throughout the project. </w:t>
      </w:r>
      <w:r w:rsidR="00427547">
        <w:t>Stakeholders’</w:t>
      </w:r>
      <w:r>
        <w:t xml:space="preserve"> feedback offer profound insights into the necessary changes driven by unexpected project errors. The entire discussion in this portfolio shows the value of a structured stakeholder management plan for successful project completion.</w:t>
      </w:r>
      <w:r w:rsidR="00267D4F">
        <w:rPr>
          <w:b/>
          <w:bCs/>
        </w:rPr>
        <w:br w:type="page"/>
      </w:r>
    </w:p>
    <w:p w14:paraId="34BEA3CA" w14:textId="2C1C5550" w:rsidR="00B67A04" w:rsidRDefault="007D292E">
      <w:pPr>
        <w:rPr>
          <w:b/>
          <w:bCs/>
        </w:rPr>
      </w:pPr>
      <w:r>
        <w:rPr>
          <w:b/>
          <w:bCs/>
        </w:rPr>
        <w:lastRenderedPageBreak/>
        <w:t>Reflective account</w:t>
      </w:r>
    </w:p>
    <w:p w14:paraId="109E5793" w14:textId="77777777" w:rsidR="00B67A04" w:rsidRDefault="007D292E">
      <w:pPr>
        <w:rPr>
          <w:b/>
          <w:bCs/>
        </w:rPr>
      </w:pPr>
      <w:r>
        <w:rPr>
          <w:b/>
          <w:bCs/>
        </w:rPr>
        <w:t>Gibbs Reflective Cycle</w:t>
      </w:r>
    </w:p>
    <w:p w14:paraId="2592580E" w14:textId="77777777" w:rsidR="00B67A04" w:rsidRDefault="007D292E">
      <w:r>
        <w:t>Learners use Gibbs reflective cycle while confronting their flaws and exciting key strengths, which further makes them a stronger performer in both academic and professional fields.</w:t>
      </w:r>
    </w:p>
    <w:p w14:paraId="7A48C6A8" w14:textId="77777777" w:rsidR="00B67A04" w:rsidRDefault="007D292E">
      <w:r>
        <w:rPr>
          <w:noProof/>
          <w:lang w:val="en-IN" w:eastAsia="en-IN"/>
        </w:rPr>
        <w:drawing>
          <wp:inline distT="114300" distB="114300" distL="114300" distR="114300" wp14:anchorId="5EBEB446" wp14:editId="5516CB14">
            <wp:extent cx="5731200" cy="42926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4292600"/>
                    </a:xfrm>
                    <a:prstGeom prst="rect">
                      <a:avLst/>
                    </a:prstGeom>
                    <a:ln/>
                  </pic:spPr>
                </pic:pic>
              </a:graphicData>
            </a:graphic>
          </wp:inline>
        </w:drawing>
      </w:r>
    </w:p>
    <w:p w14:paraId="54FA165D" w14:textId="77777777" w:rsidR="00B67A04" w:rsidRDefault="007D292E">
      <w:pPr>
        <w:jc w:val="center"/>
        <w:rPr>
          <w:b/>
          <w:bCs/>
        </w:rPr>
      </w:pPr>
      <w:r>
        <w:rPr>
          <w:b/>
          <w:bCs/>
        </w:rPr>
        <w:t>Figure 3: Gibbs Reflective Cycle</w:t>
      </w:r>
    </w:p>
    <w:p w14:paraId="1938C707" w14:textId="77777777" w:rsidR="00B67A04" w:rsidRDefault="007D292E">
      <w:pPr>
        <w:jc w:val="center"/>
      </w:pPr>
      <w:r>
        <w:t>(Source: McLeod, 2024)</w:t>
      </w:r>
    </w:p>
    <w:p w14:paraId="323817D5" w14:textId="77777777" w:rsidR="00B67A04" w:rsidRDefault="007D292E">
      <w:pPr>
        <w:rPr>
          <w:i/>
          <w:iCs/>
        </w:rPr>
      </w:pPr>
      <w:r>
        <w:rPr>
          <w:i/>
          <w:iCs/>
        </w:rPr>
        <w:t>This reflective model is applied as fellow:</w:t>
      </w:r>
    </w:p>
    <w:p w14:paraId="2CF71A60" w14:textId="77777777" w:rsidR="00B67A04" w:rsidRDefault="007D292E">
      <w:pPr>
        <w:rPr>
          <w:b/>
          <w:bCs/>
        </w:rPr>
      </w:pPr>
      <w:r>
        <w:rPr>
          <w:b/>
          <w:bCs/>
        </w:rPr>
        <w:t>Description</w:t>
      </w:r>
    </w:p>
    <w:p w14:paraId="31B482F2" w14:textId="75105A13" w:rsidR="00267D4F" w:rsidRPr="00267D4F" w:rsidRDefault="007D292E">
      <w:r>
        <w:t xml:space="preserve">At the beginning of this portfolio, I chose the </w:t>
      </w:r>
      <w:proofErr w:type="spellStart"/>
      <w:r>
        <w:t>Tempsford</w:t>
      </w:r>
      <w:proofErr w:type="spellEnd"/>
      <w:r>
        <w:t xml:space="preserve"> New Town project, which is a government-led housing redevelopment project. Further, I have identified different key stakeholders and pointed out their benefits from this future project. Later, my focus was on developing stakeholder metrics or mapping tables highlighting power, influence, and interest. I planned new communication and consummation plans or strategies with justification. Further, I was engaged in choosing a comprehensive method of consultation, feedback and outlining necessary ethical considerations.</w:t>
      </w:r>
      <w:r w:rsidR="00267D4F">
        <w:rPr>
          <w:b/>
          <w:bCs/>
        </w:rPr>
        <w:br w:type="page"/>
      </w:r>
    </w:p>
    <w:p w14:paraId="1EF9ED60" w14:textId="081BE889" w:rsidR="00B67A04" w:rsidRDefault="007D292E">
      <w:pPr>
        <w:rPr>
          <w:b/>
          <w:bCs/>
        </w:rPr>
      </w:pPr>
      <w:r>
        <w:rPr>
          <w:b/>
          <w:bCs/>
        </w:rPr>
        <w:lastRenderedPageBreak/>
        <w:t>Feelings</w:t>
      </w:r>
    </w:p>
    <w:p w14:paraId="75142CE0" w14:textId="77777777" w:rsidR="00B67A04" w:rsidRDefault="007D292E">
      <w:r>
        <w:t>Depth analysis on this research informed me about the real effectiveness of stakeholder engagement, which further positively impacts sustainability and success. The planned communication medium and timeline may reinforce successful completion of project and ensure sustainability throughout the overall project lifecycle.</w:t>
      </w:r>
    </w:p>
    <w:p w14:paraId="220A85A3" w14:textId="77777777" w:rsidR="00B67A04" w:rsidRDefault="007D292E">
      <w:pPr>
        <w:rPr>
          <w:b/>
          <w:bCs/>
        </w:rPr>
      </w:pPr>
      <w:r>
        <w:rPr>
          <w:b/>
          <w:bCs/>
        </w:rPr>
        <w:t>Evaluation</w:t>
      </w:r>
    </w:p>
    <w:p w14:paraId="08B5863A" w14:textId="77777777" w:rsidR="00B67A04" w:rsidRDefault="007D292E">
      <w:r>
        <w:t xml:space="preserve">Positive collaboration and in-line communication between project stakeholders is fundamental for achieving project objectives within stipulated deadlines. From my standpoint, stakeholder matrix and mapping allow learners to pinpoint a granular overview of how all stakeholders are positioned in different quadrants. Although my critical analysis skills have improved, in my view I need to work harder on improving my academic writing and proofreading skills. Reason behind this, I found my write up consisting of grammatical errors when I was engaged in formatting. </w:t>
      </w:r>
    </w:p>
    <w:p w14:paraId="36EB018A" w14:textId="77777777" w:rsidR="00B67A04" w:rsidRDefault="007D292E">
      <w:pPr>
        <w:rPr>
          <w:b/>
          <w:bCs/>
        </w:rPr>
      </w:pPr>
      <w:r>
        <w:rPr>
          <w:b/>
          <w:bCs/>
        </w:rPr>
        <w:t>Analysis</w:t>
      </w:r>
    </w:p>
    <w:p w14:paraId="70A6D3E3" w14:textId="15AB3BF7" w:rsidR="00B67A04" w:rsidRDefault="007D292E">
      <w:r>
        <w:t xml:space="preserve">My involvement in reviewing a range of journal articles and authentic websites are crucial for gathering nuanced and rich information and use them as supportive evidence. It is evident from </w:t>
      </w:r>
      <w:r w:rsidR="00427547">
        <w:t>a</w:t>
      </w:r>
      <w:r>
        <w:t xml:space="preserve"> discussion that I was able to improve my research and decision-making skills. Despite having a high degree of research skills, I found myself lacking in managing my study time aligned with some set of activities. In this manner, my involvement in improving time management skills will allow me to become more punctual while being engaged in educational and professional tasks. </w:t>
      </w:r>
    </w:p>
    <w:p w14:paraId="4B1B939D" w14:textId="77777777" w:rsidR="00B67A04" w:rsidRDefault="007D292E">
      <w:pPr>
        <w:rPr>
          <w:b/>
          <w:bCs/>
        </w:rPr>
      </w:pPr>
      <w:r>
        <w:rPr>
          <w:b/>
          <w:bCs/>
        </w:rPr>
        <w:t>Conclusion</w:t>
      </w:r>
    </w:p>
    <w:p w14:paraId="68F8C318" w14:textId="2A615087" w:rsidR="00267D4F" w:rsidRPr="00267D4F" w:rsidRDefault="007D292E">
      <w:r>
        <w:t xml:space="preserve">Based on the entire reflective account, I am concluding that my knowledge over the effective role of stakeholder engagement was improved. The planned stakeholder management strategies will assist in successful completion of this </w:t>
      </w:r>
      <w:proofErr w:type="spellStart"/>
      <w:r>
        <w:t>Tempsford</w:t>
      </w:r>
      <w:proofErr w:type="spellEnd"/>
      <w:r>
        <w:t xml:space="preserve"> New Town project.</w:t>
      </w:r>
      <w:r w:rsidR="00267D4F">
        <w:rPr>
          <w:b/>
          <w:bCs/>
        </w:rPr>
        <w:br w:type="page"/>
      </w:r>
    </w:p>
    <w:p w14:paraId="619B8DF9" w14:textId="0F5C74C8" w:rsidR="00B67A04" w:rsidRDefault="007D292E">
      <w:r>
        <w:rPr>
          <w:b/>
          <w:bCs/>
        </w:rPr>
        <w:lastRenderedPageBreak/>
        <w:t>Action Plan</w:t>
      </w:r>
    </w:p>
    <w:tbl>
      <w:tblPr>
        <w:tblStyle w:val="a1"/>
        <w:tblW w:w="5000" w:type="pct"/>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253"/>
        <w:gridCol w:w="2252"/>
        <w:gridCol w:w="2252"/>
        <w:gridCol w:w="2252"/>
      </w:tblGrid>
      <w:tr w:rsidR="00B67A04" w14:paraId="2A72622A" w14:textId="77777777" w:rsidTr="00E30AE7">
        <w:trPr>
          <w:jc w:val="center"/>
        </w:trPr>
        <w:tc>
          <w:tcPr>
            <w:tcW w:w="1250" w:type="pct"/>
            <w:shd w:val="clear" w:color="auto" w:fill="auto"/>
            <w:tcMar>
              <w:top w:w="100" w:type="dxa"/>
              <w:left w:w="100" w:type="dxa"/>
              <w:bottom w:w="100" w:type="dxa"/>
              <w:right w:w="100" w:type="dxa"/>
            </w:tcMar>
          </w:tcPr>
          <w:p w14:paraId="27A270C9" w14:textId="77777777" w:rsidR="00B67A04" w:rsidRDefault="007D292E">
            <w:pPr>
              <w:jc w:val="center"/>
              <w:rPr>
                <w:b/>
                <w:bCs/>
              </w:rPr>
            </w:pPr>
            <w:r>
              <w:rPr>
                <w:b/>
                <w:bCs/>
              </w:rPr>
              <w:t>Areas of improvement</w:t>
            </w:r>
          </w:p>
        </w:tc>
        <w:tc>
          <w:tcPr>
            <w:tcW w:w="1250" w:type="pct"/>
            <w:shd w:val="clear" w:color="auto" w:fill="auto"/>
            <w:tcMar>
              <w:top w:w="100" w:type="dxa"/>
              <w:left w:w="100" w:type="dxa"/>
              <w:bottom w:w="100" w:type="dxa"/>
              <w:right w:w="100" w:type="dxa"/>
            </w:tcMar>
          </w:tcPr>
          <w:p w14:paraId="1DCD9501" w14:textId="77777777" w:rsidR="00B67A04" w:rsidRDefault="007D292E">
            <w:pPr>
              <w:jc w:val="center"/>
              <w:rPr>
                <w:b/>
                <w:bCs/>
              </w:rPr>
            </w:pPr>
            <w:r>
              <w:rPr>
                <w:b/>
                <w:bCs/>
              </w:rPr>
              <w:t>Actions</w:t>
            </w:r>
          </w:p>
        </w:tc>
        <w:tc>
          <w:tcPr>
            <w:tcW w:w="1250" w:type="pct"/>
            <w:shd w:val="clear" w:color="auto" w:fill="auto"/>
            <w:tcMar>
              <w:top w:w="100" w:type="dxa"/>
              <w:left w:w="100" w:type="dxa"/>
              <w:bottom w:w="100" w:type="dxa"/>
              <w:right w:w="100" w:type="dxa"/>
            </w:tcMar>
          </w:tcPr>
          <w:p w14:paraId="72DA13DD" w14:textId="77777777" w:rsidR="00B67A04" w:rsidRDefault="007D292E">
            <w:pPr>
              <w:jc w:val="center"/>
              <w:rPr>
                <w:b/>
                <w:bCs/>
              </w:rPr>
            </w:pPr>
            <w:r>
              <w:rPr>
                <w:b/>
                <w:bCs/>
              </w:rPr>
              <w:t>Resources</w:t>
            </w:r>
          </w:p>
        </w:tc>
        <w:tc>
          <w:tcPr>
            <w:tcW w:w="1250" w:type="pct"/>
            <w:shd w:val="clear" w:color="auto" w:fill="auto"/>
            <w:tcMar>
              <w:top w:w="100" w:type="dxa"/>
              <w:left w:w="100" w:type="dxa"/>
              <w:bottom w:w="100" w:type="dxa"/>
              <w:right w:w="100" w:type="dxa"/>
            </w:tcMar>
          </w:tcPr>
          <w:p w14:paraId="3338F095" w14:textId="77777777" w:rsidR="00B67A04" w:rsidRDefault="007D292E">
            <w:pPr>
              <w:jc w:val="center"/>
              <w:rPr>
                <w:b/>
                <w:bCs/>
              </w:rPr>
            </w:pPr>
            <w:r>
              <w:rPr>
                <w:b/>
                <w:bCs/>
              </w:rPr>
              <w:t>Time-bound</w:t>
            </w:r>
          </w:p>
        </w:tc>
      </w:tr>
      <w:tr w:rsidR="00B67A04" w14:paraId="54E6F28B" w14:textId="77777777" w:rsidTr="00E30AE7">
        <w:trPr>
          <w:jc w:val="center"/>
        </w:trPr>
        <w:tc>
          <w:tcPr>
            <w:tcW w:w="1250" w:type="pct"/>
            <w:shd w:val="clear" w:color="auto" w:fill="auto"/>
            <w:tcMar>
              <w:top w:w="100" w:type="dxa"/>
              <w:left w:w="100" w:type="dxa"/>
              <w:bottom w:w="100" w:type="dxa"/>
              <w:right w:w="100" w:type="dxa"/>
            </w:tcMar>
          </w:tcPr>
          <w:p w14:paraId="012CBD87" w14:textId="77777777" w:rsidR="00B67A04" w:rsidRPr="00725C90" w:rsidRDefault="007D292E">
            <w:pPr>
              <w:rPr>
                <w:b/>
              </w:rPr>
            </w:pPr>
            <w:r w:rsidRPr="00725C90">
              <w:rPr>
                <w:b/>
              </w:rPr>
              <w:t>Time management</w:t>
            </w:r>
          </w:p>
        </w:tc>
        <w:tc>
          <w:tcPr>
            <w:tcW w:w="1250" w:type="pct"/>
            <w:shd w:val="clear" w:color="auto" w:fill="auto"/>
            <w:tcMar>
              <w:top w:w="100" w:type="dxa"/>
              <w:left w:w="100" w:type="dxa"/>
              <w:bottom w:w="100" w:type="dxa"/>
              <w:right w:w="100" w:type="dxa"/>
            </w:tcMar>
          </w:tcPr>
          <w:p w14:paraId="2C6F9679" w14:textId="51DB3F14" w:rsidR="00B67A04" w:rsidRDefault="007D292E">
            <w:r>
              <w:t xml:space="preserve">I will </w:t>
            </w:r>
            <w:r w:rsidR="00427547">
              <w:t>enrol</w:t>
            </w:r>
            <w:r>
              <w:t xml:space="preserve"> in coursework that offer learners complete complex tasks within limited timeframe</w:t>
            </w:r>
          </w:p>
        </w:tc>
        <w:tc>
          <w:tcPr>
            <w:tcW w:w="1250" w:type="pct"/>
            <w:shd w:val="clear" w:color="auto" w:fill="auto"/>
            <w:tcMar>
              <w:top w:w="100" w:type="dxa"/>
              <w:left w:w="100" w:type="dxa"/>
              <w:bottom w:w="100" w:type="dxa"/>
              <w:right w:w="100" w:type="dxa"/>
            </w:tcMar>
          </w:tcPr>
          <w:p w14:paraId="4FEC5CCD" w14:textId="6EA19E9D" w:rsidR="00B67A04" w:rsidRDefault="007D292E">
            <w:r>
              <w:t xml:space="preserve">My focus will be on applying for online free coursework available on </w:t>
            </w:r>
            <w:r w:rsidR="00427547">
              <w:t>Coursera</w:t>
            </w:r>
            <w:r>
              <w:t xml:space="preserve"> platform</w:t>
            </w:r>
          </w:p>
        </w:tc>
        <w:tc>
          <w:tcPr>
            <w:tcW w:w="1250" w:type="pct"/>
            <w:shd w:val="clear" w:color="auto" w:fill="auto"/>
            <w:tcMar>
              <w:top w:w="100" w:type="dxa"/>
              <w:left w:w="100" w:type="dxa"/>
              <w:bottom w:w="100" w:type="dxa"/>
              <w:right w:w="100" w:type="dxa"/>
            </w:tcMar>
          </w:tcPr>
          <w:p w14:paraId="39B0F655" w14:textId="77777777" w:rsidR="00B67A04" w:rsidRDefault="007D292E">
            <w:r>
              <w:t>3 months</w:t>
            </w:r>
          </w:p>
        </w:tc>
      </w:tr>
      <w:tr w:rsidR="00B67A04" w14:paraId="6C5E0F0F" w14:textId="77777777" w:rsidTr="00E30AE7">
        <w:trPr>
          <w:jc w:val="center"/>
        </w:trPr>
        <w:tc>
          <w:tcPr>
            <w:tcW w:w="1250" w:type="pct"/>
            <w:shd w:val="clear" w:color="auto" w:fill="auto"/>
            <w:tcMar>
              <w:top w:w="100" w:type="dxa"/>
              <w:left w:w="100" w:type="dxa"/>
              <w:bottom w:w="100" w:type="dxa"/>
              <w:right w:w="100" w:type="dxa"/>
            </w:tcMar>
          </w:tcPr>
          <w:p w14:paraId="3AF3AC44" w14:textId="77777777" w:rsidR="00B67A04" w:rsidRPr="00725C90" w:rsidRDefault="007D292E">
            <w:pPr>
              <w:rPr>
                <w:b/>
              </w:rPr>
            </w:pPr>
            <w:r w:rsidRPr="00725C90">
              <w:rPr>
                <w:b/>
              </w:rPr>
              <w:t>Academic writing</w:t>
            </w:r>
          </w:p>
        </w:tc>
        <w:tc>
          <w:tcPr>
            <w:tcW w:w="1250" w:type="pct"/>
            <w:shd w:val="clear" w:color="auto" w:fill="auto"/>
            <w:tcMar>
              <w:top w:w="100" w:type="dxa"/>
              <w:left w:w="100" w:type="dxa"/>
              <w:bottom w:w="100" w:type="dxa"/>
              <w:right w:w="100" w:type="dxa"/>
            </w:tcMar>
          </w:tcPr>
          <w:p w14:paraId="31248A84" w14:textId="77777777" w:rsidR="00B67A04" w:rsidRDefault="007D292E">
            <w:r>
              <w:t>I will practice using active voice and offer my viewpoints concisely</w:t>
            </w:r>
          </w:p>
        </w:tc>
        <w:tc>
          <w:tcPr>
            <w:tcW w:w="1250" w:type="pct"/>
            <w:shd w:val="clear" w:color="auto" w:fill="auto"/>
            <w:tcMar>
              <w:top w:w="100" w:type="dxa"/>
              <w:left w:w="100" w:type="dxa"/>
              <w:bottom w:w="100" w:type="dxa"/>
              <w:right w:w="100" w:type="dxa"/>
            </w:tcMar>
          </w:tcPr>
          <w:p w14:paraId="61E2AD50" w14:textId="77777777" w:rsidR="00B67A04" w:rsidRDefault="007D292E">
            <w:r>
              <w:t>The necessary resources for this will include high-speed internet and mentor who will share necessary feedback over my performance</w:t>
            </w:r>
          </w:p>
        </w:tc>
        <w:tc>
          <w:tcPr>
            <w:tcW w:w="1250" w:type="pct"/>
            <w:shd w:val="clear" w:color="auto" w:fill="auto"/>
            <w:tcMar>
              <w:top w:w="100" w:type="dxa"/>
              <w:left w:w="100" w:type="dxa"/>
              <w:bottom w:w="100" w:type="dxa"/>
              <w:right w:w="100" w:type="dxa"/>
            </w:tcMar>
          </w:tcPr>
          <w:p w14:paraId="501FBB37" w14:textId="77777777" w:rsidR="00B67A04" w:rsidRDefault="007D292E">
            <w:r>
              <w:t>4 months</w:t>
            </w:r>
          </w:p>
        </w:tc>
      </w:tr>
    </w:tbl>
    <w:p w14:paraId="6F74A9BC" w14:textId="77777777" w:rsidR="00B67A04" w:rsidRDefault="007D292E">
      <w:pPr>
        <w:jc w:val="center"/>
        <w:rPr>
          <w:b/>
          <w:bCs/>
        </w:rPr>
      </w:pPr>
      <w:r>
        <w:rPr>
          <w:b/>
          <w:bCs/>
        </w:rPr>
        <w:t>Table 3: Action Plan</w:t>
      </w:r>
    </w:p>
    <w:p w14:paraId="69A071BA" w14:textId="77777777" w:rsidR="00B67A04" w:rsidRDefault="00B67A04"/>
    <w:p w14:paraId="4B37E415" w14:textId="77777777" w:rsidR="00B67A04" w:rsidRDefault="007D292E">
      <w:r>
        <w:br w:type="page"/>
      </w:r>
    </w:p>
    <w:p w14:paraId="3A35C89B" w14:textId="77777777" w:rsidR="00B67A04" w:rsidRDefault="007D292E">
      <w:pPr>
        <w:pStyle w:val="Heading1"/>
      </w:pPr>
      <w:bookmarkStart w:id="8" w:name="_4d3v12wmxome" w:colFirst="0" w:colLast="0"/>
      <w:bookmarkStart w:id="9" w:name="_Toc237447631"/>
      <w:bookmarkEnd w:id="8"/>
      <w:r>
        <w:lastRenderedPageBreak/>
        <w:t>Reference List</w:t>
      </w:r>
      <w:bookmarkEnd w:id="9"/>
    </w:p>
    <w:p w14:paraId="5EF2E81F" w14:textId="77777777" w:rsidR="009D6FCD" w:rsidRDefault="009D6FCD" w:rsidP="000B550D">
      <w:pPr>
        <w:contextualSpacing/>
      </w:pPr>
      <w:proofErr w:type="spellStart"/>
      <w:r w:rsidRPr="00FD5EBD">
        <w:t>Atanasov</w:t>
      </w:r>
      <w:proofErr w:type="spellEnd"/>
      <w:r w:rsidRPr="00FD5EBD">
        <w:t xml:space="preserve">, V.A., </w:t>
      </w:r>
      <w:r>
        <w:t>(</w:t>
      </w:r>
      <w:r w:rsidRPr="00FD5EBD">
        <w:t>2026</w:t>
      </w:r>
      <w:r>
        <w:t>) ‘</w:t>
      </w:r>
      <w:r w:rsidRPr="00FD5EBD">
        <w:t>Ascertaining the Reasons for Escalation of Disagreements over Extension of Time Assessments from Construction Delay Claims into Disputes</w:t>
      </w:r>
      <w:r>
        <w:t>’,</w:t>
      </w:r>
      <w:r w:rsidRPr="00FD5EBD">
        <w:t> </w:t>
      </w:r>
      <w:r w:rsidRPr="00FD5EBD">
        <w:rPr>
          <w:i/>
          <w:iCs/>
        </w:rPr>
        <w:t>Buildings</w:t>
      </w:r>
      <w:r w:rsidRPr="00FD5EBD">
        <w:t>, </w:t>
      </w:r>
      <w:r w:rsidRPr="00FD5EBD">
        <w:rPr>
          <w:i/>
          <w:iCs/>
        </w:rPr>
        <w:t>16</w:t>
      </w:r>
      <w:r w:rsidRPr="00FD5EBD">
        <w:t xml:space="preserve">(4), p.872. </w:t>
      </w:r>
      <w:hyperlink r:id="rId10" w:history="1">
        <w:r w:rsidRPr="00CB4EC6">
          <w:rPr>
            <w:rStyle w:val="Hyperlink"/>
          </w:rPr>
          <w:t>https://www.mdpi.com/2075-5309/16/4/872</w:t>
        </w:r>
      </w:hyperlink>
    </w:p>
    <w:p w14:paraId="27BFE05A" w14:textId="77777777" w:rsidR="009D6FCD" w:rsidRDefault="009D6FCD" w:rsidP="000B550D">
      <w:pPr>
        <w:contextualSpacing/>
      </w:pPr>
      <w:proofErr w:type="spellStart"/>
      <w:r w:rsidRPr="00542BBD">
        <w:t>Barajei</w:t>
      </w:r>
      <w:proofErr w:type="spellEnd"/>
      <w:r w:rsidRPr="00542BBD">
        <w:t>, C., Appiah-</w:t>
      </w:r>
      <w:proofErr w:type="spellStart"/>
      <w:r w:rsidRPr="00542BBD">
        <w:t>Kubi</w:t>
      </w:r>
      <w:proofErr w:type="spellEnd"/>
      <w:r w:rsidRPr="00542BBD">
        <w:t xml:space="preserve">, E., </w:t>
      </w:r>
      <w:proofErr w:type="spellStart"/>
      <w:r w:rsidRPr="00542BBD">
        <w:t>Kheni</w:t>
      </w:r>
      <w:proofErr w:type="spellEnd"/>
      <w:r w:rsidRPr="00542BBD">
        <w:t xml:space="preserve">, N.A., </w:t>
      </w:r>
      <w:proofErr w:type="spellStart"/>
      <w:r w:rsidRPr="00542BBD">
        <w:t>Yal</w:t>
      </w:r>
      <w:r>
        <w:t>ley</w:t>
      </w:r>
      <w:proofErr w:type="spellEnd"/>
      <w:r>
        <w:t>, P.P. and Iddrisu, W., (2024)</w:t>
      </w:r>
      <w:r w:rsidRPr="00542BBD">
        <w:t xml:space="preserve"> </w:t>
      </w:r>
      <w:r>
        <w:t>‘</w:t>
      </w:r>
      <w:r w:rsidRPr="00542BBD">
        <w:t>Success factors of pre-construction stages of Ghanaian public road construction project life cycle</w:t>
      </w:r>
      <w:r>
        <w:t>’,</w:t>
      </w:r>
      <w:r w:rsidRPr="00542BBD">
        <w:t> </w:t>
      </w:r>
      <w:r w:rsidRPr="00542BBD">
        <w:rPr>
          <w:i/>
          <w:iCs/>
        </w:rPr>
        <w:t>International Journal of Construction Management</w:t>
      </w:r>
      <w:r w:rsidRPr="00542BBD">
        <w:t>, </w:t>
      </w:r>
      <w:r w:rsidRPr="00542BBD">
        <w:rPr>
          <w:i/>
          <w:iCs/>
        </w:rPr>
        <w:t>24</w:t>
      </w:r>
      <w:r w:rsidRPr="00542BBD">
        <w:t xml:space="preserve">(13), pp.1444-1453. </w:t>
      </w:r>
      <w:hyperlink r:id="rId11" w:history="1">
        <w:r w:rsidRPr="00CB4EC6">
          <w:rPr>
            <w:rStyle w:val="Hyperlink"/>
          </w:rPr>
          <w:t>https://www.tandfonline.com/doi/abs/10.1080/15623599.2023.2219962</w:t>
        </w:r>
      </w:hyperlink>
    </w:p>
    <w:p w14:paraId="070EB68A" w14:textId="77777777" w:rsidR="009D6FCD" w:rsidRDefault="009D6FCD" w:rsidP="000B550D">
      <w:pPr>
        <w:contextualSpacing/>
      </w:pPr>
      <w:r w:rsidRPr="00BB1513">
        <w:t>Bates, G., Hasan, M.N., Ba</w:t>
      </w:r>
      <w:r>
        <w:t xml:space="preserve">rnfield, A. and </w:t>
      </w:r>
      <w:proofErr w:type="spellStart"/>
      <w:r>
        <w:t>Bondy</w:t>
      </w:r>
      <w:proofErr w:type="spellEnd"/>
      <w:r>
        <w:t>, K., (2025)</w:t>
      </w:r>
      <w:r w:rsidRPr="00BB1513">
        <w:t xml:space="preserve"> </w:t>
      </w:r>
      <w:r>
        <w:t>‘</w:t>
      </w:r>
      <w:r w:rsidRPr="00BB1513">
        <w:t>Urban policies and the creation of healthy urban environments: A review of government housing and transport policy documents in the United Kingdom</w:t>
      </w:r>
      <w:r>
        <w:t>’,</w:t>
      </w:r>
      <w:r w:rsidRPr="00BB1513">
        <w:t> </w:t>
      </w:r>
      <w:r w:rsidRPr="00BB1513">
        <w:rPr>
          <w:i/>
          <w:iCs/>
        </w:rPr>
        <w:t>Journal of urban affairs</w:t>
      </w:r>
      <w:r w:rsidRPr="00BB1513">
        <w:t>, </w:t>
      </w:r>
      <w:r w:rsidRPr="00BB1513">
        <w:rPr>
          <w:i/>
          <w:iCs/>
        </w:rPr>
        <w:t>47</w:t>
      </w:r>
      <w:r w:rsidRPr="00BB1513">
        <w:t xml:space="preserve">(6), pp.1942-1960. </w:t>
      </w:r>
      <w:hyperlink r:id="rId12" w:history="1">
        <w:r w:rsidRPr="00CB4EC6">
          <w:rPr>
            <w:rStyle w:val="Hyperlink"/>
          </w:rPr>
          <w:t>https://www.tandfonline.com/doi/abs/10.1080/07352166.2023.2260029</w:t>
        </w:r>
      </w:hyperlink>
    </w:p>
    <w:p w14:paraId="5A7D7771" w14:textId="77777777" w:rsidR="009D6FCD" w:rsidRDefault="009D6FCD" w:rsidP="000B550D">
      <w:pPr>
        <w:contextualSpacing/>
      </w:pPr>
      <w:r w:rsidRPr="006E2906">
        <w:t xml:space="preserve">Cooke, B. and Williams, P., </w:t>
      </w:r>
      <w:r>
        <w:t>(</w:t>
      </w:r>
      <w:r w:rsidRPr="006E2906">
        <w:t>2024</w:t>
      </w:r>
      <w:r>
        <w:t>)</w:t>
      </w:r>
      <w:r w:rsidRPr="006E2906">
        <w:t> </w:t>
      </w:r>
      <w:r w:rsidRPr="006E2906">
        <w:rPr>
          <w:i/>
          <w:iCs/>
        </w:rPr>
        <w:t>Construction planning, programming and control</w:t>
      </w:r>
      <w:r w:rsidRPr="006E2906">
        <w:t>. John Wiley &amp; Sons.</w:t>
      </w:r>
    </w:p>
    <w:p w14:paraId="1A5C0371" w14:textId="77777777" w:rsidR="009D6FCD" w:rsidRDefault="009D6FCD" w:rsidP="000B550D">
      <w:pPr>
        <w:contextualSpacing/>
        <w:rPr>
          <w:color w:val="000000"/>
        </w:rPr>
      </w:pPr>
      <w:r>
        <w:rPr>
          <w:color w:val="000000"/>
        </w:rPr>
        <w:t xml:space="preserve">CPRE Bedfordshire. (2026) </w:t>
      </w:r>
      <w:r w:rsidRPr="000F27B2">
        <w:rPr>
          <w:i/>
          <w:iCs/>
          <w:color w:val="000000"/>
        </w:rPr>
        <w:t xml:space="preserve">New Town at </w:t>
      </w:r>
      <w:proofErr w:type="spellStart"/>
      <w:r w:rsidRPr="000F27B2">
        <w:rPr>
          <w:i/>
          <w:iCs/>
          <w:color w:val="000000"/>
        </w:rPr>
        <w:t>Tempsford</w:t>
      </w:r>
      <w:proofErr w:type="spellEnd"/>
      <w:r w:rsidRPr="000F27B2">
        <w:rPr>
          <w:i/>
          <w:iCs/>
          <w:color w:val="000000"/>
        </w:rPr>
        <w:t xml:space="preserve"> - CPRE Bedfordshire’s position - CPRE Bedfordshire</w:t>
      </w:r>
      <w:r w:rsidRPr="000F27B2">
        <w:rPr>
          <w:color w:val="000000"/>
        </w:rPr>
        <w:t xml:space="preserve">. [online] Available at: https://www.cprebeds.org.uk/news/cpre-bedfordshire-position-on-new-town-at-tempsford/ </w:t>
      </w:r>
      <w:r>
        <w:rPr>
          <w:color w:val="000000"/>
        </w:rPr>
        <w:t>(Accessed: 5 Aug. 2026).</w:t>
      </w:r>
    </w:p>
    <w:p w14:paraId="56FCD446" w14:textId="77777777" w:rsidR="009D6FCD" w:rsidRDefault="009D6FCD" w:rsidP="000B550D">
      <w:pPr>
        <w:contextualSpacing/>
      </w:pPr>
      <w:r w:rsidRPr="004E0D40">
        <w:t xml:space="preserve">Furman, S. and </w:t>
      </w:r>
      <w:proofErr w:type="spellStart"/>
      <w:r w:rsidRPr="004E0D40">
        <w:t>Hadjri</w:t>
      </w:r>
      <w:proofErr w:type="spellEnd"/>
      <w:r w:rsidRPr="004E0D40">
        <w:t xml:space="preserve">, K., </w:t>
      </w:r>
      <w:r>
        <w:t>(</w:t>
      </w:r>
      <w:r w:rsidRPr="004E0D40">
        <w:t>2025</w:t>
      </w:r>
      <w:r>
        <w:t>)</w:t>
      </w:r>
      <w:r w:rsidRPr="004E0D40">
        <w:t xml:space="preserve"> </w:t>
      </w:r>
      <w:r>
        <w:t>‘</w:t>
      </w:r>
      <w:r w:rsidRPr="004E0D40">
        <w:t>Wasted expertise: Why retrofit should include residents</w:t>
      </w:r>
      <w:r>
        <w:t>’,</w:t>
      </w:r>
      <w:r w:rsidRPr="004E0D40">
        <w:t> </w:t>
      </w:r>
      <w:r w:rsidRPr="004E0D40">
        <w:rPr>
          <w:i/>
          <w:iCs/>
        </w:rPr>
        <w:t>Energy Research &amp; Social Science</w:t>
      </w:r>
      <w:r w:rsidRPr="004E0D40">
        <w:t>, </w:t>
      </w:r>
      <w:r w:rsidRPr="004E0D40">
        <w:rPr>
          <w:i/>
          <w:iCs/>
        </w:rPr>
        <w:t>119</w:t>
      </w:r>
      <w:r w:rsidRPr="004E0D40">
        <w:t xml:space="preserve">, p.103894. </w:t>
      </w:r>
      <w:hyperlink r:id="rId13" w:history="1">
        <w:r w:rsidRPr="00CB4EC6">
          <w:rPr>
            <w:rStyle w:val="Hyperlink"/>
          </w:rPr>
          <w:t>https://www.sciencedirect.com/science/article/pii/S2214629624004857</w:t>
        </w:r>
      </w:hyperlink>
    </w:p>
    <w:p w14:paraId="3C68738C" w14:textId="77777777" w:rsidR="009D6FCD" w:rsidRDefault="009D6FCD" w:rsidP="000B550D">
      <w:pPr>
        <w:contextualSpacing/>
      </w:pPr>
      <w:proofErr w:type="spellStart"/>
      <w:r w:rsidRPr="00EF35CA">
        <w:t>Georgiadou</w:t>
      </w:r>
      <w:proofErr w:type="spellEnd"/>
      <w:r w:rsidRPr="00EF35CA">
        <w:t xml:space="preserve">, M.C., Mulholland, C. and Fitton, S., </w:t>
      </w:r>
      <w:r>
        <w:t>(</w:t>
      </w:r>
      <w:r w:rsidRPr="00EF35CA">
        <w:t>2025</w:t>
      </w:r>
      <w:r>
        <w:t>) ‘</w:t>
      </w:r>
      <w:r w:rsidRPr="00EF35CA">
        <w:t>Social value and corporate social responsibility (CSR) through inclusive stakeholder engagement in the UK architecture, engineering, and construction (AEC) sector</w:t>
      </w:r>
      <w:r>
        <w:t>’,</w:t>
      </w:r>
      <w:r w:rsidRPr="00EF35CA">
        <w:t> </w:t>
      </w:r>
      <w:r w:rsidRPr="00EF35CA">
        <w:rPr>
          <w:i/>
          <w:iCs/>
        </w:rPr>
        <w:t>Corporate Social Responsibility and Environmental Management</w:t>
      </w:r>
      <w:r w:rsidRPr="00EF35CA">
        <w:t>, </w:t>
      </w:r>
      <w:r w:rsidRPr="00EF35CA">
        <w:rPr>
          <w:i/>
          <w:iCs/>
        </w:rPr>
        <w:t>32</w:t>
      </w:r>
      <w:r w:rsidRPr="00EF35CA">
        <w:t xml:space="preserve">(6), pp.8661-8673. </w:t>
      </w:r>
      <w:hyperlink r:id="rId14" w:history="1">
        <w:r w:rsidRPr="00CB4EC6">
          <w:rPr>
            <w:rStyle w:val="Hyperlink"/>
          </w:rPr>
          <w:t>https://onlinelibrary.wiley.com/doi/abs/10.1002/csr.70156</w:t>
        </w:r>
      </w:hyperlink>
    </w:p>
    <w:p w14:paraId="0E258DD7" w14:textId="77777777" w:rsidR="009D6FCD" w:rsidRDefault="009D6FCD" w:rsidP="000B550D">
      <w:pPr>
        <w:contextualSpacing/>
      </w:pPr>
      <w:proofErr w:type="spellStart"/>
      <w:r w:rsidRPr="00891523">
        <w:t>Gibbeson</w:t>
      </w:r>
      <w:proofErr w:type="spellEnd"/>
      <w:r w:rsidRPr="00891523">
        <w:t xml:space="preserve">, C., </w:t>
      </w:r>
      <w:r>
        <w:t>(</w:t>
      </w:r>
      <w:r w:rsidRPr="00891523">
        <w:t>2024</w:t>
      </w:r>
      <w:r>
        <w:t>) ‘</w:t>
      </w:r>
      <w:r w:rsidRPr="00891523">
        <w:t>Perceptions of professional stakeholders in the process of historic building regeneration in the UK: A relational perspective</w:t>
      </w:r>
      <w:r>
        <w:t>’,</w:t>
      </w:r>
      <w:r w:rsidRPr="00891523">
        <w:t> </w:t>
      </w:r>
      <w:r w:rsidRPr="00891523">
        <w:rPr>
          <w:i/>
          <w:iCs/>
        </w:rPr>
        <w:t>Cities</w:t>
      </w:r>
      <w:r w:rsidRPr="00891523">
        <w:t>, </w:t>
      </w:r>
      <w:r w:rsidRPr="00891523">
        <w:rPr>
          <w:i/>
          <w:iCs/>
        </w:rPr>
        <w:t>151</w:t>
      </w:r>
      <w:r w:rsidRPr="00891523">
        <w:t xml:space="preserve">, p.105087. </w:t>
      </w:r>
      <w:hyperlink r:id="rId15" w:history="1">
        <w:r w:rsidRPr="00CB4EC6">
          <w:rPr>
            <w:rStyle w:val="Hyperlink"/>
          </w:rPr>
          <w:t>https://www.sciencedirect.com/science/article/pii/S0264275124003019</w:t>
        </w:r>
      </w:hyperlink>
    </w:p>
    <w:p w14:paraId="51BF2BA0" w14:textId="77777777" w:rsidR="009D6FCD" w:rsidRDefault="009D6FCD" w:rsidP="000B550D">
      <w:pPr>
        <w:contextualSpacing/>
      </w:pPr>
      <w:proofErr w:type="spellStart"/>
      <w:r w:rsidRPr="00316980">
        <w:t>Hwabamungu</w:t>
      </w:r>
      <w:proofErr w:type="spellEnd"/>
      <w:r w:rsidRPr="00316980">
        <w:t xml:space="preserve">, B. and Shepherd, P., </w:t>
      </w:r>
      <w:r>
        <w:t>(</w:t>
      </w:r>
      <w:r w:rsidRPr="00316980">
        <w:t>2024, Decemb</w:t>
      </w:r>
      <w:r>
        <w:t>er)</w:t>
      </w:r>
      <w:r w:rsidRPr="00316980">
        <w:t xml:space="preserve"> </w:t>
      </w:r>
      <w:r>
        <w:t>‘</w:t>
      </w:r>
      <w:r w:rsidRPr="00316980">
        <w:t>The influence of stakeholder involvement in the adoption of digital technologies in the UK construction industry</w:t>
      </w:r>
      <w:r>
        <w:t>’,</w:t>
      </w:r>
      <w:r w:rsidRPr="00316980">
        <w:t xml:space="preserve"> In </w:t>
      </w:r>
      <w:r w:rsidRPr="00316980">
        <w:rPr>
          <w:i/>
          <w:iCs/>
        </w:rPr>
        <w:t>Informatics</w:t>
      </w:r>
      <w:r w:rsidRPr="00316980">
        <w:t xml:space="preserve"> (Vol. 11, No. 4, p. 97). MDPI. </w:t>
      </w:r>
      <w:hyperlink r:id="rId16" w:history="1">
        <w:r w:rsidRPr="00CB4EC6">
          <w:rPr>
            <w:rStyle w:val="Hyperlink"/>
          </w:rPr>
          <w:t>https://www.mdpi.com/2227-9709/11/4/97</w:t>
        </w:r>
      </w:hyperlink>
    </w:p>
    <w:p w14:paraId="2DF96DA5" w14:textId="77777777" w:rsidR="009D6FCD" w:rsidRDefault="009D6FCD" w:rsidP="000B550D">
      <w:pPr>
        <w:contextualSpacing/>
      </w:pPr>
      <w:proofErr w:type="spellStart"/>
      <w:r w:rsidRPr="00084A29">
        <w:t>Khahro</w:t>
      </w:r>
      <w:proofErr w:type="spellEnd"/>
      <w:r w:rsidRPr="00084A29">
        <w:t xml:space="preserve">, S.H., Shaikh, H.H., </w:t>
      </w:r>
      <w:proofErr w:type="spellStart"/>
      <w:r w:rsidRPr="00084A29">
        <w:t>Zainun</w:t>
      </w:r>
      <w:proofErr w:type="spellEnd"/>
      <w:r w:rsidRPr="00084A29">
        <w:t xml:space="preserve">, N.Y., Sultan, B. and </w:t>
      </w:r>
      <w:proofErr w:type="spellStart"/>
      <w:r w:rsidRPr="00084A29">
        <w:t>Khahro</w:t>
      </w:r>
      <w:proofErr w:type="spellEnd"/>
      <w:r w:rsidRPr="00084A29">
        <w:t xml:space="preserve">, Q.H., </w:t>
      </w:r>
      <w:r>
        <w:t>(</w:t>
      </w:r>
      <w:r w:rsidRPr="00084A29">
        <w:t>2023</w:t>
      </w:r>
      <w:r>
        <w:t>)</w:t>
      </w:r>
      <w:r w:rsidRPr="00084A29">
        <w:t xml:space="preserve"> </w:t>
      </w:r>
      <w:r>
        <w:t>‘</w:t>
      </w:r>
      <w:r w:rsidRPr="00084A29">
        <w:t>Delay in decision-making affecting construction projects: a sustainable decision-making model for mega projects</w:t>
      </w:r>
      <w:r>
        <w:t>’,</w:t>
      </w:r>
      <w:r w:rsidRPr="00084A29">
        <w:t> </w:t>
      </w:r>
      <w:r w:rsidRPr="00084A29">
        <w:rPr>
          <w:i/>
          <w:iCs/>
        </w:rPr>
        <w:t>Sustainability</w:t>
      </w:r>
      <w:r w:rsidRPr="00084A29">
        <w:t>, </w:t>
      </w:r>
      <w:r w:rsidRPr="00084A29">
        <w:rPr>
          <w:i/>
          <w:iCs/>
        </w:rPr>
        <w:t>15</w:t>
      </w:r>
      <w:r w:rsidRPr="00084A29">
        <w:t xml:space="preserve">(7), p.5872. </w:t>
      </w:r>
      <w:hyperlink r:id="rId17" w:history="1">
        <w:r w:rsidRPr="00CB4EC6">
          <w:rPr>
            <w:rStyle w:val="Hyperlink"/>
          </w:rPr>
          <w:t>https://www.mdpi.com/2071-1050/15/7/5872</w:t>
        </w:r>
      </w:hyperlink>
    </w:p>
    <w:p w14:paraId="54F02895" w14:textId="77777777" w:rsidR="009D6FCD" w:rsidRDefault="009D6FCD" w:rsidP="000B550D">
      <w:pPr>
        <w:contextualSpacing/>
      </w:pPr>
      <w:proofErr w:type="spellStart"/>
      <w:r w:rsidRPr="006745A1">
        <w:lastRenderedPageBreak/>
        <w:t>Mayouf</w:t>
      </w:r>
      <w:proofErr w:type="spellEnd"/>
      <w:r w:rsidRPr="006745A1">
        <w:t xml:space="preserve">, M., Jones, J., </w:t>
      </w:r>
      <w:proofErr w:type="spellStart"/>
      <w:r w:rsidRPr="006745A1">
        <w:t>Elghaish</w:t>
      </w:r>
      <w:proofErr w:type="spellEnd"/>
      <w:r w:rsidRPr="006745A1">
        <w:t xml:space="preserve">, F., </w:t>
      </w:r>
      <w:proofErr w:type="spellStart"/>
      <w:r w:rsidRPr="006745A1">
        <w:t>Emam</w:t>
      </w:r>
      <w:proofErr w:type="spellEnd"/>
      <w:r w:rsidRPr="006745A1">
        <w:t xml:space="preserve">, H., Ekanayake, E.M.A.C. and </w:t>
      </w:r>
      <w:proofErr w:type="spellStart"/>
      <w:r w:rsidRPr="006745A1">
        <w:t>Ashayeri</w:t>
      </w:r>
      <w:proofErr w:type="spellEnd"/>
      <w:r w:rsidRPr="006745A1">
        <w:t xml:space="preserve">, I., </w:t>
      </w:r>
      <w:r>
        <w:t>(</w:t>
      </w:r>
      <w:r w:rsidRPr="006745A1">
        <w:t>2024</w:t>
      </w:r>
      <w:r>
        <w:t>)</w:t>
      </w:r>
      <w:r w:rsidRPr="006745A1">
        <w:t xml:space="preserve"> </w:t>
      </w:r>
      <w:r>
        <w:t>‘</w:t>
      </w:r>
      <w:r w:rsidRPr="006745A1">
        <w:t>Revolutionising the 4D BIM process to support scheduling requirements in modular construction</w:t>
      </w:r>
      <w:r>
        <w:t>’,</w:t>
      </w:r>
      <w:r w:rsidRPr="006745A1">
        <w:t> </w:t>
      </w:r>
      <w:r w:rsidRPr="006745A1">
        <w:rPr>
          <w:i/>
          <w:iCs/>
        </w:rPr>
        <w:t>Sustainability</w:t>
      </w:r>
      <w:r w:rsidRPr="006745A1">
        <w:t>, </w:t>
      </w:r>
      <w:r w:rsidRPr="006745A1">
        <w:rPr>
          <w:i/>
          <w:iCs/>
        </w:rPr>
        <w:t>16</w:t>
      </w:r>
      <w:r w:rsidRPr="006745A1">
        <w:t xml:space="preserve">(2), p.476. </w:t>
      </w:r>
      <w:hyperlink r:id="rId18" w:history="1">
        <w:r w:rsidRPr="00CB4EC6">
          <w:rPr>
            <w:rStyle w:val="Hyperlink"/>
          </w:rPr>
          <w:t>https://www.mdpi.com/2071-1050/16/2/476</w:t>
        </w:r>
      </w:hyperlink>
    </w:p>
    <w:p w14:paraId="1C51CD93" w14:textId="77777777" w:rsidR="009D6FCD" w:rsidRDefault="009D6FCD" w:rsidP="000B550D">
      <w:pPr>
        <w:contextualSpacing/>
      </w:pPr>
      <w:r>
        <w:rPr>
          <w:color w:val="000000"/>
        </w:rPr>
        <w:t xml:space="preserve">McLeod, S.P. (2024) </w:t>
      </w:r>
      <w:r w:rsidRPr="000F27B2">
        <w:rPr>
          <w:i/>
          <w:iCs/>
          <w:color w:val="000000"/>
        </w:rPr>
        <w:t>Gibbs Reflective Cycle</w:t>
      </w:r>
      <w:r w:rsidRPr="000F27B2">
        <w:rPr>
          <w:color w:val="000000"/>
        </w:rPr>
        <w:t xml:space="preserve">. [online] Simply Psychology. Available at: https://www.simplypsychology.org/gibbs-reflective-cycle.html </w:t>
      </w:r>
      <w:r>
        <w:rPr>
          <w:color w:val="000000"/>
        </w:rPr>
        <w:t>(Accessed: 5 Aug. 2026).</w:t>
      </w:r>
    </w:p>
    <w:p w14:paraId="09483408" w14:textId="77777777" w:rsidR="009D6FCD" w:rsidRPr="00725C90" w:rsidRDefault="009D6FCD" w:rsidP="000B550D">
      <w:pPr>
        <w:contextualSpacing/>
        <w:rPr>
          <w:color w:val="000000"/>
        </w:rPr>
      </w:pPr>
      <w:proofErr w:type="spellStart"/>
      <w:r w:rsidRPr="00AA2222">
        <w:t>Omrany</w:t>
      </w:r>
      <w:proofErr w:type="spellEnd"/>
      <w:r w:rsidRPr="00AA2222">
        <w:t>, H., Al-</w:t>
      </w:r>
      <w:proofErr w:type="spellStart"/>
      <w:r w:rsidRPr="00AA2222">
        <w:t>Obaidi</w:t>
      </w:r>
      <w:proofErr w:type="spellEnd"/>
      <w:r w:rsidRPr="00AA2222">
        <w:t xml:space="preserve">, K.M., Husain, A. </w:t>
      </w:r>
      <w:r>
        <w:t xml:space="preserve">and </w:t>
      </w:r>
      <w:proofErr w:type="spellStart"/>
      <w:r>
        <w:t>Ghaffarianhoseini</w:t>
      </w:r>
      <w:proofErr w:type="spellEnd"/>
      <w:r>
        <w:t>, A., (2023)</w:t>
      </w:r>
      <w:r w:rsidRPr="00AA2222">
        <w:t xml:space="preserve"> </w:t>
      </w:r>
      <w:r>
        <w:t>‘</w:t>
      </w:r>
      <w:r w:rsidRPr="00AA2222">
        <w:t>Digital twins in the construction industry: a comprehensive review of current implementations, enabling technologies, and future directions</w:t>
      </w:r>
      <w:r>
        <w:t>’,</w:t>
      </w:r>
      <w:r w:rsidRPr="00AA2222">
        <w:t> </w:t>
      </w:r>
      <w:r w:rsidRPr="00AA2222">
        <w:rPr>
          <w:i/>
          <w:iCs/>
        </w:rPr>
        <w:t>Sustainability</w:t>
      </w:r>
      <w:r w:rsidRPr="00AA2222">
        <w:t>, </w:t>
      </w:r>
      <w:r w:rsidRPr="00AA2222">
        <w:rPr>
          <w:i/>
          <w:iCs/>
        </w:rPr>
        <w:t>15</w:t>
      </w:r>
      <w:r w:rsidRPr="00AA2222">
        <w:t xml:space="preserve">(14), p.10908. </w:t>
      </w:r>
      <w:hyperlink r:id="rId19" w:history="1">
        <w:r w:rsidRPr="00CB4EC6">
          <w:rPr>
            <w:rStyle w:val="Hyperlink"/>
          </w:rPr>
          <w:t>https://www.mdpi.com/2071-1050/15/14/10908</w:t>
        </w:r>
      </w:hyperlink>
    </w:p>
    <w:p w14:paraId="3200D027" w14:textId="77777777" w:rsidR="009D6FCD" w:rsidRDefault="009D6FCD" w:rsidP="000B550D">
      <w:pPr>
        <w:contextualSpacing/>
        <w:rPr>
          <w:color w:val="000000"/>
        </w:rPr>
      </w:pPr>
      <w:r>
        <w:rPr>
          <w:color w:val="000000"/>
        </w:rPr>
        <w:t xml:space="preserve">Richard Fuller MP. (2026) </w:t>
      </w:r>
      <w:proofErr w:type="spellStart"/>
      <w:r w:rsidRPr="000F27B2">
        <w:rPr>
          <w:i/>
          <w:iCs/>
          <w:color w:val="000000"/>
        </w:rPr>
        <w:t>Tempsford</w:t>
      </w:r>
      <w:proofErr w:type="spellEnd"/>
      <w:r w:rsidRPr="000F27B2">
        <w:rPr>
          <w:i/>
          <w:iCs/>
          <w:color w:val="000000"/>
        </w:rPr>
        <w:t xml:space="preserve"> New Town</w:t>
      </w:r>
      <w:r w:rsidRPr="000F27B2">
        <w:rPr>
          <w:color w:val="000000"/>
        </w:rPr>
        <w:t xml:space="preserve">. [online] Available at: https://www.richardfuller.co.uk/campaigns/tempsford-new-town </w:t>
      </w:r>
      <w:r>
        <w:rPr>
          <w:color w:val="000000"/>
        </w:rPr>
        <w:t>(Accessed: 5 Aug. 2026).</w:t>
      </w:r>
    </w:p>
    <w:p w14:paraId="643E3950" w14:textId="77777777" w:rsidR="009D6FCD" w:rsidRPr="00725C90" w:rsidRDefault="009D6FCD">
      <w:pPr>
        <w:contextualSpacing/>
      </w:pPr>
      <w:r w:rsidRPr="00662C1F">
        <w:t xml:space="preserve">Saah, A.E.N., Yee, J.J. and Choi, J.H., </w:t>
      </w:r>
      <w:r>
        <w:t>(</w:t>
      </w:r>
      <w:r w:rsidRPr="00662C1F">
        <w:t>2023</w:t>
      </w:r>
      <w:r>
        <w:t>) ‘</w:t>
      </w:r>
      <w:r w:rsidRPr="00662C1F">
        <w:t>Securing construction workers’ data security and privacy with blockchain technology</w:t>
      </w:r>
      <w:r>
        <w:t>’,</w:t>
      </w:r>
      <w:r w:rsidRPr="00662C1F">
        <w:t> </w:t>
      </w:r>
      <w:r w:rsidRPr="00662C1F">
        <w:rPr>
          <w:i/>
          <w:iCs/>
        </w:rPr>
        <w:t>Applied Sciences</w:t>
      </w:r>
      <w:r w:rsidRPr="00662C1F">
        <w:t>, </w:t>
      </w:r>
      <w:r w:rsidRPr="00662C1F">
        <w:rPr>
          <w:i/>
          <w:iCs/>
        </w:rPr>
        <w:t>13</w:t>
      </w:r>
      <w:r w:rsidRPr="00662C1F">
        <w:t xml:space="preserve">(24), p.13339. </w:t>
      </w:r>
      <w:hyperlink r:id="rId20" w:history="1">
        <w:r w:rsidRPr="00CB4EC6">
          <w:rPr>
            <w:rStyle w:val="Hyperlink"/>
          </w:rPr>
          <w:t>https://www.mdpi.com/2076-3417/13/24/13339</w:t>
        </w:r>
      </w:hyperlink>
    </w:p>
    <w:p w14:paraId="644AA3C3" w14:textId="77777777" w:rsidR="00725C90" w:rsidRDefault="00725C90">
      <w:pPr>
        <w:rPr>
          <w:b/>
          <w:bCs/>
        </w:rPr>
      </w:pPr>
      <w:r>
        <w:rPr>
          <w:b/>
          <w:bCs/>
        </w:rPr>
        <w:br w:type="page"/>
      </w:r>
    </w:p>
    <w:p w14:paraId="6AA82B8B" w14:textId="11A78FF7" w:rsidR="00B67A04" w:rsidRDefault="007D292E">
      <w:pPr>
        <w:jc w:val="center"/>
        <w:rPr>
          <w:b/>
          <w:bCs/>
        </w:rPr>
      </w:pPr>
      <w:r>
        <w:rPr>
          <w:b/>
          <w:bCs/>
        </w:rPr>
        <w:lastRenderedPageBreak/>
        <w:t>GAI Declaration</w:t>
      </w:r>
    </w:p>
    <w:p w14:paraId="509B672F" w14:textId="6F95D440" w:rsidR="00B67A04" w:rsidRDefault="007D292E">
      <w:r>
        <w:t xml:space="preserve">"This portfolio does not contain any insight, data, </w:t>
      </w:r>
      <w:r w:rsidR="00427547">
        <w:t>information,</w:t>
      </w:r>
      <w:r>
        <w:t xml:space="preserve"> or text that is extracted from AI tools or equipment. I have used necessary precaution and structure established according to the university guidelines to maintain integrity."</w:t>
      </w:r>
    </w:p>
    <w:sectPr w:rsidR="00B67A04">
      <w:headerReference w:type="default" r:id="rId21"/>
      <w:footerReference w:type="default" r:id="rId22"/>
      <w:headerReference w:type="first" r:id="rId23"/>
      <w:footerReference w:type="first" r:id="rId24"/>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2E4D5A" w14:textId="77777777" w:rsidR="004C3486" w:rsidRDefault="004C3486">
      <w:pPr>
        <w:spacing w:line="240" w:lineRule="auto"/>
      </w:pPr>
      <w:r>
        <w:separator/>
      </w:r>
    </w:p>
  </w:endnote>
  <w:endnote w:type="continuationSeparator" w:id="0">
    <w:p w14:paraId="15EB7B94" w14:textId="77777777" w:rsidR="004C3486" w:rsidRDefault="004C348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9DD312EF-F92A-4799-9E89-623DB73E9760}"/>
  </w:font>
  <w:font w:name="Calibri">
    <w:panose1 w:val="020F0502020204030204"/>
    <w:charset w:val="00"/>
    <w:family w:val="swiss"/>
    <w:pitch w:val="variable"/>
    <w:sig w:usb0="E4002EFF" w:usb1="C200247B" w:usb2="00000009" w:usb3="00000000" w:csb0="000001FF" w:csb1="00000000"/>
    <w:embedRegular r:id="rId2" w:fontKey="{3129B5A0-77AE-4996-BE56-0E07B4E1E7FB}"/>
  </w:font>
  <w:font w:name="Cambria">
    <w:panose1 w:val="02040503050406030204"/>
    <w:charset w:val="00"/>
    <w:family w:val="roman"/>
    <w:pitch w:val="variable"/>
    <w:sig w:usb0="E00006FF" w:usb1="420024FF" w:usb2="02000000" w:usb3="00000000" w:csb0="0000019F" w:csb1="00000000"/>
    <w:embedRegular r:id="rId3" w:fontKey="{F02EF20D-5ADE-4EAE-9EE6-C50BE4BD374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3E50AE" w14:textId="77777777" w:rsidR="00B67A04" w:rsidRDefault="007D292E">
    <w:pPr>
      <w:jc w:val="right"/>
      <w:rPr>
        <w:sz w:val="20"/>
        <w:szCs w:val="20"/>
      </w:rPr>
    </w:pPr>
    <w:r>
      <w:rPr>
        <w:sz w:val="20"/>
        <w:szCs w:val="20"/>
      </w:rPr>
      <w:fldChar w:fldCharType="begin"/>
    </w:r>
    <w:r>
      <w:rPr>
        <w:sz w:val="20"/>
        <w:szCs w:val="20"/>
      </w:rPr>
      <w:instrText>PAGE</w:instrText>
    </w:r>
    <w:r>
      <w:rPr>
        <w:sz w:val="20"/>
        <w:szCs w:val="20"/>
      </w:rPr>
      <w:fldChar w:fldCharType="separate"/>
    </w:r>
    <w:r w:rsidR="00E30AE7">
      <w:rPr>
        <w:noProof/>
        <w:sz w:val="20"/>
        <w:szCs w:val="20"/>
      </w:rPr>
      <w:t>17</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BE7BB7" w14:textId="77777777" w:rsidR="00B67A04" w:rsidRDefault="00B67A0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5F3C67" w14:textId="77777777" w:rsidR="004C3486" w:rsidRDefault="004C3486">
      <w:pPr>
        <w:spacing w:line="240" w:lineRule="auto"/>
      </w:pPr>
      <w:r>
        <w:separator/>
      </w:r>
    </w:p>
  </w:footnote>
  <w:footnote w:type="continuationSeparator" w:id="0">
    <w:p w14:paraId="42E9864C" w14:textId="77777777" w:rsidR="004C3486" w:rsidRDefault="004C348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96F7BD" w14:textId="77777777" w:rsidR="00B67A04" w:rsidRDefault="00B67A04"/>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6CE64C" w14:textId="77777777" w:rsidR="00B67A04" w:rsidRDefault="00B67A04"/>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7A04"/>
    <w:rsid w:val="000B550D"/>
    <w:rsid w:val="00267D4F"/>
    <w:rsid w:val="00427547"/>
    <w:rsid w:val="004C3486"/>
    <w:rsid w:val="005A1EAC"/>
    <w:rsid w:val="00725C90"/>
    <w:rsid w:val="007D292E"/>
    <w:rsid w:val="00817626"/>
    <w:rsid w:val="009D6FCD"/>
    <w:rsid w:val="00B67A04"/>
    <w:rsid w:val="00E30A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2B738C"/>
  <w15:docId w15:val="{BC7CEF16-7C3E-4295-AF5C-DA64DC622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rPr>
  </w:style>
  <w:style w:type="paragraph" w:styleId="Heading2">
    <w:name w:val="heading 2"/>
    <w:basedOn w:val="Normal"/>
    <w:next w:val="Normal"/>
    <w:pPr>
      <w:keepNext/>
      <w:keepLines/>
      <w:outlineLvl w:val="1"/>
    </w:pPr>
    <w:rPr>
      <w:b/>
      <w:bCs/>
    </w:rPr>
  </w:style>
  <w:style w:type="paragraph" w:styleId="Heading3">
    <w:name w:val="heading 3"/>
    <w:basedOn w:val="Normal"/>
    <w:next w:val="Normal"/>
    <w:pPr>
      <w:keepNext/>
      <w:keepLines/>
      <w:outlineLvl w:val="2"/>
    </w:pPr>
    <w:rPr>
      <w:b/>
      <w:b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0B550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550D"/>
    <w:rPr>
      <w:rFonts w:ascii="Segoe UI" w:hAnsi="Segoe UI" w:cs="Segoe UI"/>
      <w:sz w:val="18"/>
      <w:szCs w:val="18"/>
    </w:rPr>
  </w:style>
  <w:style w:type="character" w:styleId="Hyperlink">
    <w:name w:val="Hyperlink"/>
    <w:basedOn w:val="DefaultParagraphFont"/>
    <w:uiPriority w:val="99"/>
    <w:unhideWhenUsed/>
    <w:rsid w:val="000B550D"/>
    <w:rPr>
      <w:color w:val="0000FF" w:themeColor="hyperlink"/>
      <w:u w:val="single"/>
    </w:rPr>
  </w:style>
  <w:style w:type="paragraph" w:styleId="TOCHeading">
    <w:name w:val="TOC Heading"/>
    <w:basedOn w:val="Heading1"/>
    <w:next w:val="Normal"/>
    <w:uiPriority w:val="39"/>
    <w:unhideWhenUsed/>
    <w:qFormat/>
    <w:rsid w:val="00267D4F"/>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267D4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ciencedirect.com/science/article/pii/S2214629624004857" TargetMode="External"/><Relationship Id="rId18" Type="http://schemas.openxmlformats.org/officeDocument/2006/relationships/hyperlink" Target="https://www.mdpi.com/2071-1050/16/2/476"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www.tandfonline.com/doi/abs/10.1080/07352166.2023.2260029" TargetMode="External"/><Relationship Id="rId17" Type="http://schemas.openxmlformats.org/officeDocument/2006/relationships/hyperlink" Target="https://www.mdpi.com/2071-1050/15/7/5872"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mdpi.com/2227-9709/11/4/97" TargetMode="External"/><Relationship Id="rId20" Type="http://schemas.openxmlformats.org/officeDocument/2006/relationships/hyperlink" Target="https://www.mdpi.com/2076-3417/13/24/13339"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andfonline.com/doi/abs/10.1080/15623599.2023.2219962"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sciencedirect.com/science/article/pii/S0264275124003019" TargetMode="External"/><Relationship Id="rId23" Type="http://schemas.openxmlformats.org/officeDocument/2006/relationships/header" Target="header2.xml"/><Relationship Id="rId10" Type="http://schemas.openxmlformats.org/officeDocument/2006/relationships/hyperlink" Target="https://www.mdpi.com/2075-5309/16/4/872" TargetMode="External"/><Relationship Id="rId19" Type="http://schemas.openxmlformats.org/officeDocument/2006/relationships/hyperlink" Target="https://www.mdpi.com/2071-1050/15/14/10908"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onlinelibrary.wiley.com/doi/abs/10.1002/csr.70156" TargetMode="External"/><Relationship Id="rId22"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473AEE-1EBD-48F2-9D12-82A22F5510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18</Pages>
  <Words>4113</Words>
  <Characters>23445</Characters>
  <Application>Microsoft Office Word</Application>
  <DocSecurity>0</DocSecurity>
  <Lines>195</Lines>
  <Paragraphs>55</Paragraphs>
  <ScaleCrop>false</ScaleCrop>
  <Company/>
  <LinksUpToDate>false</LinksUpToDate>
  <CharactersWithSpaces>27503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Rares Constantinescu</dc:creator>
  <cp:lastModifiedBy>user</cp:lastModifiedBy>
  <cp:revision>8</cp:revision>
  <dcterms:created xsi:type="dcterms:W3CDTF">2026-08-12T11:47:00Z</dcterms:created>
  <dcterms:modified xsi:type="dcterms:W3CDTF">2026-08-20T10:28:00Z</dcterms:modified>
</cp:coreProperties>
</file>