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D06D4" w14:textId="3229CAC3" w:rsidR="00825977" w:rsidRPr="00717E82" w:rsidRDefault="00A135CE" w:rsidP="00427873">
      <w:pPr>
        <w:spacing w:line="360" w:lineRule="auto"/>
        <w:jc w:val="both"/>
        <w:rPr>
          <w:rFonts w:ascii="Arial" w:hAnsi="Arial" w:cs="Arial"/>
        </w:rPr>
      </w:pPr>
      <w:r w:rsidRPr="00717E82">
        <w:rPr>
          <w:rFonts w:ascii="Arial" w:hAnsi="Arial" w:cs="Arial"/>
          <w:noProof/>
        </w:rPr>
        <mc:AlternateContent>
          <mc:Choice Requires="wps">
            <w:drawing>
              <wp:inline distT="0" distB="0" distL="0" distR="0" wp14:anchorId="3BA92829" wp14:editId="63766F21">
                <wp:extent cx="304800" cy="304800"/>
                <wp:effectExtent l="0" t="0" r="0" b="0"/>
                <wp:docPr id="1870845637" name="AutoShape 3" descr="banne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24FCD63" id="AutoShape 3" o:spid="_x0000_s1026" alt="banner"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717E82">
        <w:rPr>
          <w:rFonts w:ascii="Arial" w:hAnsi="Arial" w:cs="Arial"/>
          <w:noProof/>
        </w:rPr>
        <w:drawing>
          <wp:inline distT="0" distB="0" distL="0" distR="0" wp14:anchorId="0854659F" wp14:editId="54178E8F">
            <wp:extent cx="3445564" cy="1647582"/>
            <wp:effectExtent l="0" t="0" r="254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4027" cy="1651629"/>
                    </a:xfrm>
                    <a:prstGeom prst="rect">
                      <a:avLst/>
                    </a:prstGeom>
                    <a:noFill/>
                    <a:ln>
                      <a:noFill/>
                    </a:ln>
                  </pic:spPr>
                </pic:pic>
              </a:graphicData>
            </a:graphic>
          </wp:inline>
        </w:drawing>
      </w:r>
    </w:p>
    <w:p w14:paraId="3D3539E6" w14:textId="77777777" w:rsidR="00A135CE" w:rsidRPr="00717E82" w:rsidRDefault="00A135CE" w:rsidP="00427873">
      <w:pPr>
        <w:spacing w:line="360" w:lineRule="auto"/>
        <w:jc w:val="both"/>
        <w:rPr>
          <w:rFonts w:ascii="Arial" w:hAnsi="Arial" w:cs="Arial"/>
        </w:rPr>
      </w:pPr>
    </w:p>
    <w:p w14:paraId="5E938C01" w14:textId="77777777" w:rsidR="00A135CE" w:rsidRPr="00717E82" w:rsidRDefault="00A135CE" w:rsidP="00427873">
      <w:pPr>
        <w:spacing w:line="360" w:lineRule="auto"/>
        <w:jc w:val="both"/>
        <w:rPr>
          <w:rFonts w:ascii="Arial" w:hAnsi="Arial" w:cs="Arial"/>
        </w:rPr>
      </w:pPr>
    </w:p>
    <w:p w14:paraId="04556249" w14:textId="77777777" w:rsidR="00A135CE" w:rsidRPr="00717E82" w:rsidRDefault="00A135CE" w:rsidP="00427873">
      <w:pPr>
        <w:spacing w:line="360" w:lineRule="auto"/>
        <w:jc w:val="both"/>
        <w:rPr>
          <w:rFonts w:ascii="Arial" w:hAnsi="Arial" w:cs="Arial"/>
        </w:rPr>
      </w:pPr>
    </w:p>
    <w:p w14:paraId="721C3AE8" w14:textId="4BFE72FA" w:rsidR="00A135CE" w:rsidRPr="00717E82" w:rsidRDefault="00A135CE" w:rsidP="00427873">
      <w:pPr>
        <w:spacing w:line="360" w:lineRule="auto"/>
        <w:jc w:val="both"/>
        <w:rPr>
          <w:rFonts w:ascii="Arial" w:hAnsi="Arial" w:cs="Arial"/>
          <w:b/>
          <w:bCs/>
          <w:sz w:val="32"/>
          <w:szCs w:val="32"/>
          <w:lang w:val="nl-NL"/>
        </w:rPr>
      </w:pPr>
      <w:r w:rsidRPr="00717E82">
        <w:rPr>
          <w:rFonts w:ascii="Arial" w:hAnsi="Arial" w:cs="Arial"/>
          <w:b/>
          <w:bCs/>
          <w:sz w:val="32"/>
          <w:szCs w:val="32"/>
          <w:lang w:val="nl-NL"/>
        </w:rPr>
        <w:t>Student: Nyarai O Kanderera</w:t>
      </w:r>
    </w:p>
    <w:p w14:paraId="09B43ABF" w14:textId="62740DEE" w:rsidR="00A135CE" w:rsidRPr="00717E82" w:rsidRDefault="00A135CE" w:rsidP="00427873">
      <w:pPr>
        <w:spacing w:line="360" w:lineRule="auto"/>
        <w:jc w:val="both"/>
        <w:rPr>
          <w:rFonts w:ascii="Arial" w:hAnsi="Arial" w:cs="Arial"/>
          <w:b/>
          <w:bCs/>
          <w:sz w:val="32"/>
          <w:szCs w:val="32"/>
          <w:lang w:val="nl-NL"/>
        </w:rPr>
      </w:pPr>
      <w:r w:rsidRPr="00717E82">
        <w:rPr>
          <w:rFonts w:ascii="Arial" w:hAnsi="Arial" w:cs="Arial"/>
          <w:b/>
          <w:bCs/>
          <w:sz w:val="32"/>
          <w:szCs w:val="32"/>
          <w:lang w:val="nl-NL"/>
        </w:rPr>
        <w:t>Student No: 2243459</w:t>
      </w:r>
    </w:p>
    <w:p w14:paraId="475F26DD" w14:textId="0A721C33" w:rsidR="00A135CE" w:rsidRPr="00717E82" w:rsidRDefault="00A135CE" w:rsidP="00427873">
      <w:pPr>
        <w:spacing w:line="360" w:lineRule="auto"/>
        <w:jc w:val="both"/>
        <w:rPr>
          <w:rFonts w:ascii="Arial" w:hAnsi="Arial" w:cs="Arial"/>
          <w:b/>
          <w:bCs/>
          <w:sz w:val="32"/>
          <w:szCs w:val="32"/>
        </w:rPr>
      </w:pPr>
      <w:r w:rsidRPr="00717E82">
        <w:rPr>
          <w:rFonts w:ascii="Arial" w:hAnsi="Arial" w:cs="Arial"/>
          <w:b/>
          <w:bCs/>
          <w:sz w:val="32"/>
          <w:szCs w:val="32"/>
        </w:rPr>
        <w:t>Module: BMHP6030-Health, Wellbeing and Sustainable Development</w:t>
      </w:r>
    </w:p>
    <w:p w14:paraId="5F016DE2" w14:textId="2541CDB8" w:rsidR="00A135CE" w:rsidRPr="00717E82" w:rsidRDefault="00A135CE" w:rsidP="00427873">
      <w:pPr>
        <w:spacing w:line="360" w:lineRule="auto"/>
        <w:jc w:val="both"/>
        <w:rPr>
          <w:rFonts w:ascii="Arial" w:hAnsi="Arial" w:cs="Arial"/>
          <w:b/>
          <w:bCs/>
          <w:sz w:val="32"/>
          <w:szCs w:val="32"/>
        </w:rPr>
      </w:pPr>
      <w:r w:rsidRPr="00717E82">
        <w:rPr>
          <w:rFonts w:ascii="Arial" w:hAnsi="Arial" w:cs="Arial"/>
          <w:b/>
          <w:bCs/>
          <w:sz w:val="32"/>
          <w:szCs w:val="32"/>
        </w:rPr>
        <w:t xml:space="preserve">Lecturer: Dr </w:t>
      </w:r>
      <w:proofErr w:type="spellStart"/>
      <w:r w:rsidRPr="00717E82">
        <w:rPr>
          <w:rFonts w:ascii="Arial" w:hAnsi="Arial" w:cs="Arial"/>
          <w:b/>
          <w:bCs/>
          <w:sz w:val="32"/>
          <w:szCs w:val="32"/>
        </w:rPr>
        <w:t>Itse</w:t>
      </w:r>
      <w:proofErr w:type="spellEnd"/>
      <w:r w:rsidRPr="00717E82">
        <w:rPr>
          <w:rFonts w:ascii="Arial" w:hAnsi="Arial" w:cs="Arial"/>
          <w:b/>
          <w:bCs/>
          <w:sz w:val="32"/>
          <w:szCs w:val="32"/>
        </w:rPr>
        <w:t xml:space="preserve"> Olaoye</w:t>
      </w:r>
    </w:p>
    <w:p w14:paraId="6718948F" w14:textId="77777777" w:rsidR="00A135CE" w:rsidRPr="00717E82" w:rsidRDefault="00A135CE" w:rsidP="00427873">
      <w:pPr>
        <w:spacing w:line="360" w:lineRule="auto"/>
        <w:jc w:val="both"/>
        <w:rPr>
          <w:rFonts w:ascii="Arial" w:hAnsi="Arial" w:cs="Arial"/>
          <w:b/>
          <w:bCs/>
          <w:sz w:val="32"/>
          <w:szCs w:val="32"/>
        </w:rPr>
      </w:pPr>
    </w:p>
    <w:p w14:paraId="15BDFC40" w14:textId="77777777" w:rsidR="00A135CE" w:rsidRPr="00717E82" w:rsidRDefault="00A135CE" w:rsidP="00427873">
      <w:pPr>
        <w:spacing w:line="360" w:lineRule="auto"/>
        <w:jc w:val="both"/>
        <w:rPr>
          <w:rFonts w:ascii="Arial" w:hAnsi="Arial" w:cs="Arial"/>
          <w:b/>
          <w:bCs/>
          <w:sz w:val="32"/>
          <w:szCs w:val="32"/>
        </w:rPr>
      </w:pPr>
    </w:p>
    <w:p w14:paraId="1A49512F" w14:textId="77777777" w:rsidR="00A135CE" w:rsidRPr="00717E82" w:rsidRDefault="00A135CE" w:rsidP="00427873">
      <w:pPr>
        <w:spacing w:line="360" w:lineRule="auto"/>
        <w:jc w:val="both"/>
        <w:rPr>
          <w:rFonts w:ascii="Arial" w:hAnsi="Arial" w:cs="Arial"/>
          <w:b/>
          <w:bCs/>
          <w:sz w:val="32"/>
          <w:szCs w:val="32"/>
        </w:rPr>
      </w:pPr>
    </w:p>
    <w:p w14:paraId="005F0666" w14:textId="77777777" w:rsidR="00BC3899" w:rsidRPr="00BC3899" w:rsidRDefault="00BC3899" w:rsidP="00BC3899">
      <w:pPr>
        <w:spacing w:line="360" w:lineRule="auto"/>
        <w:jc w:val="both"/>
        <w:rPr>
          <w:rFonts w:ascii="Arial" w:hAnsi="Arial" w:cs="Arial"/>
        </w:rPr>
      </w:pPr>
      <w:r w:rsidRPr="00BC3899">
        <w:rPr>
          <w:rFonts w:ascii="Arial" w:hAnsi="Arial" w:cs="Arial"/>
          <w:b/>
          <w:bCs/>
        </w:rPr>
        <w:t>Acknowledgement of the use of AI tools</w:t>
      </w:r>
    </w:p>
    <w:p w14:paraId="58853984" w14:textId="77777777" w:rsidR="00BC3899" w:rsidRPr="00BC3899" w:rsidRDefault="00BC3899" w:rsidP="00BC3899">
      <w:pPr>
        <w:spacing w:line="360" w:lineRule="auto"/>
        <w:jc w:val="both"/>
        <w:rPr>
          <w:rFonts w:ascii="Arial" w:hAnsi="Arial" w:cs="Arial"/>
        </w:rPr>
      </w:pPr>
      <w:r w:rsidRPr="00BC3899">
        <w:rPr>
          <w:rFonts w:ascii="Arial" w:hAnsi="Arial" w:cs="Arial"/>
        </w:rPr>
        <w:t>I confirm that I have not used any AI tools in the research and creation of this assignment. I confirm that I have not presented any AI-generated materials as my work. I confirm I have copies of my drafts, notes, and other resources I used, which I may be asked to provide as evidence.</w:t>
      </w:r>
    </w:p>
    <w:p w14:paraId="7E9B6B9A" w14:textId="73A97625" w:rsidR="00A135CE" w:rsidRPr="00717E82" w:rsidRDefault="00A135CE" w:rsidP="00427873">
      <w:pPr>
        <w:spacing w:line="360" w:lineRule="auto"/>
        <w:jc w:val="both"/>
        <w:rPr>
          <w:rFonts w:ascii="Arial" w:hAnsi="Arial" w:cs="Arial"/>
        </w:rPr>
      </w:pPr>
    </w:p>
    <w:p w14:paraId="65A1C2F4" w14:textId="77777777" w:rsidR="00A135CE" w:rsidRPr="00717E82" w:rsidRDefault="00A135CE" w:rsidP="00427873">
      <w:pPr>
        <w:spacing w:line="360" w:lineRule="auto"/>
        <w:jc w:val="both"/>
        <w:rPr>
          <w:rFonts w:ascii="Arial" w:hAnsi="Arial" w:cs="Arial"/>
          <w:b/>
          <w:bCs/>
          <w:sz w:val="28"/>
          <w:szCs w:val="28"/>
        </w:rPr>
      </w:pPr>
    </w:p>
    <w:p w14:paraId="76E00646" w14:textId="7DDF2789" w:rsidR="0025776E" w:rsidRPr="00353FAC" w:rsidRDefault="00856C06" w:rsidP="00427873">
      <w:pPr>
        <w:tabs>
          <w:tab w:val="left" w:pos="2730"/>
        </w:tabs>
        <w:spacing w:line="360" w:lineRule="auto"/>
        <w:jc w:val="both"/>
        <w:rPr>
          <w:rFonts w:ascii="Arial" w:hAnsi="Arial" w:cs="Arial"/>
          <w:b/>
          <w:bCs/>
          <w:sz w:val="28"/>
          <w:szCs w:val="28"/>
        </w:rPr>
      </w:pPr>
      <w:r w:rsidRPr="00717E82">
        <w:rPr>
          <w:rFonts w:ascii="Arial" w:hAnsi="Arial" w:cs="Arial"/>
          <w:b/>
          <w:bCs/>
          <w:sz w:val="28"/>
          <w:szCs w:val="28"/>
        </w:rPr>
        <w:tab/>
      </w:r>
    </w:p>
    <w:p w14:paraId="1F572C26" w14:textId="77777777" w:rsidR="00BA0D12" w:rsidRPr="00353FAC" w:rsidRDefault="00BA0D12" w:rsidP="00427873">
      <w:pPr>
        <w:pStyle w:val="Subtitle"/>
        <w:jc w:val="both"/>
      </w:pPr>
    </w:p>
    <w:sdt>
      <w:sdtPr>
        <w:rPr>
          <w:rFonts w:asciiTheme="minorHAnsi" w:eastAsiaTheme="minorHAnsi" w:hAnsiTheme="minorHAnsi" w:cstheme="minorBidi"/>
          <w:color w:val="auto"/>
          <w:kern w:val="2"/>
          <w:sz w:val="22"/>
          <w:szCs w:val="22"/>
          <w:lang w:eastAsia="en-US"/>
          <w14:ligatures w14:val="standardContextual"/>
        </w:rPr>
        <w:id w:val="-712809548"/>
        <w:docPartObj>
          <w:docPartGallery w:val="Table of Contents"/>
          <w:docPartUnique/>
        </w:docPartObj>
      </w:sdtPr>
      <w:sdtEndPr>
        <w:rPr>
          <w:b/>
          <w:bCs/>
        </w:rPr>
      </w:sdtEndPr>
      <w:sdtContent>
        <w:p w14:paraId="2237CE44" w14:textId="77777777" w:rsidR="005F1372" w:rsidRDefault="005F1372">
          <w:pPr>
            <w:pStyle w:val="TOCHeading"/>
          </w:pPr>
        </w:p>
        <w:p w14:paraId="1EA42009" w14:textId="77777777" w:rsidR="005F1372" w:rsidRDefault="005F1372">
          <w:pPr>
            <w:pStyle w:val="TOCHeading"/>
          </w:pPr>
        </w:p>
        <w:p w14:paraId="7FB521D2" w14:textId="51F0D18E" w:rsidR="005F1372" w:rsidRPr="005F1372" w:rsidRDefault="005F1372">
          <w:pPr>
            <w:pStyle w:val="TOCHeading"/>
            <w:rPr>
              <w:b/>
              <w:bCs/>
              <w:color w:val="auto"/>
            </w:rPr>
          </w:pPr>
          <w:r w:rsidRPr="005F1372">
            <w:rPr>
              <w:b/>
              <w:bCs/>
              <w:color w:val="auto"/>
            </w:rPr>
            <w:t>Contents</w:t>
          </w:r>
        </w:p>
        <w:p w14:paraId="306A632B" w14:textId="3117A871" w:rsidR="005F1372" w:rsidRPr="00C344E5" w:rsidRDefault="005F1372">
          <w:pPr>
            <w:pStyle w:val="TOC1"/>
            <w:tabs>
              <w:tab w:val="right" w:leader="dot" w:pos="9016"/>
            </w:tabs>
            <w:rPr>
              <w:rFonts w:eastAsiaTheme="minorEastAsia"/>
              <w:b/>
              <w:bCs/>
              <w:noProof/>
              <w:sz w:val="24"/>
              <w:szCs w:val="24"/>
              <w:lang w:eastAsia="en-GB"/>
            </w:rPr>
          </w:pPr>
          <w:r w:rsidRPr="00C344E5">
            <w:rPr>
              <w:b/>
              <w:bCs/>
            </w:rPr>
            <w:fldChar w:fldCharType="begin"/>
          </w:r>
          <w:r w:rsidRPr="00C344E5">
            <w:rPr>
              <w:b/>
              <w:bCs/>
            </w:rPr>
            <w:instrText xml:space="preserve"> TOC \o "1-3" \h \z \u </w:instrText>
          </w:r>
          <w:r w:rsidRPr="00C344E5">
            <w:rPr>
              <w:b/>
              <w:bCs/>
            </w:rPr>
            <w:fldChar w:fldCharType="separate"/>
          </w:r>
        </w:p>
        <w:p w14:paraId="7C6B26CF" w14:textId="10F427FF" w:rsidR="005F1372" w:rsidRPr="00C344E5" w:rsidRDefault="005F1372">
          <w:pPr>
            <w:pStyle w:val="TOC1"/>
            <w:tabs>
              <w:tab w:val="right" w:leader="dot" w:pos="9016"/>
            </w:tabs>
            <w:rPr>
              <w:rFonts w:ascii="Arial" w:eastAsiaTheme="minorEastAsia" w:hAnsi="Arial" w:cs="Arial"/>
              <w:b/>
              <w:bCs/>
              <w:noProof/>
              <w:sz w:val="24"/>
              <w:szCs w:val="24"/>
              <w:lang w:eastAsia="en-GB"/>
            </w:rPr>
          </w:pPr>
          <w:hyperlink w:anchor="_Toc227289091" w:history="1">
            <w:r w:rsidRPr="00C344E5">
              <w:rPr>
                <w:rStyle w:val="Hyperlink"/>
                <w:rFonts w:ascii="Arial" w:hAnsi="Arial" w:cs="Arial"/>
                <w:b/>
                <w:bCs/>
                <w:noProof/>
                <w:sz w:val="24"/>
                <w:szCs w:val="24"/>
              </w:rPr>
              <w:t>Introduction</w:t>
            </w:r>
            <w:r w:rsidRPr="00C344E5">
              <w:rPr>
                <w:rFonts w:ascii="Arial" w:hAnsi="Arial" w:cs="Arial"/>
                <w:b/>
                <w:bCs/>
                <w:noProof/>
                <w:webHidden/>
                <w:sz w:val="24"/>
                <w:szCs w:val="24"/>
              </w:rPr>
              <w:tab/>
            </w:r>
            <w:r w:rsidRPr="00C344E5">
              <w:rPr>
                <w:rFonts w:ascii="Arial" w:hAnsi="Arial" w:cs="Arial"/>
                <w:b/>
                <w:bCs/>
                <w:noProof/>
                <w:webHidden/>
                <w:sz w:val="24"/>
                <w:szCs w:val="24"/>
              </w:rPr>
              <w:fldChar w:fldCharType="begin"/>
            </w:r>
            <w:r w:rsidRPr="00C344E5">
              <w:rPr>
                <w:rFonts w:ascii="Arial" w:hAnsi="Arial" w:cs="Arial"/>
                <w:b/>
                <w:bCs/>
                <w:noProof/>
                <w:webHidden/>
                <w:sz w:val="24"/>
                <w:szCs w:val="24"/>
              </w:rPr>
              <w:instrText xml:space="preserve"> PAGEREF _Toc227289091 \h </w:instrText>
            </w:r>
            <w:r w:rsidRPr="00C344E5">
              <w:rPr>
                <w:rFonts w:ascii="Arial" w:hAnsi="Arial" w:cs="Arial"/>
                <w:b/>
                <w:bCs/>
                <w:noProof/>
                <w:webHidden/>
                <w:sz w:val="24"/>
                <w:szCs w:val="24"/>
              </w:rPr>
            </w:r>
            <w:r w:rsidRPr="00C344E5">
              <w:rPr>
                <w:rFonts w:ascii="Arial" w:hAnsi="Arial" w:cs="Arial"/>
                <w:b/>
                <w:bCs/>
                <w:noProof/>
                <w:webHidden/>
                <w:sz w:val="24"/>
                <w:szCs w:val="24"/>
              </w:rPr>
              <w:fldChar w:fldCharType="separate"/>
            </w:r>
            <w:r w:rsidR="00C344E5" w:rsidRPr="00C344E5">
              <w:rPr>
                <w:rFonts w:ascii="Arial" w:hAnsi="Arial" w:cs="Arial"/>
                <w:b/>
                <w:bCs/>
                <w:noProof/>
                <w:webHidden/>
                <w:sz w:val="24"/>
                <w:szCs w:val="24"/>
              </w:rPr>
              <w:t>3</w:t>
            </w:r>
            <w:r w:rsidRPr="00C344E5">
              <w:rPr>
                <w:rFonts w:ascii="Arial" w:hAnsi="Arial" w:cs="Arial"/>
                <w:b/>
                <w:bCs/>
                <w:noProof/>
                <w:webHidden/>
                <w:sz w:val="24"/>
                <w:szCs w:val="24"/>
              </w:rPr>
              <w:fldChar w:fldCharType="end"/>
            </w:r>
          </w:hyperlink>
        </w:p>
        <w:p w14:paraId="35BCCA43" w14:textId="37BA408F" w:rsidR="005F1372" w:rsidRPr="00C344E5" w:rsidRDefault="005F1372">
          <w:pPr>
            <w:pStyle w:val="TOC1"/>
            <w:tabs>
              <w:tab w:val="right" w:leader="dot" w:pos="9016"/>
            </w:tabs>
            <w:rPr>
              <w:rFonts w:ascii="Arial" w:eastAsiaTheme="minorEastAsia" w:hAnsi="Arial" w:cs="Arial"/>
              <w:b/>
              <w:bCs/>
              <w:noProof/>
              <w:sz w:val="24"/>
              <w:szCs w:val="24"/>
              <w:lang w:eastAsia="en-GB"/>
            </w:rPr>
          </w:pPr>
          <w:hyperlink w:anchor="_Toc227289092" w:history="1">
            <w:r w:rsidRPr="00C344E5">
              <w:rPr>
                <w:rStyle w:val="Hyperlink"/>
                <w:rFonts w:ascii="Arial" w:hAnsi="Arial" w:cs="Arial"/>
                <w:b/>
                <w:bCs/>
                <w:noProof/>
                <w:sz w:val="24"/>
                <w:szCs w:val="24"/>
              </w:rPr>
              <w:t>Sustainable Development Goal 3: Good Health and Well-being</w:t>
            </w:r>
            <w:r w:rsidRPr="00C344E5">
              <w:rPr>
                <w:rFonts w:ascii="Arial" w:hAnsi="Arial" w:cs="Arial"/>
                <w:b/>
                <w:bCs/>
                <w:noProof/>
                <w:webHidden/>
                <w:sz w:val="24"/>
                <w:szCs w:val="24"/>
              </w:rPr>
              <w:tab/>
            </w:r>
            <w:r w:rsidRPr="00C344E5">
              <w:rPr>
                <w:rFonts w:ascii="Arial" w:hAnsi="Arial" w:cs="Arial"/>
                <w:b/>
                <w:bCs/>
                <w:noProof/>
                <w:webHidden/>
                <w:sz w:val="24"/>
                <w:szCs w:val="24"/>
              </w:rPr>
              <w:fldChar w:fldCharType="begin"/>
            </w:r>
            <w:r w:rsidRPr="00C344E5">
              <w:rPr>
                <w:rFonts w:ascii="Arial" w:hAnsi="Arial" w:cs="Arial"/>
                <w:b/>
                <w:bCs/>
                <w:noProof/>
                <w:webHidden/>
                <w:sz w:val="24"/>
                <w:szCs w:val="24"/>
              </w:rPr>
              <w:instrText xml:space="preserve"> PAGEREF _Toc227289092 \h </w:instrText>
            </w:r>
            <w:r w:rsidRPr="00C344E5">
              <w:rPr>
                <w:rFonts w:ascii="Arial" w:hAnsi="Arial" w:cs="Arial"/>
                <w:b/>
                <w:bCs/>
                <w:noProof/>
                <w:webHidden/>
                <w:sz w:val="24"/>
                <w:szCs w:val="24"/>
              </w:rPr>
            </w:r>
            <w:r w:rsidRPr="00C344E5">
              <w:rPr>
                <w:rFonts w:ascii="Arial" w:hAnsi="Arial" w:cs="Arial"/>
                <w:b/>
                <w:bCs/>
                <w:noProof/>
                <w:webHidden/>
                <w:sz w:val="24"/>
                <w:szCs w:val="24"/>
              </w:rPr>
              <w:fldChar w:fldCharType="separate"/>
            </w:r>
            <w:r w:rsidR="00C344E5" w:rsidRPr="00C344E5">
              <w:rPr>
                <w:rFonts w:ascii="Arial" w:hAnsi="Arial" w:cs="Arial"/>
                <w:b/>
                <w:bCs/>
                <w:noProof/>
                <w:webHidden/>
                <w:sz w:val="24"/>
                <w:szCs w:val="24"/>
              </w:rPr>
              <w:t>3</w:t>
            </w:r>
            <w:r w:rsidRPr="00C344E5">
              <w:rPr>
                <w:rFonts w:ascii="Arial" w:hAnsi="Arial" w:cs="Arial"/>
                <w:b/>
                <w:bCs/>
                <w:noProof/>
                <w:webHidden/>
                <w:sz w:val="24"/>
                <w:szCs w:val="24"/>
              </w:rPr>
              <w:fldChar w:fldCharType="end"/>
            </w:r>
          </w:hyperlink>
        </w:p>
        <w:p w14:paraId="26A837F2" w14:textId="37C8932C" w:rsidR="005F1372" w:rsidRPr="00C344E5" w:rsidRDefault="005F1372">
          <w:pPr>
            <w:pStyle w:val="TOC1"/>
            <w:tabs>
              <w:tab w:val="right" w:leader="dot" w:pos="9016"/>
            </w:tabs>
            <w:rPr>
              <w:rFonts w:ascii="Arial" w:eastAsiaTheme="minorEastAsia" w:hAnsi="Arial" w:cs="Arial"/>
              <w:b/>
              <w:bCs/>
              <w:noProof/>
              <w:sz w:val="24"/>
              <w:szCs w:val="24"/>
              <w:lang w:eastAsia="en-GB"/>
            </w:rPr>
          </w:pPr>
          <w:hyperlink w:anchor="_Toc227289093" w:history="1">
            <w:r w:rsidRPr="00C344E5">
              <w:rPr>
                <w:rStyle w:val="Hyperlink"/>
                <w:rFonts w:ascii="Arial" w:hAnsi="Arial" w:cs="Arial"/>
                <w:b/>
                <w:bCs/>
                <w:noProof/>
                <w:sz w:val="24"/>
                <w:szCs w:val="24"/>
              </w:rPr>
              <w:t>Sustainable Development Goal 10: Reduced Inequalities</w:t>
            </w:r>
            <w:r w:rsidRPr="00C344E5">
              <w:rPr>
                <w:rFonts w:ascii="Arial" w:hAnsi="Arial" w:cs="Arial"/>
                <w:b/>
                <w:bCs/>
                <w:noProof/>
                <w:webHidden/>
                <w:sz w:val="24"/>
                <w:szCs w:val="24"/>
              </w:rPr>
              <w:tab/>
            </w:r>
            <w:r w:rsidRPr="00C344E5">
              <w:rPr>
                <w:rFonts w:ascii="Arial" w:hAnsi="Arial" w:cs="Arial"/>
                <w:b/>
                <w:bCs/>
                <w:noProof/>
                <w:webHidden/>
                <w:sz w:val="24"/>
                <w:szCs w:val="24"/>
              </w:rPr>
              <w:fldChar w:fldCharType="begin"/>
            </w:r>
            <w:r w:rsidRPr="00C344E5">
              <w:rPr>
                <w:rFonts w:ascii="Arial" w:hAnsi="Arial" w:cs="Arial"/>
                <w:b/>
                <w:bCs/>
                <w:noProof/>
                <w:webHidden/>
                <w:sz w:val="24"/>
                <w:szCs w:val="24"/>
              </w:rPr>
              <w:instrText xml:space="preserve"> PAGEREF _Toc227289093 \h </w:instrText>
            </w:r>
            <w:r w:rsidRPr="00C344E5">
              <w:rPr>
                <w:rFonts w:ascii="Arial" w:hAnsi="Arial" w:cs="Arial"/>
                <w:b/>
                <w:bCs/>
                <w:noProof/>
                <w:webHidden/>
                <w:sz w:val="24"/>
                <w:szCs w:val="24"/>
              </w:rPr>
            </w:r>
            <w:r w:rsidRPr="00C344E5">
              <w:rPr>
                <w:rFonts w:ascii="Arial" w:hAnsi="Arial" w:cs="Arial"/>
                <w:b/>
                <w:bCs/>
                <w:noProof/>
                <w:webHidden/>
                <w:sz w:val="24"/>
                <w:szCs w:val="24"/>
              </w:rPr>
              <w:fldChar w:fldCharType="separate"/>
            </w:r>
            <w:r w:rsidR="00C344E5" w:rsidRPr="00C344E5">
              <w:rPr>
                <w:rFonts w:ascii="Arial" w:hAnsi="Arial" w:cs="Arial"/>
                <w:b/>
                <w:bCs/>
                <w:noProof/>
                <w:webHidden/>
                <w:sz w:val="24"/>
                <w:szCs w:val="24"/>
              </w:rPr>
              <w:t>5</w:t>
            </w:r>
            <w:r w:rsidRPr="00C344E5">
              <w:rPr>
                <w:rFonts w:ascii="Arial" w:hAnsi="Arial" w:cs="Arial"/>
                <w:b/>
                <w:bCs/>
                <w:noProof/>
                <w:webHidden/>
                <w:sz w:val="24"/>
                <w:szCs w:val="24"/>
              </w:rPr>
              <w:fldChar w:fldCharType="end"/>
            </w:r>
          </w:hyperlink>
        </w:p>
        <w:p w14:paraId="1E76FCF5" w14:textId="502B86CD" w:rsidR="005F1372" w:rsidRPr="00C344E5" w:rsidRDefault="005F1372">
          <w:pPr>
            <w:pStyle w:val="TOC1"/>
            <w:tabs>
              <w:tab w:val="right" w:leader="dot" w:pos="9016"/>
            </w:tabs>
            <w:rPr>
              <w:rFonts w:ascii="Arial" w:eastAsiaTheme="minorEastAsia" w:hAnsi="Arial" w:cs="Arial"/>
              <w:b/>
              <w:bCs/>
              <w:noProof/>
              <w:sz w:val="24"/>
              <w:szCs w:val="24"/>
              <w:lang w:eastAsia="en-GB"/>
            </w:rPr>
          </w:pPr>
          <w:hyperlink w:anchor="_Toc227289094" w:history="1">
            <w:r w:rsidRPr="00C344E5">
              <w:rPr>
                <w:rStyle w:val="Hyperlink"/>
                <w:rFonts w:ascii="Arial" w:hAnsi="Arial" w:cs="Arial"/>
                <w:b/>
                <w:bCs/>
                <w:noProof/>
                <w:sz w:val="24"/>
                <w:szCs w:val="24"/>
              </w:rPr>
              <w:t>Sustainable Development Goal 1: No Poverty</w:t>
            </w:r>
            <w:r w:rsidRPr="00C344E5">
              <w:rPr>
                <w:rFonts w:ascii="Arial" w:hAnsi="Arial" w:cs="Arial"/>
                <w:b/>
                <w:bCs/>
                <w:noProof/>
                <w:webHidden/>
                <w:sz w:val="24"/>
                <w:szCs w:val="24"/>
              </w:rPr>
              <w:tab/>
            </w:r>
            <w:r w:rsidRPr="00C344E5">
              <w:rPr>
                <w:rFonts w:ascii="Arial" w:hAnsi="Arial" w:cs="Arial"/>
                <w:b/>
                <w:bCs/>
                <w:noProof/>
                <w:webHidden/>
                <w:sz w:val="24"/>
                <w:szCs w:val="24"/>
              </w:rPr>
              <w:fldChar w:fldCharType="begin"/>
            </w:r>
            <w:r w:rsidRPr="00C344E5">
              <w:rPr>
                <w:rFonts w:ascii="Arial" w:hAnsi="Arial" w:cs="Arial"/>
                <w:b/>
                <w:bCs/>
                <w:noProof/>
                <w:webHidden/>
                <w:sz w:val="24"/>
                <w:szCs w:val="24"/>
              </w:rPr>
              <w:instrText xml:space="preserve"> PAGEREF _Toc227289094 \h </w:instrText>
            </w:r>
            <w:r w:rsidRPr="00C344E5">
              <w:rPr>
                <w:rFonts w:ascii="Arial" w:hAnsi="Arial" w:cs="Arial"/>
                <w:b/>
                <w:bCs/>
                <w:noProof/>
                <w:webHidden/>
                <w:sz w:val="24"/>
                <w:szCs w:val="24"/>
              </w:rPr>
            </w:r>
            <w:r w:rsidRPr="00C344E5">
              <w:rPr>
                <w:rFonts w:ascii="Arial" w:hAnsi="Arial" w:cs="Arial"/>
                <w:b/>
                <w:bCs/>
                <w:noProof/>
                <w:webHidden/>
                <w:sz w:val="24"/>
                <w:szCs w:val="24"/>
              </w:rPr>
              <w:fldChar w:fldCharType="separate"/>
            </w:r>
            <w:r w:rsidR="00C344E5" w:rsidRPr="00C344E5">
              <w:rPr>
                <w:rFonts w:ascii="Arial" w:hAnsi="Arial" w:cs="Arial"/>
                <w:b/>
                <w:bCs/>
                <w:noProof/>
                <w:webHidden/>
                <w:sz w:val="24"/>
                <w:szCs w:val="24"/>
              </w:rPr>
              <w:t>5</w:t>
            </w:r>
            <w:r w:rsidRPr="00C344E5">
              <w:rPr>
                <w:rFonts w:ascii="Arial" w:hAnsi="Arial" w:cs="Arial"/>
                <w:b/>
                <w:bCs/>
                <w:noProof/>
                <w:webHidden/>
                <w:sz w:val="24"/>
                <w:szCs w:val="24"/>
              </w:rPr>
              <w:fldChar w:fldCharType="end"/>
            </w:r>
          </w:hyperlink>
        </w:p>
        <w:p w14:paraId="55D305C4" w14:textId="4CA35B2C" w:rsidR="005F1372" w:rsidRPr="00C344E5" w:rsidRDefault="005F1372">
          <w:pPr>
            <w:pStyle w:val="TOC1"/>
            <w:tabs>
              <w:tab w:val="right" w:leader="dot" w:pos="9016"/>
            </w:tabs>
            <w:rPr>
              <w:rFonts w:ascii="Arial" w:eastAsiaTheme="minorEastAsia" w:hAnsi="Arial" w:cs="Arial"/>
              <w:b/>
              <w:bCs/>
              <w:noProof/>
              <w:sz w:val="24"/>
              <w:szCs w:val="24"/>
              <w:lang w:eastAsia="en-GB"/>
            </w:rPr>
          </w:pPr>
          <w:hyperlink w:anchor="_Toc227289095" w:history="1">
            <w:r w:rsidRPr="00C344E5">
              <w:rPr>
                <w:rStyle w:val="Hyperlink"/>
                <w:rFonts w:ascii="Arial" w:hAnsi="Arial" w:cs="Arial"/>
                <w:b/>
                <w:bCs/>
                <w:noProof/>
                <w:sz w:val="24"/>
                <w:szCs w:val="24"/>
              </w:rPr>
              <w:t>Nationally Wellbeing Initiatives</w:t>
            </w:r>
            <w:r w:rsidRPr="00C344E5">
              <w:rPr>
                <w:rFonts w:ascii="Arial" w:hAnsi="Arial" w:cs="Arial"/>
                <w:b/>
                <w:bCs/>
                <w:noProof/>
                <w:webHidden/>
                <w:sz w:val="24"/>
                <w:szCs w:val="24"/>
              </w:rPr>
              <w:tab/>
            </w:r>
            <w:r w:rsidRPr="00C344E5">
              <w:rPr>
                <w:rFonts w:ascii="Arial" w:hAnsi="Arial" w:cs="Arial"/>
                <w:b/>
                <w:bCs/>
                <w:noProof/>
                <w:webHidden/>
                <w:sz w:val="24"/>
                <w:szCs w:val="24"/>
              </w:rPr>
              <w:fldChar w:fldCharType="begin"/>
            </w:r>
            <w:r w:rsidRPr="00C344E5">
              <w:rPr>
                <w:rFonts w:ascii="Arial" w:hAnsi="Arial" w:cs="Arial"/>
                <w:b/>
                <w:bCs/>
                <w:noProof/>
                <w:webHidden/>
                <w:sz w:val="24"/>
                <w:szCs w:val="24"/>
              </w:rPr>
              <w:instrText xml:space="preserve"> PAGEREF _Toc227289095 \h </w:instrText>
            </w:r>
            <w:r w:rsidRPr="00C344E5">
              <w:rPr>
                <w:rFonts w:ascii="Arial" w:hAnsi="Arial" w:cs="Arial"/>
                <w:b/>
                <w:bCs/>
                <w:noProof/>
                <w:webHidden/>
                <w:sz w:val="24"/>
                <w:szCs w:val="24"/>
              </w:rPr>
            </w:r>
            <w:r w:rsidRPr="00C344E5">
              <w:rPr>
                <w:rFonts w:ascii="Arial" w:hAnsi="Arial" w:cs="Arial"/>
                <w:b/>
                <w:bCs/>
                <w:noProof/>
                <w:webHidden/>
                <w:sz w:val="24"/>
                <w:szCs w:val="24"/>
              </w:rPr>
              <w:fldChar w:fldCharType="separate"/>
            </w:r>
            <w:r w:rsidR="00C344E5" w:rsidRPr="00C344E5">
              <w:rPr>
                <w:rFonts w:ascii="Arial" w:hAnsi="Arial" w:cs="Arial"/>
                <w:b/>
                <w:bCs/>
                <w:noProof/>
                <w:webHidden/>
                <w:sz w:val="24"/>
                <w:szCs w:val="24"/>
              </w:rPr>
              <w:t>6</w:t>
            </w:r>
            <w:r w:rsidRPr="00C344E5">
              <w:rPr>
                <w:rFonts w:ascii="Arial" w:hAnsi="Arial" w:cs="Arial"/>
                <w:b/>
                <w:bCs/>
                <w:noProof/>
                <w:webHidden/>
                <w:sz w:val="24"/>
                <w:szCs w:val="24"/>
              </w:rPr>
              <w:fldChar w:fldCharType="end"/>
            </w:r>
          </w:hyperlink>
        </w:p>
        <w:p w14:paraId="1B9103FA" w14:textId="7D708041" w:rsidR="005F1372" w:rsidRPr="00C344E5" w:rsidRDefault="005F1372">
          <w:pPr>
            <w:pStyle w:val="TOC1"/>
            <w:tabs>
              <w:tab w:val="right" w:leader="dot" w:pos="9016"/>
            </w:tabs>
            <w:rPr>
              <w:rFonts w:ascii="Arial" w:eastAsiaTheme="minorEastAsia" w:hAnsi="Arial" w:cs="Arial"/>
              <w:b/>
              <w:bCs/>
              <w:noProof/>
              <w:sz w:val="24"/>
              <w:szCs w:val="24"/>
              <w:lang w:eastAsia="en-GB"/>
            </w:rPr>
          </w:pPr>
          <w:hyperlink w:anchor="_Toc227289096" w:history="1">
            <w:r w:rsidRPr="00C344E5">
              <w:rPr>
                <w:rStyle w:val="Hyperlink"/>
                <w:rFonts w:ascii="Arial" w:hAnsi="Arial" w:cs="Arial"/>
                <w:b/>
                <w:bCs/>
                <w:noProof/>
                <w:sz w:val="24"/>
                <w:szCs w:val="24"/>
              </w:rPr>
              <w:t>Local Wellbeing Initiatives</w:t>
            </w:r>
            <w:r w:rsidRPr="00C344E5">
              <w:rPr>
                <w:rFonts w:ascii="Arial" w:hAnsi="Arial" w:cs="Arial"/>
                <w:b/>
                <w:bCs/>
                <w:noProof/>
                <w:webHidden/>
                <w:sz w:val="24"/>
                <w:szCs w:val="24"/>
              </w:rPr>
              <w:tab/>
            </w:r>
            <w:r w:rsidRPr="00C344E5">
              <w:rPr>
                <w:rFonts w:ascii="Arial" w:hAnsi="Arial" w:cs="Arial"/>
                <w:b/>
                <w:bCs/>
                <w:noProof/>
                <w:webHidden/>
                <w:sz w:val="24"/>
                <w:szCs w:val="24"/>
              </w:rPr>
              <w:fldChar w:fldCharType="begin"/>
            </w:r>
            <w:r w:rsidRPr="00C344E5">
              <w:rPr>
                <w:rFonts w:ascii="Arial" w:hAnsi="Arial" w:cs="Arial"/>
                <w:b/>
                <w:bCs/>
                <w:noProof/>
                <w:webHidden/>
                <w:sz w:val="24"/>
                <w:szCs w:val="24"/>
              </w:rPr>
              <w:instrText xml:space="preserve"> PAGEREF _Toc227289096 \h </w:instrText>
            </w:r>
            <w:r w:rsidRPr="00C344E5">
              <w:rPr>
                <w:rFonts w:ascii="Arial" w:hAnsi="Arial" w:cs="Arial"/>
                <w:b/>
                <w:bCs/>
                <w:noProof/>
                <w:webHidden/>
                <w:sz w:val="24"/>
                <w:szCs w:val="24"/>
              </w:rPr>
            </w:r>
            <w:r w:rsidRPr="00C344E5">
              <w:rPr>
                <w:rFonts w:ascii="Arial" w:hAnsi="Arial" w:cs="Arial"/>
                <w:b/>
                <w:bCs/>
                <w:noProof/>
                <w:webHidden/>
                <w:sz w:val="24"/>
                <w:szCs w:val="24"/>
              </w:rPr>
              <w:fldChar w:fldCharType="separate"/>
            </w:r>
            <w:r w:rsidR="00C344E5" w:rsidRPr="00C344E5">
              <w:rPr>
                <w:rFonts w:ascii="Arial" w:hAnsi="Arial" w:cs="Arial"/>
                <w:b/>
                <w:bCs/>
                <w:noProof/>
                <w:webHidden/>
                <w:sz w:val="24"/>
                <w:szCs w:val="24"/>
              </w:rPr>
              <w:t>7</w:t>
            </w:r>
            <w:r w:rsidRPr="00C344E5">
              <w:rPr>
                <w:rFonts w:ascii="Arial" w:hAnsi="Arial" w:cs="Arial"/>
                <w:b/>
                <w:bCs/>
                <w:noProof/>
                <w:webHidden/>
                <w:sz w:val="24"/>
                <w:szCs w:val="24"/>
              </w:rPr>
              <w:fldChar w:fldCharType="end"/>
            </w:r>
          </w:hyperlink>
        </w:p>
        <w:p w14:paraId="25524425" w14:textId="52F7F053" w:rsidR="005F1372" w:rsidRPr="00C344E5" w:rsidRDefault="005F1372">
          <w:pPr>
            <w:pStyle w:val="TOC1"/>
            <w:tabs>
              <w:tab w:val="right" w:leader="dot" w:pos="9016"/>
            </w:tabs>
            <w:rPr>
              <w:rFonts w:ascii="Arial" w:eastAsiaTheme="minorEastAsia" w:hAnsi="Arial" w:cs="Arial"/>
              <w:b/>
              <w:bCs/>
              <w:noProof/>
              <w:sz w:val="24"/>
              <w:szCs w:val="24"/>
              <w:lang w:eastAsia="en-GB"/>
            </w:rPr>
          </w:pPr>
          <w:hyperlink w:anchor="_Toc227289097" w:history="1">
            <w:r w:rsidRPr="00C344E5">
              <w:rPr>
                <w:rStyle w:val="Hyperlink"/>
                <w:rFonts w:ascii="Arial" w:hAnsi="Arial" w:cs="Arial"/>
                <w:b/>
                <w:bCs/>
                <w:noProof/>
                <w:sz w:val="24"/>
                <w:szCs w:val="24"/>
              </w:rPr>
              <w:t>Recommendations</w:t>
            </w:r>
            <w:r w:rsidRPr="00C344E5">
              <w:rPr>
                <w:rFonts w:ascii="Arial" w:hAnsi="Arial" w:cs="Arial"/>
                <w:b/>
                <w:bCs/>
                <w:noProof/>
                <w:webHidden/>
                <w:sz w:val="24"/>
                <w:szCs w:val="24"/>
              </w:rPr>
              <w:tab/>
            </w:r>
            <w:r w:rsidRPr="00C344E5">
              <w:rPr>
                <w:rFonts w:ascii="Arial" w:hAnsi="Arial" w:cs="Arial"/>
                <w:b/>
                <w:bCs/>
                <w:noProof/>
                <w:webHidden/>
                <w:sz w:val="24"/>
                <w:szCs w:val="24"/>
              </w:rPr>
              <w:fldChar w:fldCharType="begin"/>
            </w:r>
            <w:r w:rsidRPr="00C344E5">
              <w:rPr>
                <w:rFonts w:ascii="Arial" w:hAnsi="Arial" w:cs="Arial"/>
                <w:b/>
                <w:bCs/>
                <w:noProof/>
                <w:webHidden/>
                <w:sz w:val="24"/>
                <w:szCs w:val="24"/>
              </w:rPr>
              <w:instrText xml:space="preserve"> PAGEREF _Toc227289097 \h </w:instrText>
            </w:r>
            <w:r w:rsidRPr="00C344E5">
              <w:rPr>
                <w:rFonts w:ascii="Arial" w:hAnsi="Arial" w:cs="Arial"/>
                <w:b/>
                <w:bCs/>
                <w:noProof/>
                <w:webHidden/>
                <w:sz w:val="24"/>
                <w:szCs w:val="24"/>
              </w:rPr>
            </w:r>
            <w:r w:rsidRPr="00C344E5">
              <w:rPr>
                <w:rFonts w:ascii="Arial" w:hAnsi="Arial" w:cs="Arial"/>
                <w:b/>
                <w:bCs/>
                <w:noProof/>
                <w:webHidden/>
                <w:sz w:val="24"/>
                <w:szCs w:val="24"/>
              </w:rPr>
              <w:fldChar w:fldCharType="separate"/>
            </w:r>
            <w:r w:rsidR="00C344E5" w:rsidRPr="00C344E5">
              <w:rPr>
                <w:rFonts w:ascii="Arial" w:hAnsi="Arial" w:cs="Arial"/>
                <w:b/>
                <w:bCs/>
                <w:noProof/>
                <w:webHidden/>
                <w:sz w:val="24"/>
                <w:szCs w:val="24"/>
              </w:rPr>
              <w:t>8</w:t>
            </w:r>
            <w:r w:rsidRPr="00C344E5">
              <w:rPr>
                <w:rFonts w:ascii="Arial" w:hAnsi="Arial" w:cs="Arial"/>
                <w:b/>
                <w:bCs/>
                <w:noProof/>
                <w:webHidden/>
                <w:sz w:val="24"/>
                <w:szCs w:val="24"/>
              </w:rPr>
              <w:fldChar w:fldCharType="end"/>
            </w:r>
          </w:hyperlink>
        </w:p>
        <w:p w14:paraId="600D0D5D" w14:textId="6033B3A0" w:rsidR="005F1372" w:rsidRPr="00C344E5" w:rsidRDefault="005F1372">
          <w:pPr>
            <w:pStyle w:val="TOC1"/>
            <w:tabs>
              <w:tab w:val="right" w:leader="dot" w:pos="9016"/>
            </w:tabs>
            <w:rPr>
              <w:rFonts w:ascii="Arial" w:eastAsiaTheme="minorEastAsia" w:hAnsi="Arial" w:cs="Arial"/>
              <w:b/>
              <w:bCs/>
              <w:noProof/>
              <w:sz w:val="24"/>
              <w:szCs w:val="24"/>
              <w:lang w:eastAsia="en-GB"/>
            </w:rPr>
          </w:pPr>
          <w:hyperlink w:anchor="_Toc227289098" w:history="1">
            <w:r w:rsidRPr="00C344E5">
              <w:rPr>
                <w:rStyle w:val="Hyperlink"/>
                <w:rFonts w:ascii="Arial" w:hAnsi="Arial" w:cs="Arial"/>
                <w:b/>
                <w:bCs/>
                <w:noProof/>
                <w:sz w:val="24"/>
                <w:szCs w:val="24"/>
              </w:rPr>
              <w:t>Conclusion</w:t>
            </w:r>
            <w:r w:rsidRPr="00C344E5">
              <w:rPr>
                <w:rFonts w:ascii="Arial" w:hAnsi="Arial" w:cs="Arial"/>
                <w:b/>
                <w:bCs/>
                <w:noProof/>
                <w:webHidden/>
                <w:sz w:val="24"/>
                <w:szCs w:val="24"/>
              </w:rPr>
              <w:tab/>
            </w:r>
            <w:r w:rsidRPr="00C344E5">
              <w:rPr>
                <w:rFonts w:ascii="Arial" w:hAnsi="Arial" w:cs="Arial"/>
                <w:b/>
                <w:bCs/>
                <w:noProof/>
                <w:webHidden/>
                <w:sz w:val="24"/>
                <w:szCs w:val="24"/>
              </w:rPr>
              <w:fldChar w:fldCharType="begin"/>
            </w:r>
            <w:r w:rsidRPr="00C344E5">
              <w:rPr>
                <w:rFonts w:ascii="Arial" w:hAnsi="Arial" w:cs="Arial"/>
                <w:b/>
                <w:bCs/>
                <w:noProof/>
                <w:webHidden/>
                <w:sz w:val="24"/>
                <w:szCs w:val="24"/>
              </w:rPr>
              <w:instrText xml:space="preserve"> PAGEREF _Toc227289098 \h </w:instrText>
            </w:r>
            <w:r w:rsidRPr="00C344E5">
              <w:rPr>
                <w:rFonts w:ascii="Arial" w:hAnsi="Arial" w:cs="Arial"/>
                <w:b/>
                <w:bCs/>
                <w:noProof/>
                <w:webHidden/>
                <w:sz w:val="24"/>
                <w:szCs w:val="24"/>
              </w:rPr>
            </w:r>
            <w:r w:rsidRPr="00C344E5">
              <w:rPr>
                <w:rFonts w:ascii="Arial" w:hAnsi="Arial" w:cs="Arial"/>
                <w:b/>
                <w:bCs/>
                <w:noProof/>
                <w:webHidden/>
                <w:sz w:val="24"/>
                <w:szCs w:val="24"/>
              </w:rPr>
              <w:fldChar w:fldCharType="separate"/>
            </w:r>
            <w:r w:rsidR="00C344E5" w:rsidRPr="00C344E5">
              <w:rPr>
                <w:rFonts w:ascii="Arial" w:hAnsi="Arial" w:cs="Arial"/>
                <w:b/>
                <w:bCs/>
                <w:noProof/>
                <w:webHidden/>
                <w:sz w:val="24"/>
                <w:szCs w:val="24"/>
              </w:rPr>
              <w:t>9</w:t>
            </w:r>
            <w:r w:rsidRPr="00C344E5">
              <w:rPr>
                <w:rFonts w:ascii="Arial" w:hAnsi="Arial" w:cs="Arial"/>
                <w:b/>
                <w:bCs/>
                <w:noProof/>
                <w:webHidden/>
                <w:sz w:val="24"/>
                <w:szCs w:val="24"/>
              </w:rPr>
              <w:fldChar w:fldCharType="end"/>
            </w:r>
          </w:hyperlink>
        </w:p>
        <w:p w14:paraId="6FC6A563" w14:textId="0392C837" w:rsidR="005F1372" w:rsidRPr="00C344E5" w:rsidRDefault="005F1372">
          <w:pPr>
            <w:pStyle w:val="TOC1"/>
            <w:tabs>
              <w:tab w:val="right" w:leader="dot" w:pos="9016"/>
            </w:tabs>
            <w:rPr>
              <w:rFonts w:ascii="Arial" w:eastAsiaTheme="minorEastAsia" w:hAnsi="Arial" w:cs="Arial"/>
              <w:b/>
              <w:bCs/>
              <w:noProof/>
              <w:sz w:val="24"/>
              <w:szCs w:val="24"/>
              <w:lang w:eastAsia="en-GB"/>
            </w:rPr>
          </w:pPr>
          <w:hyperlink w:anchor="_Toc227289099" w:history="1">
            <w:r w:rsidRPr="00C344E5">
              <w:rPr>
                <w:rStyle w:val="Hyperlink"/>
                <w:rFonts w:ascii="Arial" w:hAnsi="Arial" w:cs="Arial"/>
                <w:b/>
                <w:bCs/>
                <w:noProof/>
                <w:sz w:val="24"/>
                <w:szCs w:val="24"/>
              </w:rPr>
              <w:t>References</w:t>
            </w:r>
            <w:r w:rsidRPr="00C344E5">
              <w:rPr>
                <w:rFonts w:ascii="Arial" w:hAnsi="Arial" w:cs="Arial"/>
                <w:b/>
                <w:bCs/>
                <w:noProof/>
                <w:webHidden/>
                <w:sz w:val="24"/>
                <w:szCs w:val="24"/>
              </w:rPr>
              <w:tab/>
            </w:r>
            <w:r w:rsidRPr="00C344E5">
              <w:rPr>
                <w:rFonts w:ascii="Arial" w:hAnsi="Arial" w:cs="Arial"/>
                <w:b/>
                <w:bCs/>
                <w:noProof/>
                <w:webHidden/>
                <w:sz w:val="24"/>
                <w:szCs w:val="24"/>
              </w:rPr>
              <w:fldChar w:fldCharType="begin"/>
            </w:r>
            <w:r w:rsidRPr="00C344E5">
              <w:rPr>
                <w:rFonts w:ascii="Arial" w:hAnsi="Arial" w:cs="Arial"/>
                <w:b/>
                <w:bCs/>
                <w:noProof/>
                <w:webHidden/>
                <w:sz w:val="24"/>
                <w:szCs w:val="24"/>
              </w:rPr>
              <w:instrText xml:space="preserve"> PAGEREF _Toc227289099 \h </w:instrText>
            </w:r>
            <w:r w:rsidRPr="00C344E5">
              <w:rPr>
                <w:rFonts w:ascii="Arial" w:hAnsi="Arial" w:cs="Arial"/>
                <w:b/>
                <w:bCs/>
                <w:noProof/>
                <w:webHidden/>
                <w:sz w:val="24"/>
                <w:szCs w:val="24"/>
              </w:rPr>
            </w:r>
            <w:r w:rsidRPr="00C344E5">
              <w:rPr>
                <w:rFonts w:ascii="Arial" w:hAnsi="Arial" w:cs="Arial"/>
                <w:b/>
                <w:bCs/>
                <w:noProof/>
                <w:webHidden/>
                <w:sz w:val="24"/>
                <w:szCs w:val="24"/>
              </w:rPr>
              <w:fldChar w:fldCharType="separate"/>
            </w:r>
            <w:r w:rsidR="00C344E5" w:rsidRPr="00C344E5">
              <w:rPr>
                <w:rFonts w:ascii="Arial" w:hAnsi="Arial" w:cs="Arial"/>
                <w:b/>
                <w:bCs/>
                <w:noProof/>
                <w:webHidden/>
                <w:sz w:val="24"/>
                <w:szCs w:val="24"/>
              </w:rPr>
              <w:t>9</w:t>
            </w:r>
            <w:r w:rsidRPr="00C344E5">
              <w:rPr>
                <w:rFonts w:ascii="Arial" w:hAnsi="Arial" w:cs="Arial"/>
                <w:b/>
                <w:bCs/>
                <w:noProof/>
                <w:webHidden/>
                <w:sz w:val="24"/>
                <w:szCs w:val="24"/>
              </w:rPr>
              <w:fldChar w:fldCharType="end"/>
            </w:r>
          </w:hyperlink>
        </w:p>
        <w:p w14:paraId="62DF7CAF" w14:textId="493B896B" w:rsidR="005F1372" w:rsidRPr="00C344E5" w:rsidRDefault="005F1372">
          <w:pPr>
            <w:rPr>
              <w:b/>
              <w:bCs/>
            </w:rPr>
          </w:pPr>
          <w:r w:rsidRPr="00C344E5">
            <w:rPr>
              <w:b/>
              <w:bCs/>
            </w:rPr>
            <w:fldChar w:fldCharType="end"/>
          </w:r>
        </w:p>
      </w:sdtContent>
    </w:sdt>
    <w:p w14:paraId="6B27DDD5" w14:textId="77777777" w:rsidR="00BA0D12" w:rsidRPr="00717E82" w:rsidRDefault="00BA0D12" w:rsidP="005F1372">
      <w:pPr>
        <w:pStyle w:val="Heading2"/>
      </w:pPr>
    </w:p>
    <w:p w14:paraId="1736BC30" w14:textId="77777777" w:rsidR="00BA0D12" w:rsidRPr="00717E82" w:rsidRDefault="00BA0D12" w:rsidP="00427873">
      <w:pPr>
        <w:pStyle w:val="Heading1"/>
        <w:jc w:val="both"/>
        <w:rPr>
          <w:rFonts w:ascii="Arial" w:hAnsi="Arial" w:cs="Arial"/>
        </w:rPr>
      </w:pPr>
    </w:p>
    <w:p w14:paraId="4285CDD4" w14:textId="77777777" w:rsidR="008B2FC5" w:rsidRDefault="008B2FC5" w:rsidP="00427873">
      <w:pPr>
        <w:pStyle w:val="Heading1"/>
        <w:jc w:val="both"/>
        <w:rPr>
          <w:rFonts w:ascii="Arial" w:hAnsi="Arial" w:cs="Arial"/>
        </w:rPr>
      </w:pPr>
      <w:bookmarkStart w:id="0" w:name="_Toc226406449"/>
      <w:bookmarkStart w:id="1" w:name="_Toc226406714"/>
    </w:p>
    <w:p w14:paraId="0E35B5A4" w14:textId="77777777" w:rsidR="008B2FC5" w:rsidRDefault="008B2FC5" w:rsidP="00427873">
      <w:pPr>
        <w:pStyle w:val="Heading1"/>
        <w:jc w:val="both"/>
        <w:rPr>
          <w:rFonts w:ascii="Arial" w:hAnsi="Arial" w:cs="Arial"/>
        </w:rPr>
      </w:pPr>
    </w:p>
    <w:p w14:paraId="5C6B162D" w14:textId="77777777" w:rsidR="008B2FC5" w:rsidRDefault="008B2FC5" w:rsidP="00427873">
      <w:pPr>
        <w:pStyle w:val="Heading1"/>
        <w:jc w:val="both"/>
        <w:rPr>
          <w:rFonts w:ascii="Arial" w:hAnsi="Arial" w:cs="Arial"/>
        </w:rPr>
      </w:pPr>
    </w:p>
    <w:bookmarkEnd w:id="0"/>
    <w:bookmarkEnd w:id="1"/>
    <w:p w14:paraId="39A79C21" w14:textId="2945EE9C" w:rsidR="00372E4F" w:rsidRDefault="00A135CE" w:rsidP="00427873">
      <w:pPr>
        <w:pStyle w:val="Heading2"/>
        <w:jc w:val="both"/>
      </w:pPr>
      <w:r w:rsidRPr="003651B9">
        <w:t xml:space="preserve"> </w:t>
      </w:r>
      <w:bookmarkStart w:id="2" w:name="_Toc226406450"/>
      <w:bookmarkStart w:id="3" w:name="_Toc226406715"/>
    </w:p>
    <w:bookmarkEnd w:id="2"/>
    <w:bookmarkEnd w:id="3"/>
    <w:p w14:paraId="1B12D67E" w14:textId="051DD59B" w:rsidR="00A135CE" w:rsidRPr="009840B2" w:rsidRDefault="00A135CE" w:rsidP="00427873">
      <w:pPr>
        <w:pStyle w:val="Heading2"/>
        <w:jc w:val="both"/>
        <w:rPr>
          <w:rFonts w:ascii="Arial" w:hAnsi="Arial" w:cs="Arial"/>
          <w:b/>
          <w:bCs/>
          <w:color w:val="auto"/>
          <w:sz w:val="24"/>
          <w:szCs w:val="24"/>
        </w:rPr>
      </w:pPr>
      <w:r w:rsidRPr="009840B2">
        <w:rPr>
          <w:rFonts w:ascii="Arial" w:hAnsi="Arial" w:cs="Arial"/>
          <w:b/>
          <w:bCs/>
          <w:color w:val="auto"/>
          <w:sz w:val="24"/>
          <w:szCs w:val="24"/>
        </w:rPr>
        <w:t xml:space="preserve"> </w:t>
      </w:r>
    </w:p>
    <w:p w14:paraId="3550D57A" w14:textId="77777777" w:rsidR="00C91152" w:rsidRDefault="00C91152" w:rsidP="00427873">
      <w:pPr>
        <w:spacing w:line="360" w:lineRule="auto"/>
        <w:jc w:val="both"/>
        <w:rPr>
          <w:rFonts w:ascii="Arial" w:hAnsi="Arial" w:cs="Arial"/>
        </w:rPr>
      </w:pPr>
    </w:p>
    <w:p w14:paraId="06BC8960" w14:textId="77777777" w:rsidR="00C91152" w:rsidRDefault="00C91152" w:rsidP="00427873">
      <w:pPr>
        <w:spacing w:line="360" w:lineRule="auto"/>
        <w:jc w:val="both"/>
        <w:rPr>
          <w:rFonts w:ascii="Arial" w:hAnsi="Arial" w:cs="Arial"/>
        </w:rPr>
      </w:pPr>
    </w:p>
    <w:p w14:paraId="785DA359" w14:textId="3FBD6197" w:rsidR="00C91152" w:rsidRPr="00717E82" w:rsidRDefault="00C91152" w:rsidP="00427873">
      <w:pPr>
        <w:pStyle w:val="Heading1"/>
        <w:jc w:val="both"/>
        <w:rPr>
          <w:rFonts w:ascii="Arial" w:hAnsi="Arial" w:cs="Arial"/>
          <w:color w:val="auto"/>
        </w:rPr>
      </w:pPr>
      <w:r w:rsidRPr="00717E82">
        <w:rPr>
          <w:rFonts w:ascii="Arial" w:hAnsi="Arial" w:cs="Arial"/>
          <w:b/>
          <w:bCs/>
          <w:color w:val="auto"/>
          <w:sz w:val="28"/>
          <w:szCs w:val="28"/>
        </w:rPr>
        <w:lastRenderedPageBreak/>
        <w:t>I</w:t>
      </w:r>
      <w:bookmarkStart w:id="4" w:name="_Toc227288867"/>
      <w:bookmarkStart w:id="5" w:name="_Toc227289090"/>
      <w:r w:rsidRPr="00717E82">
        <w:rPr>
          <w:rFonts w:ascii="Arial" w:hAnsi="Arial" w:cs="Arial"/>
          <w:b/>
          <w:bCs/>
          <w:color w:val="auto"/>
          <w:sz w:val="28"/>
          <w:szCs w:val="28"/>
        </w:rPr>
        <w:t>ntegrating Sustainable Development and Wellbeing in Health Policy and Practice</w:t>
      </w:r>
      <w:bookmarkEnd w:id="4"/>
      <w:bookmarkEnd w:id="5"/>
    </w:p>
    <w:p w14:paraId="027B9D6A" w14:textId="3FBD6197" w:rsidR="00C91152" w:rsidRPr="005F1372" w:rsidRDefault="00C91152" w:rsidP="005F1372">
      <w:pPr>
        <w:pStyle w:val="Heading1"/>
        <w:rPr>
          <w:rFonts w:ascii="Arial" w:hAnsi="Arial" w:cs="Arial"/>
          <w:b/>
          <w:bCs/>
          <w:color w:val="auto"/>
          <w:sz w:val="24"/>
          <w:szCs w:val="24"/>
        </w:rPr>
      </w:pPr>
      <w:bookmarkStart w:id="6" w:name="_Toc227288868"/>
      <w:bookmarkStart w:id="7" w:name="_Toc227289091"/>
      <w:r w:rsidRPr="005F1372">
        <w:rPr>
          <w:rFonts w:ascii="Arial" w:hAnsi="Arial" w:cs="Arial"/>
          <w:b/>
          <w:bCs/>
          <w:color w:val="auto"/>
          <w:sz w:val="24"/>
          <w:szCs w:val="24"/>
        </w:rPr>
        <w:t>Introduction</w:t>
      </w:r>
      <w:bookmarkEnd w:id="6"/>
      <w:bookmarkEnd w:id="7"/>
      <w:r w:rsidRPr="005F1372">
        <w:rPr>
          <w:rFonts w:ascii="Arial" w:hAnsi="Arial" w:cs="Arial"/>
          <w:b/>
          <w:bCs/>
          <w:color w:val="auto"/>
          <w:sz w:val="24"/>
          <w:szCs w:val="24"/>
        </w:rPr>
        <w:t xml:space="preserve"> </w:t>
      </w:r>
    </w:p>
    <w:p w14:paraId="72C0C886" w14:textId="0822E817" w:rsidR="001D41A6" w:rsidRPr="00717E82" w:rsidRDefault="0027146F" w:rsidP="00427873">
      <w:pPr>
        <w:spacing w:line="360" w:lineRule="auto"/>
        <w:jc w:val="both"/>
        <w:rPr>
          <w:rFonts w:ascii="Arial" w:hAnsi="Arial" w:cs="Arial"/>
        </w:rPr>
      </w:pPr>
      <w:r w:rsidRPr="00717E82">
        <w:rPr>
          <w:rFonts w:ascii="Arial" w:hAnsi="Arial" w:cs="Arial"/>
        </w:rPr>
        <w:t xml:space="preserve">Health, </w:t>
      </w:r>
      <w:r w:rsidR="005E1DEC" w:rsidRPr="00717E82">
        <w:rPr>
          <w:rFonts w:ascii="Arial" w:hAnsi="Arial" w:cs="Arial"/>
        </w:rPr>
        <w:t>well-being</w:t>
      </w:r>
      <w:r w:rsidRPr="00717E82">
        <w:rPr>
          <w:rFonts w:ascii="Arial" w:hAnsi="Arial" w:cs="Arial"/>
        </w:rPr>
        <w:t xml:space="preserve">, and sustainability have become central priorities for governments and </w:t>
      </w:r>
      <w:r w:rsidR="00372E4F">
        <w:rPr>
          <w:rFonts w:ascii="Arial" w:hAnsi="Arial" w:cs="Arial"/>
        </w:rPr>
        <w:t>international</w:t>
      </w:r>
      <w:r w:rsidRPr="00717E82">
        <w:rPr>
          <w:rFonts w:ascii="Arial" w:hAnsi="Arial" w:cs="Arial"/>
        </w:rPr>
        <w:t xml:space="preserve"> organisations worldwide as societies face increasing rates of chronic diseases, climate change, demographic shifts, and widening inequalities. In 2015, the United Nations</w:t>
      </w:r>
      <w:r w:rsidR="00B21E97" w:rsidRPr="00717E82">
        <w:rPr>
          <w:rFonts w:ascii="Arial" w:hAnsi="Arial" w:cs="Arial"/>
        </w:rPr>
        <w:t xml:space="preserve"> (UN)</w:t>
      </w:r>
      <w:r w:rsidR="00DC30DD" w:rsidRPr="00717E82">
        <w:rPr>
          <w:rFonts w:ascii="Arial" w:hAnsi="Arial" w:cs="Arial"/>
        </w:rPr>
        <w:t xml:space="preserve"> adopted the 2030 Agenda</w:t>
      </w:r>
      <w:r w:rsidR="00E04130" w:rsidRPr="00717E82">
        <w:rPr>
          <w:rFonts w:ascii="Arial" w:hAnsi="Arial" w:cs="Arial"/>
        </w:rPr>
        <w:t xml:space="preserve">, which </w:t>
      </w:r>
      <w:r w:rsidRPr="00717E82">
        <w:rPr>
          <w:rFonts w:ascii="Arial" w:hAnsi="Arial" w:cs="Arial"/>
        </w:rPr>
        <w:t>introduced 17 Sustainable Development Goals (SDGs)</w:t>
      </w:r>
      <w:r w:rsidR="00E04130" w:rsidRPr="00717E82">
        <w:rPr>
          <w:rFonts w:ascii="Arial" w:hAnsi="Arial" w:cs="Arial"/>
        </w:rPr>
        <w:t xml:space="preserve">. </w:t>
      </w:r>
      <w:r w:rsidR="00B1280E" w:rsidRPr="00717E82">
        <w:rPr>
          <w:rFonts w:ascii="Arial" w:hAnsi="Arial" w:cs="Arial"/>
        </w:rPr>
        <w:t>Th</w:t>
      </w:r>
      <w:r w:rsidR="00666536" w:rsidRPr="00717E82">
        <w:rPr>
          <w:rFonts w:ascii="Arial" w:hAnsi="Arial" w:cs="Arial"/>
        </w:rPr>
        <w:t>is</w:t>
      </w:r>
      <w:r w:rsidRPr="00717E82">
        <w:rPr>
          <w:rFonts w:ascii="Arial" w:hAnsi="Arial" w:cs="Arial"/>
        </w:rPr>
        <w:t xml:space="preserve"> global framework </w:t>
      </w:r>
      <w:r w:rsidR="00E62B98">
        <w:rPr>
          <w:rFonts w:ascii="Arial" w:hAnsi="Arial" w:cs="Arial"/>
        </w:rPr>
        <w:t xml:space="preserve">(SDGs) </w:t>
      </w:r>
      <w:r w:rsidR="00B1280E" w:rsidRPr="00717E82">
        <w:rPr>
          <w:rFonts w:ascii="Arial" w:hAnsi="Arial" w:cs="Arial"/>
        </w:rPr>
        <w:t xml:space="preserve">was established </w:t>
      </w:r>
      <w:r w:rsidRPr="00717E82">
        <w:rPr>
          <w:rFonts w:ascii="Arial" w:hAnsi="Arial" w:cs="Arial"/>
        </w:rPr>
        <w:t>to address these challenges</w:t>
      </w:r>
      <w:r w:rsidR="00071156" w:rsidRPr="00717E82">
        <w:rPr>
          <w:rFonts w:ascii="Arial" w:hAnsi="Arial" w:cs="Arial"/>
        </w:rPr>
        <w:t xml:space="preserve"> and to serve </w:t>
      </w:r>
      <w:r w:rsidR="003E1657" w:rsidRPr="00717E82">
        <w:rPr>
          <w:rFonts w:ascii="Arial" w:hAnsi="Arial" w:cs="Arial"/>
        </w:rPr>
        <w:t>as a universal call to end poverty</w:t>
      </w:r>
      <w:r w:rsidR="00A924B8" w:rsidRPr="00717E82">
        <w:rPr>
          <w:rFonts w:ascii="Arial" w:hAnsi="Arial" w:cs="Arial"/>
        </w:rPr>
        <w:t xml:space="preserve">, protect the planet and ensure peace </w:t>
      </w:r>
      <w:r w:rsidR="00F96C5F" w:rsidRPr="00717E82">
        <w:rPr>
          <w:rFonts w:ascii="Arial" w:hAnsi="Arial" w:cs="Arial"/>
        </w:rPr>
        <w:t>and prosperity for all by 2030</w:t>
      </w:r>
      <w:r w:rsidRPr="00717E82">
        <w:rPr>
          <w:rFonts w:ascii="Arial" w:hAnsi="Arial" w:cs="Arial"/>
        </w:rPr>
        <w:t xml:space="preserve"> (United Nations, 2015). </w:t>
      </w:r>
      <w:r w:rsidR="005357C4" w:rsidRPr="00717E82">
        <w:rPr>
          <w:rFonts w:ascii="Arial" w:hAnsi="Arial" w:cs="Arial"/>
        </w:rPr>
        <w:t>H</w:t>
      </w:r>
      <w:r w:rsidR="00492127" w:rsidRPr="00717E82">
        <w:rPr>
          <w:rFonts w:ascii="Arial" w:hAnsi="Arial" w:cs="Arial"/>
        </w:rPr>
        <w:t>ence</w:t>
      </w:r>
      <w:r w:rsidRPr="00717E82">
        <w:rPr>
          <w:rFonts w:ascii="Arial" w:hAnsi="Arial" w:cs="Arial"/>
        </w:rPr>
        <w:t>, SDG 3 (Good Health and Well-being) serves as a foundation for enhancing population health</w:t>
      </w:r>
      <w:r w:rsidR="004B7C0A" w:rsidRPr="00717E82">
        <w:rPr>
          <w:rFonts w:ascii="Arial" w:hAnsi="Arial" w:cs="Arial"/>
        </w:rPr>
        <w:t>,</w:t>
      </w:r>
      <w:r w:rsidR="00492127" w:rsidRPr="00717E82">
        <w:rPr>
          <w:rFonts w:ascii="Arial" w:hAnsi="Arial" w:cs="Arial"/>
        </w:rPr>
        <w:t xml:space="preserve"> and SDG</w:t>
      </w:r>
      <w:r w:rsidR="007E22AA" w:rsidRPr="00717E82">
        <w:rPr>
          <w:rFonts w:ascii="Arial" w:hAnsi="Arial" w:cs="Arial"/>
        </w:rPr>
        <w:t xml:space="preserve"> 10 serves on how to reduce </w:t>
      </w:r>
      <w:r w:rsidR="008B3F4E" w:rsidRPr="00717E82">
        <w:rPr>
          <w:rFonts w:ascii="Arial" w:hAnsi="Arial" w:cs="Arial"/>
        </w:rPr>
        <w:t>inequalities</w:t>
      </w:r>
      <w:r w:rsidRPr="00717E82">
        <w:rPr>
          <w:rFonts w:ascii="Arial" w:hAnsi="Arial" w:cs="Arial"/>
        </w:rPr>
        <w:t xml:space="preserve">. This report critically examines how </w:t>
      </w:r>
      <w:r w:rsidR="00ED559B">
        <w:rPr>
          <w:rFonts w:ascii="Arial" w:hAnsi="Arial" w:cs="Arial"/>
        </w:rPr>
        <w:t>SDGs 1, 2, and 10</w:t>
      </w:r>
      <w:r w:rsidR="00D16FDA">
        <w:rPr>
          <w:rFonts w:ascii="Arial" w:hAnsi="Arial" w:cs="Arial"/>
        </w:rPr>
        <w:t xml:space="preserve"> </w:t>
      </w:r>
      <w:r w:rsidRPr="00717E82">
        <w:rPr>
          <w:rFonts w:ascii="Arial" w:hAnsi="Arial" w:cs="Arial"/>
        </w:rPr>
        <w:t xml:space="preserve">influence health and well-being at global, national, and local levels. </w:t>
      </w:r>
      <w:r w:rsidR="00444226">
        <w:rPr>
          <w:rFonts w:ascii="Arial" w:hAnsi="Arial" w:cs="Arial"/>
        </w:rPr>
        <w:t xml:space="preserve">Also, </w:t>
      </w:r>
      <w:r w:rsidRPr="00717E82">
        <w:rPr>
          <w:rFonts w:ascii="Arial" w:hAnsi="Arial" w:cs="Arial"/>
        </w:rPr>
        <w:t>assesses the effectiveness of national and local initiatives in the UK, and offers recommendations for improvement.</w:t>
      </w:r>
    </w:p>
    <w:p w14:paraId="1D91C970" w14:textId="275B20F2" w:rsidR="00A135CE" w:rsidRPr="005F1372" w:rsidRDefault="00A135CE" w:rsidP="005F1372">
      <w:pPr>
        <w:pStyle w:val="Heading1"/>
        <w:rPr>
          <w:b/>
          <w:bCs/>
          <w:color w:val="auto"/>
          <w:sz w:val="24"/>
          <w:szCs w:val="24"/>
        </w:rPr>
      </w:pPr>
      <w:bookmarkStart w:id="8" w:name="_Toc226406451"/>
      <w:bookmarkStart w:id="9" w:name="_Toc226406716"/>
      <w:bookmarkStart w:id="10" w:name="_Toc227288869"/>
      <w:bookmarkStart w:id="11" w:name="_Toc227289092"/>
      <w:r w:rsidRPr="005F1372">
        <w:rPr>
          <w:b/>
          <w:bCs/>
          <w:color w:val="auto"/>
          <w:sz w:val="24"/>
          <w:szCs w:val="24"/>
        </w:rPr>
        <w:t>Sustainable Development Goal 3: Good Health and Well-being</w:t>
      </w:r>
      <w:bookmarkEnd w:id="8"/>
      <w:bookmarkEnd w:id="9"/>
      <w:bookmarkEnd w:id="10"/>
      <w:bookmarkEnd w:id="11"/>
      <w:r w:rsidRPr="005F1372">
        <w:rPr>
          <w:b/>
          <w:bCs/>
          <w:color w:val="auto"/>
          <w:sz w:val="24"/>
          <w:szCs w:val="24"/>
        </w:rPr>
        <w:t xml:space="preserve"> </w:t>
      </w:r>
    </w:p>
    <w:p w14:paraId="440A8DBF" w14:textId="5BDD2EA6" w:rsidR="009B5618" w:rsidRPr="00717E82" w:rsidRDefault="00D47397" w:rsidP="00427873">
      <w:pPr>
        <w:spacing w:line="360" w:lineRule="auto"/>
        <w:jc w:val="both"/>
        <w:rPr>
          <w:rFonts w:ascii="Arial" w:hAnsi="Arial" w:cs="Arial"/>
        </w:rPr>
      </w:pPr>
      <w:r w:rsidRPr="00717E82">
        <w:rPr>
          <w:rFonts w:ascii="Arial" w:hAnsi="Arial" w:cs="Arial"/>
        </w:rPr>
        <w:t xml:space="preserve"> SDG 3 aims to “ensure healthy lives and promote well-being for all ages” (United Nations, 2015). It </w:t>
      </w:r>
      <w:r w:rsidR="00A94BB3">
        <w:rPr>
          <w:rFonts w:ascii="Arial" w:hAnsi="Arial" w:cs="Arial"/>
        </w:rPr>
        <w:t xml:space="preserve">is one </w:t>
      </w:r>
      <w:r w:rsidR="0005737F">
        <w:rPr>
          <w:rFonts w:ascii="Arial" w:hAnsi="Arial" w:cs="Arial"/>
        </w:rPr>
        <w:t xml:space="preserve">of the most comprehensive goals within the 2030 Agenda, which </w:t>
      </w:r>
      <w:r w:rsidRPr="00717E82">
        <w:rPr>
          <w:rFonts w:ascii="Arial" w:hAnsi="Arial" w:cs="Arial"/>
        </w:rPr>
        <w:t xml:space="preserve">includes targets such as reducing maternal mortality, ending epidemics, strengthening mental health services, and achieving universal health coverage worldwide (WHO, 2022). A key component of SDG 3 is Universal Health Coverage (UHC), which seeks to ensure that all individuals have access to essential health services without facing financial hardship. This encompasses preventive, promotive, curative, rehabilitative, and palliative care. UHC embodies principles promoted by the World Health Organisation, which emphasises equity and accessibility in healthcare systems by reducing premature mortality from </w:t>
      </w:r>
      <w:r w:rsidR="00B67603">
        <w:rPr>
          <w:rFonts w:ascii="Arial" w:hAnsi="Arial" w:cs="Arial"/>
        </w:rPr>
        <w:t>N</w:t>
      </w:r>
      <w:r w:rsidRPr="00717E82">
        <w:rPr>
          <w:rFonts w:ascii="Arial" w:hAnsi="Arial" w:cs="Arial"/>
        </w:rPr>
        <w:t>on-</w:t>
      </w:r>
      <w:r w:rsidR="00B67603">
        <w:rPr>
          <w:rFonts w:ascii="Arial" w:hAnsi="Arial" w:cs="Arial"/>
        </w:rPr>
        <w:t>C</w:t>
      </w:r>
      <w:r w:rsidRPr="00717E82">
        <w:rPr>
          <w:rFonts w:ascii="Arial" w:hAnsi="Arial" w:cs="Arial"/>
        </w:rPr>
        <w:t xml:space="preserve">ommunicable </w:t>
      </w:r>
      <w:r w:rsidR="00B67603">
        <w:rPr>
          <w:rFonts w:ascii="Arial" w:hAnsi="Arial" w:cs="Arial"/>
        </w:rPr>
        <w:t>D</w:t>
      </w:r>
      <w:r w:rsidRPr="00717E82">
        <w:rPr>
          <w:rFonts w:ascii="Arial" w:hAnsi="Arial" w:cs="Arial"/>
        </w:rPr>
        <w:t xml:space="preserve">iseases (NCDs) such as cancer, diabetes, and cardiovascular disease, as noted by Syed et al. (2026). </w:t>
      </w:r>
    </w:p>
    <w:p w14:paraId="7ECDB2B3" w14:textId="6C0C8CBF" w:rsidR="00645292" w:rsidRDefault="00A93460" w:rsidP="005C30CF">
      <w:pPr>
        <w:spacing w:line="360" w:lineRule="auto"/>
        <w:jc w:val="both"/>
        <w:rPr>
          <w:rFonts w:ascii="Arial" w:hAnsi="Arial" w:cs="Arial"/>
        </w:rPr>
      </w:pPr>
      <w:r>
        <w:rPr>
          <w:rFonts w:ascii="Arial" w:hAnsi="Arial" w:cs="Arial"/>
        </w:rPr>
        <w:t xml:space="preserve">NCDs caused 43.8 million deaths worldwide in 2021 (64.5% of all deaths), including 19.4 million from cardiovascular diseases, 9.9 million from neoplasms, 4.4 million from chronic respiratory diseases, and 1.7 million from diabetes. According to Freihat et al. (2025), the incidence of diabetes increased significantly between 2000 and 2021, while mortality from cardiovascular disease rose marginally. By 2050, NCDs are </w:t>
      </w:r>
      <w:r w:rsidR="007A728E">
        <w:rPr>
          <w:rFonts w:ascii="Arial" w:hAnsi="Arial" w:cs="Arial"/>
        </w:rPr>
        <w:t xml:space="preserve">predicted </w:t>
      </w:r>
      <w:r>
        <w:rPr>
          <w:rFonts w:ascii="Arial" w:hAnsi="Arial" w:cs="Arial"/>
        </w:rPr>
        <w:t>to cause 75.5 million deaths from cardiovascular illnesses</w:t>
      </w:r>
      <w:r w:rsidR="00FE60BF">
        <w:rPr>
          <w:rFonts w:ascii="Arial" w:hAnsi="Arial" w:cs="Arial"/>
        </w:rPr>
        <w:t xml:space="preserve">, as said by </w:t>
      </w:r>
      <w:r w:rsidR="00FE60BF" w:rsidRPr="00FE60BF">
        <w:rPr>
          <w:rFonts w:ascii="Arial" w:hAnsi="Arial" w:cs="Arial"/>
        </w:rPr>
        <w:t>Naeem et al. (2026)</w:t>
      </w:r>
      <w:r>
        <w:rPr>
          <w:rFonts w:ascii="Arial" w:hAnsi="Arial" w:cs="Arial"/>
        </w:rPr>
        <w:t xml:space="preserve">.  NCDs now represent the world's leading cause of death and are intricately linked to environmental and lifestyle factors. SDG 3 advocates proactive measures such as improving nutrition, increasing physical </w:t>
      </w:r>
      <w:r>
        <w:rPr>
          <w:rFonts w:ascii="Arial" w:hAnsi="Arial" w:cs="Arial"/>
        </w:rPr>
        <w:lastRenderedPageBreak/>
        <w:t>activity, enhancing mental health services, and implementing tobacco control strategies</w:t>
      </w:r>
      <w:r w:rsidR="00645292">
        <w:rPr>
          <w:rFonts w:ascii="Arial" w:hAnsi="Arial" w:cs="Arial"/>
        </w:rPr>
        <w:t xml:space="preserve"> (</w:t>
      </w:r>
      <w:r w:rsidR="00645292" w:rsidRPr="00E502B0">
        <w:rPr>
          <w:rFonts w:ascii="Arial" w:hAnsi="Arial" w:cs="Arial"/>
        </w:rPr>
        <w:t>Mustafa et al.</w:t>
      </w:r>
      <w:r w:rsidR="00645292">
        <w:rPr>
          <w:rFonts w:ascii="Arial" w:hAnsi="Arial" w:cs="Arial"/>
        </w:rPr>
        <w:t xml:space="preserve">, </w:t>
      </w:r>
      <w:r w:rsidR="00645292" w:rsidRPr="00E502B0">
        <w:rPr>
          <w:rFonts w:ascii="Arial" w:hAnsi="Arial" w:cs="Arial"/>
        </w:rPr>
        <w:t>2022)</w:t>
      </w:r>
      <w:r>
        <w:rPr>
          <w:rFonts w:ascii="Arial" w:hAnsi="Arial" w:cs="Arial"/>
        </w:rPr>
        <w:t xml:space="preserve">. </w:t>
      </w:r>
    </w:p>
    <w:p w14:paraId="42FB8DB2" w14:textId="6CC4F463" w:rsidR="005C30CF" w:rsidRPr="005C30CF" w:rsidRDefault="00B26AD4" w:rsidP="005C30CF">
      <w:pPr>
        <w:spacing w:line="360" w:lineRule="auto"/>
        <w:jc w:val="both"/>
        <w:rPr>
          <w:rFonts w:ascii="Arial" w:hAnsi="Arial" w:cs="Arial"/>
        </w:rPr>
      </w:pPr>
      <w:r>
        <w:rPr>
          <w:rFonts w:ascii="Arial" w:hAnsi="Arial" w:cs="Arial"/>
        </w:rPr>
        <w:t>A central tenet of SDG 3 is the shift from reactive, hospital-centred care to proactive, preventive, and community-based approaches. Targeting premature mortality from NCDs, promoting mental health, and addressing environmental health risks, as noted by Haque et al. (2020), reflect the need to tackle upstream determinants of health. This aligns closely with the UK’s public health agenda, which recognises that factors such as housing, employment, education, and social inclusion significantly influence health outcomes (Sharp et al., 2022).</w:t>
      </w:r>
    </w:p>
    <w:p w14:paraId="5FD45F00" w14:textId="31384B05" w:rsidR="009D11F7" w:rsidRPr="009D11F7" w:rsidRDefault="00F30CED" w:rsidP="009D11F7">
      <w:pPr>
        <w:spacing w:line="360" w:lineRule="auto"/>
        <w:jc w:val="both"/>
        <w:rPr>
          <w:rFonts w:ascii="Arial" w:hAnsi="Arial" w:cs="Arial"/>
        </w:rPr>
      </w:pPr>
      <w:r>
        <w:rPr>
          <w:rFonts w:ascii="Arial" w:hAnsi="Arial" w:cs="Arial"/>
        </w:rPr>
        <w:t>SDG 3 has a profound impact on citizens' health and well-being. Silva et al. (2026) argue that prioritising universal access to quality healthcare supports early diagnosis, timely treatment, and continuity of care, thereby reducing avoidable mortality and enhancing quality of life. The focus on maternal and child health ensures that vulnerable populations receive essential services, contributing to long-term well-being across the life course, as stated by Hudson et al. (2019). Mental health, historically under-prioritised, is explicitly included within SDG 3, encouraging countries to expand psychological support, reduce stigma, and integrate mental health into primary care.</w:t>
      </w:r>
    </w:p>
    <w:p w14:paraId="7B072584" w14:textId="5C4B033F" w:rsidR="00364E2B" w:rsidRDefault="00F121C4" w:rsidP="006155F8">
      <w:pPr>
        <w:spacing w:line="360" w:lineRule="auto"/>
        <w:jc w:val="both"/>
        <w:rPr>
          <w:rFonts w:ascii="Arial" w:hAnsi="Arial" w:cs="Arial"/>
        </w:rPr>
      </w:pPr>
      <w:r>
        <w:rPr>
          <w:rFonts w:ascii="Arial" w:hAnsi="Arial" w:cs="Arial"/>
        </w:rPr>
        <w:t>In the UK, SDG 3 aligns with the NHS Long Term Plan (2019), which emphasises prevention, digital innovation, personalised care, and reducing health inequalities. Initiatives such as expanded mental health services, smoking cessation support, and digital health</w:t>
      </w:r>
      <w:r w:rsidR="00645292">
        <w:rPr>
          <w:rFonts w:ascii="Arial" w:hAnsi="Arial" w:cs="Arial"/>
        </w:rPr>
        <w:t xml:space="preserve"> </w:t>
      </w:r>
      <w:r>
        <w:rPr>
          <w:rFonts w:ascii="Arial" w:hAnsi="Arial" w:cs="Arial"/>
        </w:rPr>
        <w:t>(Groves et al., 2022). The integration of technology, such as remote monitoring and electronic health records, supports efficiency and patient empowerment, although it also raises concerns about digital exclusion.</w:t>
      </w:r>
    </w:p>
    <w:p w14:paraId="4C5DA49E" w14:textId="10782002" w:rsidR="006155F8" w:rsidRDefault="006155F8" w:rsidP="006155F8">
      <w:pPr>
        <w:spacing w:line="360" w:lineRule="auto"/>
        <w:jc w:val="both"/>
        <w:rPr>
          <w:rFonts w:ascii="Arial" w:hAnsi="Arial" w:cs="Arial"/>
        </w:rPr>
      </w:pPr>
      <w:r w:rsidRPr="00717E82">
        <w:rPr>
          <w:rFonts w:ascii="Arial" w:hAnsi="Arial" w:cs="Arial"/>
        </w:rPr>
        <w:t xml:space="preserve">Critically, </w:t>
      </w:r>
      <w:r w:rsidR="00645292">
        <w:rPr>
          <w:rFonts w:ascii="Arial" w:hAnsi="Arial" w:cs="Arial"/>
        </w:rPr>
        <w:t>h</w:t>
      </w:r>
      <w:r w:rsidRPr="00717E82">
        <w:rPr>
          <w:rFonts w:ascii="Arial" w:hAnsi="Arial" w:cs="Arial"/>
        </w:rPr>
        <w:t>ealth outcomes are influenced by education, income, housing, and environmental quality</w:t>
      </w:r>
      <w:r w:rsidR="00342CFD">
        <w:rPr>
          <w:rFonts w:ascii="Arial" w:hAnsi="Arial" w:cs="Arial"/>
        </w:rPr>
        <w:t>, as</w:t>
      </w:r>
      <w:r w:rsidR="001940F4">
        <w:rPr>
          <w:rFonts w:ascii="Arial" w:hAnsi="Arial" w:cs="Arial"/>
        </w:rPr>
        <w:t xml:space="preserve"> </w:t>
      </w:r>
      <w:r w:rsidR="00342CFD">
        <w:rPr>
          <w:rFonts w:ascii="Arial" w:hAnsi="Arial" w:cs="Arial"/>
        </w:rPr>
        <w:t xml:space="preserve">stated by </w:t>
      </w:r>
      <w:r w:rsidR="00342CFD" w:rsidRPr="001940F4">
        <w:rPr>
          <w:rFonts w:ascii="Arial" w:hAnsi="Arial" w:cs="Arial"/>
        </w:rPr>
        <w:t>Macassa, G. (2021)</w:t>
      </w:r>
      <w:r w:rsidRPr="00717E82">
        <w:rPr>
          <w:rFonts w:ascii="Arial" w:hAnsi="Arial" w:cs="Arial"/>
        </w:rPr>
        <w:t xml:space="preserve">. </w:t>
      </w:r>
      <w:r>
        <w:rPr>
          <w:rFonts w:ascii="Arial" w:hAnsi="Arial" w:cs="Arial"/>
        </w:rPr>
        <w:t xml:space="preserve"> For example</w:t>
      </w:r>
      <w:r w:rsidRPr="008B147A">
        <w:rPr>
          <w:rFonts w:ascii="Arial" w:hAnsi="Arial" w:cs="Arial"/>
        </w:rPr>
        <w:t xml:space="preserve">, workforce shortages limit multidisciplinary </w:t>
      </w:r>
      <w:r>
        <w:rPr>
          <w:rFonts w:ascii="Arial" w:hAnsi="Arial" w:cs="Arial"/>
        </w:rPr>
        <w:t xml:space="preserve">collaboration due to different priorities, budgets and cultures. </w:t>
      </w:r>
      <w:r w:rsidRPr="00717E82">
        <w:rPr>
          <w:rFonts w:ascii="Arial" w:hAnsi="Arial" w:cs="Arial"/>
        </w:rPr>
        <w:t>Therefore, while SDG 3 provides a comprehensive health framework, its success depends on progress across other SDGs.</w:t>
      </w:r>
    </w:p>
    <w:p w14:paraId="3BC82DB2" w14:textId="7589DAEE" w:rsidR="001E55CA" w:rsidRPr="005F1372" w:rsidRDefault="001E55CA" w:rsidP="005F1372">
      <w:pPr>
        <w:pStyle w:val="Heading1"/>
        <w:rPr>
          <w:rFonts w:ascii="Arial" w:hAnsi="Arial" w:cs="Arial"/>
          <w:b/>
          <w:bCs/>
          <w:color w:val="auto"/>
          <w:sz w:val="24"/>
          <w:szCs w:val="24"/>
        </w:rPr>
      </w:pPr>
      <w:bookmarkStart w:id="12" w:name="_Toc227289093"/>
      <w:r w:rsidRPr="005F1372">
        <w:rPr>
          <w:rFonts w:ascii="Arial" w:hAnsi="Arial" w:cs="Arial"/>
          <w:b/>
          <w:bCs/>
          <w:color w:val="auto"/>
          <w:sz w:val="24"/>
          <w:szCs w:val="24"/>
        </w:rPr>
        <w:t>Sustainable Development Goal 10: Reduced Inequalities</w:t>
      </w:r>
      <w:bookmarkEnd w:id="12"/>
    </w:p>
    <w:p w14:paraId="098DCAFA" w14:textId="39FA93DF" w:rsidR="001E55CA" w:rsidRPr="00CC3023" w:rsidRDefault="00E0564C" w:rsidP="001E55CA">
      <w:pPr>
        <w:spacing w:line="360" w:lineRule="auto"/>
        <w:jc w:val="both"/>
        <w:rPr>
          <w:rFonts w:ascii="Arial" w:hAnsi="Arial" w:cs="Arial"/>
        </w:rPr>
      </w:pPr>
      <w:r>
        <w:rPr>
          <w:rFonts w:ascii="Arial" w:hAnsi="Arial" w:cs="Arial"/>
        </w:rPr>
        <w:t>SDG 10 aims to “reduce inequality within and among countries, " focusing on eliminating discriminatory policies, promoting social, economic, and political inclusion, ensuring equal opportunities, and reducing income disparities (Bhandari, M. P., 2024). It also addresses migration, financial inclusion, and the representation of marginalised groups.</w:t>
      </w:r>
    </w:p>
    <w:p w14:paraId="1FB08CF9" w14:textId="7CA228C1" w:rsidR="001E55CA" w:rsidRPr="00CC3023" w:rsidRDefault="00325DAE" w:rsidP="001E55CA">
      <w:pPr>
        <w:spacing w:line="360" w:lineRule="auto"/>
        <w:jc w:val="both"/>
        <w:rPr>
          <w:rFonts w:ascii="Arial" w:hAnsi="Arial" w:cs="Arial"/>
        </w:rPr>
      </w:pPr>
      <w:r>
        <w:rPr>
          <w:rFonts w:ascii="Arial" w:hAnsi="Arial" w:cs="Arial"/>
        </w:rPr>
        <w:t xml:space="preserve"> In the UK, inequalities are reflected in disparities in life expectancy, access to services, employment opportunities, and exposure to environmental risks (Thomson et al., 2021). SDG </w:t>
      </w:r>
      <w:r>
        <w:rPr>
          <w:rFonts w:ascii="Arial" w:hAnsi="Arial" w:cs="Arial"/>
        </w:rPr>
        <w:lastRenderedPageBreak/>
        <w:t xml:space="preserve">10 emphasises tackling structural barriers, including discrimination, unequal access to resources, and systemic disadvantage. In the UK, SDG 10 aligns with the Equality Act 2010, which protects individuals from unfair treatment, discrimination, and victimisation (Feast et al., 2015). </w:t>
      </w:r>
    </w:p>
    <w:p w14:paraId="21FDE057" w14:textId="429BE0FA" w:rsidR="001E55CA" w:rsidRDefault="001E55CA" w:rsidP="001E55CA">
      <w:pPr>
        <w:spacing w:line="360" w:lineRule="auto"/>
        <w:jc w:val="both"/>
        <w:rPr>
          <w:rFonts w:ascii="Arial" w:hAnsi="Arial" w:cs="Arial"/>
        </w:rPr>
      </w:pPr>
      <w:r w:rsidRPr="001E55CA">
        <w:rPr>
          <w:rFonts w:ascii="Arial" w:hAnsi="Arial" w:cs="Arial"/>
        </w:rPr>
        <w:t xml:space="preserve">SDG 10 supports inclusive policies, fair </w:t>
      </w:r>
      <w:r w:rsidR="006A5543">
        <w:rPr>
          <w:rFonts w:ascii="Arial" w:hAnsi="Arial" w:cs="Arial"/>
        </w:rPr>
        <w:t>resource distribution</w:t>
      </w:r>
      <w:r w:rsidRPr="001E55CA">
        <w:rPr>
          <w:rFonts w:ascii="Arial" w:hAnsi="Arial" w:cs="Arial"/>
        </w:rPr>
        <w:t>, and targeted interventions for disadvantaged groups. It aligns with the Marmot Review’s emphasis on addressing social determinants of health.</w:t>
      </w:r>
      <w:r w:rsidR="000C4657">
        <w:rPr>
          <w:rFonts w:ascii="Arial" w:hAnsi="Arial" w:cs="Arial"/>
        </w:rPr>
        <w:t xml:space="preserve"> In his</w:t>
      </w:r>
      <w:r w:rsidR="000C4657" w:rsidRPr="00717E82">
        <w:rPr>
          <w:rFonts w:ascii="Arial" w:hAnsi="Arial" w:cs="Arial"/>
        </w:rPr>
        <w:t xml:space="preserve"> 2020 review</w:t>
      </w:r>
      <w:r w:rsidR="006A5543">
        <w:rPr>
          <w:rFonts w:ascii="Arial" w:hAnsi="Arial" w:cs="Arial"/>
        </w:rPr>
        <w:t>, he</w:t>
      </w:r>
      <w:r w:rsidR="000C4657" w:rsidRPr="00717E82">
        <w:rPr>
          <w:rFonts w:ascii="Arial" w:hAnsi="Arial" w:cs="Arial"/>
        </w:rPr>
        <w:t xml:space="preserve"> found that progress with life expectancy </w:t>
      </w:r>
      <w:r w:rsidR="009042B9">
        <w:rPr>
          <w:rFonts w:ascii="Arial" w:hAnsi="Arial" w:cs="Arial"/>
        </w:rPr>
        <w:t xml:space="preserve">was </w:t>
      </w:r>
      <w:r w:rsidR="000C4657" w:rsidRPr="00717E82">
        <w:rPr>
          <w:rFonts w:ascii="Arial" w:hAnsi="Arial" w:cs="Arial"/>
        </w:rPr>
        <w:t xml:space="preserve">declining for the poorest groups and regional inequalities </w:t>
      </w:r>
      <w:r w:rsidR="009042B9">
        <w:rPr>
          <w:rFonts w:ascii="Arial" w:hAnsi="Arial" w:cs="Arial"/>
        </w:rPr>
        <w:t xml:space="preserve">were </w:t>
      </w:r>
      <w:r w:rsidR="000C4657" w:rsidRPr="00717E82">
        <w:rPr>
          <w:rFonts w:ascii="Arial" w:hAnsi="Arial" w:cs="Arial"/>
        </w:rPr>
        <w:t>widening</w:t>
      </w:r>
      <w:r w:rsidR="009042B9">
        <w:rPr>
          <w:rFonts w:ascii="Arial" w:hAnsi="Arial" w:cs="Arial"/>
        </w:rPr>
        <w:t>,</w:t>
      </w:r>
      <w:r w:rsidR="000C4657" w:rsidRPr="00717E82">
        <w:rPr>
          <w:rFonts w:ascii="Arial" w:hAnsi="Arial" w:cs="Arial"/>
        </w:rPr>
        <w:t xml:space="preserve"> according to the Institute of Health Equity (2020</w:t>
      </w:r>
      <w:r w:rsidR="00676A16">
        <w:rPr>
          <w:rFonts w:ascii="Arial" w:hAnsi="Arial" w:cs="Arial"/>
        </w:rPr>
        <w:t>).</w:t>
      </w:r>
    </w:p>
    <w:p w14:paraId="3B95378F" w14:textId="78AA3415" w:rsidR="000C4657" w:rsidRPr="00EC32FF" w:rsidRDefault="009B322B" w:rsidP="000C4657">
      <w:pPr>
        <w:spacing w:line="360" w:lineRule="auto"/>
        <w:jc w:val="both"/>
        <w:rPr>
          <w:rFonts w:ascii="Arial" w:hAnsi="Arial" w:cs="Arial"/>
          <w:color w:val="000000" w:themeColor="text1"/>
        </w:rPr>
      </w:pPr>
      <w:r>
        <w:rPr>
          <w:rFonts w:ascii="Arial" w:hAnsi="Arial" w:cs="Arial"/>
          <w:color w:val="000000" w:themeColor="text1"/>
        </w:rPr>
        <w:t xml:space="preserve">Hence, SDG 10 directly impacts health and well-being by targeting structural determinants of health, reducing income inequality, and improving the regulation and monitoring of global financial markets, according to Nazha et al. (2026). Access to nutritious food, safe housing, and healthcare services is a key global challenge. However, the UK government is providing more financial support through councils to those who are struggling. This is known as the local ecosystems of support, according to Edmiston et al. (2022). </w:t>
      </w:r>
    </w:p>
    <w:p w14:paraId="18EDBB15" w14:textId="5EB9C6D4" w:rsidR="000C4657" w:rsidRPr="00717E82" w:rsidRDefault="009B322B" w:rsidP="000C4657">
      <w:pPr>
        <w:spacing w:line="360" w:lineRule="auto"/>
        <w:jc w:val="both"/>
        <w:rPr>
          <w:rFonts w:ascii="Arial" w:hAnsi="Arial" w:cs="Arial"/>
        </w:rPr>
      </w:pPr>
      <w:r>
        <w:rPr>
          <w:rFonts w:ascii="Arial" w:hAnsi="Arial" w:cs="Arial"/>
        </w:rPr>
        <w:t xml:space="preserve"> Arguably, achieving SDG 10 is hindered when economic systems discriminate </w:t>
      </w:r>
      <w:r w:rsidR="00A578CD">
        <w:rPr>
          <w:rFonts w:ascii="Arial" w:hAnsi="Arial" w:cs="Arial"/>
        </w:rPr>
        <w:t>based on</w:t>
      </w:r>
      <w:r>
        <w:rPr>
          <w:rFonts w:ascii="Arial" w:hAnsi="Arial" w:cs="Arial"/>
        </w:rPr>
        <w:t xml:space="preserve"> gender, ethnicity, disability, or migration status, thereby restricting access to healthcare and social participation (Crawford et al., 2023). Tackling these systemic barriers fosters social cohesion and psychological well-being. For instance, economic inequality perpetuates a cycle of poverty, limiting access to essentials such as education, healthcare, and adequate nutrition. </w:t>
      </w:r>
    </w:p>
    <w:p w14:paraId="20E73563" w14:textId="05F49669" w:rsidR="001E55CA" w:rsidRPr="005F1372" w:rsidRDefault="00A75831" w:rsidP="005F1372">
      <w:pPr>
        <w:pStyle w:val="Heading1"/>
        <w:rPr>
          <w:rFonts w:ascii="Arial" w:hAnsi="Arial" w:cs="Arial"/>
          <w:b/>
          <w:bCs/>
          <w:color w:val="auto"/>
          <w:sz w:val="24"/>
          <w:szCs w:val="24"/>
        </w:rPr>
      </w:pPr>
      <w:bookmarkStart w:id="13" w:name="_Toc227289094"/>
      <w:r w:rsidRPr="005F1372">
        <w:rPr>
          <w:rFonts w:ascii="Arial" w:hAnsi="Arial" w:cs="Arial"/>
          <w:b/>
          <w:bCs/>
          <w:color w:val="auto"/>
          <w:sz w:val="24"/>
          <w:szCs w:val="24"/>
        </w:rPr>
        <w:t>Sustainable Development Goal 1: No Poverty</w:t>
      </w:r>
      <w:bookmarkEnd w:id="13"/>
    </w:p>
    <w:p w14:paraId="69C3FB00" w14:textId="2B3FD346" w:rsidR="004B7281" w:rsidRPr="004B7281" w:rsidRDefault="00E46997" w:rsidP="004B7281">
      <w:pPr>
        <w:spacing w:line="360" w:lineRule="auto"/>
        <w:jc w:val="both"/>
        <w:rPr>
          <w:rFonts w:ascii="Arial" w:hAnsi="Arial" w:cs="Arial"/>
        </w:rPr>
      </w:pPr>
      <w:r>
        <w:rPr>
          <w:rFonts w:ascii="Arial" w:hAnsi="Arial" w:cs="Arial"/>
        </w:rPr>
        <w:t xml:space="preserve">SDG 1 aims to “end poverty in all its forms everywhere.” Poverty is a major determinant of health, affecting access to nutritious food, safe housing, education, employment, and healthcare. </w:t>
      </w:r>
      <w:r w:rsidR="002022B4" w:rsidRPr="002022B4">
        <w:rPr>
          <w:rFonts w:ascii="Arial" w:hAnsi="Arial" w:cs="Arial"/>
        </w:rPr>
        <w:t>The goal focuses on eliminating extreme poverty, establishing comprehensive social protection measures, guaranteeing fair access to economic resources, and strengthening communities’ ability to withstand climate</w:t>
      </w:r>
      <w:r w:rsidR="002022B4" w:rsidRPr="002022B4">
        <w:rPr>
          <w:rFonts w:ascii="Arial" w:hAnsi="Arial" w:cs="Arial"/>
        </w:rPr>
        <w:noBreakHyphen/>
        <w:t>related risks (Hammedi et al., 2024).</w:t>
      </w:r>
    </w:p>
    <w:p w14:paraId="1E812A1C" w14:textId="08C5C667" w:rsidR="004B7281" w:rsidRPr="004B7281" w:rsidRDefault="00E46997" w:rsidP="004B7281">
      <w:pPr>
        <w:spacing w:line="360" w:lineRule="auto"/>
        <w:jc w:val="both"/>
        <w:rPr>
          <w:rFonts w:ascii="Arial" w:hAnsi="Arial" w:cs="Arial"/>
          <w:b/>
          <w:bCs/>
        </w:rPr>
      </w:pPr>
      <w:r>
        <w:rPr>
          <w:rFonts w:ascii="Arial" w:hAnsi="Arial" w:cs="Arial"/>
        </w:rPr>
        <w:t>However, SDG 1 recognises that poverty is multidimensional, encompassing not only income deprivation but also social exclusion, lack of access to services, and vulnerability to economic instability, according to Sumiya et al. (2025). In the UK context, poverty manifests as child poverty, fuel poverty, food insecurity, and insecure employment. These conditions directly affect physical and mental health. For example, individuals living in poverty are more likely to experience chronic illnesses, poor mental health, and reduced life expectancy.</w:t>
      </w:r>
    </w:p>
    <w:p w14:paraId="6B2DFA02" w14:textId="6460ACB3" w:rsidR="006D1D4B" w:rsidRPr="00E73AB0" w:rsidRDefault="009E3E71" w:rsidP="00E73AB0">
      <w:pPr>
        <w:spacing w:line="360" w:lineRule="auto"/>
        <w:jc w:val="both"/>
        <w:rPr>
          <w:rFonts w:ascii="Arial" w:hAnsi="Arial" w:cs="Arial"/>
        </w:rPr>
      </w:pPr>
      <w:r>
        <w:rPr>
          <w:rFonts w:ascii="Arial" w:hAnsi="Arial" w:cs="Arial"/>
        </w:rPr>
        <w:t xml:space="preserve">SDG 1 has significant implications for health and well-being. Poverty restricts access to healthcare, nutritious food, and safe environments, increasing the risk of disease. It also </w:t>
      </w:r>
      <w:r>
        <w:rPr>
          <w:rFonts w:ascii="Arial" w:hAnsi="Arial" w:cs="Arial"/>
        </w:rPr>
        <w:lastRenderedPageBreak/>
        <w:t>contributes to stress, anxiety, and depression. Children growing up in poverty face developmental disadvantages that can affect lifelong health outcomes, as noted by Dorling, D. (2024). By addressing poverty, SDG 1 supports improved health equity and reduces the burden on health and social care systems. According to Haves E (2024), the UK government has implemented measures such as Universal Credit, the National Living Wage, and free school meals, which contribute to SDG 1. Rising living costs, housing insecurity, and widening income inequalities mean that many households still experience financial hardship. The link between poverty and health inequalities is well documented: individuals in the most deprived areas face higher rates of obesity, smoking, cardiovascular disease, and mental health conditions, according to Siegel et al. (2015). Achieving SDG 1 requires coordinated action across sectors, including employment, housing, education, and social care.</w:t>
      </w:r>
    </w:p>
    <w:p w14:paraId="3F0E73BB" w14:textId="222AD30E" w:rsidR="00EE0837" w:rsidRPr="005F1372" w:rsidRDefault="00294F7B" w:rsidP="005F1372">
      <w:pPr>
        <w:pStyle w:val="Heading1"/>
        <w:rPr>
          <w:rFonts w:ascii="Arial" w:hAnsi="Arial" w:cs="Arial"/>
          <w:b/>
          <w:bCs/>
          <w:color w:val="auto"/>
          <w:sz w:val="24"/>
          <w:szCs w:val="24"/>
        </w:rPr>
      </w:pPr>
      <w:bookmarkStart w:id="14" w:name="_Toc227289095"/>
      <w:r w:rsidRPr="005F1372">
        <w:rPr>
          <w:rFonts w:ascii="Arial" w:hAnsi="Arial" w:cs="Arial"/>
          <w:b/>
          <w:bCs/>
          <w:color w:val="auto"/>
          <w:sz w:val="24"/>
          <w:szCs w:val="24"/>
        </w:rPr>
        <w:t>Nationally Wellbeing</w:t>
      </w:r>
      <w:r w:rsidR="00794EA3" w:rsidRPr="005F1372">
        <w:rPr>
          <w:rFonts w:ascii="Arial" w:hAnsi="Arial" w:cs="Arial"/>
          <w:b/>
          <w:bCs/>
          <w:color w:val="auto"/>
          <w:sz w:val="24"/>
          <w:szCs w:val="24"/>
        </w:rPr>
        <w:t xml:space="preserve"> Initiatives</w:t>
      </w:r>
      <w:bookmarkEnd w:id="14"/>
    </w:p>
    <w:p w14:paraId="7BA3120E" w14:textId="71BD9C62" w:rsidR="00794EA3" w:rsidRDefault="009B322B" w:rsidP="00437CA8">
      <w:pPr>
        <w:spacing w:line="360" w:lineRule="auto"/>
        <w:jc w:val="both"/>
        <w:rPr>
          <w:rFonts w:ascii="Arial" w:hAnsi="Arial" w:cs="Arial"/>
        </w:rPr>
      </w:pPr>
      <w:r>
        <w:rPr>
          <w:rFonts w:ascii="Arial" w:hAnsi="Arial" w:cs="Arial"/>
        </w:rPr>
        <w:t xml:space="preserve">National well-being initiatives play a crucial role in advancing sustainable development and reducing health inequalities across the UK. The two initiatives that align closely with SDGs 3, 1 and 10 are the NHS Long Term Plan (2019) and the Better Health Campaign (Public Health England, 2020). </w:t>
      </w:r>
    </w:p>
    <w:p w14:paraId="49843EA8" w14:textId="1051D352" w:rsidR="006F5368" w:rsidRDefault="009B322B" w:rsidP="00437CA8">
      <w:pPr>
        <w:spacing w:line="360" w:lineRule="auto"/>
        <w:jc w:val="both"/>
        <w:rPr>
          <w:rFonts w:ascii="Arial" w:hAnsi="Arial" w:cs="Arial"/>
        </w:rPr>
      </w:pPr>
      <w:r>
        <w:rPr>
          <w:rFonts w:ascii="Arial" w:hAnsi="Arial" w:cs="Arial"/>
        </w:rPr>
        <w:t>The NHS Long Term Plan aims to shift the health system towards prevention, personalised care and integrated services. It prioritises mental health, early intervention, digital transformation and reducing health inequalities. The plan focuses on preventing smoking and obesity and improving the management of long-term conditions, directly supporting SDG 3 by reducing mortality and improving quality of life, according to Cobiac et al. (2017). Specifically, meeting all seven risk factor targets could prevent deaths from NCDs. The plan is also committed to addressing inequalities through targeted investment in deprived areas. This aligns with SDG 10, recognising that socioeconomic disadvantages drive poorer health outcomes. Evidence shows that mental health services and community-based care have improved for certain groups, as stated by Avano G. (2018).</w:t>
      </w:r>
    </w:p>
    <w:p w14:paraId="3FF9DC2F" w14:textId="18D63838" w:rsidR="00B05D92" w:rsidRPr="00B05D92" w:rsidRDefault="009E3E71" w:rsidP="00B05D92">
      <w:pPr>
        <w:spacing w:line="360" w:lineRule="auto"/>
        <w:jc w:val="both"/>
        <w:rPr>
          <w:rFonts w:ascii="Arial" w:hAnsi="Arial" w:cs="Arial"/>
        </w:rPr>
      </w:pPr>
      <w:r>
        <w:rPr>
          <w:rFonts w:ascii="Arial" w:hAnsi="Arial" w:cs="Arial"/>
        </w:rPr>
        <w:t xml:space="preserve">The Better Health Campaign was launched to encourage healthier behaviours, particularly around diet, physical activity, smoking, and alcohol consumption, according to Nature Reviews Endocrinology (2020). SDG 3 promotes lifestyle changes that reduce the risk of NCDs. The campaign also aligns with SDG 1 and SDG 10 by targeting groups disproportionately affected by unhealthy environments, such as low-income households experiencing food insecurity or limited access to recreational spaces. While the campaign has raised awareness and increased engagement with weight management and smoking cessation services, its effectiveness is constrained by structural barriers, including long waiting lists, according to Kuuso et al. (2025). Behaviour-change messaging alone cannot overcome poverty, poor </w:t>
      </w:r>
      <w:r>
        <w:rPr>
          <w:rFonts w:ascii="Arial" w:hAnsi="Arial" w:cs="Arial"/>
        </w:rPr>
        <w:lastRenderedPageBreak/>
        <w:t>housing, or limited access to affordable, healthy food. Critics argue that the campaign risks placing responsibility solely on individuals rather than addressing the systemic determinants of health.</w:t>
      </w:r>
    </w:p>
    <w:p w14:paraId="4044C8F2" w14:textId="37E413AC" w:rsidR="00CC3023" w:rsidRDefault="00B26AD4" w:rsidP="001E55CA">
      <w:pPr>
        <w:spacing w:line="360" w:lineRule="auto"/>
        <w:jc w:val="both"/>
        <w:rPr>
          <w:rFonts w:ascii="Arial" w:hAnsi="Arial" w:cs="Arial"/>
        </w:rPr>
      </w:pPr>
      <w:r>
        <w:rPr>
          <w:rFonts w:ascii="Arial" w:hAnsi="Arial" w:cs="Arial"/>
        </w:rPr>
        <w:t xml:space="preserve">Overall, both initiatives contribute positively to national well-being, though their impact is uneven. The NHS Long Term Plan provides a strong framework but requires sustained investment, workforce expansion, and improved digital inclusion. The Better Health Campaign is valuable for public engagement but must be paired with structural interventions to address poverty, food systems, and environmental inequalities. </w:t>
      </w:r>
    </w:p>
    <w:p w14:paraId="0FA08209" w14:textId="31A8B45A" w:rsidR="00794EA3" w:rsidRPr="005F1372" w:rsidRDefault="00353906" w:rsidP="005F1372">
      <w:pPr>
        <w:pStyle w:val="Heading1"/>
        <w:rPr>
          <w:rFonts w:ascii="Arial" w:hAnsi="Arial" w:cs="Arial"/>
          <w:b/>
          <w:bCs/>
          <w:color w:val="auto"/>
          <w:sz w:val="24"/>
          <w:szCs w:val="24"/>
        </w:rPr>
      </w:pPr>
      <w:bookmarkStart w:id="15" w:name="_Toc227289096"/>
      <w:r w:rsidRPr="005F1372">
        <w:rPr>
          <w:rFonts w:ascii="Arial" w:hAnsi="Arial" w:cs="Arial"/>
          <w:b/>
          <w:bCs/>
          <w:color w:val="auto"/>
          <w:sz w:val="24"/>
          <w:szCs w:val="24"/>
        </w:rPr>
        <w:t>Local Wellbeing Initiatives</w:t>
      </w:r>
      <w:bookmarkEnd w:id="15"/>
    </w:p>
    <w:p w14:paraId="2C9CF106" w14:textId="2C4E1A87" w:rsidR="00DD28C8" w:rsidRDefault="003155B9" w:rsidP="00437CA8">
      <w:pPr>
        <w:spacing w:line="360" w:lineRule="auto"/>
        <w:jc w:val="both"/>
        <w:rPr>
          <w:rFonts w:ascii="Arial" w:hAnsi="Arial" w:cs="Arial"/>
        </w:rPr>
      </w:pPr>
      <w:r w:rsidRPr="00717E82">
        <w:rPr>
          <w:rFonts w:ascii="Arial" w:hAnsi="Arial" w:cs="Arial"/>
        </w:rPr>
        <w:t>Local</w:t>
      </w:r>
      <w:r w:rsidR="00353906">
        <w:rPr>
          <w:rFonts w:ascii="Arial" w:hAnsi="Arial" w:cs="Arial"/>
        </w:rPr>
        <w:t xml:space="preserve"> initiatives are ess</w:t>
      </w:r>
      <w:r w:rsidR="00410623">
        <w:rPr>
          <w:rFonts w:ascii="Arial" w:hAnsi="Arial" w:cs="Arial"/>
        </w:rPr>
        <w:t xml:space="preserve">ential for addressing the specific needs of </w:t>
      </w:r>
      <w:r w:rsidR="00DD28C8">
        <w:rPr>
          <w:rFonts w:ascii="Arial" w:hAnsi="Arial" w:cs="Arial"/>
        </w:rPr>
        <w:t>communities</w:t>
      </w:r>
      <w:r w:rsidR="00410623">
        <w:rPr>
          <w:rFonts w:ascii="Arial" w:hAnsi="Arial" w:cs="Arial"/>
        </w:rPr>
        <w:t xml:space="preserve"> and reducing health ine</w:t>
      </w:r>
      <w:r w:rsidR="00C432B1">
        <w:rPr>
          <w:rFonts w:ascii="Arial" w:hAnsi="Arial" w:cs="Arial"/>
        </w:rPr>
        <w:t>qualities at a neighbourhood level. In Croydon</w:t>
      </w:r>
      <w:r w:rsidR="00DD28C8">
        <w:rPr>
          <w:rFonts w:ascii="Arial" w:hAnsi="Arial" w:cs="Arial"/>
        </w:rPr>
        <w:t>,</w:t>
      </w:r>
      <w:r w:rsidR="00C432B1">
        <w:rPr>
          <w:rFonts w:ascii="Arial" w:hAnsi="Arial" w:cs="Arial"/>
        </w:rPr>
        <w:t xml:space="preserve"> </w:t>
      </w:r>
      <w:r w:rsidR="00B04D0B">
        <w:rPr>
          <w:rFonts w:ascii="Arial" w:hAnsi="Arial" w:cs="Arial"/>
        </w:rPr>
        <w:t xml:space="preserve">there are two significant </w:t>
      </w:r>
      <w:r w:rsidR="00DD28C8">
        <w:rPr>
          <w:rFonts w:ascii="Arial" w:hAnsi="Arial" w:cs="Arial"/>
        </w:rPr>
        <w:t>initiatives</w:t>
      </w:r>
      <w:r w:rsidR="00B04D0B">
        <w:rPr>
          <w:rFonts w:ascii="Arial" w:hAnsi="Arial" w:cs="Arial"/>
        </w:rPr>
        <w:t xml:space="preserve"> aligned with SDGs </w:t>
      </w:r>
      <w:r w:rsidR="00891791">
        <w:rPr>
          <w:rFonts w:ascii="Arial" w:hAnsi="Arial" w:cs="Arial"/>
        </w:rPr>
        <w:t>3, 1 and 10</w:t>
      </w:r>
      <w:r w:rsidR="00DD28C8">
        <w:rPr>
          <w:rFonts w:ascii="Arial" w:hAnsi="Arial" w:cs="Arial"/>
        </w:rPr>
        <w:t>:</w:t>
      </w:r>
      <w:r w:rsidR="00891791">
        <w:rPr>
          <w:rFonts w:ascii="Arial" w:hAnsi="Arial" w:cs="Arial"/>
        </w:rPr>
        <w:t xml:space="preserve"> the Croydon </w:t>
      </w:r>
      <w:r w:rsidR="00DD28C8">
        <w:rPr>
          <w:rFonts w:ascii="Arial" w:hAnsi="Arial" w:cs="Arial"/>
        </w:rPr>
        <w:t>Social Prescribing</w:t>
      </w:r>
      <w:r w:rsidR="00244960">
        <w:rPr>
          <w:rFonts w:ascii="Arial" w:hAnsi="Arial" w:cs="Arial"/>
        </w:rPr>
        <w:t xml:space="preserve"> Programme and </w:t>
      </w:r>
      <w:r w:rsidR="00DD28C8">
        <w:rPr>
          <w:rFonts w:ascii="Arial" w:hAnsi="Arial" w:cs="Arial"/>
        </w:rPr>
        <w:t xml:space="preserve">the </w:t>
      </w:r>
      <w:r w:rsidR="00244960">
        <w:rPr>
          <w:rFonts w:ascii="Arial" w:hAnsi="Arial" w:cs="Arial"/>
        </w:rPr>
        <w:t xml:space="preserve">Croydon Digital Inclusion </w:t>
      </w:r>
      <w:r w:rsidR="00DD28C8">
        <w:rPr>
          <w:rFonts w:ascii="Arial" w:hAnsi="Arial" w:cs="Arial"/>
        </w:rPr>
        <w:t xml:space="preserve">Initiative. </w:t>
      </w:r>
    </w:p>
    <w:p w14:paraId="20555E67" w14:textId="4AE95C2C" w:rsidR="00437CA8" w:rsidRDefault="00B26AD4" w:rsidP="00437CA8">
      <w:pPr>
        <w:spacing w:line="360" w:lineRule="auto"/>
        <w:jc w:val="both"/>
        <w:rPr>
          <w:rFonts w:ascii="Arial" w:hAnsi="Arial" w:cs="Arial"/>
        </w:rPr>
      </w:pPr>
      <w:r>
        <w:rPr>
          <w:rFonts w:ascii="Arial" w:hAnsi="Arial" w:cs="Arial"/>
        </w:rPr>
        <w:t xml:space="preserve">The Croydon Social Prescribing Programme connects residents with non-clinical community services, including exercise groups, mental health support, financial advice, and social activities. According to Hopely, Y. (2023), this initiative recognises that wellbeing is shaped by social determinants such as loneliness, poverty, and housing insecurity. Social prescribing supports SDG 3 by improving mental health, reducing GP workload, and promoting holistic care. It also aligns with SDG 1 and SDG 10 by supporting individuals facing financial hardship or social exclusion. Evidence from Croydon shows improvements in mental well-being, reduced isolation, and increased engagement with community resources. However, challenges </w:t>
      </w:r>
      <w:r w:rsidR="00645292">
        <w:rPr>
          <w:rFonts w:ascii="Arial" w:hAnsi="Arial" w:cs="Arial"/>
        </w:rPr>
        <w:t xml:space="preserve">such as </w:t>
      </w:r>
      <w:r>
        <w:rPr>
          <w:rFonts w:ascii="Arial" w:hAnsi="Arial" w:cs="Arial"/>
        </w:rPr>
        <w:t xml:space="preserve">inconsistent funding, limited capacity within voluntary organisations, and difficulties reaching marginalised groups who may distrust services or face language barriers.  Croydon also experiences significant health inequalities, with a life expectancy gap of up to 9 years between wards, according to Croydon Council (2022). </w:t>
      </w:r>
    </w:p>
    <w:p w14:paraId="7D819930" w14:textId="5D6DAFFC" w:rsidR="00D71D6E" w:rsidRPr="0068060E" w:rsidRDefault="0053473C" w:rsidP="0068060E">
      <w:pPr>
        <w:spacing w:line="360" w:lineRule="auto"/>
        <w:jc w:val="both"/>
        <w:rPr>
          <w:rFonts w:ascii="Arial" w:hAnsi="Arial" w:cs="Arial"/>
        </w:rPr>
      </w:pPr>
      <w:r w:rsidRPr="00717E82">
        <w:rPr>
          <w:rFonts w:ascii="Arial" w:hAnsi="Arial" w:cs="Arial"/>
        </w:rPr>
        <w:t>However, Marmot (2015) highlighted that individuals in lower socioeconomic positions experience poorer health outcomes and shorter life expectancy, as seen in Croydon. Croydon’s diversity and socioeconomic variation mean SDG 10 is highly relevant. Local equality strategies and community</w:t>
      </w:r>
      <w:r w:rsidRPr="00717E82">
        <w:rPr>
          <w:rFonts w:ascii="Arial" w:hAnsi="Arial" w:cs="Arial"/>
        </w:rPr>
        <w:noBreakHyphen/>
        <w:t>based initiatives address food insecurity, homelessness and digital exclusion (Croydon Council, 2022). Moreover, structural inequalities, such as housing insecurity and unemployment, continue to undermine health and well-being.</w:t>
      </w:r>
      <w:r w:rsidR="00CD2872">
        <w:rPr>
          <w:rFonts w:ascii="Arial" w:hAnsi="Arial" w:cs="Arial"/>
        </w:rPr>
        <w:t xml:space="preserve"> </w:t>
      </w:r>
      <w:r w:rsidR="006155F8" w:rsidRPr="006155F8">
        <w:rPr>
          <w:rFonts w:ascii="Arial" w:hAnsi="Arial" w:cs="Arial"/>
        </w:rPr>
        <w:t>Croydon’s local initiatives demonstrate strong alignment with sustainable development principles. Both programmes effectively address social determinants of health</w:t>
      </w:r>
      <w:r w:rsidR="00CD2872">
        <w:rPr>
          <w:rFonts w:ascii="Arial" w:hAnsi="Arial" w:cs="Arial"/>
        </w:rPr>
        <w:t>.</w:t>
      </w:r>
    </w:p>
    <w:p w14:paraId="6331380A" w14:textId="3829D90F" w:rsidR="00435F78" w:rsidRPr="005F1372" w:rsidRDefault="00435F78" w:rsidP="005F1372">
      <w:pPr>
        <w:pStyle w:val="Heading1"/>
        <w:rPr>
          <w:rFonts w:ascii="Arial" w:hAnsi="Arial" w:cs="Arial"/>
          <w:b/>
          <w:bCs/>
          <w:color w:val="auto"/>
          <w:sz w:val="24"/>
          <w:szCs w:val="24"/>
        </w:rPr>
      </w:pPr>
      <w:bookmarkStart w:id="16" w:name="_Toc227288870"/>
      <w:bookmarkStart w:id="17" w:name="_Toc227289097"/>
      <w:r w:rsidRPr="005F1372">
        <w:rPr>
          <w:rFonts w:ascii="Arial" w:hAnsi="Arial" w:cs="Arial"/>
          <w:b/>
          <w:bCs/>
          <w:color w:val="auto"/>
          <w:sz w:val="24"/>
          <w:szCs w:val="24"/>
        </w:rPr>
        <w:lastRenderedPageBreak/>
        <w:t>Recommendations</w:t>
      </w:r>
      <w:bookmarkEnd w:id="16"/>
      <w:bookmarkEnd w:id="17"/>
    </w:p>
    <w:p w14:paraId="3EBCE318" w14:textId="2FE9AA4A" w:rsidR="0049432C" w:rsidRDefault="0044653D" w:rsidP="0049432C">
      <w:pPr>
        <w:spacing w:line="360" w:lineRule="auto"/>
        <w:jc w:val="both"/>
        <w:rPr>
          <w:rFonts w:ascii="Arial" w:hAnsi="Arial" w:cs="Arial"/>
        </w:rPr>
      </w:pPr>
      <w:bookmarkStart w:id="18" w:name="_Toc226406455"/>
      <w:bookmarkStart w:id="19" w:name="_Toc226406720"/>
      <w:r>
        <w:rPr>
          <w:rFonts w:ascii="Arial" w:hAnsi="Arial" w:cs="Arial"/>
        </w:rPr>
        <w:t>Strengthening the UK’s health and social care system requires coordinated action across prevention, workforce development, equity, and sustainability. Prevention and early intervention should be prioritised by expanding community-based mental health support and improving health literacy through culturally appropriate, accessible materials. Addressing workforce challenges is also essential, with a focus on improving pay and working conditions, widening training pathways through apprenticeships, and supporting staff wellbeing through flexible working and mental health resources. Reducing health inequalities demands targeted interventions in deprived areas and stronger partnerships with community organisations serving ethnic minority groups. In Croydon, social prescribing and digital inclusion initiatives would benefit from long-term funding, deeper collaboration with grassroots organisations, and targeted outreach to marginalised groups. Finally, enhancing sustainability requires investment in green infrastructure, support for NHS organisations to reduce carbon emissions, and collaboration with local authorities to promote active travel and healthy urban planning. Together, these measures contribute to a more equitable, resilient, and sustainable system.</w:t>
      </w:r>
    </w:p>
    <w:p w14:paraId="12BAC2BF" w14:textId="0B627931" w:rsidR="0049432C" w:rsidRPr="005F1372" w:rsidRDefault="00717E82" w:rsidP="005F1372">
      <w:pPr>
        <w:pStyle w:val="Heading1"/>
        <w:rPr>
          <w:rFonts w:ascii="Arial" w:hAnsi="Arial" w:cs="Arial"/>
          <w:b/>
          <w:bCs/>
          <w:color w:val="auto"/>
          <w:sz w:val="24"/>
          <w:szCs w:val="24"/>
        </w:rPr>
      </w:pPr>
      <w:bookmarkStart w:id="20" w:name="_Toc227289098"/>
      <w:r w:rsidRPr="005F1372">
        <w:rPr>
          <w:rFonts w:ascii="Arial" w:hAnsi="Arial" w:cs="Arial"/>
          <w:b/>
          <w:bCs/>
          <w:color w:val="auto"/>
          <w:sz w:val="24"/>
          <w:szCs w:val="24"/>
        </w:rPr>
        <w:t>Conclusion</w:t>
      </w:r>
      <w:bookmarkEnd w:id="18"/>
      <w:bookmarkEnd w:id="19"/>
      <w:bookmarkEnd w:id="20"/>
      <w:r w:rsidRPr="005F1372">
        <w:rPr>
          <w:rFonts w:ascii="Arial" w:hAnsi="Arial" w:cs="Arial"/>
          <w:b/>
          <w:bCs/>
          <w:color w:val="auto"/>
          <w:sz w:val="24"/>
          <w:szCs w:val="24"/>
        </w:rPr>
        <w:t xml:space="preserve"> </w:t>
      </w:r>
      <w:bookmarkStart w:id="21" w:name="_Toc226406456"/>
      <w:bookmarkStart w:id="22" w:name="_Toc226406721"/>
    </w:p>
    <w:p w14:paraId="2E3B8A79" w14:textId="2113E3D1" w:rsidR="0049432C" w:rsidRPr="0049432C" w:rsidRDefault="006F02FB" w:rsidP="0049432C">
      <w:pPr>
        <w:spacing w:line="360" w:lineRule="auto"/>
        <w:jc w:val="both"/>
        <w:rPr>
          <w:rFonts w:ascii="Arial" w:hAnsi="Arial" w:cs="Arial"/>
        </w:rPr>
      </w:pPr>
      <w:r>
        <w:rPr>
          <w:rFonts w:ascii="Arial" w:hAnsi="Arial" w:cs="Arial"/>
        </w:rPr>
        <w:t xml:space="preserve">This report has examined how SDG 3, SDG 1, and SDG 10 collectively shape health and </w:t>
      </w:r>
      <w:r w:rsidR="006E3F01">
        <w:rPr>
          <w:rFonts w:ascii="Arial" w:hAnsi="Arial" w:cs="Arial"/>
        </w:rPr>
        <w:t>well-being</w:t>
      </w:r>
      <w:r>
        <w:rPr>
          <w:rFonts w:ascii="Arial" w:hAnsi="Arial" w:cs="Arial"/>
        </w:rPr>
        <w:t xml:space="preserve"> by addressing access to healthcare, poverty, and inequality. National initiatives such as the NHS Long Term Plan and the Better Health Campaign demonstrate progress but require a stronger focus on equity and structural determinants. Local initiatives in Croydon, including social prescribing and digital inclusion, demonstrate the value of community-based approaches in reducing inequalities. Achieving sustainable wellbeing requires coordinated action across global, national, and local levels, with long-term investment, cross-sector collaboration, and a commitment to addressing the root causes of health disparities.</w:t>
      </w:r>
    </w:p>
    <w:p w14:paraId="3CB586B0" w14:textId="77777777" w:rsidR="0044653D" w:rsidRDefault="0044653D" w:rsidP="005F1372">
      <w:pPr>
        <w:pStyle w:val="Heading1"/>
        <w:rPr>
          <w:rFonts w:ascii="Arial" w:hAnsi="Arial" w:cs="Arial"/>
          <w:b/>
          <w:bCs/>
          <w:color w:val="auto"/>
          <w:sz w:val="24"/>
          <w:szCs w:val="24"/>
        </w:rPr>
      </w:pPr>
      <w:bookmarkStart w:id="23" w:name="_Toc227288871"/>
      <w:bookmarkStart w:id="24" w:name="_Toc227289099"/>
    </w:p>
    <w:p w14:paraId="719FA29F" w14:textId="77777777" w:rsidR="0044653D" w:rsidRDefault="0044653D" w:rsidP="005F1372">
      <w:pPr>
        <w:pStyle w:val="Heading1"/>
        <w:rPr>
          <w:rFonts w:ascii="Arial" w:hAnsi="Arial" w:cs="Arial"/>
          <w:b/>
          <w:bCs/>
          <w:color w:val="auto"/>
          <w:sz w:val="24"/>
          <w:szCs w:val="24"/>
        </w:rPr>
      </w:pPr>
    </w:p>
    <w:bookmarkEnd w:id="21"/>
    <w:bookmarkEnd w:id="22"/>
    <w:bookmarkEnd w:id="23"/>
    <w:bookmarkEnd w:id="24"/>
    <w:p w14:paraId="67C0EB39" w14:textId="77777777" w:rsidR="00990A9E" w:rsidRDefault="00990A9E" w:rsidP="00427873">
      <w:pPr>
        <w:spacing w:line="360" w:lineRule="auto"/>
        <w:jc w:val="both"/>
        <w:rPr>
          <w:rFonts w:ascii="Arial" w:hAnsi="Arial" w:cs="Arial"/>
        </w:rPr>
      </w:pPr>
    </w:p>
    <w:p w14:paraId="569FEA31" w14:textId="77777777" w:rsidR="00DF1733" w:rsidRDefault="00DF1733" w:rsidP="00990A9E">
      <w:pPr>
        <w:pStyle w:val="Heading1"/>
        <w:rPr>
          <w:rFonts w:ascii="Arial" w:hAnsi="Arial" w:cs="Arial"/>
          <w:b/>
          <w:bCs/>
          <w:color w:val="auto"/>
          <w:sz w:val="24"/>
          <w:szCs w:val="24"/>
        </w:rPr>
      </w:pPr>
    </w:p>
    <w:p w14:paraId="797184D5" w14:textId="77777777" w:rsidR="00CD2872" w:rsidRDefault="00CD2872" w:rsidP="00990A9E">
      <w:pPr>
        <w:pStyle w:val="Heading1"/>
        <w:rPr>
          <w:rFonts w:ascii="Arial" w:hAnsi="Arial" w:cs="Arial"/>
          <w:b/>
          <w:bCs/>
          <w:color w:val="auto"/>
          <w:sz w:val="24"/>
          <w:szCs w:val="24"/>
        </w:rPr>
      </w:pPr>
    </w:p>
    <w:p w14:paraId="47E5C027" w14:textId="77777777" w:rsidR="00CD2872" w:rsidRDefault="00CD2872" w:rsidP="00990A9E">
      <w:pPr>
        <w:pStyle w:val="Heading1"/>
        <w:rPr>
          <w:rFonts w:ascii="Arial" w:hAnsi="Arial" w:cs="Arial"/>
          <w:b/>
          <w:bCs/>
          <w:color w:val="auto"/>
          <w:sz w:val="24"/>
          <w:szCs w:val="24"/>
        </w:rPr>
      </w:pPr>
    </w:p>
    <w:p w14:paraId="1414E981" w14:textId="77777777" w:rsidR="00D2548E" w:rsidRPr="00D2548E" w:rsidRDefault="00D2548E" w:rsidP="00D2548E"/>
    <w:p w14:paraId="6C30CC41" w14:textId="1301D219" w:rsidR="00990A9E" w:rsidRPr="00DF614F" w:rsidRDefault="00990A9E" w:rsidP="00990A9E">
      <w:pPr>
        <w:pStyle w:val="Heading1"/>
        <w:rPr>
          <w:rFonts w:ascii="Arial" w:hAnsi="Arial" w:cs="Arial"/>
          <w:b/>
          <w:bCs/>
          <w:color w:val="auto"/>
          <w:sz w:val="24"/>
          <w:szCs w:val="24"/>
        </w:rPr>
      </w:pPr>
      <w:r w:rsidRPr="00DF614F">
        <w:rPr>
          <w:rFonts w:ascii="Arial" w:hAnsi="Arial" w:cs="Arial"/>
          <w:b/>
          <w:bCs/>
          <w:color w:val="auto"/>
          <w:sz w:val="24"/>
          <w:szCs w:val="24"/>
        </w:rPr>
        <w:lastRenderedPageBreak/>
        <w:t>References</w:t>
      </w:r>
    </w:p>
    <w:p w14:paraId="5C2C4029" w14:textId="27918884" w:rsidR="001128EB" w:rsidRPr="00AC229A" w:rsidRDefault="00990A9E" w:rsidP="00427873">
      <w:pPr>
        <w:spacing w:line="360" w:lineRule="auto"/>
        <w:jc w:val="both"/>
        <w:rPr>
          <w:rFonts w:ascii="Arial" w:hAnsi="Arial" w:cs="Arial"/>
        </w:rPr>
      </w:pPr>
      <w:r w:rsidRPr="00AC229A">
        <w:rPr>
          <w:rFonts w:ascii="Arial" w:hAnsi="Arial" w:cs="Arial"/>
        </w:rPr>
        <w:t xml:space="preserve">Ayano, G. (2018) “Significance of mental health legislation for successful primary care for mental health and community mental health services: a review,” African </w:t>
      </w:r>
      <w:r>
        <w:rPr>
          <w:rFonts w:ascii="Arial" w:hAnsi="Arial" w:cs="Arial"/>
        </w:rPr>
        <w:t>Journal</w:t>
      </w:r>
      <w:r w:rsidRPr="00AC229A">
        <w:rPr>
          <w:rFonts w:ascii="Arial" w:hAnsi="Arial" w:cs="Arial"/>
        </w:rPr>
        <w:t xml:space="preserve"> of </w:t>
      </w:r>
      <w:r>
        <w:rPr>
          <w:rFonts w:ascii="Arial" w:hAnsi="Arial" w:cs="Arial"/>
        </w:rPr>
        <w:t>Primary</w:t>
      </w:r>
      <w:r w:rsidRPr="00AC229A">
        <w:rPr>
          <w:rFonts w:ascii="Arial" w:hAnsi="Arial" w:cs="Arial"/>
        </w:rPr>
        <w:t xml:space="preserve"> </w:t>
      </w:r>
      <w:r w:rsidR="001128EB" w:rsidRPr="00AC229A">
        <w:rPr>
          <w:rFonts w:ascii="Arial" w:hAnsi="Arial" w:cs="Arial"/>
        </w:rPr>
        <w:t>health care &amp; family medicine, 10(1), pp. 1–4. Available at: https://doi.org/10.4102/phcfm.v10i1.1429.</w:t>
      </w:r>
    </w:p>
    <w:p w14:paraId="39F060BC" w14:textId="3B7D9790" w:rsidR="000F2181" w:rsidRPr="00717E82" w:rsidRDefault="000F2181" w:rsidP="00427873">
      <w:pPr>
        <w:spacing w:line="360" w:lineRule="auto"/>
        <w:jc w:val="both"/>
        <w:rPr>
          <w:rFonts w:ascii="Arial" w:hAnsi="Arial" w:cs="Arial"/>
        </w:rPr>
      </w:pPr>
      <w:r w:rsidRPr="00717E82">
        <w:rPr>
          <w:rFonts w:ascii="Arial" w:hAnsi="Arial" w:cs="Arial"/>
        </w:rPr>
        <w:t xml:space="preserve">Bhandari, </w:t>
      </w:r>
      <w:proofErr w:type="spellStart"/>
      <w:r w:rsidRPr="00717E82">
        <w:rPr>
          <w:rFonts w:ascii="Arial" w:hAnsi="Arial" w:cs="Arial"/>
        </w:rPr>
        <w:t>Medani</w:t>
      </w:r>
      <w:proofErr w:type="spellEnd"/>
      <w:r w:rsidRPr="00717E82">
        <w:rPr>
          <w:rFonts w:ascii="Arial" w:hAnsi="Arial" w:cs="Arial"/>
        </w:rPr>
        <w:t xml:space="preserve"> P. “What Is </w:t>
      </w:r>
      <w:r w:rsidR="00280DFE" w:rsidRPr="00717E82">
        <w:rPr>
          <w:rFonts w:ascii="Arial" w:hAnsi="Arial" w:cs="Arial"/>
        </w:rPr>
        <w:t>Next</w:t>
      </w:r>
      <w:r w:rsidRPr="00717E82">
        <w:rPr>
          <w:rFonts w:ascii="Arial" w:hAnsi="Arial" w:cs="Arial"/>
        </w:rPr>
        <w:t xml:space="preserve"> for the Sustainable Development Goals, What Are the Challenges Concerning SDG 10</w:t>
      </w:r>
      <w:r w:rsidR="00001B8C">
        <w:rPr>
          <w:rFonts w:ascii="Arial" w:hAnsi="Arial" w:cs="Arial"/>
        </w:rPr>
        <w:t xml:space="preserve">, </w:t>
      </w:r>
      <w:r w:rsidRPr="00717E82">
        <w:rPr>
          <w:rFonts w:ascii="Arial" w:hAnsi="Arial" w:cs="Arial"/>
        </w:rPr>
        <w:t>Reduced Inequalities?” Sustainable Earth Reviews, vol. 7, no. 1, 15 July 2024, https://doi.org/10.1186/s42055-024-00093-8. Accessed 25 July 2024.</w:t>
      </w:r>
    </w:p>
    <w:p w14:paraId="521AC3E8" w14:textId="4F3EE5FB" w:rsidR="001868D5" w:rsidRDefault="001868D5" w:rsidP="00427873">
      <w:pPr>
        <w:spacing w:line="360" w:lineRule="auto"/>
        <w:jc w:val="both"/>
        <w:rPr>
          <w:rFonts w:ascii="Arial" w:hAnsi="Arial" w:cs="Arial"/>
        </w:rPr>
      </w:pPr>
      <w:r w:rsidRPr="001868D5">
        <w:rPr>
          <w:rFonts w:ascii="Arial" w:hAnsi="Arial" w:cs="Arial"/>
        </w:rPr>
        <w:t xml:space="preserve">Corris, V. et al. (2020) “Health inequalities are worsening in the </w:t>
      </w:r>
      <w:r w:rsidR="00001B8C" w:rsidRPr="00AC229A">
        <w:rPr>
          <w:rFonts w:ascii="Arial" w:hAnsi="Arial" w:cs="Arial"/>
        </w:rPr>
        <w:t>Northeast</w:t>
      </w:r>
      <w:r w:rsidRPr="001868D5">
        <w:rPr>
          <w:rFonts w:ascii="Arial" w:hAnsi="Arial" w:cs="Arial"/>
        </w:rPr>
        <w:t xml:space="preserve"> of England,” British </w:t>
      </w:r>
      <w:r w:rsidR="00363917" w:rsidRPr="00AC229A">
        <w:rPr>
          <w:rFonts w:ascii="Arial" w:hAnsi="Arial" w:cs="Arial"/>
        </w:rPr>
        <w:t>Medical Bulletin</w:t>
      </w:r>
      <w:r w:rsidRPr="001868D5">
        <w:rPr>
          <w:rFonts w:ascii="Arial" w:hAnsi="Arial" w:cs="Arial"/>
        </w:rPr>
        <w:t>, 134(1), pp. 63–72. Available at: https://doi.org/10.1093/bmb/ldaa008.</w:t>
      </w:r>
    </w:p>
    <w:p w14:paraId="4A269F61" w14:textId="06D26FE1" w:rsidR="00B209C6" w:rsidRPr="00717E82" w:rsidRDefault="00B209C6" w:rsidP="00427873">
      <w:pPr>
        <w:spacing w:line="360" w:lineRule="auto"/>
        <w:jc w:val="both"/>
        <w:rPr>
          <w:rFonts w:ascii="Arial" w:hAnsi="Arial" w:cs="Arial"/>
        </w:rPr>
      </w:pPr>
      <w:r w:rsidRPr="00717E82">
        <w:rPr>
          <w:rFonts w:ascii="Arial" w:hAnsi="Arial" w:cs="Arial"/>
        </w:rPr>
        <w:t>Crawford, John R, et al. “A Critical Review of Social Exclusion and Inclusion among Immigrant and Refugee Women.” Advances in Public Health, vol. 2023, no. 1, 30 Nov. 2023, pp. 1–20, https://doi.org/10.1155/2023/8889358.</w:t>
      </w:r>
    </w:p>
    <w:p w14:paraId="1EDE3EDB" w14:textId="016AC3AE" w:rsidR="002D3C69" w:rsidRDefault="002D3C69" w:rsidP="00427873">
      <w:pPr>
        <w:spacing w:line="360" w:lineRule="auto"/>
        <w:jc w:val="both"/>
        <w:rPr>
          <w:rFonts w:ascii="Arial" w:hAnsi="Arial" w:cs="Arial"/>
        </w:rPr>
      </w:pPr>
      <w:r w:rsidRPr="00717E82">
        <w:rPr>
          <w:rFonts w:ascii="Arial" w:hAnsi="Arial" w:cs="Arial"/>
        </w:rPr>
        <w:t>Croydon Council (2022) Croydon Health and Wellbeing Strategy 2022–2027. London: Croydon Council.</w:t>
      </w:r>
    </w:p>
    <w:p w14:paraId="4F1E1899" w14:textId="3C900C67" w:rsidR="002D3C69" w:rsidRPr="00717E82" w:rsidRDefault="002D3C69" w:rsidP="00427873">
      <w:pPr>
        <w:spacing w:line="360" w:lineRule="auto"/>
        <w:jc w:val="both"/>
        <w:rPr>
          <w:rFonts w:ascii="Arial" w:hAnsi="Arial" w:cs="Arial"/>
        </w:rPr>
      </w:pPr>
      <w:r w:rsidRPr="00717E82">
        <w:rPr>
          <w:rFonts w:ascii="Arial" w:hAnsi="Arial" w:cs="Arial"/>
        </w:rPr>
        <w:t>Department of Health and Social Care (DHSC) (2020) Tackling Obesity: Empowering Adults and Children to Live Healthier Lives. London: DHSC.</w:t>
      </w:r>
    </w:p>
    <w:p w14:paraId="381CEC9D" w14:textId="77777777" w:rsidR="001D7CFF" w:rsidRPr="001D7CFF" w:rsidRDefault="001D7CFF" w:rsidP="001D7CFF">
      <w:pPr>
        <w:spacing w:line="360" w:lineRule="auto"/>
        <w:jc w:val="both"/>
        <w:rPr>
          <w:rFonts w:ascii="Arial" w:hAnsi="Arial" w:cs="Arial"/>
        </w:rPr>
      </w:pPr>
      <w:r w:rsidRPr="001D7CFF">
        <w:rPr>
          <w:rFonts w:ascii="Arial" w:hAnsi="Arial" w:cs="Arial"/>
        </w:rPr>
        <w:t xml:space="preserve">Dorling, D. (2024) “The UK: international child poverty outlier,” </w:t>
      </w:r>
      <w:r w:rsidRPr="001D7CFF">
        <w:rPr>
          <w:rFonts w:ascii="Arial" w:hAnsi="Arial" w:cs="Arial"/>
          <w:i/>
          <w:iCs/>
        </w:rPr>
        <w:t>Geography</w:t>
      </w:r>
      <w:r w:rsidRPr="001D7CFF">
        <w:rPr>
          <w:rFonts w:ascii="Arial" w:hAnsi="Arial" w:cs="Arial"/>
        </w:rPr>
        <w:t>, 109(3), pp. 127–136. Available at: https://doi.org/10.1080/00167487.2024.2395175.</w:t>
      </w:r>
    </w:p>
    <w:p w14:paraId="34E72451" w14:textId="76EB6CCF" w:rsidR="00624B63" w:rsidRPr="006F02FB" w:rsidRDefault="00624B63" w:rsidP="00427873">
      <w:pPr>
        <w:spacing w:line="360" w:lineRule="auto"/>
        <w:jc w:val="both"/>
        <w:rPr>
          <w:rFonts w:ascii="Arial" w:hAnsi="Arial" w:cs="Arial"/>
        </w:rPr>
      </w:pPr>
      <w:r w:rsidRPr="006F02FB">
        <w:rPr>
          <w:rFonts w:ascii="Arial" w:hAnsi="Arial" w:cs="Arial"/>
        </w:rPr>
        <w:t>Edmiston, D. et al. (2022) “Mediating the claim? How ‘local ecosystems of support’ shape the operation and experience of UK social security,” Social policy &amp; administration, 56(5), pp. 775–790. Available at: https://doi.org/10.1111/spol.12803.</w:t>
      </w:r>
    </w:p>
    <w:p w14:paraId="66F10AEC" w14:textId="689938DE" w:rsidR="008B4479" w:rsidRPr="008B4479" w:rsidRDefault="008B4479" w:rsidP="008B4479">
      <w:pPr>
        <w:spacing w:line="360" w:lineRule="auto"/>
        <w:jc w:val="both"/>
        <w:rPr>
          <w:rFonts w:ascii="Arial" w:hAnsi="Arial" w:cs="Arial"/>
        </w:rPr>
      </w:pPr>
      <w:r w:rsidRPr="008B4479">
        <w:rPr>
          <w:rFonts w:ascii="Arial" w:hAnsi="Arial" w:cs="Arial"/>
        </w:rPr>
        <w:t xml:space="preserve">Groves, S. et al. (2022) “Attitudes towards the integration of smoking cessation into lung cancer screening in the United Kingdom: A qualitative study of individuals eligible to attend,” Health </w:t>
      </w:r>
      <w:r w:rsidR="007371CF" w:rsidRPr="008B4479">
        <w:rPr>
          <w:rFonts w:ascii="Arial" w:hAnsi="Arial" w:cs="Arial"/>
        </w:rPr>
        <w:t>expectations:</w:t>
      </w:r>
      <w:r w:rsidRPr="008B4479">
        <w:rPr>
          <w:rFonts w:ascii="Arial" w:hAnsi="Arial" w:cs="Arial"/>
        </w:rPr>
        <w:t xml:space="preserve"> an international journal of public participation in health care and health policy, 25(4), pp. 1703–1716. Available at: https://doi.org/10.1111/hex.13513.</w:t>
      </w:r>
    </w:p>
    <w:p w14:paraId="215E7C16" w14:textId="631C1907" w:rsidR="002034DD" w:rsidRDefault="002034DD" w:rsidP="00427873">
      <w:pPr>
        <w:spacing w:line="360" w:lineRule="auto"/>
        <w:jc w:val="both"/>
        <w:rPr>
          <w:rFonts w:ascii="Arial" w:hAnsi="Arial" w:cs="Arial"/>
        </w:rPr>
      </w:pPr>
      <w:r w:rsidRPr="002034DD">
        <w:rPr>
          <w:rFonts w:ascii="Arial" w:hAnsi="Arial" w:cs="Arial"/>
        </w:rPr>
        <w:t>FEAST, P. and HAND, J., 2015. Enigmas of the Equality Act 2010</w:t>
      </w:r>
      <w:r w:rsidR="000307A2" w:rsidRPr="002034DD">
        <w:rPr>
          <w:rFonts w:ascii="Arial" w:hAnsi="Arial" w:cs="Arial"/>
        </w:rPr>
        <w:t>— “</w:t>
      </w:r>
      <w:r w:rsidRPr="002034DD">
        <w:rPr>
          <w:rFonts w:ascii="Arial" w:hAnsi="Arial" w:cs="Arial"/>
        </w:rPr>
        <w:t>Three uneasy pieces”. </w:t>
      </w:r>
      <w:r w:rsidRPr="002034DD">
        <w:rPr>
          <w:rFonts w:ascii="Arial" w:hAnsi="Arial" w:cs="Arial"/>
          <w:i/>
          <w:iCs/>
        </w:rPr>
        <w:t>Cogent Social Sciences, </w:t>
      </w:r>
      <w:r w:rsidRPr="002034DD">
        <w:rPr>
          <w:rFonts w:ascii="Arial" w:hAnsi="Arial" w:cs="Arial"/>
          <w:b/>
          <w:bCs/>
        </w:rPr>
        <w:t>1</w:t>
      </w:r>
      <w:r w:rsidRPr="002034DD">
        <w:rPr>
          <w:rFonts w:ascii="Arial" w:hAnsi="Arial" w:cs="Arial"/>
        </w:rPr>
        <w:t>(1).</w:t>
      </w:r>
    </w:p>
    <w:p w14:paraId="7BB1A51C" w14:textId="3E461348" w:rsidR="00B262DE" w:rsidRPr="00717E82" w:rsidRDefault="00B262DE" w:rsidP="00427873">
      <w:pPr>
        <w:spacing w:line="360" w:lineRule="auto"/>
        <w:jc w:val="both"/>
        <w:rPr>
          <w:rFonts w:ascii="Arial" w:hAnsi="Arial" w:cs="Arial"/>
        </w:rPr>
      </w:pPr>
      <w:proofErr w:type="spellStart"/>
      <w:r w:rsidRPr="00717E82">
        <w:rPr>
          <w:rFonts w:ascii="Arial" w:hAnsi="Arial" w:cs="Arial"/>
        </w:rPr>
        <w:t>Freihat</w:t>
      </w:r>
      <w:proofErr w:type="spellEnd"/>
      <w:r w:rsidRPr="00717E82">
        <w:rPr>
          <w:rFonts w:ascii="Arial" w:hAnsi="Arial" w:cs="Arial"/>
        </w:rPr>
        <w:t xml:space="preserve">, O. </w:t>
      </w:r>
      <w:r w:rsidRPr="00717E82">
        <w:rPr>
          <w:rFonts w:ascii="Arial" w:hAnsi="Arial" w:cs="Arial"/>
          <w:i/>
          <w:iCs/>
        </w:rPr>
        <w:t>et al.</w:t>
      </w:r>
      <w:r w:rsidRPr="00717E82">
        <w:rPr>
          <w:rFonts w:ascii="Arial" w:hAnsi="Arial" w:cs="Arial"/>
        </w:rPr>
        <w:t xml:space="preserve"> (2025) “Global burden and future projections of non-communicable diseases (2000-2050): Progress toward SDG 3.4 and disparities across regions and risk factors,” </w:t>
      </w:r>
      <w:proofErr w:type="spellStart"/>
      <w:r w:rsidRPr="00717E82">
        <w:rPr>
          <w:rFonts w:ascii="Arial" w:hAnsi="Arial" w:cs="Arial"/>
          <w:i/>
          <w:iCs/>
        </w:rPr>
        <w:t>PloS</w:t>
      </w:r>
      <w:proofErr w:type="spellEnd"/>
      <w:r w:rsidRPr="00717E82">
        <w:rPr>
          <w:rFonts w:ascii="Arial" w:hAnsi="Arial" w:cs="Arial"/>
          <w:i/>
          <w:iCs/>
        </w:rPr>
        <w:t xml:space="preserve"> one</w:t>
      </w:r>
      <w:r w:rsidRPr="00717E82">
        <w:rPr>
          <w:rFonts w:ascii="Arial" w:hAnsi="Arial" w:cs="Arial"/>
        </w:rPr>
        <w:t>, 20(12), p. e0336036. Available at: https://doi.org/10.1371/journal.pone.0336036.</w:t>
      </w:r>
    </w:p>
    <w:p w14:paraId="33648F0C" w14:textId="73A90AF5" w:rsidR="00F16123" w:rsidRPr="00F16123" w:rsidRDefault="00F16123" w:rsidP="00F16123">
      <w:pPr>
        <w:spacing w:line="360" w:lineRule="auto"/>
        <w:jc w:val="both"/>
        <w:rPr>
          <w:rFonts w:ascii="Arial" w:hAnsi="Arial" w:cs="Arial"/>
        </w:rPr>
      </w:pPr>
      <w:proofErr w:type="spellStart"/>
      <w:r w:rsidRPr="00F16123">
        <w:rPr>
          <w:rFonts w:ascii="Arial" w:hAnsi="Arial" w:cs="Arial"/>
        </w:rPr>
        <w:lastRenderedPageBreak/>
        <w:t>Hammedi</w:t>
      </w:r>
      <w:proofErr w:type="spellEnd"/>
      <w:r w:rsidRPr="00F16123">
        <w:rPr>
          <w:rFonts w:ascii="Arial" w:hAnsi="Arial" w:cs="Arial"/>
        </w:rPr>
        <w:t>, W., Parkinson, J. and Patrício, L. (2024) “SDG commentary: services that enable well-being of the human species,” The Journal of Services Marketing, 38(2), pp. 153–163. Available at: https://doi.org/10.1108/JSM-09-2023-0324.</w:t>
      </w:r>
    </w:p>
    <w:p w14:paraId="618279A9" w14:textId="77777777" w:rsidR="009D4581" w:rsidRPr="006F02FB" w:rsidRDefault="009D4581" w:rsidP="009D4581">
      <w:pPr>
        <w:spacing w:line="360" w:lineRule="auto"/>
        <w:jc w:val="both"/>
        <w:rPr>
          <w:rFonts w:ascii="Arial" w:hAnsi="Arial" w:cs="Arial"/>
        </w:rPr>
      </w:pPr>
      <w:r w:rsidRPr="006F02FB">
        <w:rPr>
          <w:rFonts w:ascii="Arial" w:hAnsi="Arial" w:cs="Arial"/>
        </w:rPr>
        <w:t>Haves, E. (2024). Poverty in the UK: Government Policy. [online] House of Lords Library. Available at: https://lordslibrary.parliament.uk/poverty-in-the-uk-government-policy/ [Accessed 17 Apr. 2026].</w:t>
      </w:r>
    </w:p>
    <w:p w14:paraId="1287EA74" w14:textId="77777777" w:rsidR="00A01E06" w:rsidRPr="00A01E06" w:rsidRDefault="00A01E06" w:rsidP="00A01E06">
      <w:pPr>
        <w:spacing w:line="360" w:lineRule="auto"/>
        <w:jc w:val="both"/>
        <w:rPr>
          <w:rFonts w:ascii="Arial" w:hAnsi="Arial" w:cs="Arial"/>
        </w:rPr>
      </w:pPr>
      <w:r w:rsidRPr="00A01E06">
        <w:rPr>
          <w:rFonts w:ascii="Arial" w:hAnsi="Arial" w:cs="Arial"/>
        </w:rPr>
        <w:t xml:space="preserve">Haque, M. </w:t>
      </w:r>
      <w:r w:rsidRPr="00A01E06">
        <w:rPr>
          <w:rFonts w:ascii="Arial" w:hAnsi="Arial" w:cs="Arial"/>
          <w:i/>
          <w:iCs/>
        </w:rPr>
        <w:t>et al.</w:t>
      </w:r>
      <w:r w:rsidRPr="00A01E06">
        <w:rPr>
          <w:rFonts w:ascii="Arial" w:hAnsi="Arial" w:cs="Arial"/>
        </w:rPr>
        <w:t xml:space="preserve"> (2020) “Strengthening Primary Health-Care Services to Help Prevent and Control Long-Term (Chronic) Non-Communicable Diseases in Low- and Middle-Income Countries,” </w:t>
      </w:r>
      <w:r w:rsidRPr="00A01E06">
        <w:rPr>
          <w:rFonts w:ascii="Arial" w:hAnsi="Arial" w:cs="Arial"/>
          <w:i/>
          <w:iCs/>
        </w:rPr>
        <w:t>Risk management and healthcare policy</w:t>
      </w:r>
      <w:r w:rsidRPr="00A01E06">
        <w:rPr>
          <w:rFonts w:ascii="Arial" w:hAnsi="Arial" w:cs="Arial"/>
        </w:rPr>
        <w:t>, 13, pp. 409–426. Available at: https://doi.org/10.2147/RMHP.S239074.</w:t>
      </w:r>
    </w:p>
    <w:p w14:paraId="14A5C4D4" w14:textId="29093BFE" w:rsidR="00AC229A" w:rsidRPr="006F02FB" w:rsidRDefault="00AC229A" w:rsidP="00AC229A">
      <w:pPr>
        <w:spacing w:line="360" w:lineRule="auto"/>
        <w:jc w:val="both"/>
        <w:rPr>
          <w:rFonts w:ascii="Arial" w:hAnsi="Arial" w:cs="Arial"/>
        </w:rPr>
      </w:pPr>
      <w:r w:rsidRPr="006F02FB">
        <w:rPr>
          <w:rFonts w:ascii="Arial" w:hAnsi="Arial" w:cs="Arial"/>
        </w:rPr>
        <w:t>Hopely, Y. (2023). Croydon Health and Wellbeing Board Annual Report.</w:t>
      </w:r>
    </w:p>
    <w:p w14:paraId="437A1012" w14:textId="71BC51FF" w:rsidR="00C7224A" w:rsidRPr="00717E82" w:rsidRDefault="00B6750E" w:rsidP="00427873">
      <w:pPr>
        <w:spacing w:line="360" w:lineRule="auto"/>
        <w:jc w:val="both"/>
        <w:rPr>
          <w:rFonts w:ascii="Arial" w:hAnsi="Arial" w:cs="Arial"/>
        </w:rPr>
      </w:pPr>
      <w:r w:rsidRPr="00717E82">
        <w:rPr>
          <w:rFonts w:ascii="Arial" w:hAnsi="Arial" w:cs="Arial"/>
        </w:rPr>
        <w:t>Hopely</w:t>
      </w:r>
      <w:r w:rsidR="00C7224A" w:rsidRPr="00717E82">
        <w:rPr>
          <w:rFonts w:ascii="Arial" w:hAnsi="Arial" w:cs="Arial"/>
        </w:rPr>
        <w:t>, Yvette. Creating a Healthier and Happier Croydon through Improving and Protecting Health and Tackling Inequalities. 2024.</w:t>
      </w:r>
    </w:p>
    <w:p w14:paraId="467F606A" w14:textId="77777777" w:rsidR="00851B2D" w:rsidRPr="00851B2D" w:rsidRDefault="00851B2D" w:rsidP="00851B2D">
      <w:pPr>
        <w:spacing w:line="360" w:lineRule="auto"/>
        <w:jc w:val="both"/>
        <w:rPr>
          <w:rFonts w:ascii="Arial" w:hAnsi="Arial" w:cs="Arial"/>
        </w:rPr>
      </w:pPr>
      <w:r w:rsidRPr="00C344E5">
        <w:rPr>
          <w:rFonts w:ascii="Arial" w:hAnsi="Arial" w:cs="Arial"/>
        </w:rPr>
        <w:t xml:space="preserve">Hudson, B.F. </w:t>
      </w:r>
      <w:r w:rsidRPr="00C344E5">
        <w:rPr>
          <w:rFonts w:ascii="Arial" w:hAnsi="Arial" w:cs="Arial"/>
          <w:i/>
          <w:iCs/>
        </w:rPr>
        <w:t>et al.</w:t>
      </w:r>
      <w:r w:rsidRPr="00C344E5">
        <w:rPr>
          <w:rFonts w:ascii="Arial" w:hAnsi="Arial" w:cs="Arial"/>
        </w:rPr>
        <w:t xml:space="preserve"> </w:t>
      </w:r>
      <w:r w:rsidRPr="00851B2D">
        <w:rPr>
          <w:rFonts w:ascii="Arial" w:hAnsi="Arial" w:cs="Arial"/>
        </w:rPr>
        <w:t xml:space="preserve">(2019) “Impact of informational and relational continuity for people with palliative care needs: a mixed methods rapid review,” </w:t>
      </w:r>
      <w:r w:rsidRPr="00851B2D">
        <w:rPr>
          <w:rFonts w:ascii="Arial" w:hAnsi="Arial" w:cs="Arial"/>
          <w:i/>
          <w:iCs/>
        </w:rPr>
        <w:t>BMJ open</w:t>
      </w:r>
      <w:r w:rsidRPr="00851B2D">
        <w:rPr>
          <w:rFonts w:ascii="Arial" w:hAnsi="Arial" w:cs="Arial"/>
        </w:rPr>
        <w:t>, 9(5), p. e027323. Available at: https://doi.org/10.1136/bmjopen-2018-027323.</w:t>
      </w:r>
    </w:p>
    <w:p w14:paraId="4B305634" w14:textId="3F78CA89" w:rsidR="00AC229A" w:rsidRPr="00717E82" w:rsidRDefault="00AC229A" w:rsidP="00AC229A">
      <w:pPr>
        <w:spacing w:line="360" w:lineRule="auto"/>
        <w:jc w:val="both"/>
        <w:rPr>
          <w:rFonts w:ascii="Arial" w:hAnsi="Arial" w:cs="Arial"/>
        </w:rPr>
      </w:pPr>
      <w:r w:rsidRPr="00717E82">
        <w:rPr>
          <w:rFonts w:ascii="Arial" w:hAnsi="Arial" w:cs="Arial"/>
        </w:rPr>
        <w:t>Institute of Health Equity (2020). Health Equity in England: The Marmot Review 10 Years On. London: IHE.</w:t>
      </w:r>
    </w:p>
    <w:p w14:paraId="0F2BF440" w14:textId="29A01FC6" w:rsidR="00960033" w:rsidRPr="00D26488" w:rsidRDefault="00E05774" w:rsidP="00427873">
      <w:pPr>
        <w:spacing w:line="360" w:lineRule="auto"/>
        <w:jc w:val="both"/>
        <w:rPr>
          <w:rFonts w:ascii="Arial" w:hAnsi="Arial" w:cs="Arial"/>
        </w:rPr>
      </w:pPr>
      <w:r w:rsidRPr="00E05774">
        <w:rPr>
          <w:rFonts w:ascii="Arial" w:hAnsi="Arial" w:cs="Arial"/>
        </w:rPr>
        <w:t>Kuusio, H. et al. (2025) “94</w:t>
      </w:r>
      <w:r w:rsidRPr="00E05774">
        <w:rPr>
          <w:rFonts w:ascii="Arial" w:hAnsi="Arial" w:cs="Arial"/>
        </w:rPr>
        <w:t> </w:t>
      </w:r>
      <w:r w:rsidRPr="00E05774">
        <w:rPr>
          <w:rFonts w:ascii="Arial" w:hAnsi="Arial" w:cs="Arial"/>
        </w:rPr>
        <w:t>Access to health care among migrants in Finland: structural barriers and group differences,” European journal of public health, 35(Supplement_6). Available at: https://doi.org/10.1093/eurpub/ckaf180.114.</w:t>
      </w:r>
    </w:p>
    <w:p w14:paraId="5CA150AE" w14:textId="47407742" w:rsidR="002D3C69" w:rsidRPr="00717E82" w:rsidRDefault="002D3C69" w:rsidP="00427873">
      <w:pPr>
        <w:spacing w:line="360" w:lineRule="auto"/>
        <w:jc w:val="both"/>
        <w:rPr>
          <w:rFonts w:ascii="Arial" w:hAnsi="Arial" w:cs="Arial"/>
        </w:rPr>
      </w:pPr>
      <w:r w:rsidRPr="00717E82">
        <w:rPr>
          <w:rFonts w:ascii="Arial" w:hAnsi="Arial" w:cs="Arial"/>
        </w:rPr>
        <w:t>Local Government Association (LGA) (2022) Health and Wellbeing Boards: A Practical Guide. London: LGA.</w:t>
      </w:r>
    </w:p>
    <w:p w14:paraId="5DB65199" w14:textId="77777777" w:rsidR="001940F4" w:rsidRPr="001940F4" w:rsidRDefault="001940F4" w:rsidP="001940F4">
      <w:pPr>
        <w:spacing w:line="360" w:lineRule="auto"/>
        <w:jc w:val="both"/>
        <w:rPr>
          <w:rFonts w:ascii="Arial" w:hAnsi="Arial" w:cs="Arial"/>
        </w:rPr>
      </w:pPr>
      <w:r w:rsidRPr="001940F4">
        <w:rPr>
          <w:rFonts w:ascii="Arial" w:hAnsi="Arial" w:cs="Arial"/>
        </w:rPr>
        <w:t xml:space="preserve">Macassa, G. (2021) “Social Enterprise, Population Health and Sustainable Development Goal 3: A Public Health Viewpoint,” </w:t>
      </w:r>
      <w:r w:rsidRPr="001940F4">
        <w:rPr>
          <w:rFonts w:ascii="Arial" w:hAnsi="Arial" w:cs="Arial"/>
          <w:i/>
          <w:iCs/>
        </w:rPr>
        <w:t>Annals of global health</w:t>
      </w:r>
      <w:r w:rsidRPr="001940F4">
        <w:rPr>
          <w:rFonts w:ascii="Arial" w:hAnsi="Arial" w:cs="Arial"/>
        </w:rPr>
        <w:t>, 87(1), p. 52. Available at: https://doi.org/10.5334/aogh.3231.</w:t>
      </w:r>
    </w:p>
    <w:p w14:paraId="4254E3B1" w14:textId="6C08C6D4" w:rsidR="00C7224A" w:rsidRPr="007371CF" w:rsidRDefault="00C7224A" w:rsidP="00427873">
      <w:pPr>
        <w:jc w:val="both"/>
        <w:rPr>
          <w:rFonts w:ascii="Arial" w:hAnsi="Arial" w:cs="Arial"/>
        </w:rPr>
      </w:pPr>
      <w:r w:rsidRPr="007371CF">
        <w:rPr>
          <w:rFonts w:ascii="Arial" w:hAnsi="Arial" w:cs="Arial"/>
        </w:rPr>
        <w:t>Marmot, M. (2015). The health gap: The challenge of an unequal world. London: Bloomsbury.</w:t>
      </w:r>
    </w:p>
    <w:p w14:paraId="47053D50" w14:textId="77777777" w:rsidR="00E502B0" w:rsidRPr="00E502B0" w:rsidRDefault="00E502B0" w:rsidP="00E502B0">
      <w:pPr>
        <w:spacing w:line="360" w:lineRule="auto"/>
        <w:jc w:val="both"/>
        <w:rPr>
          <w:rFonts w:ascii="Arial" w:hAnsi="Arial" w:cs="Arial"/>
        </w:rPr>
      </w:pPr>
      <w:r w:rsidRPr="00E502B0">
        <w:rPr>
          <w:rFonts w:ascii="Arial" w:hAnsi="Arial" w:cs="Arial"/>
        </w:rPr>
        <w:t>Mustafa, S. et al. (2022) “COVID-19 Preparedness and Response Plans from 106 countries: a review from a health systems resilience perspective,” Health policy and planning, 37(2), pp. 255–268. Available at: https://doi.org/10.1093/heapol/czab089.</w:t>
      </w:r>
    </w:p>
    <w:p w14:paraId="3818A93A" w14:textId="51F9E477" w:rsidR="00ED695E" w:rsidRPr="00717E82" w:rsidRDefault="00ED695E" w:rsidP="00427873">
      <w:pPr>
        <w:spacing w:line="360" w:lineRule="auto"/>
        <w:jc w:val="both"/>
        <w:rPr>
          <w:rFonts w:ascii="Arial" w:hAnsi="Arial" w:cs="Arial"/>
        </w:rPr>
      </w:pPr>
      <w:r w:rsidRPr="00717E82">
        <w:rPr>
          <w:rFonts w:ascii="Arial" w:hAnsi="Arial" w:cs="Arial"/>
        </w:rPr>
        <w:t xml:space="preserve">Nazha, H.M., Alomari, M. and Darwich, M.A. (2026) “Bridging Financial Inclusion and Health Equity in LMICs: Evidence from a Half-Century of Bibliometric Data,” International </w:t>
      </w:r>
      <w:r w:rsidR="00D05253" w:rsidRPr="00717E82">
        <w:rPr>
          <w:rFonts w:ascii="Arial" w:hAnsi="Arial" w:cs="Arial"/>
        </w:rPr>
        <w:t>Journal</w:t>
      </w:r>
      <w:r w:rsidRPr="00717E82">
        <w:rPr>
          <w:rFonts w:ascii="Arial" w:hAnsi="Arial" w:cs="Arial"/>
        </w:rPr>
        <w:t xml:space="preserve"> of </w:t>
      </w:r>
      <w:r w:rsidR="00D05253" w:rsidRPr="00717E82">
        <w:rPr>
          <w:rFonts w:ascii="Arial" w:hAnsi="Arial" w:cs="Arial"/>
        </w:rPr>
        <w:lastRenderedPageBreak/>
        <w:t>Environmental Research</w:t>
      </w:r>
      <w:r w:rsidRPr="00717E82">
        <w:rPr>
          <w:rFonts w:ascii="Arial" w:hAnsi="Arial" w:cs="Arial"/>
        </w:rPr>
        <w:t xml:space="preserve"> and </w:t>
      </w:r>
      <w:r w:rsidR="00D05253" w:rsidRPr="00717E82">
        <w:rPr>
          <w:rFonts w:ascii="Arial" w:hAnsi="Arial" w:cs="Arial"/>
        </w:rPr>
        <w:t>Public Health</w:t>
      </w:r>
      <w:r w:rsidRPr="00717E82">
        <w:rPr>
          <w:rFonts w:ascii="Arial" w:hAnsi="Arial" w:cs="Arial"/>
        </w:rPr>
        <w:t>, 23(1), p. 96. Available at: https://doi.org/10.3390/ijerph23010096.</w:t>
      </w:r>
    </w:p>
    <w:p w14:paraId="3ACD480B" w14:textId="4D21FA31" w:rsidR="00FE60BF" w:rsidRPr="00FE60BF" w:rsidRDefault="00FE60BF" w:rsidP="00FE60BF">
      <w:pPr>
        <w:spacing w:line="360" w:lineRule="auto"/>
        <w:jc w:val="both"/>
        <w:rPr>
          <w:rFonts w:ascii="Arial" w:hAnsi="Arial" w:cs="Arial"/>
        </w:rPr>
      </w:pPr>
      <w:r w:rsidRPr="00FE60BF">
        <w:rPr>
          <w:rFonts w:ascii="Arial" w:hAnsi="Arial" w:cs="Arial"/>
        </w:rPr>
        <w:t xml:space="preserve">Naeem, U. et al. (2026) “Global Burden of Cardiovascular Disease: What Should Be Expected in the Next 25 </w:t>
      </w:r>
      <w:r w:rsidR="006A7FDF" w:rsidRPr="00FE60BF">
        <w:rPr>
          <w:rFonts w:ascii="Arial" w:hAnsi="Arial" w:cs="Arial"/>
        </w:rPr>
        <w:t>Years?</w:t>
      </w:r>
      <w:r w:rsidRPr="00FE60BF">
        <w:rPr>
          <w:rFonts w:ascii="Arial" w:hAnsi="Arial" w:cs="Arial"/>
        </w:rPr>
        <w:t>” Current cardiology reports, 28(1). Available at: https://doi.org/10.1007/s11886-026-02355-7.</w:t>
      </w:r>
    </w:p>
    <w:p w14:paraId="3F22B649" w14:textId="09CF2AB9" w:rsidR="0050193A" w:rsidRPr="0050193A" w:rsidRDefault="0050193A" w:rsidP="0050193A">
      <w:pPr>
        <w:spacing w:line="360" w:lineRule="auto"/>
        <w:jc w:val="both"/>
        <w:rPr>
          <w:rFonts w:ascii="Arial" w:hAnsi="Arial" w:cs="Arial"/>
        </w:rPr>
      </w:pPr>
      <w:r w:rsidRPr="0050193A">
        <w:rPr>
          <w:rFonts w:ascii="Arial" w:hAnsi="Arial" w:cs="Arial"/>
        </w:rPr>
        <w:t xml:space="preserve">Nature Reviews. Endocrinology (2020) “UK policy targeting obesity during a pandemic — the right </w:t>
      </w:r>
      <w:r w:rsidR="00BE2F1B" w:rsidRPr="0050193A">
        <w:rPr>
          <w:rFonts w:ascii="Arial" w:hAnsi="Arial" w:cs="Arial"/>
        </w:rPr>
        <w:t>approach?</w:t>
      </w:r>
      <w:r w:rsidRPr="0050193A">
        <w:rPr>
          <w:rFonts w:ascii="Arial" w:hAnsi="Arial" w:cs="Arial"/>
        </w:rPr>
        <w:t>” 16(11), pp. 609–609. Available at: https://doi.org/10.1038/s41574-020-00420-x.</w:t>
      </w:r>
    </w:p>
    <w:p w14:paraId="4160B5AC" w14:textId="6DA3B1F7" w:rsidR="002D3C69" w:rsidRPr="00717E82" w:rsidRDefault="002D3C69" w:rsidP="00427873">
      <w:pPr>
        <w:spacing w:line="360" w:lineRule="auto"/>
        <w:jc w:val="both"/>
        <w:rPr>
          <w:rFonts w:ascii="Arial" w:hAnsi="Arial" w:cs="Arial"/>
        </w:rPr>
      </w:pPr>
      <w:r w:rsidRPr="00717E82">
        <w:rPr>
          <w:rFonts w:ascii="Arial" w:hAnsi="Arial" w:cs="Arial"/>
        </w:rPr>
        <w:t>NHS (2019) The NHS Long Term Plan. London: NHS England.</w:t>
      </w:r>
    </w:p>
    <w:p w14:paraId="36265C14" w14:textId="77777777" w:rsidR="002D3C69" w:rsidRPr="00717E82" w:rsidRDefault="002D3C69" w:rsidP="00427873">
      <w:pPr>
        <w:spacing w:line="360" w:lineRule="auto"/>
        <w:jc w:val="both"/>
        <w:rPr>
          <w:rFonts w:ascii="Arial" w:hAnsi="Arial" w:cs="Arial"/>
        </w:rPr>
      </w:pPr>
      <w:r w:rsidRPr="00717E82">
        <w:rPr>
          <w:rFonts w:ascii="Arial" w:hAnsi="Arial" w:cs="Arial"/>
        </w:rPr>
        <w:t>Office for Health Improvement and Disparities (OHID) (2023) Public Health Outcomes Framework. London: OHID.</w:t>
      </w:r>
    </w:p>
    <w:p w14:paraId="5F9446F2" w14:textId="7F5F7AF8" w:rsidR="00BE2F1B" w:rsidRPr="009D4581" w:rsidRDefault="00BE2F1B" w:rsidP="00BE2F1B">
      <w:pPr>
        <w:spacing w:line="360" w:lineRule="auto"/>
        <w:jc w:val="both"/>
        <w:rPr>
          <w:rFonts w:ascii="Arial" w:hAnsi="Arial" w:cs="Arial"/>
        </w:rPr>
      </w:pPr>
      <w:r w:rsidRPr="009D4581">
        <w:rPr>
          <w:rFonts w:ascii="Arial" w:hAnsi="Arial" w:cs="Arial"/>
        </w:rPr>
        <w:t>Poverty in the UK: Government Policy. [online] House of Lords Library. Available at: https://lordslibrary.parliament.uk/poverty-in-the-uk-government-policy/ [Accessed 17 Apr. 2026].</w:t>
      </w:r>
    </w:p>
    <w:p w14:paraId="43AD02B8" w14:textId="77777777" w:rsidR="005C30CF" w:rsidRPr="005C30CF" w:rsidRDefault="005C30CF" w:rsidP="005C30CF">
      <w:pPr>
        <w:spacing w:line="360" w:lineRule="auto"/>
        <w:jc w:val="both"/>
        <w:rPr>
          <w:rFonts w:ascii="Arial" w:hAnsi="Arial" w:cs="Arial"/>
        </w:rPr>
      </w:pPr>
      <w:r w:rsidRPr="005C30CF">
        <w:rPr>
          <w:rFonts w:ascii="Arial" w:hAnsi="Arial" w:cs="Arial"/>
        </w:rPr>
        <w:t>Sharp, C. et al. (2022) “P01-14</w:t>
      </w:r>
      <w:r w:rsidRPr="005C30CF">
        <w:rPr>
          <w:rFonts w:ascii="Arial" w:hAnsi="Arial" w:cs="Arial"/>
        </w:rPr>
        <w:t> </w:t>
      </w:r>
      <w:r w:rsidRPr="005C30CF">
        <w:rPr>
          <w:rFonts w:ascii="Arial" w:hAnsi="Arial" w:cs="Arial"/>
        </w:rPr>
        <w:t>National policy response to the Sustainable Development Goals: a physical activity case study of Wales,” European journal of public health, 32(Supplement_2). Available at: https://doi.org/10.1093/eurpub/ckac095.014.</w:t>
      </w:r>
    </w:p>
    <w:p w14:paraId="1D168C17" w14:textId="31A53F9D" w:rsidR="000307A2" w:rsidRPr="000307A2" w:rsidRDefault="000307A2" w:rsidP="000307A2">
      <w:pPr>
        <w:spacing w:line="360" w:lineRule="auto"/>
        <w:jc w:val="both"/>
        <w:rPr>
          <w:rFonts w:ascii="Arial" w:hAnsi="Arial" w:cs="Arial"/>
        </w:rPr>
      </w:pPr>
      <w:r w:rsidRPr="000307A2">
        <w:rPr>
          <w:rFonts w:ascii="Arial" w:hAnsi="Arial" w:cs="Arial"/>
        </w:rPr>
        <w:t xml:space="preserve">Siegel, M., Mielck, A. and Maier, W. (2015) “Individual Income, Area Deprivation, and Health: Do Income-Related Health Inequalities Vary by Small Area </w:t>
      </w:r>
      <w:r w:rsidR="00D26488" w:rsidRPr="000307A2">
        <w:rPr>
          <w:rFonts w:ascii="Arial" w:hAnsi="Arial" w:cs="Arial"/>
        </w:rPr>
        <w:t>Deprivation?</w:t>
      </w:r>
      <w:r w:rsidRPr="000307A2">
        <w:rPr>
          <w:rFonts w:ascii="Arial" w:hAnsi="Arial" w:cs="Arial"/>
        </w:rPr>
        <w:t>” Health economics, 24(11), pp. 1523–1530. Available at: https://doi.org/10.1002/hec.3102.</w:t>
      </w:r>
    </w:p>
    <w:p w14:paraId="1640E066" w14:textId="7834EEB8" w:rsidR="00EF0F62" w:rsidRPr="00EF0F62" w:rsidRDefault="00EF0F62" w:rsidP="00EF0F62">
      <w:pPr>
        <w:spacing w:line="360" w:lineRule="auto"/>
        <w:jc w:val="both"/>
        <w:rPr>
          <w:rFonts w:ascii="Arial" w:hAnsi="Arial" w:cs="Arial"/>
        </w:rPr>
      </w:pPr>
      <w:r w:rsidRPr="00EF0F62">
        <w:rPr>
          <w:rFonts w:ascii="Arial" w:hAnsi="Arial" w:cs="Arial"/>
        </w:rPr>
        <w:t xml:space="preserve">Silva, L. </w:t>
      </w:r>
      <w:r w:rsidRPr="00EF0F62">
        <w:rPr>
          <w:rFonts w:ascii="Arial" w:hAnsi="Arial" w:cs="Arial"/>
          <w:i/>
          <w:iCs/>
        </w:rPr>
        <w:t>et al.</w:t>
      </w:r>
      <w:r w:rsidRPr="00EF0F62">
        <w:rPr>
          <w:rFonts w:ascii="Arial" w:hAnsi="Arial" w:cs="Arial"/>
        </w:rPr>
        <w:t xml:space="preserve"> (2026) “Promoting migrant health as a universal right in the United Kingdom,” BMC </w:t>
      </w:r>
      <w:r w:rsidR="006F02FB">
        <w:rPr>
          <w:rFonts w:ascii="Arial" w:hAnsi="Arial" w:cs="Arial"/>
        </w:rPr>
        <w:t>Global</w:t>
      </w:r>
      <w:r w:rsidRPr="00EF0F62">
        <w:rPr>
          <w:rFonts w:ascii="Arial" w:hAnsi="Arial" w:cs="Arial"/>
        </w:rPr>
        <w:t xml:space="preserve"> and </w:t>
      </w:r>
      <w:r w:rsidR="006F02FB">
        <w:rPr>
          <w:rFonts w:ascii="Arial" w:hAnsi="Arial" w:cs="Arial"/>
        </w:rPr>
        <w:t>Public Health</w:t>
      </w:r>
      <w:r w:rsidRPr="00EF0F62">
        <w:rPr>
          <w:rFonts w:ascii="Arial" w:hAnsi="Arial" w:cs="Arial"/>
        </w:rPr>
        <w:t>, 4(1). Available at: https://doi.org/10.1186/s44263-026-00254-1.</w:t>
      </w:r>
    </w:p>
    <w:p w14:paraId="4EE5B1E6" w14:textId="615952B3" w:rsidR="006A7FDF" w:rsidRPr="006A7FDF" w:rsidRDefault="006A7FDF" w:rsidP="006A7FDF">
      <w:pPr>
        <w:spacing w:line="360" w:lineRule="auto"/>
        <w:jc w:val="both"/>
        <w:rPr>
          <w:rFonts w:ascii="Arial" w:hAnsi="Arial" w:cs="Arial"/>
        </w:rPr>
      </w:pPr>
      <w:r w:rsidRPr="006A7FDF">
        <w:rPr>
          <w:rFonts w:ascii="Arial" w:hAnsi="Arial" w:cs="Arial"/>
        </w:rPr>
        <w:t>Sumaiya, B., Anas, N. and Aziz, E. (2025) “Advancing SDG 1 through Multisectoral Partnerships: Policy Priorities for Sustainable Poverty Alleviation,” South Asian Journal of Social Studies and Economics, 22(7), pp. 309–318.</w:t>
      </w:r>
    </w:p>
    <w:p w14:paraId="495D03BE" w14:textId="537484C1" w:rsidR="003F7448" w:rsidRPr="00717E82" w:rsidRDefault="003F7448" w:rsidP="00427873">
      <w:pPr>
        <w:spacing w:line="360" w:lineRule="auto"/>
        <w:jc w:val="both"/>
        <w:rPr>
          <w:rFonts w:ascii="Arial" w:hAnsi="Arial" w:cs="Arial"/>
        </w:rPr>
      </w:pPr>
      <w:r w:rsidRPr="00717E82">
        <w:rPr>
          <w:rFonts w:ascii="Arial" w:hAnsi="Arial" w:cs="Arial"/>
        </w:rPr>
        <w:t>Syed Younus, Abdullah, and Bushra Abdullah. “Evaluating the Long-Term Impact of Universal Health Coverage (UHC) Policies on Health Equity in Low- and Middle-Income Countries (LMICs): A Systematic Review.” European Journal of Medical and Health Sciences, vol. 8, no. 1, 30 Jan. 2026, pp. 20–29, https://doi.org/10.24018/ejmed.2026.8.1.42451.</w:t>
      </w:r>
    </w:p>
    <w:p w14:paraId="7252AC08" w14:textId="519D03E8" w:rsidR="009E2705" w:rsidRDefault="006A5543" w:rsidP="00427873">
      <w:pPr>
        <w:spacing w:line="360" w:lineRule="auto"/>
        <w:jc w:val="both"/>
        <w:rPr>
          <w:rFonts w:ascii="Arial" w:hAnsi="Arial" w:cs="Arial"/>
        </w:rPr>
      </w:pPr>
      <w:r w:rsidRPr="006A5543">
        <w:rPr>
          <w:rFonts w:ascii="Arial" w:hAnsi="Arial" w:cs="Arial"/>
          <w:lang w:val="nl-NL"/>
        </w:rPr>
        <w:lastRenderedPageBreak/>
        <w:t>Thomson, L.J. </w:t>
      </w:r>
      <w:r w:rsidRPr="006A5543">
        <w:rPr>
          <w:rFonts w:ascii="Arial" w:hAnsi="Arial" w:cs="Arial"/>
          <w:i/>
          <w:iCs/>
          <w:lang w:val="nl-NL"/>
        </w:rPr>
        <w:t>et al.</w:t>
      </w:r>
      <w:r w:rsidRPr="006A5543">
        <w:rPr>
          <w:rFonts w:ascii="Arial" w:hAnsi="Arial" w:cs="Arial"/>
          <w:lang w:val="nl-NL"/>
        </w:rPr>
        <w:t> </w:t>
      </w:r>
      <w:r w:rsidRPr="006A5543">
        <w:rPr>
          <w:rFonts w:ascii="Arial" w:hAnsi="Arial" w:cs="Arial"/>
        </w:rPr>
        <w:t>(2021) “The role of cultural, community and natural assets in addressing societal and structural health inequalities in the UK: future research priorities,” </w:t>
      </w:r>
      <w:r w:rsidRPr="006A5543">
        <w:rPr>
          <w:rFonts w:ascii="Arial" w:hAnsi="Arial" w:cs="Arial"/>
          <w:i/>
          <w:iCs/>
        </w:rPr>
        <w:t xml:space="preserve">International </w:t>
      </w:r>
      <w:r w:rsidR="000D19DB">
        <w:rPr>
          <w:rFonts w:ascii="Arial" w:hAnsi="Arial" w:cs="Arial"/>
        </w:rPr>
        <w:t>Journal</w:t>
      </w:r>
      <w:r w:rsidRPr="000D19DB">
        <w:rPr>
          <w:rFonts w:ascii="Arial" w:hAnsi="Arial" w:cs="Arial"/>
        </w:rPr>
        <w:t xml:space="preserve"> for </w:t>
      </w:r>
      <w:r w:rsidR="000D19DB">
        <w:rPr>
          <w:rFonts w:ascii="Arial" w:hAnsi="Arial" w:cs="Arial"/>
        </w:rPr>
        <w:t>Equity</w:t>
      </w:r>
      <w:r w:rsidRPr="000D19DB">
        <w:rPr>
          <w:rFonts w:ascii="Arial" w:hAnsi="Arial" w:cs="Arial"/>
        </w:rPr>
        <w:t xml:space="preserve"> in </w:t>
      </w:r>
      <w:r w:rsidR="000D19DB">
        <w:rPr>
          <w:rFonts w:ascii="Arial" w:hAnsi="Arial" w:cs="Arial"/>
        </w:rPr>
        <w:t>Health</w:t>
      </w:r>
      <w:r w:rsidRPr="000D19DB">
        <w:rPr>
          <w:rFonts w:ascii="Arial" w:hAnsi="Arial" w:cs="Arial"/>
        </w:rPr>
        <w:t>,</w:t>
      </w:r>
      <w:r w:rsidRPr="006A5543">
        <w:rPr>
          <w:rFonts w:ascii="Arial" w:hAnsi="Arial" w:cs="Arial"/>
        </w:rPr>
        <w:t xml:space="preserve"> 20(1). Available at: https://doi.org/10.1186/s12939-021-01590-4.</w:t>
      </w:r>
    </w:p>
    <w:p w14:paraId="78A747E0" w14:textId="029391F2" w:rsidR="002D3C69" w:rsidRPr="00717E82" w:rsidRDefault="002D3C69" w:rsidP="00427873">
      <w:pPr>
        <w:spacing w:line="360" w:lineRule="auto"/>
        <w:jc w:val="both"/>
        <w:rPr>
          <w:rFonts w:ascii="Arial" w:hAnsi="Arial" w:cs="Arial"/>
        </w:rPr>
      </w:pPr>
      <w:r w:rsidRPr="00717E82">
        <w:rPr>
          <w:rFonts w:ascii="Arial" w:hAnsi="Arial" w:cs="Arial"/>
        </w:rPr>
        <w:t>United Nations (2015)</w:t>
      </w:r>
      <w:r w:rsidR="00C7224A" w:rsidRPr="00717E82">
        <w:rPr>
          <w:rFonts w:ascii="Arial" w:hAnsi="Arial" w:cs="Arial"/>
        </w:rPr>
        <w:t>.</w:t>
      </w:r>
      <w:r w:rsidRPr="00717E82">
        <w:rPr>
          <w:rFonts w:ascii="Arial" w:hAnsi="Arial" w:cs="Arial"/>
        </w:rPr>
        <w:t xml:space="preserve"> Transforming Our World: The 2030 Agenda for Sustainable Development. New York: United Nations.</w:t>
      </w:r>
    </w:p>
    <w:p w14:paraId="7A7F4607" w14:textId="5D265646" w:rsidR="00F12848" w:rsidRPr="00717E82" w:rsidRDefault="00BA67F6" w:rsidP="00427873">
      <w:pPr>
        <w:spacing w:line="360" w:lineRule="auto"/>
        <w:jc w:val="both"/>
        <w:rPr>
          <w:rFonts w:ascii="Arial" w:hAnsi="Arial" w:cs="Arial"/>
        </w:rPr>
      </w:pPr>
      <w:r w:rsidRPr="00717E82">
        <w:rPr>
          <w:rFonts w:ascii="Arial" w:hAnsi="Arial" w:cs="Arial"/>
        </w:rPr>
        <w:t xml:space="preserve">WID.WORLD. “10 Facts on Global Inequality in 2024 - WID - World Inequality Database.” WID - World Inequality Database, 20 Nov. 2024, </w:t>
      </w:r>
      <w:proofErr w:type="spellStart"/>
      <w:proofErr w:type="gramStart"/>
      <w:r w:rsidRPr="00717E82">
        <w:rPr>
          <w:rFonts w:ascii="Arial" w:hAnsi="Arial" w:cs="Arial"/>
        </w:rPr>
        <w:t>wid.world</w:t>
      </w:r>
      <w:proofErr w:type="spellEnd"/>
      <w:proofErr w:type="gramEnd"/>
      <w:r w:rsidRPr="00717E82">
        <w:rPr>
          <w:rFonts w:ascii="Arial" w:hAnsi="Arial" w:cs="Arial"/>
        </w:rPr>
        <w:t>/news-article/10-facts-on-global-inequality-in-2024/. Accessed 20 Mar. 2026.</w:t>
      </w:r>
    </w:p>
    <w:p w14:paraId="447D49B2" w14:textId="484218B3" w:rsidR="002D3C69" w:rsidRPr="00717E82" w:rsidRDefault="002D3C69" w:rsidP="00427873">
      <w:pPr>
        <w:spacing w:line="360" w:lineRule="auto"/>
        <w:jc w:val="both"/>
        <w:rPr>
          <w:rFonts w:ascii="Arial" w:hAnsi="Arial" w:cs="Arial"/>
        </w:rPr>
      </w:pPr>
      <w:r w:rsidRPr="00717E82">
        <w:rPr>
          <w:rFonts w:ascii="Arial" w:hAnsi="Arial" w:cs="Arial"/>
        </w:rPr>
        <w:t xml:space="preserve">World Health </w:t>
      </w:r>
      <w:r w:rsidR="00C7224A" w:rsidRPr="00717E82">
        <w:rPr>
          <w:rFonts w:ascii="Arial" w:hAnsi="Arial" w:cs="Arial"/>
        </w:rPr>
        <w:t>Organisation</w:t>
      </w:r>
      <w:r w:rsidRPr="00717E82">
        <w:rPr>
          <w:rFonts w:ascii="Arial" w:hAnsi="Arial" w:cs="Arial"/>
        </w:rPr>
        <w:t xml:space="preserve"> (WHO) (2022) World Health Statistics 2022: Monitoring Health for the SDGs. Geneva: WHO.</w:t>
      </w:r>
    </w:p>
    <w:p w14:paraId="572E42B0" w14:textId="52D9D410" w:rsidR="002D3C69" w:rsidRPr="00717E82" w:rsidRDefault="002D3C69" w:rsidP="00427873">
      <w:pPr>
        <w:spacing w:line="360" w:lineRule="auto"/>
        <w:jc w:val="both"/>
        <w:rPr>
          <w:rFonts w:ascii="Arial" w:hAnsi="Arial" w:cs="Arial"/>
        </w:rPr>
      </w:pPr>
    </w:p>
    <w:p w14:paraId="0B522D20" w14:textId="77777777" w:rsidR="002D3C69" w:rsidRPr="00717E82" w:rsidRDefault="002D3C69" w:rsidP="00427873">
      <w:pPr>
        <w:spacing w:line="360" w:lineRule="auto"/>
        <w:jc w:val="both"/>
        <w:rPr>
          <w:rFonts w:ascii="Arial" w:hAnsi="Arial" w:cs="Arial"/>
        </w:rPr>
      </w:pPr>
    </w:p>
    <w:sectPr w:rsidR="002D3C69" w:rsidRPr="00717E8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090C3" w14:textId="77777777" w:rsidR="00866833" w:rsidRDefault="00866833" w:rsidP="0092601D">
      <w:pPr>
        <w:spacing w:after="0" w:line="240" w:lineRule="auto"/>
      </w:pPr>
      <w:r>
        <w:separator/>
      </w:r>
    </w:p>
  </w:endnote>
  <w:endnote w:type="continuationSeparator" w:id="0">
    <w:p w14:paraId="49788526" w14:textId="77777777" w:rsidR="00866833" w:rsidRDefault="00866833" w:rsidP="00926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4897821"/>
      <w:docPartObj>
        <w:docPartGallery w:val="Page Numbers (Bottom of Page)"/>
        <w:docPartUnique/>
      </w:docPartObj>
    </w:sdtPr>
    <w:sdtEndPr/>
    <w:sdtContent>
      <w:p w14:paraId="4CED49A1" w14:textId="2C2C6EB6" w:rsidR="008C0BC4" w:rsidRDefault="008C0BC4">
        <w:pPr>
          <w:pStyle w:val="Footer"/>
          <w:jc w:val="center"/>
        </w:pPr>
        <w:r>
          <w:fldChar w:fldCharType="begin"/>
        </w:r>
        <w:r>
          <w:instrText>PAGE   \* MERGEFORMAT</w:instrText>
        </w:r>
        <w:r>
          <w:fldChar w:fldCharType="separate"/>
        </w:r>
        <w:r>
          <w:t>2</w:t>
        </w:r>
        <w:r>
          <w:fldChar w:fldCharType="end"/>
        </w:r>
      </w:p>
    </w:sdtContent>
  </w:sdt>
  <w:p w14:paraId="1D1C14FE" w14:textId="77777777" w:rsidR="008C0BC4" w:rsidRDefault="008C0B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3231F4" w14:textId="77777777" w:rsidR="00866833" w:rsidRDefault="00866833" w:rsidP="0092601D">
      <w:pPr>
        <w:spacing w:after="0" w:line="240" w:lineRule="auto"/>
      </w:pPr>
      <w:r>
        <w:separator/>
      </w:r>
    </w:p>
  </w:footnote>
  <w:footnote w:type="continuationSeparator" w:id="0">
    <w:p w14:paraId="7C7AB7CA" w14:textId="77777777" w:rsidR="00866833" w:rsidRDefault="00866833" w:rsidP="0092601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35BB6"/>
    <w:multiLevelType w:val="hybridMultilevel"/>
    <w:tmpl w:val="42088E70"/>
    <w:lvl w:ilvl="0" w:tplc="F008E5E4">
      <w:start w:val="1"/>
      <w:numFmt w:val="bullet"/>
      <w:lvlText w:val="•"/>
      <w:lvlJc w:val="left"/>
      <w:pPr>
        <w:tabs>
          <w:tab w:val="num" w:pos="720"/>
        </w:tabs>
        <w:ind w:left="720" w:hanging="360"/>
      </w:pPr>
      <w:rPr>
        <w:rFonts w:ascii="Times New Roman" w:hAnsi="Times New Roman" w:hint="default"/>
      </w:rPr>
    </w:lvl>
    <w:lvl w:ilvl="1" w:tplc="208AC822" w:tentative="1">
      <w:start w:val="1"/>
      <w:numFmt w:val="bullet"/>
      <w:lvlText w:val="•"/>
      <w:lvlJc w:val="left"/>
      <w:pPr>
        <w:tabs>
          <w:tab w:val="num" w:pos="1440"/>
        </w:tabs>
        <w:ind w:left="1440" w:hanging="360"/>
      </w:pPr>
      <w:rPr>
        <w:rFonts w:ascii="Times New Roman" w:hAnsi="Times New Roman" w:hint="default"/>
      </w:rPr>
    </w:lvl>
    <w:lvl w:ilvl="2" w:tplc="57AA8848" w:tentative="1">
      <w:start w:val="1"/>
      <w:numFmt w:val="bullet"/>
      <w:lvlText w:val="•"/>
      <w:lvlJc w:val="left"/>
      <w:pPr>
        <w:tabs>
          <w:tab w:val="num" w:pos="2160"/>
        </w:tabs>
        <w:ind w:left="2160" w:hanging="360"/>
      </w:pPr>
      <w:rPr>
        <w:rFonts w:ascii="Times New Roman" w:hAnsi="Times New Roman" w:hint="default"/>
      </w:rPr>
    </w:lvl>
    <w:lvl w:ilvl="3" w:tplc="CBB4561A" w:tentative="1">
      <w:start w:val="1"/>
      <w:numFmt w:val="bullet"/>
      <w:lvlText w:val="•"/>
      <w:lvlJc w:val="left"/>
      <w:pPr>
        <w:tabs>
          <w:tab w:val="num" w:pos="2880"/>
        </w:tabs>
        <w:ind w:left="2880" w:hanging="360"/>
      </w:pPr>
      <w:rPr>
        <w:rFonts w:ascii="Times New Roman" w:hAnsi="Times New Roman" w:hint="default"/>
      </w:rPr>
    </w:lvl>
    <w:lvl w:ilvl="4" w:tplc="7D0A7812" w:tentative="1">
      <w:start w:val="1"/>
      <w:numFmt w:val="bullet"/>
      <w:lvlText w:val="•"/>
      <w:lvlJc w:val="left"/>
      <w:pPr>
        <w:tabs>
          <w:tab w:val="num" w:pos="3600"/>
        </w:tabs>
        <w:ind w:left="3600" w:hanging="360"/>
      </w:pPr>
      <w:rPr>
        <w:rFonts w:ascii="Times New Roman" w:hAnsi="Times New Roman" w:hint="default"/>
      </w:rPr>
    </w:lvl>
    <w:lvl w:ilvl="5" w:tplc="A9688C1E" w:tentative="1">
      <w:start w:val="1"/>
      <w:numFmt w:val="bullet"/>
      <w:lvlText w:val="•"/>
      <w:lvlJc w:val="left"/>
      <w:pPr>
        <w:tabs>
          <w:tab w:val="num" w:pos="4320"/>
        </w:tabs>
        <w:ind w:left="4320" w:hanging="360"/>
      </w:pPr>
      <w:rPr>
        <w:rFonts w:ascii="Times New Roman" w:hAnsi="Times New Roman" w:hint="default"/>
      </w:rPr>
    </w:lvl>
    <w:lvl w:ilvl="6" w:tplc="EC6ED822" w:tentative="1">
      <w:start w:val="1"/>
      <w:numFmt w:val="bullet"/>
      <w:lvlText w:val="•"/>
      <w:lvlJc w:val="left"/>
      <w:pPr>
        <w:tabs>
          <w:tab w:val="num" w:pos="5040"/>
        </w:tabs>
        <w:ind w:left="5040" w:hanging="360"/>
      </w:pPr>
      <w:rPr>
        <w:rFonts w:ascii="Times New Roman" w:hAnsi="Times New Roman" w:hint="default"/>
      </w:rPr>
    </w:lvl>
    <w:lvl w:ilvl="7" w:tplc="3BB62F42" w:tentative="1">
      <w:start w:val="1"/>
      <w:numFmt w:val="bullet"/>
      <w:lvlText w:val="•"/>
      <w:lvlJc w:val="left"/>
      <w:pPr>
        <w:tabs>
          <w:tab w:val="num" w:pos="5760"/>
        </w:tabs>
        <w:ind w:left="5760" w:hanging="360"/>
      </w:pPr>
      <w:rPr>
        <w:rFonts w:ascii="Times New Roman" w:hAnsi="Times New Roman" w:hint="default"/>
      </w:rPr>
    </w:lvl>
    <w:lvl w:ilvl="8" w:tplc="6FBAC27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FDD3E9F"/>
    <w:multiLevelType w:val="multilevel"/>
    <w:tmpl w:val="45A8B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1C75BB"/>
    <w:multiLevelType w:val="multilevel"/>
    <w:tmpl w:val="A8E25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541F74"/>
    <w:multiLevelType w:val="multilevel"/>
    <w:tmpl w:val="AF968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F93FDD"/>
    <w:multiLevelType w:val="hybridMultilevel"/>
    <w:tmpl w:val="681ECFB8"/>
    <w:lvl w:ilvl="0" w:tplc="41908A92">
      <w:start w:val="1"/>
      <w:numFmt w:val="bullet"/>
      <w:lvlText w:val="•"/>
      <w:lvlJc w:val="left"/>
      <w:pPr>
        <w:tabs>
          <w:tab w:val="num" w:pos="720"/>
        </w:tabs>
        <w:ind w:left="720" w:hanging="360"/>
      </w:pPr>
      <w:rPr>
        <w:rFonts w:ascii="Times New Roman" w:hAnsi="Times New Roman" w:hint="default"/>
      </w:rPr>
    </w:lvl>
    <w:lvl w:ilvl="1" w:tplc="A0E87E14" w:tentative="1">
      <w:start w:val="1"/>
      <w:numFmt w:val="bullet"/>
      <w:lvlText w:val="•"/>
      <w:lvlJc w:val="left"/>
      <w:pPr>
        <w:tabs>
          <w:tab w:val="num" w:pos="1440"/>
        </w:tabs>
        <w:ind w:left="1440" w:hanging="360"/>
      </w:pPr>
      <w:rPr>
        <w:rFonts w:ascii="Times New Roman" w:hAnsi="Times New Roman" w:hint="default"/>
      </w:rPr>
    </w:lvl>
    <w:lvl w:ilvl="2" w:tplc="610A248E" w:tentative="1">
      <w:start w:val="1"/>
      <w:numFmt w:val="bullet"/>
      <w:lvlText w:val="•"/>
      <w:lvlJc w:val="left"/>
      <w:pPr>
        <w:tabs>
          <w:tab w:val="num" w:pos="2160"/>
        </w:tabs>
        <w:ind w:left="2160" w:hanging="360"/>
      </w:pPr>
      <w:rPr>
        <w:rFonts w:ascii="Times New Roman" w:hAnsi="Times New Roman" w:hint="default"/>
      </w:rPr>
    </w:lvl>
    <w:lvl w:ilvl="3" w:tplc="CC4C0BCE" w:tentative="1">
      <w:start w:val="1"/>
      <w:numFmt w:val="bullet"/>
      <w:lvlText w:val="•"/>
      <w:lvlJc w:val="left"/>
      <w:pPr>
        <w:tabs>
          <w:tab w:val="num" w:pos="2880"/>
        </w:tabs>
        <w:ind w:left="2880" w:hanging="360"/>
      </w:pPr>
      <w:rPr>
        <w:rFonts w:ascii="Times New Roman" w:hAnsi="Times New Roman" w:hint="default"/>
      </w:rPr>
    </w:lvl>
    <w:lvl w:ilvl="4" w:tplc="316A1DB6" w:tentative="1">
      <w:start w:val="1"/>
      <w:numFmt w:val="bullet"/>
      <w:lvlText w:val="•"/>
      <w:lvlJc w:val="left"/>
      <w:pPr>
        <w:tabs>
          <w:tab w:val="num" w:pos="3600"/>
        </w:tabs>
        <w:ind w:left="3600" w:hanging="360"/>
      </w:pPr>
      <w:rPr>
        <w:rFonts w:ascii="Times New Roman" w:hAnsi="Times New Roman" w:hint="default"/>
      </w:rPr>
    </w:lvl>
    <w:lvl w:ilvl="5" w:tplc="556C67CE" w:tentative="1">
      <w:start w:val="1"/>
      <w:numFmt w:val="bullet"/>
      <w:lvlText w:val="•"/>
      <w:lvlJc w:val="left"/>
      <w:pPr>
        <w:tabs>
          <w:tab w:val="num" w:pos="4320"/>
        </w:tabs>
        <w:ind w:left="4320" w:hanging="360"/>
      </w:pPr>
      <w:rPr>
        <w:rFonts w:ascii="Times New Roman" w:hAnsi="Times New Roman" w:hint="default"/>
      </w:rPr>
    </w:lvl>
    <w:lvl w:ilvl="6" w:tplc="9FECC852" w:tentative="1">
      <w:start w:val="1"/>
      <w:numFmt w:val="bullet"/>
      <w:lvlText w:val="•"/>
      <w:lvlJc w:val="left"/>
      <w:pPr>
        <w:tabs>
          <w:tab w:val="num" w:pos="5040"/>
        </w:tabs>
        <w:ind w:left="5040" w:hanging="360"/>
      </w:pPr>
      <w:rPr>
        <w:rFonts w:ascii="Times New Roman" w:hAnsi="Times New Roman" w:hint="default"/>
      </w:rPr>
    </w:lvl>
    <w:lvl w:ilvl="7" w:tplc="84B81A48" w:tentative="1">
      <w:start w:val="1"/>
      <w:numFmt w:val="bullet"/>
      <w:lvlText w:val="•"/>
      <w:lvlJc w:val="left"/>
      <w:pPr>
        <w:tabs>
          <w:tab w:val="num" w:pos="5760"/>
        </w:tabs>
        <w:ind w:left="5760" w:hanging="360"/>
      </w:pPr>
      <w:rPr>
        <w:rFonts w:ascii="Times New Roman" w:hAnsi="Times New Roman" w:hint="default"/>
      </w:rPr>
    </w:lvl>
    <w:lvl w:ilvl="8" w:tplc="8E04A0C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415D3F50"/>
    <w:multiLevelType w:val="multilevel"/>
    <w:tmpl w:val="2A901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CE0825"/>
    <w:multiLevelType w:val="hybridMultilevel"/>
    <w:tmpl w:val="63566E5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4CB220C9"/>
    <w:multiLevelType w:val="hybridMultilevel"/>
    <w:tmpl w:val="DBACFFA2"/>
    <w:lvl w:ilvl="0" w:tplc="73A6074A">
      <w:start w:val="1"/>
      <w:numFmt w:val="bullet"/>
      <w:lvlText w:val="•"/>
      <w:lvlJc w:val="left"/>
      <w:pPr>
        <w:tabs>
          <w:tab w:val="num" w:pos="720"/>
        </w:tabs>
        <w:ind w:left="720" w:hanging="360"/>
      </w:pPr>
      <w:rPr>
        <w:rFonts w:ascii="Times New Roman" w:hAnsi="Times New Roman" w:hint="default"/>
      </w:rPr>
    </w:lvl>
    <w:lvl w:ilvl="1" w:tplc="F188A902" w:tentative="1">
      <w:start w:val="1"/>
      <w:numFmt w:val="bullet"/>
      <w:lvlText w:val="•"/>
      <w:lvlJc w:val="left"/>
      <w:pPr>
        <w:tabs>
          <w:tab w:val="num" w:pos="1440"/>
        </w:tabs>
        <w:ind w:left="1440" w:hanging="360"/>
      </w:pPr>
      <w:rPr>
        <w:rFonts w:ascii="Times New Roman" w:hAnsi="Times New Roman" w:hint="default"/>
      </w:rPr>
    </w:lvl>
    <w:lvl w:ilvl="2" w:tplc="34BC6CF2" w:tentative="1">
      <w:start w:val="1"/>
      <w:numFmt w:val="bullet"/>
      <w:lvlText w:val="•"/>
      <w:lvlJc w:val="left"/>
      <w:pPr>
        <w:tabs>
          <w:tab w:val="num" w:pos="2160"/>
        </w:tabs>
        <w:ind w:left="2160" w:hanging="360"/>
      </w:pPr>
      <w:rPr>
        <w:rFonts w:ascii="Times New Roman" w:hAnsi="Times New Roman" w:hint="default"/>
      </w:rPr>
    </w:lvl>
    <w:lvl w:ilvl="3" w:tplc="0666C970" w:tentative="1">
      <w:start w:val="1"/>
      <w:numFmt w:val="bullet"/>
      <w:lvlText w:val="•"/>
      <w:lvlJc w:val="left"/>
      <w:pPr>
        <w:tabs>
          <w:tab w:val="num" w:pos="2880"/>
        </w:tabs>
        <w:ind w:left="2880" w:hanging="360"/>
      </w:pPr>
      <w:rPr>
        <w:rFonts w:ascii="Times New Roman" w:hAnsi="Times New Roman" w:hint="default"/>
      </w:rPr>
    </w:lvl>
    <w:lvl w:ilvl="4" w:tplc="4D7E6EFC" w:tentative="1">
      <w:start w:val="1"/>
      <w:numFmt w:val="bullet"/>
      <w:lvlText w:val="•"/>
      <w:lvlJc w:val="left"/>
      <w:pPr>
        <w:tabs>
          <w:tab w:val="num" w:pos="3600"/>
        </w:tabs>
        <w:ind w:left="3600" w:hanging="360"/>
      </w:pPr>
      <w:rPr>
        <w:rFonts w:ascii="Times New Roman" w:hAnsi="Times New Roman" w:hint="default"/>
      </w:rPr>
    </w:lvl>
    <w:lvl w:ilvl="5" w:tplc="3FE007F4" w:tentative="1">
      <w:start w:val="1"/>
      <w:numFmt w:val="bullet"/>
      <w:lvlText w:val="•"/>
      <w:lvlJc w:val="left"/>
      <w:pPr>
        <w:tabs>
          <w:tab w:val="num" w:pos="4320"/>
        </w:tabs>
        <w:ind w:left="4320" w:hanging="360"/>
      </w:pPr>
      <w:rPr>
        <w:rFonts w:ascii="Times New Roman" w:hAnsi="Times New Roman" w:hint="default"/>
      </w:rPr>
    </w:lvl>
    <w:lvl w:ilvl="6" w:tplc="82C4408A" w:tentative="1">
      <w:start w:val="1"/>
      <w:numFmt w:val="bullet"/>
      <w:lvlText w:val="•"/>
      <w:lvlJc w:val="left"/>
      <w:pPr>
        <w:tabs>
          <w:tab w:val="num" w:pos="5040"/>
        </w:tabs>
        <w:ind w:left="5040" w:hanging="360"/>
      </w:pPr>
      <w:rPr>
        <w:rFonts w:ascii="Times New Roman" w:hAnsi="Times New Roman" w:hint="default"/>
      </w:rPr>
    </w:lvl>
    <w:lvl w:ilvl="7" w:tplc="4FF4DDB6" w:tentative="1">
      <w:start w:val="1"/>
      <w:numFmt w:val="bullet"/>
      <w:lvlText w:val="•"/>
      <w:lvlJc w:val="left"/>
      <w:pPr>
        <w:tabs>
          <w:tab w:val="num" w:pos="5760"/>
        </w:tabs>
        <w:ind w:left="5760" w:hanging="360"/>
      </w:pPr>
      <w:rPr>
        <w:rFonts w:ascii="Times New Roman" w:hAnsi="Times New Roman" w:hint="default"/>
      </w:rPr>
    </w:lvl>
    <w:lvl w:ilvl="8" w:tplc="3D987850"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502F7026"/>
    <w:multiLevelType w:val="multilevel"/>
    <w:tmpl w:val="81868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C834B4"/>
    <w:multiLevelType w:val="multilevel"/>
    <w:tmpl w:val="1FF2D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F875AB"/>
    <w:multiLevelType w:val="multilevel"/>
    <w:tmpl w:val="D5C0E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5925D7F"/>
    <w:multiLevelType w:val="multilevel"/>
    <w:tmpl w:val="29DEA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3F2E25"/>
    <w:multiLevelType w:val="multilevel"/>
    <w:tmpl w:val="F6B66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3842604">
    <w:abstractNumId w:val="10"/>
  </w:num>
  <w:num w:numId="2" w16cid:durableId="529227646">
    <w:abstractNumId w:val="1"/>
  </w:num>
  <w:num w:numId="3" w16cid:durableId="31658951">
    <w:abstractNumId w:val="5"/>
  </w:num>
  <w:num w:numId="4" w16cid:durableId="24186205">
    <w:abstractNumId w:val="12"/>
  </w:num>
  <w:num w:numId="5" w16cid:durableId="1140879020">
    <w:abstractNumId w:val="3"/>
  </w:num>
  <w:num w:numId="6" w16cid:durableId="1203902958">
    <w:abstractNumId w:val="2"/>
  </w:num>
  <w:num w:numId="7" w16cid:durableId="185291226">
    <w:abstractNumId w:val="8"/>
  </w:num>
  <w:num w:numId="8" w16cid:durableId="1963685282">
    <w:abstractNumId w:val="11"/>
  </w:num>
  <w:num w:numId="9" w16cid:durableId="1991396669">
    <w:abstractNumId w:val="9"/>
  </w:num>
  <w:num w:numId="10" w16cid:durableId="2028019058">
    <w:abstractNumId w:val="6"/>
  </w:num>
  <w:num w:numId="11" w16cid:durableId="366414840">
    <w:abstractNumId w:val="7"/>
  </w:num>
  <w:num w:numId="12" w16cid:durableId="890455777">
    <w:abstractNumId w:val="4"/>
  </w:num>
  <w:num w:numId="13" w16cid:durableId="4761504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activeWritingStyle w:appName="MSWord" w:lang="en-GB"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35CE"/>
    <w:rsid w:val="00001B8C"/>
    <w:rsid w:val="000025F4"/>
    <w:rsid w:val="0002344A"/>
    <w:rsid w:val="0002456C"/>
    <w:rsid w:val="00026634"/>
    <w:rsid w:val="00026DA7"/>
    <w:rsid w:val="00027E54"/>
    <w:rsid w:val="000307A2"/>
    <w:rsid w:val="00032FAA"/>
    <w:rsid w:val="00050442"/>
    <w:rsid w:val="0005737F"/>
    <w:rsid w:val="000650AB"/>
    <w:rsid w:val="00071156"/>
    <w:rsid w:val="00071C11"/>
    <w:rsid w:val="000833C2"/>
    <w:rsid w:val="0008503D"/>
    <w:rsid w:val="0008664A"/>
    <w:rsid w:val="00087BEA"/>
    <w:rsid w:val="00092E8E"/>
    <w:rsid w:val="00092FCD"/>
    <w:rsid w:val="000936B8"/>
    <w:rsid w:val="000954B4"/>
    <w:rsid w:val="000A086D"/>
    <w:rsid w:val="000A50AC"/>
    <w:rsid w:val="000B1607"/>
    <w:rsid w:val="000B1D76"/>
    <w:rsid w:val="000B5D18"/>
    <w:rsid w:val="000C2EEB"/>
    <w:rsid w:val="000C3CB3"/>
    <w:rsid w:val="000C4657"/>
    <w:rsid w:val="000C6FF8"/>
    <w:rsid w:val="000C70ED"/>
    <w:rsid w:val="000D19DB"/>
    <w:rsid w:val="000D2183"/>
    <w:rsid w:val="000D5684"/>
    <w:rsid w:val="000E0D50"/>
    <w:rsid w:val="000F0029"/>
    <w:rsid w:val="000F1E72"/>
    <w:rsid w:val="000F2181"/>
    <w:rsid w:val="000F31EB"/>
    <w:rsid w:val="000F609C"/>
    <w:rsid w:val="000F669B"/>
    <w:rsid w:val="0010767F"/>
    <w:rsid w:val="00112283"/>
    <w:rsid w:val="001128EB"/>
    <w:rsid w:val="00112E25"/>
    <w:rsid w:val="00113C36"/>
    <w:rsid w:val="00120762"/>
    <w:rsid w:val="00120F94"/>
    <w:rsid w:val="0012250C"/>
    <w:rsid w:val="001248E5"/>
    <w:rsid w:val="00125AE5"/>
    <w:rsid w:val="00127C56"/>
    <w:rsid w:val="00136B1A"/>
    <w:rsid w:val="001418CE"/>
    <w:rsid w:val="0014525E"/>
    <w:rsid w:val="00147FDB"/>
    <w:rsid w:val="001518A8"/>
    <w:rsid w:val="00162A63"/>
    <w:rsid w:val="0016493D"/>
    <w:rsid w:val="00174780"/>
    <w:rsid w:val="001811D0"/>
    <w:rsid w:val="001868D5"/>
    <w:rsid w:val="00187132"/>
    <w:rsid w:val="00190A93"/>
    <w:rsid w:val="00193FFA"/>
    <w:rsid w:val="001940F4"/>
    <w:rsid w:val="001A0C00"/>
    <w:rsid w:val="001A0E0B"/>
    <w:rsid w:val="001B6319"/>
    <w:rsid w:val="001C5134"/>
    <w:rsid w:val="001D41A6"/>
    <w:rsid w:val="001D6D04"/>
    <w:rsid w:val="001D7299"/>
    <w:rsid w:val="001D7CFF"/>
    <w:rsid w:val="001E2A53"/>
    <w:rsid w:val="001E55CA"/>
    <w:rsid w:val="001F0E09"/>
    <w:rsid w:val="001F2353"/>
    <w:rsid w:val="001F3AE0"/>
    <w:rsid w:val="002022B4"/>
    <w:rsid w:val="002034DD"/>
    <w:rsid w:val="00204119"/>
    <w:rsid w:val="0020606F"/>
    <w:rsid w:val="00211235"/>
    <w:rsid w:val="00214531"/>
    <w:rsid w:val="00216245"/>
    <w:rsid w:val="00216CE4"/>
    <w:rsid w:val="002208D9"/>
    <w:rsid w:val="00232FDE"/>
    <w:rsid w:val="00236B88"/>
    <w:rsid w:val="0024456C"/>
    <w:rsid w:val="00244960"/>
    <w:rsid w:val="002511A9"/>
    <w:rsid w:val="0025776E"/>
    <w:rsid w:val="00262661"/>
    <w:rsid w:val="00266257"/>
    <w:rsid w:val="0027146F"/>
    <w:rsid w:val="00280DFE"/>
    <w:rsid w:val="0029144B"/>
    <w:rsid w:val="00294F7B"/>
    <w:rsid w:val="00297C79"/>
    <w:rsid w:val="002A1F0E"/>
    <w:rsid w:val="002A4C8B"/>
    <w:rsid w:val="002B2147"/>
    <w:rsid w:val="002C03ED"/>
    <w:rsid w:val="002C129E"/>
    <w:rsid w:val="002D3C69"/>
    <w:rsid w:val="002F08AB"/>
    <w:rsid w:val="002F162B"/>
    <w:rsid w:val="002F16E6"/>
    <w:rsid w:val="002F17AF"/>
    <w:rsid w:val="002F1B4B"/>
    <w:rsid w:val="002F2290"/>
    <w:rsid w:val="002F70A9"/>
    <w:rsid w:val="00303CB6"/>
    <w:rsid w:val="003050F1"/>
    <w:rsid w:val="00307D4D"/>
    <w:rsid w:val="003155B9"/>
    <w:rsid w:val="00325DAE"/>
    <w:rsid w:val="00325FB1"/>
    <w:rsid w:val="00332D81"/>
    <w:rsid w:val="00342CFD"/>
    <w:rsid w:val="00344281"/>
    <w:rsid w:val="00344E43"/>
    <w:rsid w:val="0035040A"/>
    <w:rsid w:val="00353906"/>
    <w:rsid w:val="00353FAC"/>
    <w:rsid w:val="00354D5D"/>
    <w:rsid w:val="003567F2"/>
    <w:rsid w:val="00357B9D"/>
    <w:rsid w:val="00363917"/>
    <w:rsid w:val="00364E2B"/>
    <w:rsid w:val="003651B9"/>
    <w:rsid w:val="00372E4F"/>
    <w:rsid w:val="00372F13"/>
    <w:rsid w:val="003731C4"/>
    <w:rsid w:val="00376314"/>
    <w:rsid w:val="00380CBF"/>
    <w:rsid w:val="00383FB1"/>
    <w:rsid w:val="003973D6"/>
    <w:rsid w:val="003A34AF"/>
    <w:rsid w:val="003A7738"/>
    <w:rsid w:val="003C04BF"/>
    <w:rsid w:val="003C3295"/>
    <w:rsid w:val="003C37DE"/>
    <w:rsid w:val="003C676C"/>
    <w:rsid w:val="003D7D05"/>
    <w:rsid w:val="003E1657"/>
    <w:rsid w:val="003E1E32"/>
    <w:rsid w:val="003F7448"/>
    <w:rsid w:val="00410623"/>
    <w:rsid w:val="00410A4B"/>
    <w:rsid w:val="004138F8"/>
    <w:rsid w:val="00413B9F"/>
    <w:rsid w:val="0041603E"/>
    <w:rsid w:val="00425F9C"/>
    <w:rsid w:val="004270FC"/>
    <w:rsid w:val="00427873"/>
    <w:rsid w:val="00435F78"/>
    <w:rsid w:val="00437CA8"/>
    <w:rsid w:val="00444226"/>
    <w:rsid w:val="0044653D"/>
    <w:rsid w:val="00447AAD"/>
    <w:rsid w:val="004566EB"/>
    <w:rsid w:val="0045757D"/>
    <w:rsid w:val="0046210F"/>
    <w:rsid w:val="00464B25"/>
    <w:rsid w:val="004659B2"/>
    <w:rsid w:val="00467ADD"/>
    <w:rsid w:val="00467EB6"/>
    <w:rsid w:val="00471B0E"/>
    <w:rsid w:val="00473586"/>
    <w:rsid w:val="004767C2"/>
    <w:rsid w:val="00480705"/>
    <w:rsid w:val="00484849"/>
    <w:rsid w:val="004869EF"/>
    <w:rsid w:val="00487A76"/>
    <w:rsid w:val="004912A3"/>
    <w:rsid w:val="00492127"/>
    <w:rsid w:val="0049254C"/>
    <w:rsid w:val="0049432C"/>
    <w:rsid w:val="00495A61"/>
    <w:rsid w:val="004A5F52"/>
    <w:rsid w:val="004A678B"/>
    <w:rsid w:val="004B426C"/>
    <w:rsid w:val="004B439D"/>
    <w:rsid w:val="004B6645"/>
    <w:rsid w:val="004B6A9D"/>
    <w:rsid w:val="004B7281"/>
    <w:rsid w:val="004B7C0A"/>
    <w:rsid w:val="004C4211"/>
    <w:rsid w:val="004C7938"/>
    <w:rsid w:val="004D105B"/>
    <w:rsid w:val="004F30F3"/>
    <w:rsid w:val="004F39E4"/>
    <w:rsid w:val="0050193A"/>
    <w:rsid w:val="00503099"/>
    <w:rsid w:val="005134B5"/>
    <w:rsid w:val="005210C4"/>
    <w:rsid w:val="005221E5"/>
    <w:rsid w:val="00531896"/>
    <w:rsid w:val="0053360C"/>
    <w:rsid w:val="0053473C"/>
    <w:rsid w:val="00534829"/>
    <w:rsid w:val="00534FE9"/>
    <w:rsid w:val="0053560A"/>
    <w:rsid w:val="005357C4"/>
    <w:rsid w:val="005367DF"/>
    <w:rsid w:val="005502C2"/>
    <w:rsid w:val="00556DCD"/>
    <w:rsid w:val="0055727B"/>
    <w:rsid w:val="00561E1E"/>
    <w:rsid w:val="00565AD8"/>
    <w:rsid w:val="005711F9"/>
    <w:rsid w:val="00581361"/>
    <w:rsid w:val="00581556"/>
    <w:rsid w:val="00582DB4"/>
    <w:rsid w:val="005A026D"/>
    <w:rsid w:val="005A4142"/>
    <w:rsid w:val="005B6104"/>
    <w:rsid w:val="005C30CF"/>
    <w:rsid w:val="005E1DEC"/>
    <w:rsid w:val="005F085E"/>
    <w:rsid w:val="005F1372"/>
    <w:rsid w:val="00602AE5"/>
    <w:rsid w:val="00602E5E"/>
    <w:rsid w:val="0061484C"/>
    <w:rsid w:val="006155F8"/>
    <w:rsid w:val="006200B7"/>
    <w:rsid w:val="00624B63"/>
    <w:rsid w:val="006302C2"/>
    <w:rsid w:val="00642447"/>
    <w:rsid w:val="00645292"/>
    <w:rsid w:val="00645935"/>
    <w:rsid w:val="00660D57"/>
    <w:rsid w:val="006639F0"/>
    <w:rsid w:val="00666536"/>
    <w:rsid w:val="00670B47"/>
    <w:rsid w:val="0067161E"/>
    <w:rsid w:val="00676A16"/>
    <w:rsid w:val="00676ABA"/>
    <w:rsid w:val="0068060E"/>
    <w:rsid w:val="00680DA8"/>
    <w:rsid w:val="0069332C"/>
    <w:rsid w:val="006A5543"/>
    <w:rsid w:val="006A7FDF"/>
    <w:rsid w:val="006B0EA1"/>
    <w:rsid w:val="006B24F7"/>
    <w:rsid w:val="006B6252"/>
    <w:rsid w:val="006B78F1"/>
    <w:rsid w:val="006B7933"/>
    <w:rsid w:val="006D0641"/>
    <w:rsid w:val="006D1D4B"/>
    <w:rsid w:val="006D245E"/>
    <w:rsid w:val="006E13FB"/>
    <w:rsid w:val="006E3F01"/>
    <w:rsid w:val="006E4ABD"/>
    <w:rsid w:val="006F02FB"/>
    <w:rsid w:val="006F5368"/>
    <w:rsid w:val="006F7187"/>
    <w:rsid w:val="0070036C"/>
    <w:rsid w:val="00717E82"/>
    <w:rsid w:val="00722CF6"/>
    <w:rsid w:val="00731744"/>
    <w:rsid w:val="00735F40"/>
    <w:rsid w:val="00736A56"/>
    <w:rsid w:val="007371CF"/>
    <w:rsid w:val="00742E7F"/>
    <w:rsid w:val="00746C11"/>
    <w:rsid w:val="007478BC"/>
    <w:rsid w:val="007562A6"/>
    <w:rsid w:val="0075788D"/>
    <w:rsid w:val="00762688"/>
    <w:rsid w:val="00765DAD"/>
    <w:rsid w:val="00770515"/>
    <w:rsid w:val="007711CD"/>
    <w:rsid w:val="00772259"/>
    <w:rsid w:val="007759D4"/>
    <w:rsid w:val="007765A3"/>
    <w:rsid w:val="00784CC5"/>
    <w:rsid w:val="00791CF8"/>
    <w:rsid w:val="00794DF7"/>
    <w:rsid w:val="00794EA3"/>
    <w:rsid w:val="007A4CCF"/>
    <w:rsid w:val="007A5202"/>
    <w:rsid w:val="007A728E"/>
    <w:rsid w:val="007B0F40"/>
    <w:rsid w:val="007B6B04"/>
    <w:rsid w:val="007C1089"/>
    <w:rsid w:val="007C22ED"/>
    <w:rsid w:val="007C2C36"/>
    <w:rsid w:val="007C3BA9"/>
    <w:rsid w:val="007D0B20"/>
    <w:rsid w:val="007D0F52"/>
    <w:rsid w:val="007D6632"/>
    <w:rsid w:val="007E22AA"/>
    <w:rsid w:val="007E44D9"/>
    <w:rsid w:val="007F2DDC"/>
    <w:rsid w:val="00811CCD"/>
    <w:rsid w:val="008146C4"/>
    <w:rsid w:val="00815EF6"/>
    <w:rsid w:val="00825977"/>
    <w:rsid w:val="008270A0"/>
    <w:rsid w:val="00846A62"/>
    <w:rsid w:val="00851B2D"/>
    <w:rsid w:val="00852B1B"/>
    <w:rsid w:val="00855816"/>
    <w:rsid w:val="008559A2"/>
    <w:rsid w:val="00856C06"/>
    <w:rsid w:val="00857788"/>
    <w:rsid w:val="00865781"/>
    <w:rsid w:val="00866833"/>
    <w:rsid w:val="00870713"/>
    <w:rsid w:val="00871F36"/>
    <w:rsid w:val="008731B0"/>
    <w:rsid w:val="00876D3D"/>
    <w:rsid w:val="008829D1"/>
    <w:rsid w:val="00891791"/>
    <w:rsid w:val="008927CD"/>
    <w:rsid w:val="008A0323"/>
    <w:rsid w:val="008A30B3"/>
    <w:rsid w:val="008B147A"/>
    <w:rsid w:val="008B2FC5"/>
    <w:rsid w:val="008B3F4E"/>
    <w:rsid w:val="008B4479"/>
    <w:rsid w:val="008C07C8"/>
    <w:rsid w:val="008C0BC4"/>
    <w:rsid w:val="008C75BD"/>
    <w:rsid w:val="008D332C"/>
    <w:rsid w:val="008D3AA8"/>
    <w:rsid w:val="008D47F1"/>
    <w:rsid w:val="008E1CF7"/>
    <w:rsid w:val="008E674D"/>
    <w:rsid w:val="008F4476"/>
    <w:rsid w:val="00901B9C"/>
    <w:rsid w:val="009042B9"/>
    <w:rsid w:val="00924E59"/>
    <w:rsid w:val="0092601D"/>
    <w:rsid w:val="00930E88"/>
    <w:rsid w:val="00932A2F"/>
    <w:rsid w:val="00936F9C"/>
    <w:rsid w:val="00944DE4"/>
    <w:rsid w:val="00945816"/>
    <w:rsid w:val="00946FAB"/>
    <w:rsid w:val="00956FF3"/>
    <w:rsid w:val="00960033"/>
    <w:rsid w:val="009612E4"/>
    <w:rsid w:val="00964FAF"/>
    <w:rsid w:val="009750E8"/>
    <w:rsid w:val="00977D97"/>
    <w:rsid w:val="009840B2"/>
    <w:rsid w:val="00984D72"/>
    <w:rsid w:val="0098593E"/>
    <w:rsid w:val="009873E4"/>
    <w:rsid w:val="00990A9E"/>
    <w:rsid w:val="009A265A"/>
    <w:rsid w:val="009B322B"/>
    <w:rsid w:val="009B5618"/>
    <w:rsid w:val="009C0221"/>
    <w:rsid w:val="009C2EB9"/>
    <w:rsid w:val="009D112B"/>
    <w:rsid w:val="009D11F7"/>
    <w:rsid w:val="009D147C"/>
    <w:rsid w:val="009D4581"/>
    <w:rsid w:val="009D6C60"/>
    <w:rsid w:val="009D7C09"/>
    <w:rsid w:val="009E258F"/>
    <w:rsid w:val="009E2705"/>
    <w:rsid w:val="009E3E71"/>
    <w:rsid w:val="009F0BA9"/>
    <w:rsid w:val="009F3505"/>
    <w:rsid w:val="00A0110F"/>
    <w:rsid w:val="00A01E06"/>
    <w:rsid w:val="00A02956"/>
    <w:rsid w:val="00A043C5"/>
    <w:rsid w:val="00A04BE0"/>
    <w:rsid w:val="00A062A1"/>
    <w:rsid w:val="00A135CE"/>
    <w:rsid w:val="00A14DD5"/>
    <w:rsid w:val="00A22DC6"/>
    <w:rsid w:val="00A3504D"/>
    <w:rsid w:val="00A35C92"/>
    <w:rsid w:val="00A364B7"/>
    <w:rsid w:val="00A406A7"/>
    <w:rsid w:val="00A409BE"/>
    <w:rsid w:val="00A416B6"/>
    <w:rsid w:val="00A41DE9"/>
    <w:rsid w:val="00A453BC"/>
    <w:rsid w:val="00A45D93"/>
    <w:rsid w:val="00A578CD"/>
    <w:rsid w:val="00A60DFD"/>
    <w:rsid w:val="00A61C23"/>
    <w:rsid w:val="00A657E9"/>
    <w:rsid w:val="00A75831"/>
    <w:rsid w:val="00A810E8"/>
    <w:rsid w:val="00A8553F"/>
    <w:rsid w:val="00A879E1"/>
    <w:rsid w:val="00A9198C"/>
    <w:rsid w:val="00A924B8"/>
    <w:rsid w:val="00A93460"/>
    <w:rsid w:val="00A94BB3"/>
    <w:rsid w:val="00A97E17"/>
    <w:rsid w:val="00AA63C0"/>
    <w:rsid w:val="00AA78DC"/>
    <w:rsid w:val="00AB1D59"/>
    <w:rsid w:val="00AB3B4E"/>
    <w:rsid w:val="00AC229A"/>
    <w:rsid w:val="00AD300E"/>
    <w:rsid w:val="00AD47D4"/>
    <w:rsid w:val="00AE0751"/>
    <w:rsid w:val="00AF29DA"/>
    <w:rsid w:val="00B04D0B"/>
    <w:rsid w:val="00B05D92"/>
    <w:rsid w:val="00B1280E"/>
    <w:rsid w:val="00B13E95"/>
    <w:rsid w:val="00B209C6"/>
    <w:rsid w:val="00B21E97"/>
    <w:rsid w:val="00B262DE"/>
    <w:rsid w:val="00B26AD4"/>
    <w:rsid w:val="00B4191F"/>
    <w:rsid w:val="00B4486F"/>
    <w:rsid w:val="00B47567"/>
    <w:rsid w:val="00B52580"/>
    <w:rsid w:val="00B611FD"/>
    <w:rsid w:val="00B6750E"/>
    <w:rsid w:val="00B67603"/>
    <w:rsid w:val="00B724C3"/>
    <w:rsid w:val="00B748CC"/>
    <w:rsid w:val="00B92BE0"/>
    <w:rsid w:val="00B95868"/>
    <w:rsid w:val="00B96B52"/>
    <w:rsid w:val="00BA0D12"/>
    <w:rsid w:val="00BA489F"/>
    <w:rsid w:val="00BA67F6"/>
    <w:rsid w:val="00BC3899"/>
    <w:rsid w:val="00BD3141"/>
    <w:rsid w:val="00BD5ABB"/>
    <w:rsid w:val="00BD75F7"/>
    <w:rsid w:val="00BE11C6"/>
    <w:rsid w:val="00BE2F1B"/>
    <w:rsid w:val="00BE35E4"/>
    <w:rsid w:val="00BF3D5D"/>
    <w:rsid w:val="00BF65DD"/>
    <w:rsid w:val="00BF7055"/>
    <w:rsid w:val="00C0377C"/>
    <w:rsid w:val="00C05EA6"/>
    <w:rsid w:val="00C14EAD"/>
    <w:rsid w:val="00C159D0"/>
    <w:rsid w:val="00C162A4"/>
    <w:rsid w:val="00C20B34"/>
    <w:rsid w:val="00C21927"/>
    <w:rsid w:val="00C31873"/>
    <w:rsid w:val="00C34217"/>
    <w:rsid w:val="00C344E5"/>
    <w:rsid w:val="00C3595B"/>
    <w:rsid w:val="00C40E11"/>
    <w:rsid w:val="00C432B1"/>
    <w:rsid w:val="00C44453"/>
    <w:rsid w:val="00C531E1"/>
    <w:rsid w:val="00C7224A"/>
    <w:rsid w:val="00C75969"/>
    <w:rsid w:val="00C85020"/>
    <w:rsid w:val="00C86285"/>
    <w:rsid w:val="00C87F6E"/>
    <w:rsid w:val="00C90500"/>
    <w:rsid w:val="00C90F6E"/>
    <w:rsid w:val="00C91152"/>
    <w:rsid w:val="00C9314F"/>
    <w:rsid w:val="00C95980"/>
    <w:rsid w:val="00CA5337"/>
    <w:rsid w:val="00CA7793"/>
    <w:rsid w:val="00CB06C2"/>
    <w:rsid w:val="00CC3023"/>
    <w:rsid w:val="00CC3306"/>
    <w:rsid w:val="00CC4AD5"/>
    <w:rsid w:val="00CC60DF"/>
    <w:rsid w:val="00CD2872"/>
    <w:rsid w:val="00CD4E89"/>
    <w:rsid w:val="00CD73D7"/>
    <w:rsid w:val="00CE03B1"/>
    <w:rsid w:val="00CE654B"/>
    <w:rsid w:val="00CF17F9"/>
    <w:rsid w:val="00CF33D3"/>
    <w:rsid w:val="00D02B21"/>
    <w:rsid w:val="00D05253"/>
    <w:rsid w:val="00D065F5"/>
    <w:rsid w:val="00D079DF"/>
    <w:rsid w:val="00D07DAB"/>
    <w:rsid w:val="00D100CF"/>
    <w:rsid w:val="00D1637D"/>
    <w:rsid w:val="00D16FDA"/>
    <w:rsid w:val="00D2548E"/>
    <w:rsid w:val="00D26488"/>
    <w:rsid w:val="00D354BF"/>
    <w:rsid w:val="00D36EE7"/>
    <w:rsid w:val="00D37743"/>
    <w:rsid w:val="00D47397"/>
    <w:rsid w:val="00D54230"/>
    <w:rsid w:val="00D56D9D"/>
    <w:rsid w:val="00D63BB3"/>
    <w:rsid w:val="00D66646"/>
    <w:rsid w:val="00D71D6E"/>
    <w:rsid w:val="00D71EDD"/>
    <w:rsid w:val="00D720FB"/>
    <w:rsid w:val="00D85612"/>
    <w:rsid w:val="00D97B8E"/>
    <w:rsid w:val="00DA1A52"/>
    <w:rsid w:val="00DA3F9C"/>
    <w:rsid w:val="00DA4E4F"/>
    <w:rsid w:val="00DA6280"/>
    <w:rsid w:val="00DC30DD"/>
    <w:rsid w:val="00DC512B"/>
    <w:rsid w:val="00DD0973"/>
    <w:rsid w:val="00DD28C8"/>
    <w:rsid w:val="00DE3172"/>
    <w:rsid w:val="00DE7A76"/>
    <w:rsid w:val="00DF1733"/>
    <w:rsid w:val="00DF1ECE"/>
    <w:rsid w:val="00DF2183"/>
    <w:rsid w:val="00DF614F"/>
    <w:rsid w:val="00E003C5"/>
    <w:rsid w:val="00E00CD9"/>
    <w:rsid w:val="00E037FB"/>
    <w:rsid w:val="00E04130"/>
    <w:rsid w:val="00E04371"/>
    <w:rsid w:val="00E0564C"/>
    <w:rsid w:val="00E05774"/>
    <w:rsid w:val="00E141B4"/>
    <w:rsid w:val="00E307E0"/>
    <w:rsid w:val="00E343C3"/>
    <w:rsid w:val="00E364E2"/>
    <w:rsid w:val="00E42F39"/>
    <w:rsid w:val="00E461DE"/>
    <w:rsid w:val="00E46997"/>
    <w:rsid w:val="00E502B0"/>
    <w:rsid w:val="00E5049B"/>
    <w:rsid w:val="00E62B98"/>
    <w:rsid w:val="00E6307E"/>
    <w:rsid w:val="00E67696"/>
    <w:rsid w:val="00E73AB0"/>
    <w:rsid w:val="00E861B9"/>
    <w:rsid w:val="00E90BCA"/>
    <w:rsid w:val="00E93069"/>
    <w:rsid w:val="00E9564C"/>
    <w:rsid w:val="00E96ED5"/>
    <w:rsid w:val="00EA00C4"/>
    <w:rsid w:val="00EB022D"/>
    <w:rsid w:val="00EB0DCE"/>
    <w:rsid w:val="00EB57C9"/>
    <w:rsid w:val="00EC2B8A"/>
    <w:rsid w:val="00EC32FF"/>
    <w:rsid w:val="00ED559B"/>
    <w:rsid w:val="00ED695E"/>
    <w:rsid w:val="00EE0837"/>
    <w:rsid w:val="00EE41A5"/>
    <w:rsid w:val="00EF0F62"/>
    <w:rsid w:val="00EF5CEA"/>
    <w:rsid w:val="00EF5FCF"/>
    <w:rsid w:val="00EF5FE1"/>
    <w:rsid w:val="00F00184"/>
    <w:rsid w:val="00F121C4"/>
    <w:rsid w:val="00F12374"/>
    <w:rsid w:val="00F12848"/>
    <w:rsid w:val="00F16123"/>
    <w:rsid w:val="00F30CED"/>
    <w:rsid w:val="00F43DE7"/>
    <w:rsid w:val="00F469C2"/>
    <w:rsid w:val="00F57368"/>
    <w:rsid w:val="00F63549"/>
    <w:rsid w:val="00F66575"/>
    <w:rsid w:val="00F72165"/>
    <w:rsid w:val="00F72726"/>
    <w:rsid w:val="00F805DA"/>
    <w:rsid w:val="00F80DE2"/>
    <w:rsid w:val="00F82BF3"/>
    <w:rsid w:val="00F84A80"/>
    <w:rsid w:val="00F87C94"/>
    <w:rsid w:val="00F90CEE"/>
    <w:rsid w:val="00F9679F"/>
    <w:rsid w:val="00F96C5F"/>
    <w:rsid w:val="00F97D6B"/>
    <w:rsid w:val="00FA4E92"/>
    <w:rsid w:val="00FB2A9A"/>
    <w:rsid w:val="00FB5ADE"/>
    <w:rsid w:val="00FB7AD2"/>
    <w:rsid w:val="00FC2C05"/>
    <w:rsid w:val="00FD37B1"/>
    <w:rsid w:val="00FE00B6"/>
    <w:rsid w:val="00FE60BF"/>
    <w:rsid w:val="00FF63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B88A46"/>
  <w15:chartTrackingRefBased/>
  <w15:docId w15:val="{8D88422D-E35E-4A1F-BD96-22769FB69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135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135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135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135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135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135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35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35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35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5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135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135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135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135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135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35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35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35CE"/>
    <w:rPr>
      <w:rFonts w:eastAsiaTheme="majorEastAsia" w:cstheme="majorBidi"/>
      <w:color w:val="272727" w:themeColor="text1" w:themeTint="D8"/>
    </w:rPr>
  </w:style>
  <w:style w:type="paragraph" w:styleId="Title">
    <w:name w:val="Title"/>
    <w:basedOn w:val="Normal"/>
    <w:next w:val="Normal"/>
    <w:link w:val="TitleChar"/>
    <w:uiPriority w:val="10"/>
    <w:qFormat/>
    <w:rsid w:val="00A135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35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35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35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35CE"/>
    <w:pPr>
      <w:spacing w:before="160"/>
      <w:jc w:val="center"/>
    </w:pPr>
    <w:rPr>
      <w:i/>
      <w:iCs/>
      <w:color w:val="404040" w:themeColor="text1" w:themeTint="BF"/>
    </w:rPr>
  </w:style>
  <w:style w:type="character" w:customStyle="1" w:styleId="QuoteChar">
    <w:name w:val="Quote Char"/>
    <w:basedOn w:val="DefaultParagraphFont"/>
    <w:link w:val="Quote"/>
    <w:uiPriority w:val="29"/>
    <w:rsid w:val="00A135CE"/>
    <w:rPr>
      <w:i/>
      <w:iCs/>
      <w:color w:val="404040" w:themeColor="text1" w:themeTint="BF"/>
    </w:rPr>
  </w:style>
  <w:style w:type="paragraph" w:styleId="ListParagraph">
    <w:name w:val="List Paragraph"/>
    <w:basedOn w:val="Normal"/>
    <w:uiPriority w:val="34"/>
    <w:qFormat/>
    <w:rsid w:val="00A135CE"/>
    <w:pPr>
      <w:ind w:left="720"/>
      <w:contextualSpacing/>
    </w:pPr>
  </w:style>
  <w:style w:type="character" w:styleId="IntenseEmphasis">
    <w:name w:val="Intense Emphasis"/>
    <w:basedOn w:val="DefaultParagraphFont"/>
    <w:uiPriority w:val="21"/>
    <w:qFormat/>
    <w:rsid w:val="00A135CE"/>
    <w:rPr>
      <w:i/>
      <w:iCs/>
      <w:color w:val="0F4761" w:themeColor="accent1" w:themeShade="BF"/>
    </w:rPr>
  </w:style>
  <w:style w:type="paragraph" w:styleId="IntenseQuote">
    <w:name w:val="Intense Quote"/>
    <w:basedOn w:val="Normal"/>
    <w:next w:val="Normal"/>
    <w:link w:val="IntenseQuoteChar"/>
    <w:uiPriority w:val="30"/>
    <w:qFormat/>
    <w:rsid w:val="00A135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135CE"/>
    <w:rPr>
      <w:i/>
      <w:iCs/>
      <w:color w:val="0F4761" w:themeColor="accent1" w:themeShade="BF"/>
    </w:rPr>
  </w:style>
  <w:style w:type="character" w:styleId="IntenseReference">
    <w:name w:val="Intense Reference"/>
    <w:basedOn w:val="DefaultParagraphFont"/>
    <w:uiPriority w:val="32"/>
    <w:qFormat/>
    <w:rsid w:val="00A135CE"/>
    <w:rPr>
      <w:b/>
      <w:bCs/>
      <w:smallCaps/>
      <w:color w:val="0F4761" w:themeColor="accent1" w:themeShade="BF"/>
      <w:spacing w:val="5"/>
    </w:rPr>
  </w:style>
  <w:style w:type="paragraph" w:styleId="NormalWeb">
    <w:name w:val="Normal (Web)"/>
    <w:basedOn w:val="Normal"/>
    <w:uiPriority w:val="99"/>
    <w:semiHidden/>
    <w:unhideWhenUsed/>
    <w:rsid w:val="00C95980"/>
    <w:rPr>
      <w:rFonts w:ascii="Times New Roman" w:hAnsi="Times New Roman" w:cs="Times New Roman"/>
      <w:sz w:val="24"/>
      <w:szCs w:val="24"/>
    </w:rPr>
  </w:style>
  <w:style w:type="paragraph" w:styleId="Header">
    <w:name w:val="header"/>
    <w:basedOn w:val="Normal"/>
    <w:link w:val="HeaderChar"/>
    <w:uiPriority w:val="99"/>
    <w:unhideWhenUsed/>
    <w:rsid w:val="0092601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601D"/>
  </w:style>
  <w:style w:type="paragraph" w:styleId="Footer">
    <w:name w:val="footer"/>
    <w:basedOn w:val="Normal"/>
    <w:link w:val="FooterChar"/>
    <w:uiPriority w:val="99"/>
    <w:unhideWhenUsed/>
    <w:rsid w:val="0092601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601D"/>
  </w:style>
  <w:style w:type="paragraph" w:styleId="TOCHeading">
    <w:name w:val="TOC Heading"/>
    <w:basedOn w:val="Heading1"/>
    <w:next w:val="Normal"/>
    <w:uiPriority w:val="39"/>
    <w:unhideWhenUsed/>
    <w:qFormat/>
    <w:rsid w:val="008C0BC4"/>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8C0BC4"/>
    <w:pPr>
      <w:spacing w:after="100"/>
    </w:pPr>
  </w:style>
  <w:style w:type="paragraph" w:styleId="TOC2">
    <w:name w:val="toc 2"/>
    <w:basedOn w:val="Normal"/>
    <w:next w:val="Normal"/>
    <w:autoRedefine/>
    <w:uiPriority w:val="39"/>
    <w:unhideWhenUsed/>
    <w:rsid w:val="008C0BC4"/>
    <w:pPr>
      <w:spacing w:after="100"/>
      <w:ind w:left="220"/>
    </w:pPr>
  </w:style>
  <w:style w:type="character" w:styleId="Hyperlink">
    <w:name w:val="Hyperlink"/>
    <w:basedOn w:val="DefaultParagraphFont"/>
    <w:uiPriority w:val="99"/>
    <w:unhideWhenUsed/>
    <w:rsid w:val="008C0BC4"/>
    <w:rPr>
      <w:color w:val="467886" w:themeColor="hyperlink"/>
      <w:u w:val="single"/>
    </w:rPr>
  </w:style>
  <w:style w:type="character" w:styleId="UnresolvedMention">
    <w:name w:val="Unresolved Mention"/>
    <w:basedOn w:val="DefaultParagraphFont"/>
    <w:uiPriority w:val="99"/>
    <w:semiHidden/>
    <w:unhideWhenUsed/>
    <w:rsid w:val="00C344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A391F94-DDC3-41C2-9FDB-75ECAB21B594}">
  <we:reference id="wa104380122" version="2.1.0.1" store="en-GB" storeType="OMEX"/>
  <we:alternateReferences>
    <we:reference id="WA104380122" version="2.1.0.1"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CFDAF7-592F-42A5-8F9B-73FC13967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12</Pages>
  <Words>3728</Words>
  <Characters>21256</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Oritta Kanderera</dc:creator>
  <cp:keywords/>
  <dc:description/>
  <cp:lastModifiedBy>Oritta Kanderera</cp:lastModifiedBy>
  <cp:revision>12</cp:revision>
  <dcterms:created xsi:type="dcterms:W3CDTF">2026-04-20T04:45:00Z</dcterms:created>
  <dcterms:modified xsi:type="dcterms:W3CDTF">2026-04-20T04:57:00Z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8457a931-9980-4bb1-b430-8ff4fb1d1221</vt:lpwstr>
  </property>
</Properties>
</file>