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EE980" w14:textId="77777777" w:rsidR="003E64F0" w:rsidRDefault="003E64F0">
      <w:pPr>
        <w:spacing w:line="360" w:lineRule="auto"/>
      </w:pPr>
      <w:bookmarkStart w:id="0" w:name="_gjdgxs" w:colFirst="0" w:colLast="0"/>
      <w:bookmarkEnd w:id="0"/>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2"/>
        <w:gridCol w:w="3647"/>
        <w:gridCol w:w="3647"/>
      </w:tblGrid>
      <w:tr w:rsidR="003E64F0" w14:paraId="1CD9683D" w14:textId="77777777">
        <w:tc>
          <w:tcPr>
            <w:tcW w:w="1722" w:type="dxa"/>
          </w:tcPr>
          <w:p w14:paraId="6B10B43B" w14:textId="77777777" w:rsidR="003E64F0" w:rsidRDefault="003E64F0">
            <w:pPr>
              <w:spacing w:line="360" w:lineRule="auto"/>
            </w:pPr>
          </w:p>
        </w:tc>
        <w:tc>
          <w:tcPr>
            <w:tcW w:w="3647" w:type="dxa"/>
          </w:tcPr>
          <w:p w14:paraId="7ADF2860" w14:textId="77777777" w:rsidR="003E64F0" w:rsidRDefault="00000000">
            <w:pPr>
              <w:spacing w:line="360" w:lineRule="auto"/>
            </w:pPr>
            <w:proofErr w:type="spellStart"/>
            <w:r>
              <w:t>Targed</w:t>
            </w:r>
            <w:proofErr w:type="spellEnd"/>
            <w:r>
              <w:t>/target</w:t>
            </w:r>
          </w:p>
        </w:tc>
        <w:tc>
          <w:tcPr>
            <w:tcW w:w="3647" w:type="dxa"/>
          </w:tcPr>
          <w:p w14:paraId="5E1CEF46" w14:textId="77777777" w:rsidR="003E64F0" w:rsidRDefault="00000000">
            <w:pPr>
              <w:rPr>
                <w:color w:val="222222"/>
              </w:rPr>
            </w:pPr>
            <w:proofErr w:type="spellStart"/>
            <w:r>
              <w:rPr>
                <w:color w:val="222222"/>
                <w:shd w:val="clear" w:color="auto" w:fill="F8F9FA"/>
              </w:rPr>
              <w:t>Yr</w:t>
            </w:r>
            <w:proofErr w:type="spellEnd"/>
            <w:r>
              <w:rPr>
                <w:color w:val="222222"/>
                <w:shd w:val="clear" w:color="auto" w:fill="F8F9FA"/>
              </w:rPr>
              <w:t xml:space="preserve"> </w:t>
            </w:r>
            <w:proofErr w:type="spellStart"/>
            <w:r>
              <w:rPr>
                <w:color w:val="222222"/>
                <w:shd w:val="clear" w:color="auto" w:fill="F8F9FA"/>
              </w:rPr>
              <w:t>hyn</w:t>
            </w:r>
            <w:proofErr w:type="spellEnd"/>
            <w:r>
              <w:rPr>
                <w:color w:val="222222"/>
                <w:shd w:val="clear" w:color="auto" w:fill="F8F9FA"/>
              </w:rPr>
              <w:t xml:space="preserve"> </w:t>
            </w:r>
            <w:proofErr w:type="spellStart"/>
            <w:r>
              <w:rPr>
                <w:color w:val="222222"/>
                <w:shd w:val="clear" w:color="auto" w:fill="F8F9FA"/>
              </w:rPr>
              <w:t>yr</w:t>
            </w:r>
            <w:proofErr w:type="spellEnd"/>
            <w:r>
              <w:rPr>
                <w:color w:val="222222"/>
                <w:shd w:val="clear" w:color="auto" w:fill="F8F9FA"/>
              </w:rPr>
              <w:t xml:space="preserve"> </w:t>
            </w:r>
            <w:proofErr w:type="spellStart"/>
            <w:r>
              <w:rPr>
                <w:color w:val="222222"/>
                <w:shd w:val="clear" w:color="auto" w:fill="F8F9FA"/>
              </w:rPr>
              <w:t>wyf</w:t>
            </w:r>
            <w:proofErr w:type="spellEnd"/>
            <w:r>
              <w:rPr>
                <w:color w:val="222222"/>
                <w:shd w:val="clear" w:color="auto" w:fill="F8F9FA"/>
              </w:rPr>
              <w:t xml:space="preserve"> </w:t>
            </w:r>
            <w:proofErr w:type="spellStart"/>
            <w:r>
              <w:rPr>
                <w:color w:val="222222"/>
                <w:shd w:val="clear" w:color="auto" w:fill="F8F9FA"/>
              </w:rPr>
              <w:t>wedi'i</w:t>
            </w:r>
            <w:proofErr w:type="spellEnd"/>
            <w:r>
              <w:rPr>
                <w:color w:val="222222"/>
                <w:shd w:val="clear" w:color="auto" w:fill="F8F9FA"/>
              </w:rPr>
              <w:t xml:space="preserve"> </w:t>
            </w:r>
            <w:proofErr w:type="spellStart"/>
            <w:r>
              <w:rPr>
                <w:color w:val="222222"/>
                <w:shd w:val="clear" w:color="auto" w:fill="F8F9FA"/>
              </w:rPr>
              <w:t>wneud</w:t>
            </w:r>
            <w:proofErr w:type="spellEnd"/>
            <w:r>
              <w:rPr>
                <w:color w:val="222222"/>
                <w:shd w:val="clear" w:color="auto" w:fill="F8F9FA"/>
              </w:rPr>
              <w:t xml:space="preserve"> </w:t>
            </w:r>
            <w:proofErr w:type="spellStart"/>
            <w:r>
              <w:rPr>
                <w:color w:val="222222"/>
                <w:shd w:val="clear" w:color="auto" w:fill="F8F9FA"/>
              </w:rPr>
              <w:t>yn</w:t>
            </w:r>
            <w:proofErr w:type="spellEnd"/>
            <w:r>
              <w:rPr>
                <w:color w:val="222222"/>
                <w:shd w:val="clear" w:color="auto" w:fill="F8F9FA"/>
              </w:rPr>
              <w:t xml:space="preserve"> </w:t>
            </w:r>
            <w:proofErr w:type="spellStart"/>
            <w:r>
              <w:rPr>
                <w:color w:val="222222"/>
                <w:shd w:val="clear" w:color="auto" w:fill="F8F9FA"/>
              </w:rPr>
              <w:t>yr</w:t>
            </w:r>
            <w:proofErr w:type="spellEnd"/>
            <w:r>
              <w:rPr>
                <w:color w:val="222222"/>
                <w:shd w:val="clear" w:color="auto" w:fill="F8F9FA"/>
              </w:rPr>
              <w:t xml:space="preserve"> </w:t>
            </w:r>
            <w:proofErr w:type="spellStart"/>
            <w:r>
              <w:rPr>
                <w:color w:val="222222"/>
                <w:shd w:val="clear" w:color="auto" w:fill="F8F9FA"/>
              </w:rPr>
              <w:t>aseiniad</w:t>
            </w:r>
            <w:proofErr w:type="spellEnd"/>
            <w:r>
              <w:rPr>
                <w:color w:val="222222"/>
                <w:shd w:val="clear" w:color="auto" w:fill="F8F9FA"/>
              </w:rPr>
              <w:t xml:space="preserve"> </w:t>
            </w:r>
            <w:proofErr w:type="spellStart"/>
            <w:r>
              <w:rPr>
                <w:color w:val="222222"/>
                <w:shd w:val="clear" w:color="auto" w:fill="F8F9FA"/>
              </w:rPr>
              <w:t>hwn</w:t>
            </w:r>
            <w:proofErr w:type="spellEnd"/>
          </w:p>
          <w:p w14:paraId="171428C6" w14:textId="77777777" w:rsidR="003E64F0" w:rsidRDefault="00000000">
            <w:r>
              <w:t>What I have done in this assignment...</w:t>
            </w:r>
          </w:p>
          <w:p w14:paraId="7B6CED52" w14:textId="77777777" w:rsidR="003E64F0" w:rsidRDefault="003E64F0">
            <w:pPr>
              <w:spacing w:line="360" w:lineRule="auto"/>
            </w:pPr>
          </w:p>
        </w:tc>
      </w:tr>
      <w:tr w:rsidR="003E64F0" w14:paraId="51CB4AA9" w14:textId="77777777">
        <w:tc>
          <w:tcPr>
            <w:tcW w:w="1722" w:type="dxa"/>
          </w:tcPr>
          <w:p w14:paraId="5B80B2F7" w14:textId="77777777" w:rsidR="003E64F0" w:rsidRDefault="00000000">
            <w:pPr>
              <w:spacing w:line="360" w:lineRule="auto"/>
            </w:pPr>
            <w:proofErr w:type="spellStart"/>
            <w:r>
              <w:t>T</w:t>
            </w:r>
            <w:bookmarkStart w:id="1" w:name="kix.p0594mnvxgn2" w:colFirst="0" w:colLast="0"/>
            <w:bookmarkEnd w:id="1"/>
            <w:r>
              <w:t>arged</w:t>
            </w:r>
            <w:proofErr w:type="spellEnd"/>
            <w:r>
              <w:t>/Target 1</w:t>
            </w:r>
          </w:p>
        </w:tc>
        <w:tc>
          <w:tcPr>
            <w:tcW w:w="3647" w:type="dxa"/>
          </w:tcPr>
          <w:p w14:paraId="735EA085" w14:textId="77777777" w:rsidR="003E64F0" w:rsidRDefault="00000000">
            <w:pPr>
              <w:shd w:val="clear" w:color="auto" w:fill="FFFFFF"/>
              <w:spacing w:line="360" w:lineRule="auto"/>
              <w:rPr>
                <w:rFonts w:ascii="Roboto" w:eastAsia="Roboto" w:hAnsi="Roboto" w:cs="Roboto"/>
                <w:color w:val="283041"/>
                <w:sz w:val="21"/>
                <w:szCs w:val="21"/>
              </w:rPr>
            </w:pPr>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Darllen</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yn</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eang</w:t>
            </w:r>
            <w:proofErr w:type="spellEnd"/>
            <w:r>
              <w:rPr>
                <w:rFonts w:ascii="Roboto" w:eastAsia="Roboto" w:hAnsi="Roboto" w:cs="Roboto"/>
                <w:color w:val="283041"/>
                <w:sz w:val="21"/>
                <w:szCs w:val="21"/>
              </w:rPr>
              <w:t xml:space="preserve"> a </w:t>
            </w:r>
            <w:proofErr w:type="spellStart"/>
            <w:r>
              <w:rPr>
                <w:rFonts w:ascii="Roboto" w:eastAsia="Roboto" w:hAnsi="Roboto" w:cs="Roboto"/>
                <w:color w:val="283041"/>
                <w:sz w:val="21"/>
                <w:szCs w:val="21"/>
              </w:rPr>
              <w:t>beirniadu'r</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llenyddiaeth</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rwyt</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yn</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cyfeirio</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atynt</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Efallai</w:t>
            </w:r>
            <w:proofErr w:type="spellEnd"/>
            <w:r>
              <w:rPr>
                <w:rFonts w:ascii="Roboto" w:eastAsia="Roboto" w:hAnsi="Roboto" w:cs="Roboto"/>
                <w:color w:val="283041"/>
                <w:sz w:val="21"/>
                <w:szCs w:val="21"/>
              </w:rPr>
              <w:t xml:space="preserve"> y </w:t>
            </w:r>
            <w:proofErr w:type="spellStart"/>
            <w:r>
              <w:rPr>
                <w:rFonts w:ascii="Roboto" w:eastAsia="Roboto" w:hAnsi="Roboto" w:cs="Roboto"/>
                <w:color w:val="283041"/>
                <w:sz w:val="21"/>
                <w:szCs w:val="21"/>
              </w:rPr>
              <w:t>bydd</w:t>
            </w:r>
            <w:proofErr w:type="spellEnd"/>
            <w:r>
              <w:rPr>
                <w:rFonts w:ascii="Roboto" w:eastAsia="Roboto" w:hAnsi="Roboto" w:cs="Roboto"/>
                <w:color w:val="283041"/>
                <w:sz w:val="21"/>
                <w:szCs w:val="21"/>
              </w:rPr>
              <w:t xml:space="preserve"> y </w:t>
            </w:r>
            <w:proofErr w:type="spellStart"/>
            <w:r>
              <w:rPr>
                <w:rFonts w:ascii="Roboto" w:eastAsia="Roboto" w:hAnsi="Roboto" w:cs="Roboto"/>
                <w:color w:val="283041"/>
                <w:sz w:val="21"/>
                <w:szCs w:val="21"/>
              </w:rPr>
              <w:t>fideo</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canlynol</w:t>
            </w:r>
            <w:proofErr w:type="spellEnd"/>
            <w:r>
              <w:rPr>
                <w:rFonts w:ascii="Roboto" w:eastAsia="Roboto" w:hAnsi="Roboto" w:cs="Roboto"/>
                <w:color w:val="283041"/>
                <w:sz w:val="21"/>
                <w:szCs w:val="21"/>
              </w:rPr>
              <w:t xml:space="preserve"> o </w:t>
            </w:r>
            <w:proofErr w:type="spellStart"/>
            <w:r>
              <w:rPr>
                <w:rFonts w:ascii="Roboto" w:eastAsia="Roboto" w:hAnsi="Roboto" w:cs="Roboto"/>
                <w:color w:val="283041"/>
                <w:sz w:val="21"/>
                <w:szCs w:val="21"/>
              </w:rPr>
              <w:t>gymorth</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i</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ti</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ddatblygu'r</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sgil</w:t>
            </w:r>
            <w:proofErr w:type="spellEnd"/>
            <w:r>
              <w:rPr>
                <w:rFonts w:ascii="Roboto" w:eastAsia="Roboto" w:hAnsi="Roboto" w:cs="Roboto"/>
                <w:color w:val="283041"/>
                <w:sz w:val="21"/>
                <w:szCs w:val="21"/>
              </w:rPr>
              <w:t xml:space="preserve"> </w:t>
            </w:r>
            <w:proofErr w:type="spellStart"/>
            <w:r>
              <w:rPr>
                <w:rFonts w:ascii="Roboto" w:eastAsia="Roboto" w:hAnsi="Roboto" w:cs="Roboto"/>
                <w:color w:val="283041"/>
                <w:sz w:val="21"/>
                <w:szCs w:val="21"/>
              </w:rPr>
              <w:t>yma</w:t>
            </w:r>
            <w:proofErr w:type="spellEnd"/>
            <w:r>
              <w:rPr>
                <w:rFonts w:ascii="Roboto" w:eastAsia="Roboto" w:hAnsi="Roboto" w:cs="Roboto"/>
                <w:color w:val="283041"/>
                <w:sz w:val="21"/>
                <w:szCs w:val="21"/>
              </w:rPr>
              <w:t>:</w:t>
            </w:r>
          </w:p>
          <w:p w14:paraId="1040F2A6" w14:textId="77777777" w:rsidR="003E64F0" w:rsidRDefault="00000000">
            <w:pPr>
              <w:shd w:val="clear" w:color="auto" w:fill="FFFFFF"/>
              <w:spacing w:line="360" w:lineRule="auto"/>
              <w:rPr>
                <w:rFonts w:ascii="Roboto" w:eastAsia="Roboto" w:hAnsi="Roboto" w:cs="Roboto"/>
                <w:color w:val="283041"/>
                <w:sz w:val="21"/>
                <w:szCs w:val="21"/>
              </w:rPr>
            </w:pPr>
            <w:hyperlink r:id="rId6">
              <w:r>
                <w:rPr>
                  <w:rFonts w:ascii="Roboto" w:eastAsia="Roboto" w:hAnsi="Roboto" w:cs="Roboto"/>
                  <w:color w:val="1E7BBB"/>
                  <w:sz w:val="21"/>
                  <w:szCs w:val="21"/>
                </w:rPr>
                <w:t>https://www.youtube.com/watch?v=DR9Zq7y9xt4</w:t>
              </w:r>
            </w:hyperlink>
            <w:r>
              <w:rPr>
                <w:rFonts w:ascii="Roboto" w:eastAsia="Roboto" w:hAnsi="Roboto" w:cs="Roboto"/>
                <w:color w:val="283041"/>
                <w:sz w:val="21"/>
                <w:szCs w:val="21"/>
              </w:rPr>
              <w:t xml:space="preserve"> </w:t>
            </w:r>
          </w:p>
          <w:p w14:paraId="26A9862D" w14:textId="77777777" w:rsidR="003E64F0" w:rsidRDefault="003E64F0">
            <w:pPr>
              <w:spacing w:line="360" w:lineRule="auto"/>
            </w:pPr>
          </w:p>
        </w:tc>
        <w:tc>
          <w:tcPr>
            <w:tcW w:w="3647" w:type="dxa"/>
          </w:tcPr>
          <w:p w14:paraId="508D24D8" w14:textId="77777777" w:rsidR="003E64F0" w:rsidRDefault="00000000">
            <w:pPr>
              <w:spacing w:line="360" w:lineRule="auto"/>
            </w:pPr>
            <w:r>
              <w:t>I have responded to a range of literature while adding my interpretations to the information.</w:t>
            </w:r>
          </w:p>
        </w:tc>
      </w:tr>
      <w:tr w:rsidR="003E64F0" w14:paraId="3A91C1F3" w14:textId="77777777">
        <w:tc>
          <w:tcPr>
            <w:tcW w:w="1722" w:type="dxa"/>
          </w:tcPr>
          <w:p w14:paraId="7EFC0736" w14:textId="77777777" w:rsidR="003E64F0" w:rsidRDefault="00000000">
            <w:pPr>
              <w:spacing w:line="360" w:lineRule="auto"/>
            </w:pPr>
            <w:proofErr w:type="spellStart"/>
            <w:r>
              <w:t>Targed</w:t>
            </w:r>
            <w:proofErr w:type="spellEnd"/>
            <w:r>
              <w:t>/Target 2</w:t>
            </w:r>
          </w:p>
        </w:tc>
        <w:tc>
          <w:tcPr>
            <w:tcW w:w="3647" w:type="dxa"/>
          </w:tcPr>
          <w:p w14:paraId="25ADB04F" w14:textId="77777777" w:rsidR="003E64F0" w:rsidRDefault="00000000">
            <w:pPr>
              <w:spacing w:line="360" w:lineRule="auto"/>
            </w:pPr>
            <w:r>
              <w:rPr>
                <w:rFonts w:ascii="Roboto" w:eastAsia="Roboto" w:hAnsi="Roboto" w:cs="Roboto"/>
                <w:color w:val="283041"/>
                <w:sz w:val="21"/>
                <w:szCs w:val="21"/>
                <w:highlight w:val="white"/>
              </w:rPr>
              <w:t xml:space="preserve">* </w:t>
            </w:r>
            <w:proofErr w:type="spellStart"/>
            <w:proofErr w:type="gramStart"/>
            <w:r>
              <w:rPr>
                <w:rFonts w:ascii="Roboto" w:eastAsia="Roboto" w:hAnsi="Roboto" w:cs="Roboto"/>
                <w:color w:val="283041"/>
                <w:sz w:val="21"/>
                <w:szCs w:val="21"/>
                <w:highlight w:val="white"/>
              </w:rPr>
              <w:t>Cynnwys</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dy</w:t>
            </w:r>
            <w:proofErr w:type="spellEnd"/>
            <w:proofErr w:type="gram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dargedau</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blaenorol</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ar</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gychwyn</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yr</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aseiniad</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nesaf</w:t>
            </w:r>
            <w:proofErr w:type="spellEnd"/>
            <w:r>
              <w:rPr>
                <w:rFonts w:ascii="Roboto" w:eastAsia="Roboto" w:hAnsi="Roboto" w:cs="Roboto"/>
                <w:color w:val="283041"/>
                <w:sz w:val="21"/>
                <w:szCs w:val="21"/>
                <w:highlight w:val="white"/>
              </w:rPr>
              <w:t xml:space="preserve"> ac </w:t>
            </w:r>
            <w:proofErr w:type="spellStart"/>
            <w:r>
              <w:rPr>
                <w:rFonts w:ascii="Roboto" w:eastAsia="Roboto" w:hAnsi="Roboto" w:cs="Roboto"/>
                <w:color w:val="283041"/>
                <w:sz w:val="21"/>
                <w:szCs w:val="21"/>
                <w:highlight w:val="white"/>
              </w:rPr>
              <w:t>esbonio</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sut</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rwyt</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ti</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wedi</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ymateb</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iddynt</w:t>
            </w:r>
            <w:proofErr w:type="spellEnd"/>
            <w:r>
              <w:rPr>
                <w:rFonts w:ascii="Roboto" w:eastAsia="Roboto" w:hAnsi="Roboto" w:cs="Roboto"/>
                <w:color w:val="283041"/>
                <w:sz w:val="21"/>
                <w:szCs w:val="21"/>
                <w:highlight w:val="white"/>
              </w:rPr>
              <w:t>.</w:t>
            </w:r>
          </w:p>
        </w:tc>
        <w:tc>
          <w:tcPr>
            <w:tcW w:w="3647" w:type="dxa"/>
          </w:tcPr>
          <w:p w14:paraId="13518CC3" w14:textId="77777777" w:rsidR="003E64F0" w:rsidRDefault="00000000">
            <w:pPr>
              <w:spacing w:line="360" w:lineRule="auto"/>
            </w:pPr>
            <w:r>
              <w:t>I have added the target box with responses</w:t>
            </w:r>
          </w:p>
        </w:tc>
      </w:tr>
      <w:tr w:rsidR="003E64F0" w14:paraId="3029ED77" w14:textId="77777777">
        <w:tc>
          <w:tcPr>
            <w:tcW w:w="1722" w:type="dxa"/>
          </w:tcPr>
          <w:p w14:paraId="04CA4818" w14:textId="77777777" w:rsidR="003E64F0" w:rsidRDefault="00000000">
            <w:pPr>
              <w:spacing w:line="360" w:lineRule="auto"/>
            </w:pPr>
            <w:proofErr w:type="spellStart"/>
            <w:r>
              <w:t>Targed</w:t>
            </w:r>
            <w:proofErr w:type="spellEnd"/>
            <w:r>
              <w:t>/Target 3</w:t>
            </w:r>
          </w:p>
        </w:tc>
        <w:tc>
          <w:tcPr>
            <w:tcW w:w="3647" w:type="dxa"/>
          </w:tcPr>
          <w:p w14:paraId="5F3C78C3" w14:textId="77777777" w:rsidR="003E64F0" w:rsidRDefault="00000000">
            <w:pPr>
              <w:spacing w:line="360" w:lineRule="auto"/>
            </w:pPr>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Darllen</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yn</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eang</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yn</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cynnwys</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llenyddiaeth</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diweddar</w:t>
            </w:r>
            <w:proofErr w:type="spellEnd"/>
            <w:r>
              <w:rPr>
                <w:rFonts w:ascii="Roboto" w:eastAsia="Roboto" w:hAnsi="Roboto" w:cs="Roboto"/>
                <w:color w:val="283041"/>
                <w:sz w:val="21"/>
                <w:szCs w:val="21"/>
                <w:highlight w:val="white"/>
              </w:rPr>
              <w:t xml:space="preserve">) er </w:t>
            </w:r>
            <w:proofErr w:type="spellStart"/>
            <w:r>
              <w:rPr>
                <w:rFonts w:ascii="Roboto" w:eastAsia="Roboto" w:hAnsi="Roboto" w:cs="Roboto"/>
                <w:color w:val="283041"/>
                <w:sz w:val="21"/>
                <w:szCs w:val="21"/>
                <w:highlight w:val="white"/>
              </w:rPr>
              <w:t>mwyn</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gallu</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cefnogi</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safbwyntiau</w:t>
            </w:r>
            <w:proofErr w:type="spellEnd"/>
            <w:r>
              <w:rPr>
                <w:rFonts w:ascii="Roboto" w:eastAsia="Roboto" w:hAnsi="Roboto" w:cs="Roboto"/>
                <w:color w:val="283041"/>
                <w:sz w:val="21"/>
                <w:szCs w:val="21"/>
                <w:highlight w:val="white"/>
              </w:rPr>
              <w:t xml:space="preserve"> a </w:t>
            </w:r>
            <w:proofErr w:type="spellStart"/>
            <w:r>
              <w:rPr>
                <w:rFonts w:ascii="Roboto" w:eastAsia="Roboto" w:hAnsi="Roboto" w:cs="Roboto"/>
                <w:color w:val="283041"/>
                <w:sz w:val="21"/>
                <w:szCs w:val="21"/>
                <w:highlight w:val="white"/>
              </w:rPr>
              <w:t>chynnal</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trafodaethau</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cyferbyniol</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rhwng</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awduron</w:t>
            </w:r>
            <w:proofErr w:type="spellEnd"/>
            <w:r>
              <w:rPr>
                <w:rFonts w:ascii="Roboto" w:eastAsia="Roboto" w:hAnsi="Roboto" w:cs="Roboto"/>
                <w:color w:val="283041"/>
                <w:sz w:val="21"/>
                <w:szCs w:val="21"/>
                <w:highlight w:val="white"/>
              </w:rPr>
              <w:t xml:space="preserve"> </w:t>
            </w:r>
            <w:proofErr w:type="spellStart"/>
            <w:r>
              <w:rPr>
                <w:rFonts w:ascii="Roboto" w:eastAsia="Roboto" w:hAnsi="Roboto" w:cs="Roboto"/>
                <w:color w:val="283041"/>
                <w:sz w:val="21"/>
                <w:szCs w:val="21"/>
                <w:highlight w:val="white"/>
              </w:rPr>
              <w:t>yn</w:t>
            </w:r>
            <w:proofErr w:type="spellEnd"/>
            <w:r>
              <w:rPr>
                <w:rFonts w:ascii="Roboto" w:eastAsia="Roboto" w:hAnsi="Roboto" w:cs="Roboto"/>
                <w:color w:val="283041"/>
                <w:sz w:val="21"/>
                <w:szCs w:val="21"/>
                <w:highlight w:val="white"/>
              </w:rPr>
              <w:t xml:space="preserve"> y </w:t>
            </w:r>
            <w:proofErr w:type="spellStart"/>
            <w:r>
              <w:rPr>
                <w:rFonts w:ascii="Roboto" w:eastAsia="Roboto" w:hAnsi="Roboto" w:cs="Roboto"/>
                <w:color w:val="283041"/>
                <w:sz w:val="21"/>
                <w:szCs w:val="21"/>
                <w:highlight w:val="white"/>
              </w:rPr>
              <w:t>maes</w:t>
            </w:r>
            <w:proofErr w:type="spellEnd"/>
            <w:r>
              <w:rPr>
                <w:rFonts w:ascii="Roboto" w:eastAsia="Roboto" w:hAnsi="Roboto" w:cs="Roboto"/>
                <w:color w:val="283041"/>
                <w:sz w:val="21"/>
                <w:szCs w:val="21"/>
                <w:highlight w:val="white"/>
              </w:rPr>
              <w:t xml:space="preserve"> dan </w:t>
            </w:r>
            <w:proofErr w:type="spellStart"/>
            <w:r>
              <w:rPr>
                <w:rFonts w:ascii="Roboto" w:eastAsia="Roboto" w:hAnsi="Roboto" w:cs="Roboto"/>
                <w:color w:val="283041"/>
                <w:sz w:val="21"/>
                <w:szCs w:val="21"/>
                <w:highlight w:val="white"/>
              </w:rPr>
              <w:t>sylw</w:t>
            </w:r>
            <w:proofErr w:type="spellEnd"/>
            <w:r>
              <w:rPr>
                <w:rFonts w:ascii="Roboto" w:eastAsia="Roboto" w:hAnsi="Roboto" w:cs="Roboto"/>
                <w:color w:val="283041"/>
                <w:sz w:val="21"/>
                <w:szCs w:val="21"/>
                <w:highlight w:val="white"/>
              </w:rPr>
              <w:t>.</w:t>
            </w:r>
          </w:p>
        </w:tc>
        <w:tc>
          <w:tcPr>
            <w:tcW w:w="3647" w:type="dxa"/>
          </w:tcPr>
          <w:p w14:paraId="2DF1CBF3" w14:textId="77777777" w:rsidR="003E64F0" w:rsidRDefault="00000000">
            <w:pPr>
              <w:spacing w:line="360" w:lineRule="auto"/>
            </w:pPr>
            <w:r>
              <w:t>I have responded to a variety of theories and literature that compares theories and looks at various views and standpoints.</w:t>
            </w:r>
          </w:p>
        </w:tc>
      </w:tr>
    </w:tbl>
    <w:p w14:paraId="5387ACF2" w14:textId="77777777" w:rsidR="003E64F0" w:rsidRDefault="003E64F0">
      <w:pPr>
        <w:spacing w:line="360" w:lineRule="auto"/>
        <w:rPr>
          <w:u w:val="single"/>
        </w:rPr>
      </w:pPr>
    </w:p>
    <w:p w14:paraId="17029B08" w14:textId="77777777" w:rsidR="003E64F0" w:rsidRDefault="003E64F0">
      <w:pPr>
        <w:rPr>
          <w:u w:val="single"/>
        </w:rPr>
      </w:pPr>
    </w:p>
    <w:p w14:paraId="5A023096" w14:textId="77777777" w:rsidR="003E64F0" w:rsidRDefault="00000000">
      <w:pPr>
        <w:rPr>
          <w:u w:val="single"/>
        </w:rPr>
      </w:pPr>
      <w:r>
        <w:rPr>
          <w:u w:val="single"/>
        </w:rPr>
        <w:t xml:space="preserve">How a school develops one aspect of its SDP: a report that critically reflects on the actions, </w:t>
      </w:r>
      <w:proofErr w:type="gramStart"/>
      <w:r>
        <w:rPr>
          <w:u w:val="single"/>
        </w:rPr>
        <w:t>impact</w:t>
      </w:r>
      <w:proofErr w:type="gramEnd"/>
      <w:r>
        <w:rPr>
          <w:u w:val="single"/>
        </w:rPr>
        <w:t xml:space="preserve"> and evidence base.</w:t>
      </w:r>
    </w:p>
    <w:p w14:paraId="210ECA8D" w14:textId="77777777" w:rsidR="003E64F0" w:rsidRDefault="003E64F0"/>
    <w:p w14:paraId="4F7D57D1" w14:textId="77777777" w:rsidR="003E64F0" w:rsidRDefault="00000000">
      <w:pPr>
        <w:rPr>
          <w:u w:val="single"/>
        </w:rPr>
      </w:pPr>
      <w:r>
        <w:rPr>
          <w:u w:val="single"/>
        </w:rPr>
        <w:t>Introduction: (200)</w:t>
      </w:r>
    </w:p>
    <w:p w14:paraId="169EC98A" w14:textId="77777777" w:rsidR="003E64F0" w:rsidRDefault="003E64F0"/>
    <w:p w14:paraId="64A67A17" w14:textId="77777777" w:rsidR="003E64F0" w:rsidRDefault="00000000">
      <w:r>
        <w:t xml:space="preserve">This report will </w:t>
      </w:r>
      <w:proofErr w:type="gramStart"/>
      <w:r>
        <w:t>look into</w:t>
      </w:r>
      <w:proofErr w:type="gramEnd"/>
      <w:r>
        <w:t xml:space="preserve"> the School’s Development Plan (SDP) of a Welsh language school in South Wales. After evaluating the different priorities of the </w:t>
      </w:r>
      <w:proofErr w:type="gramStart"/>
      <w:r>
        <w:t>SDP</w:t>
      </w:r>
      <w:proofErr w:type="gramEnd"/>
      <w:r>
        <w:t xml:space="preserve"> the chosen target to investigate further for this report is the Language, Literacy and Communication development within the school, specifically looking at the development of verbal communication through the Welsh Language. This report will look at the different strategies the school has focused on to develop the Welsh language skills of the students and the effect these strategies have had. It has been highlighted within the SDP that the Expressive Arts through Language and Literacy for all schools within the catchment area needs development. This report will also look at how the actions from the SDP have been implemented and evaluate the best steps forward to continue progress within this area of learning. </w:t>
      </w:r>
      <w:proofErr w:type="gramStart"/>
      <w:r>
        <w:t>In order to</w:t>
      </w:r>
      <w:proofErr w:type="gramEnd"/>
      <w:r>
        <w:t xml:space="preserve"> keep the school anonymous BERA Guidelines will be followed through redacting any information that could lead to identifying the name of the school (BERA 2018). At the point of the last Estyn inspection the school in question had 582 pupils with only a few coming from Welsh </w:t>
      </w:r>
      <w:r>
        <w:lastRenderedPageBreak/>
        <w:t>speaking homes. In addition to this 13% of pupils had been identified as having additional learning needs (ALN) (</w:t>
      </w:r>
      <w:proofErr w:type="spellStart"/>
      <w:r>
        <w:t>EstynHMI</w:t>
      </w:r>
      <w:proofErr w:type="spellEnd"/>
      <w:r>
        <w:t xml:space="preserve"> 2017). </w:t>
      </w:r>
    </w:p>
    <w:p w14:paraId="61A69EB8" w14:textId="77777777" w:rsidR="003E64F0" w:rsidRDefault="003E64F0"/>
    <w:p w14:paraId="5023D4EE" w14:textId="77777777" w:rsidR="003E64F0" w:rsidRDefault="003E64F0"/>
    <w:p w14:paraId="09AC915F" w14:textId="77777777" w:rsidR="003E64F0" w:rsidRDefault="00000000">
      <w:pPr>
        <w:rPr>
          <w:u w:val="single"/>
        </w:rPr>
      </w:pPr>
      <w:r>
        <w:rPr>
          <w:u w:val="single"/>
        </w:rPr>
        <w:t>Literature Review: (800)</w:t>
      </w:r>
    </w:p>
    <w:p w14:paraId="3C5193FF" w14:textId="77777777" w:rsidR="003E64F0" w:rsidRDefault="003E64F0">
      <w:pPr>
        <w:rPr>
          <w:u w:val="single"/>
        </w:rPr>
      </w:pPr>
    </w:p>
    <w:p w14:paraId="20A7771A" w14:textId="77777777" w:rsidR="003E64F0" w:rsidRDefault="00000000">
      <w:r>
        <w:t xml:space="preserve">Through this SDP the school has chosen to focus on developing the Language, Literacy and Communications skills of the students with the greatest focus on the oral communication skills. Britton (1967) argued that the best way for students in particular infants to learn is through talking. He argued that talking within the classroom as a method of learning should be prioritised as students must maintain an understanding of language </w:t>
      </w:r>
      <w:proofErr w:type="gramStart"/>
      <w:r>
        <w:t>in order to</w:t>
      </w:r>
      <w:proofErr w:type="gramEnd"/>
      <w:r>
        <w:t xml:space="preserve"> ask questions and have open discussions to further their knowledge on any topic. It is through these open conversations where students can inquire that they will benefit the most and therefore learn and retain knowledge. Supporting this theory of prioritising talk in the classroom is the work of Douglas Barnes. Barnes argued that one of the best tools for teachers to promote learning through talking and discussion is the use of </w:t>
      </w:r>
      <w:proofErr w:type="gramStart"/>
      <w:r>
        <w:t>open ended</w:t>
      </w:r>
      <w:proofErr w:type="gramEnd"/>
      <w:r>
        <w:t xml:space="preserve"> questions and guided discussions rather than closed ended questions that can discourage further questioning (Barnes, D 1977) (Mercer, N &amp; Hodgkinson, S 2015). Barnes explains that </w:t>
      </w:r>
      <w:proofErr w:type="gramStart"/>
      <w:r>
        <w:t>in order to</w:t>
      </w:r>
      <w:proofErr w:type="gramEnd"/>
      <w:r>
        <w:t xml:space="preserve"> promote the development of the understanding of a new topic we must allow students to make mistakes as they talk as this stage of discussion will lie in the realm of “exploratory talk” rather than “presentational talk” (Mercer, N. Hodgkinson, S &amp; Barnes, D. 2015). Barnes explains the differences between </w:t>
      </w:r>
      <w:proofErr w:type="gramStart"/>
      <w:r>
        <w:t>these as exploratory talk</w:t>
      </w:r>
      <w:proofErr w:type="gramEnd"/>
      <w:r>
        <w:t xml:space="preserve"> being “hesitant, broken and full of dead ends and changes of direction” as students are still trying to navigate and form their own thoughts. </w:t>
      </w:r>
      <w:proofErr w:type="gramStart"/>
      <w:r>
        <w:t>Whereas,</w:t>
      </w:r>
      <w:proofErr w:type="gramEnd"/>
      <w:r>
        <w:t xml:space="preserve"> presentational talk is “well-shaped with the focus on adjusting the manner to the needs of the audience” (Mercer, N. Hodgkinson, S &amp; Barnes, D. 2015). Looking at this </w:t>
      </w:r>
      <w:proofErr w:type="gramStart"/>
      <w:r>
        <w:t>it is clear that students</w:t>
      </w:r>
      <w:proofErr w:type="gramEnd"/>
      <w:r>
        <w:t xml:space="preserve"> will have a greater retention and understanding of the topic if open ended questions are used without any pressure to get a question “right”. Through allowing students to “work out” the answers themselves with broken language </w:t>
      </w:r>
      <w:proofErr w:type="spellStart"/>
      <w:r>
        <w:t>self correcting</w:t>
      </w:r>
      <w:proofErr w:type="spellEnd"/>
      <w:r>
        <w:t xml:space="preserve"> as the talk they will be able to add the topic of conversation to their own schemas. Piaget suggested that a child will “organise their knowledge of the world into cognitive structures called schemas” (Thomas, A &amp; Jones, C. 2021). Piaget believed that children learnt through repeated actions which would add to their schema which is constantly adapting to any new knowledge. In order to retain knowledge Piaget explains that if the information fit into the child’s existing </w:t>
      </w:r>
      <w:proofErr w:type="gramStart"/>
      <w:r>
        <w:t>schema</w:t>
      </w:r>
      <w:proofErr w:type="gramEnd"/>
      <w:r>
        <w:t xml:space="preserve"> they would assimilate to retain the new information however any information relating to a new experience outside of the schema students would have to adapt to take on the information. This may explain why some information may be harder to retain than others. Within Language, Literacy and Communication students may know new words but not yet know how to use the words in a range of situations, students must then work out what they want to say through “exploratory talk” to add this line of communication to their existing schemas (Thomas, A &amp; Jones, C. 2021). </w:t>
      </w:r>
    </w:p>
    <w:p w14:paraId="5390F5A3" w14:textId="77777777" w:rsidR="003E64F0" w:rsidRDefault="003E64F0"/>
    <w:p w14:paraId="7B2C5C35" w14:textId="77777777" w:rsidR="003E64F0" w:rsidRDefault="00000000">
      <w:r>
        <w:t xml:space="preserve">When looking at Piaget’s theory of students learning through repeated </w:t>
      </w:r>
      <w:proofErr w:type="gramStart"/>
      <w:r>
        <w:t>actions</w:t>
      </w:r>
      <w:proofErr w:type="gramEnd"/>
      <w:r>
        <w:t xml:space="preserve"> we can also look at the work of John Dewey. John Dewey’s theory can be summarised as students “learning by doing” (</w:t>
      </w:r>
      <w:proofErr w:type="spellStart"/>
      <w:r>
        <w:t>Janse</w:t>
      </w:r>
      <w:proofErr w:type="spellEnd"/>
      <w:r>
        <w:t>, B. 2023) (</w:t>
      </w:r>
      <w:proofErr w:type="spellStart"/>
      <w:r>
        <w:t>Waks</w:t>
      </w:r>
      <w:proofErr w:type="spellEnd"/>
      <w:r>
        <w:t xml:space="preserve">, L &amp; English, A. 2017). In line with Piaget’s work on schemas Dewey argued that the best education for students would involve opportunities allowing students to build upon prior knowledge and experiences linking the new topics. This has been described as a form of assimilation in regard to the </w:t>
      </w:r>
      <w:proofErr w:type="gramStart"/>
      <w:r>
        <w:t>students</w:t>
      </w:r>
      <w:proofErr w:type="gramEnd"/>
      <w:r>
        <w:t xml:space="preserve"> schema. Dewey's </w:t>
      </w:r>
      <w:r>
        <w:lastRenderedPageBreak/>
        <w:t>theory recommends that teachers should listen to students' interests and help them develop problem solving skills which links to the ideologies of the new curriculum for Wales. Within the new curriculum there is a push towards listening to the “students voice” through planning lessons that are cross-curricular and enabling students to develop their own skills in line with the four purposes (</w:t>
      </w:r>
      <w:proofErr w:type="spellStart"/>
      <w:r>
        <w:t>Llywodraeth</w:t>
      </w:r>
      <w:proofErr w:type="spellEnd"/>
      <w:r>
        <w:t xml:space="preserve"> Cymru 2022). Dewey theorises that through only giving background information and with the use of </w:t>
      </w:r>
      <w:proofErr w:type="gramStart"/>
      <w:r>
        <w:t>open ended</w:t>
      </w:r>
      <w:proofErr w:type="gramEnd"/>
      <w:r>
        <w:t xml:space="preserve"> questions this should promote conversation and discussion enabling the development of Language and Communication skills (James, B 2023).</w:t>
      </w:r>
    </w:p>
    <w:p w14:paraId="6FDA4FF7" w14:textId="77777777" w:rsidR="003E64F0" w:rsidRDefault="003E64F0"/>
    <w:p w14:paraId="253ABA88" w14:textId="77777777" w:rsidR="003E64F0" w:rsidRDefault="003E64F0"/>
    <w:p w14:paraId="5912BA5D" w14:textId="77777777" w:rsidR="003E64F0" w:rsidRDefault="00000000">
      <w:pPr>
        <w:rPr>
          <w:u w:val="single"/>
        </w:rPr>
      </w:pPr>
      <w:r>
        <w:rPr>
          <w:u w:val="single"/>
        </w:rPr>
        <w:t>Developing an action plan: (800)</w:t>
      </w:r>
    </w:p>
    <w:p w14:paraId="3E845C26" w14:textId="77777777" w:rsidR="003E64F0" w:rsidRDefault="003E64F0">
      <w:pPr>
        <w:rPr>
          <w:rFonts w:ascii="Architects Daughter" w:eastAsia="Architects Daughter" w:hAnsi="Architects Daughter" w:cs="Architects Daughter"/>
        </w:rPr>
      </w:pPr>
    </w:p>
    <w:p w14:paraId="76CFF9E3" w14:textId="77777777" w:rsidR="003E64F0" w:rsidRDefault="00000000">
      <w:r>
        <w:t xml:space="preserve">The school has decided to look closely at raising standards across all aspects of the curriculum by improving the pupils' oral Welsh skills. They Collaborate in creating a </w:t>
      </w:r>
      <w:proofErr w:type="spellStart"/>
      <w:proofErr w:type="gramStart"/>
      <w:r>
        <w:t>Dathlu,Gweithredu</w:t>
      </w:r>
      <w:proofErr w:type="spellEnd"/>
      <w:proofErr w:type="gramEnd"/>
      <w:r>
        <w:t xml:space="preserve"> and </w:t>
      </w:r>
      <w:proofErr w:type="spellStart"/>
      <w:r>
        <w:t>Gohurio</w:t>
      </w:r>
      <w:proofErr w:type="spellEnd"/>
      <w:r>
        <w:t xml:space="preserve"> list after doing their baseline assessments using </w:t>
      </w:r>
      <w:proofErr w:type="spellStart"/>
      <w:r>
        <w:t>Incerts</w:t>
      </w:r>
      <w:proofErr w:type="spellEnd"/>
      <w:r>
        <w:t>. That is, decide which tasks the children succeeded in (</w:t>
      </w:r>
      <w:proofErr w:type="spellStart"/>
      <w:r>
        <w:t>Dathlu</w:t>
      </w:r>
      <w:proofErr w:type="spellEnd"/>
      <w:r>
        <w:t>), need more effort and pleasant work (</w:t>
      </w:r>
      <w:proofErr w:type="spellStart"/>
      <w:r>
        <w:t>Gweithredu</w:t>
      </w:r>
      <w:proofErr w:type="spellEnd"/>
      <w:proofErr w:type="gramStart"/>
      <w:r>
        <w:t>)</w:t>
      </w:r>
      <w:proofErr w:type="gramEnd"/>
      <w:r>
        <w:t xml:space="preserve"> and wait until the basic oral language is stronger (</w:t>
      </w:r>
      <w:proofErr w:type="spellStart"/>
      <w:r>
        <w:t>gohurio</w:t>
      </w:r>
      <w:proofErr w:type="spellEnd"/>
      <w:r>
        <w:t xml:space="preserve">). They could then monitor the progress termly and revisit the successful activities and discuss with the rest of the teaching staff and share ideas and resources and feedback. After following the VOICE 21 training, the school focuses on using the systems from the program to promote confidence in the Welsh language. VOICE 21 creates close links between well-being and orality, 'Learning to speak and Learning through speaking' (Voice21 2023). After the Covid Period, most schools have placed an emphasis on mental health and therefore this school has decided to give children a classroom time to use their voices and practise oral skills. When doing the baseline </w:t>
      </w:r>
      <w:proofErr w:type="gramStart"/>
      <w:r>
        <w:t>assessments</w:t>
      </w:r>
      <w:proofErr w:type="gramEnd"/>
      <w:r>
        <w:t xml:space="preserve"> the teachers needed to discuss a balance between written and oral work. Was written work as evidence of learning too important? Are there other ways of visiting the 6 Areas of Learning and Experience and using their voices as evidence of learning and presenting their work in creative ways? The teachers will monitor and assess progress throughout the terms and report in </w:t>
      </w:r>
      <w:proofErr w:type="spellStart"/>
      <w:r>
        <w:t>Incerts</w:t>
      </w:r>
      <w:proofErr w:type="spellEnd"/>
      <w:r>
        <w:t>. The Senior Management (SMT) monitors evidence and progress across the curriculum.</w:t>
      </w:r>
    </w:p>
    <w:p w14:paraId="23B282BC" w14:textId="77777777" w:rsidR="003E64F0" w:rsidRDefault="00000000">
      <w:pPr>
        <w:spacing w:after="200"/>
      </w:pPr>
      <w:r>
        <w:t>The success criteria (</w:t>
      </w:r>
      <w:proofErr w:type="spellStart"/>
      <w:r>
        <w:t>Meini</w:t>
      </w:r>
      <w:proofErr w:type="spellEnd"/>
      <w:r>
        <w:t xml:space="preserve"> </w:t>
      </w:r>
      <w:proofErr w:type="spellStart"/>
      <w:r>
        <w:t>Prawf</w:t>
      </w:r>
      <w:proofErr w:type="spellEnd"/>
      <w:r>
        <w:t xml:space="preserve"> </w:t>
      </w:r>
      <w:proofErr w:type="spellStart"/>
      <w:r>
        <w:t>Llwyddiant</w:t>
      </w:r>
      <w:proofErr w:type="spellEnd"/>
      <w:r>
        <w:t xml:space="preserve"> - </w:t>
      </w:r>
      <w:proofErr w:type="spellStart"/>
      <w:r>
        <w:t>MPLl</w:t>
      </w:r>
      <w:proofErr w:type="spellEnd"/>
      <w:r>
        <w:t xml:space="preserve">) of the monitoring by the SMT will be to create a list of what is strong or a challenge and compare with their initial vision. They will evaluate the actions and exercises, the progress and response of the students, create a questionnaire for all teaching staff across all progression steps and share the results. There will be a feedback session between the teachers on their strengths, </w:t>
      </w:r>
      <w:proofErr w:type="gramStart"/>
      <w:r>
        <w:t>challenges</w:t>
      </w:r>
      <w:proofErr w:type="gramEnd"/>
      <w:r>
        <w:t xml:space="preserve"> and actions to follow.</w:t>
      </w:r>
    </w:p>
    <w:p w14:paraId="124E3726" w14:textId="77777777" w:rsidR="003E64F0" w:rsidRDefault="00000000">
      <w:pPr>
        <w:spacing w:after="200"/>
      </w:pPr>
      <w:r>
        <w:t xml:space="preserve">It is important to hear how the children have evaluated this change in teaching and learning strategies.  The SMT will hold discussion groups with each year group, or class to discuss how they feel about the change in style and pace of learning.  The children too will </w:t>
      </w:r>
      <w:proofErr w:type="spellStart"/>
      <w:r>
        <w:t>self assess</w:t>
      </w:r>
      <w:proofErr w:type="spellEnd"/>
      <w:r>
        <w:t xml:space="preserve"> any work that they have completed, this showing their expectations and achievements.</w:t>
      </w:r>
    </w:p>
    <w:p w14:paraId="5DA65FE8" w14:textId="77777777" w:rsidR="003E64F0" w:rsidRDefault="00000000">
      <w:pPr>
        <w:spacing w:after="200"/>
      </w:pPr>
      <w:proofErr w:type="gramStart"/>
      <w:r>
        <w:t>In order to</w:t>
      </w:r>
      <w:proofErr w:type="gramEnd"/>
      <w:r>
        <w:t xml:space="preserve"> strengthen the children's growth mindset, and resilience the school uses the program Hwb </w:t>
      </w:r>
      <w:proofErr w:type="spellStart"/>
      <w:r>
        <w:t>Ymlaen</w:t>
      </w:r>
      <w:proofErr w:type="spellEnd"/>
      <w:r>
        <w:t xml:space="preserve">! (Hwb </w:t>
      </w:r>
      <w:proofErr w:type="spellStart"/>
      <w:r>
        <w:t>Ymlaen</w:t>
      </w:r>
      <w:proofErr w:type="spellEnd"/>
      <w:r>
        <w:t>. No date). They hold sessions daily or weekly as needed to read a story with a message and discuss it. The learners' oral responses are monitored to assess oral language developments and well-being.</w:t>
      </w:r>
    </w:p>
    <w:p w14:paraId="52BA1C79" w14:textId="77777777" w:rsidR="003E64F0" w:rsidRDefault="00000000">
      <w:pPr>
        <w:spacing w:after="200"/>
      </w:pPr>
      <w:r>
        <w:lastRenderedPageBreak/>
        <w:t xml:space="preserve">Although language in the lessons and class is essential, the language used on the yard, out of the earshot of teachers, </w:t>
      </w:r>
      <w:proofErr w:type="gramStart"/>
      <w:r>
        <w:t>has to</w:t>
      </w:r>
      <w:proofErr w:type="gramEnd"/>
      <w:r>
        <w:t xml:space="preserve"> improve to show a natural use of the language. The school has developed a pack for all staff to use during playtime and lunchtime to drill the language and encourage the children to converse in Welsh and learn through play. They also hold games through the Welsh language within clubs within a school. It is natural for children to use their first language, </w:t>
      </w:r>
      <w:proofErr w:type="spellStart"/>
      <w:r>
        <w:t>ie</w:t>
      </w:r>
      <w:proofErr w:type="spellEnd"/>
      <w:r>
        <w:t>, that of the family as their language of choice, but here the emphasis will be for children to understand that the Welsh language is a living language, not just the language of the school.</w:t>
      </w:r>
    </w:p>
    <w:p w14:paraId="48E33BF4" w14:textId="77777777" w:rsidR="003E64F0" w:rsidRDefault="00000000">
      <w:pPr>
        <w:spacing w:after="200"/>
        <w:rPr>
          <w:rFonts w:ascii="Calibri" w:eastAsia="Calibri" w:hAnsi="Calibri" w:cs="Calibri"/>
        </w:rPr>
      </w:pPr>
      <w:r>
        <w:t>Although the school's teaching staff are very experienced, observations from outside agencies, and specialised teachers for language and the curriculum, can lead the school to their next strong steps. The school has invited the specialists to observe the situation of the language in the school as a baseline, especially after the covid period and to discuss the activities and resources that can help to strengthen its Language, Literacy and Communication plan as part of the Curriculum for Wales. The specialists will offer advice on appropriate courses for the teachers if necessary and discuss resources available in the cluster and consortium.</w:t>
      </w:r>
    </w:p>
    <w:p w14:paraId="507FCBFE" w14:textId="77777777" w:rsidR="003E64F0" w:rsidRDefault="003E64F0"/>
    <w:p w14:paraId="51C1ACA2" w14:textId="77777777" w:rsidR="003E64F0" w:rsidRDefault="00000000">
      <w:pPr>
        <w:rPr>
          <w:rFonts w:ascii="Architects Daughter" w:eastAsia="Architects Daughter" w:hAnsi="Architects Daughter" w:cs="Architects Daughter"/>
        </w:rPr>
      </w:pPr>
      <w:r>
        <w:rPr>
          <w:u w:val="single"/>
        </w:rPr>
        <w:t>Reflection and Evaluation: (500)</w:t>
      </w:r>
    </w:p>
    <w:p w14:paraId="0E08A922" w14:textId="77777777" w:rsidR="003E64F0" w:rsidRDefault="003E64F0"/>
    <w:p w14:paraId="7D4D2E80" w14:textId="77777777" w:rsidR="003E64F0" w:rsidRDefault="00000000">
      <w:r>
        <w:t xml:space="preserve">Looking at the theories of Dewey and Barnes there is a shared idea that the best results when assessing progression lie within the use of multisensory immersive learning and student led work. Students must be allowed to try and fail without fear </w:t>
      </w:r>
      <w:proofErr w:type="gramStart"/>
      <w:r>
        <w:t>in order to</w:t>
      </w:r>
      <w:proofErr w:type="gramEnd"/>
      <w:r>
        <w:t xml:space="preserve"> improve their skills. It is through repeated attempts and </w:t>
      </w:r>
      <w:proofErr w:type="spellStart"/>
      <w:r>
        <w:t>self assessment</w:t>
      </w:r>
      <w:proofErr w:type="spellEnd"/>
      <w:r>
        <w:t xml:space="preserve"> and correction that students learn best allowing them to expand on their schemas. It is shown that the focus should not be on strict assessments through testing but should have a more holistic approach to assessing progression as this will gain the best and more accurate results. It is through discussing the child’s </w:t>
      </w:r>
      <w:proofErr w:type="spellStart"/>
      <w:r>
        <w:t>self assessment</w:t>
      </w:r>
      <w:proofErr w:type="spellEnd"/>
      <w:r>
        <w:t xml:space="preserve"> that we fully understand the impact of any activity especially in the later progression steps where children </w:t>
      </w:r>
      <w:proofErr w:type="gramStart"/>
      <w:r>
        <w:t>have the ability to</w:t>
      </w:r>
      <w:proofErr w:type="gramEnd"/>
      <w:r>
        <w:t xml:space="preserve"> understand </w:t>
      </w:r>
      <w:proofErr w:type="spellStart"/>
      <w:r>
        <w:t>self assessment</w:t>
      </w:r>
      <w:proofErr w:type="spellEnd"/>
      <w:r>
        <w:t xml:space="preserve">. These activities must however be constantly reviewed and changed to suit the students. This will then enable teachers to prepare work and resources that are at the correct level for each individual student. </w:t>
      </w:r>
      <w:proofErr w:type="gramStart"/>
      <w:r>
        <w:t>It is clear that through</w:t>
      </w:r>
      <w:proofErr w:type="gramEnd"/>
      <w:r>
        <w:t xml:space="preserve"> this SDP the priority of Language, Literature and Communication as a cross-curricular tool needs to be continually developed in line with the four purposes to challenge and inspire students. In line with this, the focus on recording observations and learning progress needs to be evidenced more creatively through applications such as Seesaw or </w:t>
      </w:r>
      <w:proofErr w:type="spellStart"/>
      <w:r>
        <w:t>ClassDojos</w:t>
      </w:r>
      <w:proofErr w:type="spellEnd"/>
      <w:r>
        <w:t xml:space="preserve">. These applications can also be used by students to gain real-time feedback that they are able to respond to thus opening the conversation of progression between the teacher, </w:t>
      </w:r>
      <w:proofErr w:type="gramStart"/>
      <w:r>
        <w:t>student</w:t>
      </w:r>
      <w:proofErr w:type="gramEnd"/>
      <w:r>
        <w:t xml:space="preserve"> and parent rather than being notes only for the teacher. The priority for the use of oral language over written evidence needs to be developed more creatively. This can be done using the expressive arts to convey understanding of the subject or theme of work. Examples of this include creating plays and developing characters and understanding their character traits using newly attained vocabulary, </w:t>
      </w:r>
      <w:proofErr w:type="gramStart"/>
      <w:r>
        <w:t>expressions</w:t>
      </w:r>
      <w:proofErr w:type="gramEnd"/>
      <w:r>
        <w:t xml:space="preserve"> and language patterns correctly. This in turn will help imbed the knowledge and show deeper learning skills to be used confidently in the future.</w:t>
      </w:r>
    </w:p>
    <w:p w14:paraId="14FDEAB3" w14:textId="77777777" w:rsidR="003E64F0" w:rsidRDefault="003E64F0"/>
    <w:p w14:paraId="6C2194CA" w14:textId="77777777" w:rsidR="003E64F0" w:rsidRDefault="003E64F0"/>
    <w:p w14:paraId="5F55F953" w14:textId="77777777" w:rsidR="003E64F0" w:rsidRDefault="00000000">
      <w:pPr>
        <w:rPr>
          <w:u w:val="single"/>
        </w:rPr>
      </w:pPr>
      <w:r>
        <w:rPr>
          <w:u w:val="single"/>
        </w:rPr>
        <w:t>Conclusion: (200)</w:t>
      </w:r>
    </w:p>
    <w:p w14:paraId="004ACD62" w14:textId="77777777" w:rsidR="003E64F0" w:rsidRDefault="00000000">
      <w:pPr>
        <w:rPr>
          <w:rFonts w:ascii="Architects Daughter" w:eastAsia="Architects Daughter" w:hAnsi="Architects Daughter" w:cs="Architects Daughter"/>
        </w:rPr>
      </w:pPr>
      <w:r>
        <w:lastRenderedPageBreak/>
        <w:t xml:space="preserve">Language development is continuous, fluid and continually changing as is the school, its pupils and their strengths and weaknesses. Every child has individual </w:t>
      </w:r>
      <w:proofErr w:type="gramStart"/>
      <w:r>
        <w:t>needs</w:t>
      </w:r>
      <w:proofErr w:type="gramEnd"/>
      <w:r>
        <w:t xml:space="preserve"> and they need to be provided for.  There will always be external stimuli that affect the children and prove points for discussion and learning.</w:t>
      </w:r>
      <w:r>
        <w:rPr>
          <w:rFonts w:ascii="Architects Daughter" w:eastAsia="Architects Daughter" w:hAnsi="Architects Daughter" w:cs="Architects Daughter"/>
        </w:rPr>
        <w:t xml:space="preserve"> </w:t>
      </w:r>
    </w:p>
    <w:p w14:paraId="50B5CF1D" w14:textId="77777777" w:rsidR="003E64F0" w:rsidRDefault="00000000">
      <w:r>
        <w:t xml:space="preserve">Teaching and learning through the Curriculum for Wales are becoming more immersive (Dewey) and developing Expressive Arts at the same time as developing language skills is essential as a cross-curricular activity.  This will also hit further targets for improvement in other areas of the six areas of learning and the four purposes of the Welsh curriculum. The students' voice and their rights show significant importance in planning and lesson provision. When we work within the students interests and inspirations students are more likely to enjoy lessons and actively participate as they will take ownership of their learning. These interests can be used for planning and provision across all areas of learning to promote and increase and understanding of the four purposes. Developing confidence in the use of Language, Literacy and Communication skills and through planning provisions of the areas of interest within the six areas of learning will have a </w:t>
      </w:r>
      <w:proofErr w:type="gramStart"/>
      <w:r>
        <w:t>long term</w:t>
      </w:r>
      <w:proofErr w:type="gramEnd"/>
      <w:r>
        <w:t xml:space="preserve"> effect on the students resilience and in turn their effect on the wider world and future generations.</w:t>
      </w:r>
    </w:p>
    <w:p w14:paraId="69D7734F" w14:textId="77777777" w:rsidR="003E64F0" w:rsidRDefault="003E64F0"/>
    <w:p w14:paraId="096F9BE2" w14:textId="77777777" w:rsidR="003E64F0" w:rsidRDefault="00000000">
      <w:pPr>
        <w:rPr>
          <w:u w:val="single"/>
        </w:rPr>
      </w:pPr>
      <w:r>
        <w:rPr>
          <w:u w:val="single"/>
        </w:rPr>
        <w:t xml:space="preserve">References: </w:t>
      </w:r>
    </w:p>
    <w:p w14:paraId="19BBDC16" w14:textId="77777777" w:rsidR="003E64F0" w:rsidRDefault="003E64F0"/>
    <w:p w14:paraId="5E67D492" w14:textId="77777777" w:rsidR="00764964" w:rsidRDefault="00764964">
      <w:pPr>
        <w:spacing w:before="240" w:after="240"/>
        <w:rPr>
          <w:color w:val="3A3A3A"/>
          <w:sz w:val="23"/>
          <w:szCs w:val="23"/>
          <w:highlight w:val="white"/>
        </w:rPr>
      </w:pPr>
    </w:p>
    <w:p w14:paraId="5052D043" w14:textId="77777777" w:rsidR="00764964" w:rsidRDefault="00764964">
      <w:pPr>
        <w:spacing w:before="240" w:after="240"/>
        <w:rPr>
          <w:color w:val="3A3A3A"/>
          <w:sz w:val="23"/>
          <w:szCs w:val="23"/>
          <w:highlight w:val="white"/>
        </w:rPr>
      </w:pPr>
    </w:p>
    <w:p w14:paraId="140C7169" w14:textId="77777777" w:rsidR="00764964" w:rsidRDefault="00764964">
      <w:pPr>
        <w:spacing w:before="240" w:after="240"/>
        <w:rPr>
          <w:color w:val="3A3A3A"/>
          <w:sz w:val="23"/>
          <w:szCs w:val="23"/>
          <w:highlight w:val="white"/>
        </w:rPr>
      </w:pPr>
    </w:p>
    <w:p w14:paraId="3C677F2B" w14:textId="77777777" w:rsidR="00764964" w:rsidRDefault="00764964">
      <w:pPr>
        <w:rPr>
          <w:color w:val="3A3A3A"/>
          <w:sz w:val="23"/>
          <w:szCs w:val="23"/>
          <w:highlight w:val="white"/>
        </w:rPr>
      </w:pPr>
    </w:p>
    <w:p w14:paraId="69866D09" w14:textId="77777777" w:rsidR="00764964" w:rsidRDefault="00764964">
      <w:pPr>
        <w:spacing w:before="240" w:after="240"/>
        <w:rPr>
          <w:sz w:val="18"/>
          <w:szCs w:val="18"/>
        </w:rPr>
      </w:pPr>
      <w:r>
        <w:rPr>
          <w:sz w:val="18"/>
          <w:szCs w:val="18"/>
        </w:rPr>
        <w:t xml:space="preserve">Barnes, D. (1977) Communication and Learning in Small </w:t>
      </w:r>
      <w:proofErr w:type="gramStart"/>
      <w:r>
        <w:rPr>
          <w:sz w:val="18"/>
          <w:szCs w:val="18"/>
        </w:rPr>
        <w:t>Groups(</w:t>
      </w:r>
      <w:proofErr w:type="gramEnd"/>
      <w:r>
        <w:rPr>
          <w:sz w:val="18"/>
          <w:szCs w:val="18"/>
        </w:rPr>
        <w:t>London, Routledge and Kegan Paul).</w:t>
      </w:r>
    </w:p>
    <w:p w14:paraId="6511D8FF" w14:textId="77777777" w:rsidR="00764964" w:rsidRDefault="00764964">
      <w:pPr>
        <w:rPr>
          <w:sz w:val="24"/>
          <w:szCs w:val="24"/>
        </w:rPr>
      </w:pPr>
      <w:r>
        <w:rPr>
          <w:sz w:val="24"/>
          <w:szCs w:val="24"/>
        </w:rPr>
        <w:t xml:space="preserve">BERA (2018). </w:t>
      </w:r>
      <w:r>
        <w:rPr>
          <w:i/>
          <w:sz w:val="24"/>
          <w:szCs w:val="24"/>
        </w:rPr>
        <w:t>Ethical Guidelines for Educational Research.</w:t>
      </w:r>
      <w:r>
        <w:rPr>
          <w:sz w:val="24"/>
          <w:szCs w:val="24"/>
        </w:rPr>
        <w:t xml:space="preserve"> London. BERA </w:t>
      </w:r>
    </w:p>
    <w:p w14:paraId="78BE8999" w14:textId="77777777" w:rsidR="00764964" w:rsidRDefault="00764964">
      <w:pPr>
        <w:spacing w:before="240" w:after="240"/>
        <w:rPr>
          <w:sz w:val="18"/>
          <w:szCs w:val="18"/>
        </w:rPr>
      </w:pPr>
      <w:r>
        <w:rPr>
          <w:sz w:val="18"/>
          <w:szCs w:val="18"/>
        </w:rPr>
        <w:t>Britton, James (1967) Language and Learning (Harmondsworth, Penguin).</w:t>
      </w:r>
    </w:p>
    <w:p w14:paraId="40B1A00D" w14:textId="77777777" w:rsidR="00764964" w:rsidRDefault="00764964">
      <w:pPr>
        <w:spacing w:before="240" w:after="240"/>
      </w:pPr>
      <w:proofErr w:type="spellStart"/>
      <w:r>
        <w:t>EstynHMI</w:t>
      </w:r>
      <w:proofErr w:type="spellEnd"/>
      <w:r>
        <w:t xml:space="preserve"> (2017) </w:t>
      </w:r>
      <w:r>
        <w:rPr>
          <w:i/>
        </w:rPr>
        <w:t>Welcome to Estyn</w:t>
      </w:r>
      <w:r>
        <w:t xml:space="preserve">, </w:t>
      </w:r>
      <w:r>
        <w:rPr>
          <w:i/>
        </w:rPr>
        <w:t>Estyn</w:t>
      </w:r>
      <w:r>
        <w:t xml:space="preserve">. Available at: https://www.estyn.gov.wales/ (Accessed: April 23, 2023). </w:t>
      </w:r>
    </w:p>
    <w:p w14:paraId="7955FB18" w14:textId="77777777" w:rsidR="00764964" w:rsidRDefault="00764964">
      <w:pPr>
        <w:spacing w:before="240" w:after="240"/>
        <w:rPr>
          <w:color w:val="3A3A3A"/>
          <w:sz w:val="23"/>
          <w:szCs w:val="23"/>
          <w:highlight w:val="white"/>
        </w:rPr>
      </w:pPr>
      <w:r>
        <w:rPr>
          <w:color w:val="3A3A3A"/>
          <w:sz w:val="23"/>
          <w:szCs w:val="23"/>
          <w:highlight w:val="white"/>
        </w:rPr>
        <w:t xml:space="preserve">Hwb </w:t>
      </w:r>
      <w:proofErr w:type="spellStart"/>
      <w:r>
        <w:rPr>
          <w:color w:val="3A3A3A"/>
          <w:sz w:val="23"/>
          <w:szCs w:val="23"/>
          <w:highlight w:val="white"/>
        </w:rPr>
        <w:t>Ymlaen</w:t>
      </w:r>
      <w:proofErr w:type="spellEnd"/>
      <w:r>
        <w:rPr>
          <w:color w:val="3A3A3A"/>
          <w:sz w:val="23"/>
          <w:szCs w:val="23"/>
          <w:highlight w:val="white"/>
        </w:rPr>
        <w:t>. (</w:t>
      </w:r>
      <w:proofErr w:type="gramStart"/>
      <w:r>
        <w:rPr>
          <w:color w:val="3A3A3A"/>
          <w:sz w:val="23"/>
          <w:szCs w:val="23"/>
          <w:highlight w:val="white"/>
        </w:rPr>
        <w:t>no</w:t>
      </w:r>
      <w:proofErr w:type="gramEnd"/>
      <w:r>
        <w:rPr>
          <w:color w:val="3A3A3A"/>
          <w:sz w:val="23"/>
          <w:szCs w:val="23"/>
          <w:highlight w:val="white"/>
        </w:rPr>
        <w:t xml:space="preserve"> date). </w:t>
      </w:r>
      <w:r>
        <w:rPr>
          <w:i/>
          <w:color w:val="3A3A3A"/>
          <w:sz w:val="23"/>
          <w:szCs w:val="23"/>
          <w:highlight w:val="white"/>
        </w:rPr>
        <w:t xml:space="preserve">ADNODDAU/ Resources - HWB </w:t>
      </w:r>
      <w:proofErr w:type="spellStart"/>
      <w:r>
        <w:rPr>
          <w:i/>
          <w:color w:val="3A3A3A"/>
          <w:sz w:val="23"/>
          <w:szCs w:val="23"/>
          <w:highlight w:val="white"/>
        </w:rPr>
        <w:t>Ymlaen</w:t>
      </w:r>
      <w:proofErr w:type="spellEnd"/>
      <w:r>
        <w:rPr>
          <w:i/>
          <w:color w:val="3A3A3A"/>
          <w:sz w:val="23"/>
          <w:szCs w:val="23"/>
          <w:highlight w:val="white"/>
        </w:rPr>
        <w:t>-spring board Maths</w:t>
      </w:r>
      <w:r>
        <w:rPr>
          <w:color w:val="3A3A3A"/>
          <w:sz w:val="23"/>
          <w:szCs w:val="23"/>
          <w:highlight w:val="white"/>
        </w:rPr>
        <w:t xml:space="preserve"> (no date) </w:t>
      </w:r>
      <w:proofErr w:type="spellStart"/>
      <w:r>
        <w:rPr>
          <w:i/>
          <w:color w:val="3A3A3A"/>
          <w:sz w:val="23"/>
          <w:szCs w:val="23"/>
          <w:highlight w:val="white"/>
        </w:rPr>
        <w:t>Adnoddau</w:t>
      </w:r>
      <w:proofErr w:type="spellEnd"/>
      <w:r>
        <w:rPr>
          <w:i/>
          <w:color w:val="3A3A3A"/>
          <w:sz w:val="23"/>
          <w:szCs w:val="23"/>
          <w:highlight w:val="white"/>
        </w:rPr>
        <w:t xml:space="preserve">/ Resources - Hwb </w:t>
      </w:r>
      <w:proofErr w:type="spellStart"/>
      <w:r>
        <w:rPr>
          <w:i/>
          <w:color w:val="3A3A3A"/>
          <w:sz w:val="23"/>
          <w:szCs w:val="23"/>
          <w:highlight w:val="white"/>
        </w:rPr>
        <w:t>Ymlaen</w:t>
      </w:r>
      <w:proofErr w:type="spellEnd"/>
      <w:r>
        <w:rPr>
          <w:i/>
          <w:color w:val="3A3A3A"/>
          <w:sz w:val="23"/>
          <w:szCs w:val="23"/>
          <w:highlight w:val="white"/>
        </w:rPr>
        <w:t>-Spring Board Maths</w:t>
      </w:r>
      <w:r>
        <w:rPr>
          <w:color w:val="3A3A3A"/>
          <w:sz w:val="23"/>
          <w:szCs w:val="23"/>
          <w:highlight w:val="white"/>
        </w:rPr>
        <w:t xml:space="preserve">. Available at: https://sites.google.com/hwbcymru.net/tcefnogi-adfer-sgiliau-test/rhifedd-numeracy/sgiliau-sylfaenol-basic-skills/hwb-ymlaen-spring-board-maths [Accessed: April 23, 2023]. </w:t>
      </w:r>
    </w:p>
    <w:p w14:paraId="728EC8E4" w14:textId="77777777" w:rsidR="00764964" w:rsidRDefault="00764964">
      <w:pPr>
        <w:spacing w:before="240" w:after="240"/>
      </w:pPr>
      <w:proofErr w:type="spellStart"/>
      <w:r>
        <w:t>Janse</w:t>
      </w:r>
      <w:proofErr w:type="spellEnd"/>
      <w:r>
        <w:t xml:space="preserve">, B. (2023) </w:t>
      </w:r>
      <w:r>
        <w:rPr>
          <w:i/>
        </w:rPr>
        <w:t>John Dewey theory of learning by doing explained</w:t>
      </w:r>
      <w:r>
        <w:t xml:space="preserve">, </w:t>
      </w:r>
      <w:proofErr w:type="spellStart"/>
      <w:r>
        <w:rPr>
          <w:i/>
        </w:rPr>
        <w:t>Toolshero</w:t>
      </w:r>
      <w:proofErr w:type="spellEnd"/>
      <w:r>
        <w:t xml:space="preserve">. Available at: https://www.toolshero.com/change-management/john-dewey-theory/#:~:text=The%20John%20Dewey%20theory%20recommends,acquiring%20and%20applying%20specific%20knowledge. (Accessed: April 22, 2023). </w:t>
      </w:r>
    </w:p>
    <w:p w14:paraId="6ABDD8B9" w14:textId="77777777" w:rsidR="00764964" w:rsidRDefault="00764964">
      <w:pPr>
        <w:spacing w:before="240" w:after="240"/>
        <w:rPr>
          <w:color w:val="3A3A3A"/>
          <w:sz w:val="23"/>
          <w:szCs w:val="23"/>
          <w:highlight w:val="white"/>
        </w:rPr>
      </w:pPr>
      <w:proofErr w:type="spellStart"/>
      <w:r>
        <w:rPr>
          <w:color w:val="3A3A3A"/>
          <w:sz w:val="23"/>
          <w:szCs w:val="23"/>
          <w:highlight w:val="white"/>
        </w:rPr>
        <w:lastRenderedPageBreak/>
        <w:t>Llywodraeth</w:t>
      </w:r>
      <w:proofErr w:type="spellEnd"/>
      <w:r>
        <w:rPr>
          <w:color w:val="3A3A3A"/>
          <w:sz w:val="23"/>
          <w:szCs w:val="23"/>
          <w:highlight w:val="white"/>
        </w:rPr>
        <w:t xml:space="preserve"> Cymru (2022) </w:t>
      </w:r>
      <w:proofErr w:type="spellStart"/>
      <w:r>
        <w:rPr>
          <w:i/>
          <w:color w:val="3A3A3A"/>
          <w:sz w:val="23"/>
          <w:szCs w:val="23"/>
          <w:highlight w:val="white"/>
        </w:rPr>
        <w:t>Datblygu</w:t>
      </w:r>
      <w:proofErr w:type="spellEnd"/>
      <w:r>
        <w:rPr>
          <w:i/>
          <w:color w:val="3A3A3A"/>
          <w:sz w:val="23"/>
          <w:szCs w:val="23"/>
          <w:highlight w:val="white"/>
        </w:rPr>
        <w:t xml:space="preserve"> </w:t>
      </w:r>
      <w:proofErr w:type="spellStart"/>
      <w:r>
        <w:rPr>
          <w:i/>
          <w:color w:val="3A3A3A"/>
          <w:sz w:val="23"/>
          <w:szCs w:val="23"/>
          <w:highlight w:val="white"/>
        </w:rPr>
        <w:t>Gweledigaeth</w:t>
      </w:r>
      <w:proofErr w:type="spellEnd"/>
      <w:r>
        <w:rPr>
          <w:i/>
          <w:color w:val="3A3A3A"/>
          <w:sz w:val="23"/>
          <w:szCs w:val="23"/>
          <w:highlight w:val="white"/>
        </w:rPr>
        <w:t xml:space="preserve"> </w:t>
      </w:r>
      <w:proofErr w:type="spellStart"/>
      <w:r>
        <w:rPr>
          <w:i/>
          <w:color w:val="3A3A3A"/>
          <w:sz w:val="23"/>
          <w:szCs w:val="23"/>
          <w:highlight w:val="white"/>
        </w:rPr>
        <w:t>Ar</w:t>
      </w:r>
      <w:proofErr w:type="spellEnd"/>
      <w:r>
        <w:rPr>
          <w:i/>
          <w:color w:val="3A3A3A"/>
          <w:sz w:val="23"/>
          <w:szCs w:val="23"/>
          <w:highlight w:val="white"/>
        </w:rPr>
        <w:t xml:space="preserve"> </w:t>
      </w:r>
      <w:proofErr w:type="spellStart"/>
      <w:r>
        <w:rPr>
          <w:i/>
          <w:color w:val="3A3A3A"/>
          <w:sz w:val="23"/>
          <w:szCs w:val="23"/>
          <w:highlight w:val="white"/>
        </w:rPr>
        <w:t>Gyfer</w:t>
      </w:r>
      <w:proofErr w:type="spellEnd"/>
      <w:r>
        <w:rPr>
          <w:i/>
          <w:color w:val="3A3A3A"/>
          <w:sz w:val="23"/>
          <w:szCs w:val="23"/>
          <w:highlight w:val="white"/>
        </w:rPr>
        <w:t xml:space="preserve"> </w:t>
      </w:r>
      <w:proofErr w:type="spellStart"/>
      <w:r>
        <w:rPr>
          <w:i/>
          <w:color w:val="3A3A3A"/>
          <w:sz w:val="23"/>
          <w:szCs w:val="23"/>
          <w:highlight w:val="white"/>
        </w:rPr>
        <w:t>cynllunio</w:t>
      </w:r>
      <w:proofErr w:type="spellEnd"/>
      <w:r>
        <w:rPr>
          <w:i/>
          <w:color w:val="3A3A3A"/>
          <w:sz w:val="23"/>
          <w:szCs w:val="23"/>
          <w:highlight w:val="white"/>
        </w:rPr>
        <w:t xml:space="preserve"> </w:t>
      </w:r>
      <w:proofErr w:type="spellStart"/>
      <w:r>
        <w:rPr>
          <w:i/>
          <w:color w:val="3A3A3A"/>
          <w:sz w:val="23"/>
          <w:szCs w:val="23"/>
          <w:highlight w:val="white"/>
        </w:rPr>
        <w:t>cwricwlwm</w:t>
      </w:r>
      <w:proofErr w:type="spellEnd"/>
      <w:r>
        <w:rPr>
          <w:color w:val="3A3A3A"/>
          <w:sz w:val="23"/>
          <w:szCs w:val="23"/>
          <w:highlight w:val="white"/>
        </w:rPr>
        <w:t xml:space="preserve">, </w:t>
      </w:r>
      <w:r>
        <w:rPr>
          <w:i/>
          <w:color w:val="3A3A3A"/>
          <w:sz w:val="23"/>
          <w:szCs w:val="23"/>
          <w:highlight w:val="white"/>
        </w:rPr>
        <w:t>Hwb</w:t>
      </w:r>
      <w:r>
        <w:rPr>
          <w:color w:val="3A3A3A"/>
          <w:sz w:val="23"/>
          <w:szCs w:val="23"/>
          <w:highlight w:val="white"/>
        </w:rPr>
        <w:t xml:space="preserve">. Available at: https://hwb.gov.wales/cwricwlwm-i-gymru/cynllunio-eich-cwricwlwm/datblygu-gweledigaeth-ar-gyfer-cynllunio-cwricwlwm [Accessed: April 22, 2023]. </w:t>
      </w:r>
    </w:p>
    <w:p w14:paraId="103021D4" w14:textId="77777777" w:rsidR="00764964" w:rsidRDefault="00764964">
      <w:pPr>
        <w:spacing w:before="240" w:after="240"/>
        <w:rPr>
          <w:color w:val="3A3A3A"/>
          <w:sz w:val="23"/>
          <w:szCs w:val="23"/>
          <w:highlight w:val="white"/>
        </w:rPr>
      </w:pPr>
      <w:r>
        <w:rPr>
          <w:color w:val="3A3A3A"/>
          <w:sz w:val="23"/>
          <w:szCs w:val="23"/>
          <w:highlight w:val="white"/>
        </w:rPr>
        <w:t xml:space="preserve">Mercer, N. &amp; Hodgkinson, S. (2015) </w:t>
      </w:r>
      <w:r>
        <w:rPr>
          <w:i/>
          <w:color w:val="3A3A3A"/>
          <w:sz w:val="23"/>
          <w:szCs w:val="23"/>
          <w:highlight w:val="white"/>
        </w:rPr>
        <w:t>Exploring talk in school: Inspired by the work of Douglas Barnes</w:t>
      </w:r>
      <w:r>
        <w:rPr>
          <w:color w:val="3A3A3A"/>
          <w:sz w:val="23"/>
          <w:szCs w:val="23"/>
          <w:highlight w:val="white"/>
        </w:rPr>
        <w:t xml:space="preserve">. Los Angeles etc: SAGE. </w:t>
      </w:r>
    </w:p>
    <w:p w14:paraId="218E75B8" w14:textId="77777777" w:rsidR="00764964" w:rsidRDefault="00764964">
      <w:pPr>
        <w:spacing w:before="240" w:after="240"/>
        <w:rPr>
          <w:color w:val="3A3A3A"/>
          <w:sz w:val="23"/>
          <w:szCs w:val="23"/>
          <w:highlight w:val="white"/>
        </w:rPr>
      </w:pPr>
      <w:r>
        <w:rPr>
          <w:color w:val="3A3A3A"/>
          <w:sz w:val="23"/>
          <w:szCs w:val="23"/>
          <w:highlight w:val="white"/>
        </w:rPr>
        <w:t xml:space="preserve">​​Mercer, N., Hodgkinson, S. and Barnes, D. (2015) “Exploratory Talk for Learning,” in </w:t>
      </w:r>
      <w:r>
        <w:rPr>
          <w:i/>
          <w:color w:val="3A3A3A"/>
          <w:sz w:val="23"/>
          <w:szCs w:val="23"/>
          <w:highlight w:val="white"/>
        </w:rPr>
        <w:t>Exploring talk in school: Inspired by the work of Douglas Barnes</w:t>
      </w:r>
      <w:r>
        <w:rPr>
          <w:color w:val="3A3A3A"/>
          <w:sz w:val="23"/>
          <w:szCs w:val="23"/>
          <w:highlight w:val="white"/>
        </w:rPr>
        <w:t xml:space="preserve">. Los Angeles etc: SAGE. </w:t>
      </w:r>
    </w:p>
    <w:p w14:paraId="7146D40E" w14:textId="77777777" w:rsidR="00764964" w:rsidRDefault="00764964">
      <w:pPr>
        <w:spacing w:before="240" w:after="240"/>
        <w:rPr>
          <w:color w:val="3A3A3A"/>
          <w:sz w:val="23"/>
          <w:szCs w:val="23"/>
          <w:highlight w:val="white"/>
        </w:rPr>
      </w:pPr>
      <w:r>
        <w:rPr>
          <w:color w:val="3A3A3A"/>
          <w:sz w:val="23"/>
          <w:szCs w:val="23"/>
          <w:highlight w:val="white"/>
        </w:rPr>
        <w:t xml:space="preserve">Thomas, A &amp; Jones, C. (2021). Exploring young children’s levels of involvement with numeracy and literacy - do schemas make a difference? </w:t>
      </w:r>
      <w:r>
        <w:rPr>
          <w:i/>
          <w:color w:val="3A3A3A"/>
          <w:sz w:val="23"/>
          <w:szCs w:val="23"/>
          <w:highlight w:val="white"/>
        </w:rPr>
        <w:t>Education 3-13</w:t>
      </w:r>
      <w:r>
        <w:rPr>
          <w:color w:val="3A3A3A"/>
          <w:sz w:val="23"/>
          <w:szCs w:val="23"/>
          <w:highlight w:val="white"/>
        </w:rPr>
        <w:t xml:space="preserve">, </w:t>
      </w:r>
      <w:r>
        <w:rPr>
          <w:i/>
          <w:color w:val="3A3A3A"/>
          <w:sz w:val="23"/>
          <w:szCs w:val="23"/>
          <w:highlight w:val="white"/>
        </w:rPr>
        <w:t>49</w:t>
      </w:r>
      <w:r>
        <w:rPr>
          <w:color w:val="3A3A3A"/>
          <w:sz w:val="23"/>
          <w:szCs w:val="23"/>
          <w:highlight w:val="white"/>
        </w:rPr>
        <w:t>(2), 217–226. https://doi.org/10.1080/03004279.2020.1716034</w:t>
      </w:r>
    </w:p>
    <w:p w14:paraId="4542107A" w14:textId="77777777" w:rsidR="00764964" w:rsidRDefault="00764964">
      <w:pPr>
        <w:spacing w:before="240" w:after="240"/>
        <w:rPr>
          <w:color w:val="3A3A3A"/>
          <w:sz w:val="23"/>
          <w:szCs w:val="23"/>
          <w:highlight w:val="white"/>
        </w:rPr>
      </w:pPr>
      <w:r>
        <w:rPr>
          <w:color w:val="3A3A3A"/>
          <w:sz w:val="23"/>
          <w:szCs w:val="23"/>
          <w:highlight w:val="white"/>
        </w:rPr>
        <w:t xml:space="preserve">Voice21 (2023) </w:t>
      </w:r>
      <w:r>
        <w:rPr>
          <w:i/>
          <w:color w:val="3A3A3A"/>
          <w:sz w:val="23"/>
          <w:szCs w:val="23"/>
          <w:highlight w:val="white"/>
        </w:rPr>
        <w:t>Our mission - voice 21</w:t>
      </w:r>
      <w:r>
        <w:rPr>
          <w:color w:val="3A3A3A"/>
          <w:sz w:val="23"/>
          <w:szCs w:val="23"/>
          <w:highlight w:val="white"/>
        </w:rPr>
        <w:t xml:space="preserve">, </w:t>
      </w:r>
      <w:r>
        <w:rPr>
          <w:i/>
          <w:color w:val="3A3A3A"/>
          <w:sz w:val="23"/>
          <w:szCs w:val="23"/>
          <w:highlight w:val="white"/>
        </w:rPr>
        <w:t>Voice 21 - The national oracy education charity</w:t>
      </w:r>
      <w:r>
        <w:rPr>
          <w:color w:val="3A3A3A"/>
          <w:sz w:val="23"/>
          <w:szCs w:val="23"/>
          <w:highlight w:val="white"/>
        </w:rPr>
        <w:t xml:space="preserve">. Available at: https://voice21.org/our-mission-va-update/ (Accessed: April 23, 2023). </w:t>
      </w:r>
    </w:p>
    <w:p w14:paraId="127EE7AC" w14:textId="77777777" w:rsidR="00764964" w:rsidRDefault="00764964">
      <w:pPr>
        <w:spacing w:before="240" w:after="240"/>
        <w:rPr>
          <w:color w:val="3A3A3A"/>
          <w:sz w:val="23"/>
          <w:szCs w:val="23"/>
          <w:highlight w:val="white"/>
        </w:rPr>
      </w:pPr>
      <w:proofErr w:type="spellStart"/>
      <w:r>
        <w:rPr>
          <w:color w:val="3A3A3A"/>
          <w:sz w:val="23"/>
          <w:szCs w:val="23"/>
          <w:highlight w:val="white"/>
        </w:rPr>
        <w:t>Waks</w:t>
      </w:r>
      <w:proofErr w:type="spellEnd"/>
      <w:r>
        <w:rPr>
          <w:color w:val="3A3A3A"/>
          <w:sz w:val="23"/>
          <w:szCs w:val="23"/>
          <w:highlight w:val="white"/>
        </w:rPr>
        <w:t xml:space="preserve">, L &amp; English, A. (2017). </w:t>
      </w:r>
      <w:r>
        <w:rPr>
          <w:i/>
          <w:color w:val="3A3A3A"/>
          <w:sz w:val="23"/>
          <w:szCs w:val="23"/>
          <w:highlight w:val="white"/>
        </w:rPr>
        <w:t xml:space="preserve">John Dewey’s democracy and </w:t>
      </w:r>
      <w:proofErr w:type="gramStart"/>
      <w:r>
        <w:rPr>
          <w:i/>
          <w:color w:val="3A3A3A"/>
          <w:sz w:val="23"/>
          <w:szCs w:val="23"/>
          <w:highlight w:val="white"/>
        </w:rPr>
        <w:t>education :</w:t>
      </w:r>
      <w:proofErr w:type="gramEnd"/>
      <w:r>
        <w:rPr>
          <w:i/>
          <w:color w:val="3A3A3A"/>
          <w:sz w:val="23"/>
          <w:szCs w:val="23"/>
          <w:highlight w:val="white"/>
        </w:rPr>
        <w:t xml:space="preserve"> a centennial handbook</w:t>
      </w:r>
      <w:r>
        <w:rPr>
          <w:color w:val="3A3A3A"/>
          <w:sz w:val="23"/>
          <w:szCs w:val="23"/>
          <w:highlight w:val="white"/>
        </w:rPr>
        <w:t xml:space="preserve"> (L. J. (Leonard J. </w:t>
      </w:r>
      <w:proofErr w:type="spellStart"/>
      <w:r>
        <w:rPr>
          <w:color w:val="3A3A3A"/>
          <w:sz w:val="23"/>
          <w:szCs w:val="23"/>
          <w:highlight w:val="white"/>
        </w:rPr>
        <w:t>Waks</w:t>
      </w:r>
      <w:proofErr w:type="spellEnd"/>
      <w:r>
        <w:rPr>
          <w:color w:val="3A3A3A"/>
          <w:sz w:val="23"/>
          <w:szCs w:val="23"/>
          <w:highlight w:val="white"/>
        </w:rPr>
        <w:t xml:space="preserve"> &amp; A. English, Eds.). Cambridge University Press.</w:t>
      </w:r>
    </w:p>
    <w:sectPr w:rsidR="00764964">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72CBF" w14:textId="77777777" w:rsidR="0050594B" w:rsidRDefault="0050594B">
      <w:pPr>
        <w:spacing w:line="240" w:lineRule="auto"/>
      </w:pPr>
      <w:r>
        <w:separator/>
      </w:r>
    </w:p>
  </w:endnote>
  <w:endnote w:type="continuationSeparator" w:id="0">
    <w:p w14:paraId="7F174B20" w14:textId="77777777" w:rsidR="0050594B" w:rsidRDefault="005059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Architects Daughter">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6FC18" w14:textId="77777777" w:rsidR="0050594B" w:rsidRDefault="0050594B">
      <w:pPr>
        <w:spacing w:line="240" w:lineRule="auto"/>
      </w:pPr>
      <w:r>
        <w:separator/>
      </w:r>
    </w:p>
  </w:footnote>
  <w:footnote w:type="continuationSeparator" w:id="0">
    <w:p w14:paraId="5756D574" w14:textId="77777777" w:rsidR="0050594B" w:rsidRDefault="005059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D755B" w14:textId="77777777" w:rsidR="003E64F0" w:rsidRDefault="00000000">
    <w:r>
      <w:t>ECAD7003 Part B</w:t>
    </w:r>
    <w:r>
      <w:tab/>
    </w:r>
    <w:r>
      <w:tab/>
    </w:r>
    <w:r>
      <w:tab/>
    </w:r>
    <w:r>
      <w:tab/>
    </w:r>
    <w:r>
      <w:tab/>
    </w:r>
    <w:r>
      <w:tab/>
    </w:r>
    <w:r>
      <w:tab/>
      <w:t>Student No. 2203925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4F0"/>
    <w:rsid w:val="003B4467"/>
    <w:rsid w:val="003E64F0"/>
    <w:rsid w:val="0050594B"/>
    <w:rsid w:val="00764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1CE29B"/>
  <w15:docId w15:val="{2968AF48-D116-A642-AB89-82D1D6F09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s%3A%2F%2Fwww.youtube.com%2Fwatch%3Fv%3DDR9Zq7y9xt4&amp;data=04%7C01%7CC.Morgan%40uwtsd.ac.uk%7Ca117c083aecf4f92e8c508d9a36d2caf%7C4e0f11f9046e45059cb8db2152311e21%7C0%7C0%7C637720511570024161%7CUnknown%7CTWFpbGZsb3d8eyJWIjoiMC4wLjAwMDAiLCJQIjoiV2luMzIiLCJBTiI6Ik1haWwiLCJXVCI6Mn0%3D%7C1000&amp;sdata=PYPAxkmD7MFiCOsTZs5E8Grk6zlZO1klCISwz41bn0I%3D&amp;reserved=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2498</Words>
  <Characters>14242</Characters>
  <Application>Microsoft Office Word</Application>
  <DocSecurity>0</DocSecurity>
  <Lines>118</Lines>
  <Paragraphs>33</Paragraphs>
  <ScaleCrop>false</ScaleCrop>
  <Company/>
  <LinksUpToDate>false</LinksUpToDate>
  <CharactersWithSpaces>16707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Angharad Hill</cp:lastModifiedBy>
  <cp:revision>2</cp:revision>
  <dcterms:created xsi:type="dcterms:W3CDTF">2023-04-24T22:58:00Z</dcterms:created>
  <dcterms:modified xsi:type="dcterms:W3CDTF">2023-04-24T22:58:00Z</dcterms:modified>
</cp:coreProperties>
</file>