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8F26F" w14:textId="38A2E99D" w:rsidR="00353098" w:rsidRPr="00F95A66" w:rsidRDefault="00C060D4">
      <w:pPr>
        <w:rPr>
          <w:rFonts w:ascii="Arial" w:hAnsi="Arial" w:cs="Arial"/>
        </w:rPr>
      </w:pPr>
      <w:r>
        <w:rPr>
          <w:noProof/>
        </w:rPr>
        <w:drawing>
          <wp:anchor distT="0" distB="0" distL="114300" distR="114300" simplePos="0" relativeHeight="251659264" behindDoc="1" locked="0" layoutInCell="1" allowOverlap="1" wp14:anchorId="5CE8FC82" wp14:editId="43789B33">
            <wp:simplePos x="0" y="0"/>
            <wp:positionH relativeFrom="column">
              <wp:posOffset>709863</wp:posOffset>
            </wp:positionH>
            <wp:positionV relativeFrom="page">
              <wp:posOffset>216434</wp:posOffset>
            </wp:positionV>
            <wp:extent cx="3209925" cy="1428750"/>
            <wp:effectExtent l="0" t="0" r="3175" b="6350"/>
            <wp:wrapTight wrapText="bothSides">
              <wp:wrapPolygon edited="0">
                <wp:start x="0" y="0"/>
                <wp:lineTo x="0" y="21504"/>
                <wp:lineTo x="21536" y="21504"/>
                <wp:lineTo x="21536" y="0"/>
                <wp:lineTo x="0" y="0"/>
              </wp:wrapPolygon>
            </wp:wrapTight>
            <wp:docPr id="638942447" name="Picture 63894244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14:sizeRelH relativeFrom="page">
              <wp14:pctWidth>0</wp14:pctWidth>
            </wp14:sizeRelH>
            <wp14:sizeRelV relativeFrom="page">
              <wp14:pctHeight>0</wp14:pctHeight>
            </wp14:sizeRelV>
          </wp:anchor>
        </w:drawing>
      </w:r>
    </w:p>
    <w:p w14:paraId="2EAE5CB7" w14:textId="77777777" w:rsidR="006D106E" w:rsidRDefault="006D106E"/>
    <w:p w14:paraId="3685DD40" w14:textId="77777777" w:rsidR="006E200A" w:rsidRDefault="006E200A"/>
    <w:p w14:paraId="4DF30E02" w14:textId="77777777" w:rsidR="006E200A" w:rsidRDefault="006E200A"/>
    <w:p w14:paraId="7B9C429E" w14:textId="77777777" w:rsidR="006E200A" w:rsidRDefault="006E200A"/>
    <w:p w14:paraId="730B7DD8" w14:textId="77777777" w:rsidR="006D106E" w:rsidRDefault="006D106E"/>
    <w:p w14:paraId="47E6EE9D" w14:textId="77777777" w:rsidR="006D106E" w:rsidRDefault="006D106E"/>
    <w:p w14:paraId="5F815A01" w14:textId="77777777" w:rsidR="006D106E" w:rsidRDefault="006D106E"/>
    <w:p w14:paraId="74CDC39B" w14:textId="77777777" w:rsidR="006D106E" w:rsidRPr="00413DD3" w:rsidRDefault="006D106E" w:rsidP="006D106E">
      <w:pPr>
        <w:spacing w:line="360" w:lineRule="auto"/>
        <w:rPr>
          <w:rFonts w:ascii="Arial" w:hAnsi="Arial" w:cs="Arial"/>
          <w:b/>
          <w:bCs/>
          <w:sz w:val="32"/>
          <w:szCs w:val="32"/>
          <w:lang w:val="en-US"/>
        </w:rPr>
      </w:pPr>
      <w:r w:rsidRPr="00413DD3">
        <w:rPr>
          <w:rFonts w:ascii="Arial" w:hAnsi="Arial" w:cs="Arial"/>
          <w:b/>
          <w:bCs/>
          <w:sz w:val="32"/>
          <w:szCs w:val="32"/>
          <w:lang w:val="en-US"/>
        </w:rPr>
        <w:t>Student Name: Mariama Aliu Sal</w:t>
      </w:r>
      <w:r w:rsidRPr="00413DD3">
        <w:rPr>
          <w:rFonts w:ascii="Arial" w:hAnsi="Arial" w:cs="Arial"/>
          <w:b/>
          <w:bCs/>
          <w:sz w:val="32"/>
          <w:szCs w:val="32"/>
          <w:lang w:val="en-US"/>
        </w:rPr>
        <w:br/>
        <w:t>Student Number: 2127362</w:t>
      </w:r>
      <w:r w:rsidRPr="00413DD3">
        <w:rPr>
          <w:rFonts w:ascii="Arial" w:hAnsi="Arial" w:cs="Arial"/>
          <w:b/>
          <w:bCs/>
          <w:sz w:val="32"/>
          <w:szCs w:val="32"/>
          <w:lang w:val="en-US"/>
        </w:rPr>
        <w:br/>
        <w:t>BMHP6030_BIRM – Component 2</w:t>
      </w:r>
    </w:p>
    <w:p w14:paraId="6FBF5899" w14:textId="6A3387C6" w:rsidR="006D106E" w:rsidRPr="00413DD3" w:rsidRDefault="006D106E" w:rsidP="006D106E">
      <w:pPr>
        <w:spacing w:line="360" w:lineRule="auto"/>
        <w:rPr>
          <w:rFonts w:ascii="Arial" w:hAnsi="Arial" w:cs="Arial"/>
          <w:b/>
          <w:bCs/>
          <w:sz w:val="32"/>
          <w:szCs w:val="32"/>
          <w:lang w:val="en-US"/>
        </w:rPr>
      </w:pPr>
      <w:r w:rsidRPr="006D106E">
        <w:rPr>
          <w:rFonts w:ascii="Arial" w:hAnsi="Arial" w:cs="Arial"/>
          <w:b/>
          <w:bCs/>
          <w:sz w:val="32"/>
          <w:szCs w:val="32"/>
          <w:lang w:val="en-US"/>
        </w:rPr>
        <w:t>Title:</w:t>
      </w:r>
      <w:r w:rsidRPr="006D106E">
        <w:rPr>
          <w:rFonts w:ascii="Arial" w:hAnsi="Arial" w:cs="Arial"/>
          <w:b/>
          <w:bCs/>
          <w:sz w:val="32"/>
          <w:szCs w:val="32"/>
        </w:rPr>
        <w:t xml:space="preserve"> Health, Well-being and Sustainable Development</w:t>
      </w:r>
      <w:r w:rsidRPr="00413DD3">
        <w:rPr>
          <w:rFonts w:ascii="Arial" w:hAnsi="Arial" w:cs="Arial"/>
          <w:b/>
          <w:bCs/>
          <w:sz w:val="32"/>
          <w:szCs w:val="32"/>
          <w:lang w:val="en-US"/>
        </w:rPr>
        <w:br/>
        <w:t>Lecturer: Parese Ahmed</w:t>
      </w:r>
    </w:p>
    <w:p w14:paraId="7367AF10" w14:textId="77777777" w:rsidR="00635FFA" w:rsidRPr="00413DD3" w:rsidRDefault="00635FFA" w:rsidP="006D106E">
      <w:pPr>
        <w:spacing w:line="360" w:lineRule="auto"/>
        <w:rPr>
          <w:rFonts w:ascii="Arial" w:hAnsi="Arial" w:cs="Arial"/>
          <w:b/>
          <w:bCs/>
          <w:sz w:val="32"/>
          <w:szCs w:val="32"/>
          <w:lang w:val="en-US"/>
        </w:rPr>
      </w:pPr>
    </w:p>
    <w:p w14:paraId="7253A0F9" w14:textId="77777777" w:rsidR="00635FFA" w:rsidRDefault="00635FFA" w:rsidP="006D106E">
      <w:pPr>
        <w:spacing w:line="360" w:lineRule="auto"/>
        <w:rPr>
          <w:rFonts w:ascii="Arial" w:hAnsi="Arial" w:cs="Arial"/>
          <w:b/>
          <w:bCs/>
          <w:sz w:val="36"/>
          <w:szCs w:val="36"/>
          <w:lang w:val="en-US"/>
        </w:rPr>
      </w:pPr>
    </w:p>
    <w:p w14:paraId="5407A14C" w14:textId="77777777" w:rsidR="00635FFA" w:rsidRDefault="00635FFA" w:rsidP="006D106E">
      <w:pPr>
        <w:spacing w:line="360" w:lineRule="auto"/>
        <w:rPr>
          <w:rFonts w:ascii="Arial" w:hAnsi="Arial" w:cs="Arial"/>
          <w:b/>
          <w:bCs/>
          <w:sz w:val="36"/>
          <w:szCs w:val="36"/>
          <w:lang w:val="en-US"/>
        </w:rPr>
      </w:pPr>
    </w:p>
    <w:p w14:paraId="485E6DBB" w14:textId="77777777" w:rsidR="00635FFA" w:rsidRDefault="00635FFA" w:rsidP="006D106E">
      <w:pPr>
        <w:spacing w:line="360" w:lineRule="auto"/>
        <w:rPr>
          <w:rFonts w:ascii="Arial" w:hAnsi="Arial" w:cs="Arial"/>
          <w:b/>
          <w:bCs/>
          <w:sz w:val="36"/>
          <w:szCs w:val="36"/>
          <w:lang w:val="en-US"/>
        </w:rPr>
      </w:pPr>
    </w:p>
    <w:p w14:paraId="025FD3A8" w14:textId="77777777" w:rsidR="00635FFA" w:rsidRDefault="00635FFA" w:rsidP="006D106E">
      <w:pPr>
        <w:spacing w:line="360" w:lineRule="auto"/>
        <w:rPr>
          <w:rFonts w:ascii="Arial" w:hAnsi="Arial" w:cs="Arial"/>
          <w:b/>
          <w:bCs/>
          <w:sz w:val="36"/>
          <w:szCs w:val="36"/>
          <w:lang w:val="en-US"/>
        </w:rPr>
      </w:pPr>
    </w:p>
    <w:p w14:paraId="1F6B804F" w14:textId="77777777" w:rsidR="00635FFA" w:rsidRDefault="00635FFA" w:rsidP="006D106E">
      <w:pPr>
        <w:spacing w:line="360" w:lineRule="auto"/>
        <w:rPr>
          <w:rFonts w:ascii="Arial" w:hAnsi="Arial" w:cs="Arial"/>
          <w:b/>
          <w:bCs/>
          <w:sz w:val="36"/>
          <w:szCs w:val="36"/>
          <w:lang w:val="en-US"/>
        </w:rPr>
      </w:pPr>
    </w:p>
    <w:p w14:paraId="23A88C42" w14:textId="77777777" w:rsidR="00635FFA" w:rsidRDefault="00635FFA" w:rsidP="006D106E">
      <w:pPr>
        <w:spacing w:line="360" w:lineRule="auto"/>
        <w:rPr>
          <w:rFonts w:ascii="Arial" w:hAnsi="Arial" w:cs="Arial"/>
          <w:b/>
          <w:bCs/>
          <w:sz w:val="36"/>
          <w:szCs w:val="36"/>
          <w:lang w:val="en-US"/>
        </w:rPr>
      </w:pPr>
    </w:p>
    <w:p w14:paraId="3306D16E" w14:textId="77777777" w:rsidR="00635FFA" w:rsidRDefault="00635FFA" w:rsidP="006D106E">
      <w:pPr>
        <w:spacing w:line="360" w:lineRule="auto"/>
        <w:rPr>
          <w:rFonts w:ascii="Arial" w:hAnsi="Arial" w:cs="Arial"/>
          <w:b/>
          <w:bCs/>
          <w:sz w:val="36"/>
          <w:szCs w:val="36"/>
          <w:lang w:val="en-US"/>
        </w:rPr>
      </w:pPr>
    </w:p>
    <w:p w14:paraId="54DF5DC0" w14:textId="77777777" w:rsidR="00635FFA" w:rsidRDefault="00635FFA" w:rsidP="006D106E">
      <w:pPr>
        <w:spacing w:line="360" w:lineRule="auto"/>
        <w:rPr>
          <w:rFonts w:ascii="Arial" w:hAnsi="Arial" w:cs="Arial"/>
          <w:b/>
          <w:bCs/>
          <w:sz w:val="36"/>
          <w:szCs w:val="36"/>
          <w:lang w:val="en-US"/>
        </w:rPr>
      </w:pPr>
    </w:p>
    <w:p w14:paraId="619D3175" w14:textId="77777777" w:rsidR="00282165" w:rsidRDefault="00282165" w:rsidP="006D106E">
      <w:pPr>
        <w:spacing w:line="360" w:lineRule="auto"/>
        <w:rPr>
          <w:rFonts w:ascii="Arial" w:hAnsi="Arial" w:cs="Arial"/>
          <w:b/>
          <w:bCs/>
          <w:sz w:val="36"/>
          <w:szCs w:val="36"/>
          <w:lang w:val="en-US"/>
        </w:rPr>
      </w:pPr>
    </w:p>
    <w:p w14:paraId="1660A976" w14:textId="77777777" w:rsidR="00635FFA" w:rsidRDefault="00635FFA" w:rsidP="006D106E">
      <w:pPr>
        <w:spacing w:line="360" w:lineRule="auto"/>
        <w:rPr>
          <w:rFonts w:ascii="Arial" w:hAnsi="Arial" w:cs="Arial"/>
          <w:b/>
          <w:bCs/>
          <w:sz w:val="36"/>
          <w:szCs w:val="36"/>
          <w:lang w:val="en-US"/>
        </w:rPr>
      </w:pPr>
    </w:p>
    <w:p w14:paraId="7C3F9950" w14:textId="77777777" w:rsidR="00635FFA" w:rsidRDefault="00635FFA" w:rsidP="006D106E">
      <w:pPr>
        <w:spacing w:line="360" w:lineRule="auto"/>
        <w:rPr>
          <w:rFonts w:ascii="Arial" w:hAnsi="Arial" w:cs="Arial"/>
          <w:b/>
          <w:bCs/>
          <w:sz w:val="36"/>
          <w:szCs w:val="36"/>
          <w:lang w:val="en-US"/>
        </w:rPr>
      </w:pPr>
    </w:p>
    <w:p w14:paraId="388153E0" w14:textId="77777777" w:rsidR="00413DD3" w:rsidRDefault="00413DD3" w:rsidP="00413DD3">
      <w:pPr>
        <w:spacing w:line="360" w:lineRule="auto"/>
        <w:rPr>
          <w:rFonts w:ascii="Arial" w:hAnsi="Arial" w:cs="Arial"/>
          <w:b/>
          <w:bCs/>
          <w:sz w:val="36"/>
          <w:szCs w:val="36"/>
          <w:lang w:val="en-US"/>
        </w:rPr>
      </w:pPr>
    </w:p>
    <w:p w14:paraId="1FCB2603" w14:textId="77777777" w:rsidR="00413DD3" w:rsidRDefault="00413DD3" w:rsidP="00413DD3">
      <w:pPr>
        <w:spacing w:line="360" w:lineRule="auto"/>
        <w:rPr>
          <w:rFonts w:ascii="Arial" w:hAnsi="Arial" w:cs="Arial"/>
          <w:b/>
          <w:bCs/>
          <w:sz w:val="36"/>
          <w:szCs w:val="36"/>
          <w:lang w:val="en-US"/>
        </w:rPr>
      </w:pPr>
    </w:p>
    <w:p w14:paraId="64CA5487" w14:textId="547B7883" w:rsidR="00635FFA" w:rsidRPr="002F605F" w:rsidRDefault="00635FFA" w:rsidP="00413DD3">
      <w:pPr>
        <w:spacing w:line="360" w:lineRule="auto"/>
        <w:jc w:val="center"/>
        <w:rPr>
          <w:rFonts w:ascii="Arial" w:hAnsi="Arial" w:cs="Arial"/>
          <w:b/>
          <w:bCs/>
          <w:sz w:val="22"/>
          <w:szCs w:val="22"/>
          <w:lang w:val="en-US"/>
        </w:rPr>
      </w:pPr>
      <w:r w:rsidRPr="002F605F">
        <w:rPr>
          <w:rFonts w:ascii="Arial" w:hAnsi="Arial" w:cs="Arial"/>
          <w:b/>
          <w:bCs/>
          <w:sz w:val="22"/>
          <w:szCs w:val="22"/>
          <w:lang w:val="en-US"/>
        </w:rPr>
        <w:lastRenderedPageBreak/>
        <w:t>Table of conten</w:t>
      </w:r>
      <w:r w:rsidR="003B69FA" w:rsidRPr="002F605F">
        <w:rPr>
          <w:rFonts w:ascii="Arial" w:hAnsi="Arial" w:cs="Arial"/>
          <w:b/>
          <w:bCs/>
          <w:sz w:val="22"/>
          <w:szCs w:val="22"/>
          <w:lang w:val="en-US"/>
        </w:rPr>
        <w:t>ts</w:t>
      </w:r>
    </w:p>
    <w:p w14:paraId="67A96F88" w14:textId="77777777" w:rsidR="00956380" w:rsidRPr="002F605F" w:rsidRDefault="00956380" w:rsidP="00276B79">
      <w:pPr>
        <w:spacing w:line="360" w:lineRule="auto"/>
        <w:jc w:val="center"/>
        <w:rPr>
          <w:rFonts w:ascii="Arial" w:hAnsi="Arial" w:cs="Arial"/>
          <w:b/>
          <w:bCs/>
          <w:sz w:val="22"/>
          <w:szCs w:val="22"/>
          <w:lang w:val="en-US"/>
        </w:rPr>
      </w:pPr>
    </w:p>
    <w:p w14:paraId="317B51D6" w14:textId="77777777" w:rsidR="00956380" w:rsidRPr="002F605F" w:rsidRDefault="00956380" w:rsidP="00AB364E">
      <w:pPr>
        <w:spacing w:line="360" w:lineRule="auto"/>
        <w:jc w:val="both"/>
        <w:rPr>
          <w:rFonts w:ascii="Arial" w:hAnsi="Arial" w:cs="Arial"/>
          <w:sz w:val="22"/>
          <w:szCs w:val="22"/>
          <w:lang w:val="en-US"/>
        </w:rPr>
      </w:pPr>
    </w:p>
    <w:bookmarkStart w:id="0" w:name="_Toc213260786" w:displacedByCustomXml="next"/>
    <w:sdt>
      <w:sdtPr>
        <w:rPr>
          <w:rFonts w:ascii="Arial" w:eastAsiaTheme="minorHAnsi" w:hAnsi="Arial" w:cs="Arial"/>
          <w:color w:val="auto"/>
          <w:sz w:val="22"/>
          <w:szCs w:val="22"/>
        </w:rPr>
        <w:id w:val="-346252679"/>
        <w:docPartObj>
          <w:docPartGallery w:val="Table of Contents"/>
          <w:docPartUnique/>
        </w:docPartObj>
      </w:sdtPr>
      <w:sdtEndPr>
        <w:rPr>
          <w:b/>
          <w:bCs/>
          <w:noProof/>
        </w:rPr>
      </w:sdtEndPr>
      <w:sdtContent>
        <w:p w14:paraId="6E716A5D" w14:textId="6A41B44C" w:rsidR="00D60B7F" w:rsidRPr="00304DFE" w:rsidRDefault="00D60B7F" w:rsidP="00D60B7F">
          <w:pPr>
            <w:pStyle w:val="Heading1"/>
            <w:rPr>
              <w:rFonts w:ascii="Arial" w:hAnsi="Arial" w:cs="Arial"/>
              <w:b/>
              <w:bCs/>
              <w:color w:val="000000" w:themeColor="text1"/>
              <w:sz w:val="22"/>
              <w:szCs w:val="22"/>
            </w:rPr>
          </w:pPr>
          <w:r w:rsidRPr="00304DFE">
            <w:rPr>
              <w:rFonts w:ascii="Arial" w:hAnsi="Arial" w:cs="Arial"/>
              <w:b/>
              <w:bCs/>
              <w:color w:val="000000" w:themeColor="text1"/>
              <w:sz w:val="22"/>
              <w:szCs w:val="22"/>
            </w:rPr>
            <w:t>Table of Contents</w:t>
          </w:r>
          <w:bookmarkEnd w:id="0"/>
        </w:p>
        <w:p w14:paraId="6455D9E7" w14:textId="7F915B22" w:rsidR="00F07C77" w:rsidRDefault="00D60B7F">
          <w:pPr>
            <w:pStyle w:val="TOC1"/>
            <w:tabs>
              <w:tab w:val="right" w:leader="dot" w:pos="9010"/>
            </w:tabs>
            <w:rPr>
              <w:rFonts w:eastAsiaTheme="minorEastAsia"/>
              <w:b w:val="0"/>
              <w:bCs w:val="0"/>
              <w:caps w:val="0"/>
              <w:noProof/>
              <w:sz w:val="24"/>
              <w:szCs w:val="24"/>
              <w:u w:val="none"/>
              <w:lang w:eastAsia="en-GB"/>
            </w:rPr>
          </w:pPr>
          <w:r w:rsidRPr="002F605F">
            <w:rPr>
              <w:rFonts w:ascii="Arial" w:hAnsi="Arial" w:cs="Arial"/>
              <w:b w:val="0"/>
              <w:bCs w:val="0"/>
            </w:rPr>
            <w:fldChar w:fldCharType="begin"/>
          </w:r>
          <w:r w:rsidRPr="002F605F">
            <w:rPr>
              <w:rFonts w:ascii="Arial" w:hAnsi="Arial" w:cs="Arial"/>
            </w:rPr>
            <w:instrText xml:space="preserve"> TOC \o "1-3" \h \z \u </w:instrText>
          </w:r>
          <w:r w:rsidRPr="002F605F">
            <w:rPr>
              <w:rFonts w:ascii="Arial" w:hAnsi="Arial" w:cs="Arial"/>
              <w:b w:val="0"/>
              <w:bCs w:val="0"/>
            </w:rPr>
            <w:fldChar w:fldCharType="separate"/>
          </w:r>
          <w:hyperlink w:anchor="_Toc213260786" w:history="1">
            <w:r w:rsidR="00F07C77" w:rsidRPr="001802BD">
              <w:rPr>
                <w:rStyle w:val="Hyperlink"/>
                <w:rFonts w:ascii="Arial" w:hAnsi="Arial" w:cs="Arial"/>
                <w:noProof/>
              </w:rPr>
              <w:t>Table of Contents</w:t>
            </w:r>
            <w:r w:rsidR="00F07C77">
              <w:rPr>
                <w:noProof/>
                <w:webHidden/>
              </w:rPr>
              <w:tab/>
            </w:r>
            <w:r w:rsidR="00F07C77">
              <w:rPr>
                <w:noProof/>
                <w:webHidden/>
              </w:rPr>
              <w:fldChar w:fldCharType="begin"/>
            </w:r>
            <w:r w:rsidR="00F07C77">
              <w:rPr>
                <w:noProof/>
                <w:webHidden/>
              </w:rPr>
              <w:instrText xml:space="preserve"> PAGEREF _Toc213260786 \h </w:instrText>
            </w:r>
            <w:r w:rsidR="00F07C77">
              <w:rPr>
                <w:noProof/>
                <w:webHidden/>
              </w:rPr>
            </w:r>
            <w:r w:rsidR="00F07C77">
              <w:rPr>
                <w:noProof/>
                <w:webHidden/>
              </w:rPr>
              <w:fldChar w:fldCharType="separate"/>
            </w:r>
            <w:r w:rsidR="00F07C77">
              <w:rPr>
                <w:noProof/>
                <w:webHidden/>
              </w:rPr>
              <w:t>2</w:t>
            </w:r>
            <w:r w:rsidR="00F07C77">
              <w:rPr>
                <w:noProof/>
                <w:webHidden/>
              </w:rPr>
              <w:fldChar w:fldCharType="end"/>
            </w:r>
          </w:hyperlink>
        </w:p>
        <w:p w14:paraId="4C955838" w14:textId="7B69A8CD"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87" w:history="1">
            <w:r w:rsidRPr="001802BD">
              <w:rPr>
                <w:rStyle w:val="Hyperlink"/>
                <w:rFonts w:ascii="Arial" w:hAnsi="Arial" w:cs="Arial"/>
                <w:noProof/>
                <w:lang w:val="en-US"/>
              </w:rPr>
              <w:t>Introductions</w:t>
            </w:r>
            <w:r>
              <w:rPr>
                <w:noProof/>
                <w:webHidden/>
              </w:rPr>
              <w:tab/>
            </w:r>
            <w:r>
              <w:rPr>
                <w:noProof/>
                <w:webHidden/>
              </w:rPr>
              <w:fldChar w:fldCharType="begin"/>
            </w:r>
            <w:r>
              <w:rPr>
                <w:noProof/>
                <w:webHidden/>
              </w:rPr>
              <w:instrText xml:space="preserve"> PAGEREF _Toc213260787 \h </w:instrText>
            </w:r>
            <w:r>
              <w:rPr>
                <w:noProof/>
                <w:webHidden/>
              </w:rPr>
            </w:r>
            <w:r>
              <w:rPr>
                <w:noProof/>
                <w:webHidden/>
              </w:rPr>
              <w:fldChar w:fldCharType="separate"/>
            </w:r>
            <w:r>
              <w:rPr>
                <w:noProof/>
                <w:webHidden/>
              </w:rPr>
              <w:t>3</w:t>
            </w:r>
            <w:r>
              <w:rPr>
                <w:noProof/>
                <w:webHidden/>
              </w:rPr>
              <w:fldChar w:fldCharType="end"/>
            </w:r>
          </w:hyperlink>
        </w:p>
        <w:p w14:paraId="18664C5D" w14:textId="333F0216"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88" w:history="1">
            <w:r w:rsidRPr="001802BD">
              <w:rPr>
                <w:rStyle w:val="Hyperlink"/>
                <w:rFonts w:ascii="Arial" w:hAnsi="Arial" w:cs="Arial"/>
                <w:noProof/>
                <w:shd w:val="clear" w:color="auto" w:fill="FFFFFF"/>
              </w:rPr>
              <w:t>Section 1: SDG3 Good health and wellbeing</w:t>
            </w:r>
            <w:r>
              <w:rPr>
                <w:noProof/>
                <w:webHidden/>
              </w:rPr>
              <w:tab/>
            </w:r>
            <w:r>
              <w:rPr>
                <w:noProof/>
                <w:webHidden/>
              </w:rPr>
              <w:fldChar w:fldCharType="begin"/>
            </w:r>
            <w:r>
              <w:rPr>
                <w:noProof/>
                <w:webHidden/>
              </w:rPr>
              <w:instrText xml:space="preserve"> PAGEREF _Toc213260788 \h </w:instrText>
            </w:r>
            <w:r>
              <w:rPr>
                <w:noProof/>
                <w:webHidden/>
              </w:rPr>
            </w:r>
            <w:r>
              <w:rPr>
                <w:noProof/>
                <w:webHidden/>
              </w:rPr>
              <w:fldChar w:fldCharType="separate"/>
            </w:r>
            <w:r>
              <w:rPr>
                <w:noProof/>
                <w:webHidden/>
              </w:rPr>
              <w:t>4</w:t>
            </w:r>
            <w:r>
              <w:rPr>
                <w:noProof/>
                <w:webHidden/>
              </w:rPr>
              <w:fldChar w:fldCharType="end"/>
            </w:r>
          </w:hyperlink>
        </w:p>
        <w:p w14:paraId="278C5478" w14:textId="11C5FF39"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89" w:history="1">
            <w:r w:rsidRPr="001802BD">
              <w:rPr>
                <w:rStyle w:val="Hyperlink"/>
                <w:rFonts w:ascii="Arial" w:hAnsi="Arial" w:cs="Arial"/>
                <w:noProof/>
              </w:rPr>
              <w:t>Global Policies and Initiatives</w:t>
            </w:r>
            <w:r>
              <w:rPr>
                <w:noProof/>
                <w:webHidden/>
              </w:rPr>
              <w:tab/>
            </w:r>
            <w:r>
              <w:rPr>
                <w:noProof/>
                <w:webHidden/>
              </w:rPr>
              <w:fldChar w:fldCharType="begin"/>
            </w:r>
            <w:r>
              <w:rPr>
                <w:noProof/>
                <w:webHidden/>
              </w:rPr>
              <w:instrText xml:space="preserve"> PAGEREF _Toc213260789 \h </w:instrText>
            </w:r>
            <w:r>
              <w:rPr>
                <w:noProof/>
                <w:webHidden/>
              </w:rPr>
            </w:r>
            <w:r>
              <w:rPr>
                <w:noProof/>
                <w:webHidden/>
              </w:rPr>
              <w:fldChar w:fldCharType="separate"/>
            </w:r>
            <w:r>
              <w:rPr>
                <w:noProof/>
                <w:webHidden/>
              </w:rPr>
              <w:t>4</w:t>
            </w:r>
            <w:r>
              <w:rPr>
                <w:noProof/>
                <w:webHidden/>
              </w:rPr>
              <w:fldChar w:fldCharType="end"/>
            </w:r>
          </w:hyperlink>
        </w:p>
        <w:p w14:paraId="4D913A69" w14:textId="7B0281E4"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90" w:history="1">
            <w:r w:rsidRPr="001802BD">
              <w:rPr>
                <w:rStyle w:val="Hyperlink"/>
                <w:noProof/>
                <w:shd w:val="clear" w:color="auto" w:fill="FFFFFF"/>
              </w:rPr>
              <w:t xml:space="preserve">National and Local </w:t>
            </w:r>
            <w:r w:rsidRPr="001802BD">
              <w:rPr>
                <w:rStyle w:val="Hyperlink"/>
                <w:noProof/>
              </w:rPr>
              <w:t>Policies and Initiatives</w:t>
            </w:r>
            <w:r>
              <w:rPr>
                <w:noProof/>
                <w:webHidden/>
              </w:rPr>
              <w:tab/>
            </w:r>
            <w:r>
              <w:rPr>
                <w:noProof/>
                <w:webHidden/>
              </w:rPr>
              <w:fldChar w:fldCharType="begin"/>
            </w:r>
            <w:r>
              <w:rPr>
                <w:noProof/>
                <w:webHidden/>
              </w:rPr>
              <w:instrText xml:space="preserve"> PAGEREF _Toc213260790 \h </w:instrText>
            </w:r>
            <w:r>
              <w:rPr>
                <w:noProof/>
                <w:webHidden/>
              </w:rPr>
            </w:r>
            <w:r>
              <w:rPr>
                <w:noProof/>
                <w:webHidden/>
              </w:rPr>
              <w:fldChar w:fldCharType="separate"/>
            </w:r>
            <w:r>
              <w:rPr>
                <w:noProof/>
                <w:webHidden/>
              </w:rPr>
              <w:t>5</w:t>
            </w:r>
            <w:r>
              <w:rPr>
                <w:noProof/>
                <w:webHidden/>
              </w:rPr>
              <w:fldChar w:fldCharType="end"/>
            </w:r>
          </w:hyperlink>
        </w:p>
        <w:p w14:paraId="577ABE89" w14:textId="27627CB1"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91" w:history="1">
            <w:r w:rsidRPr="001802BD">
              <w:rPr>
                <w:rStyle w:val="Hyperlink"/>
                <w:rFonts w:ascii="Arial" w:hAnsi="Arial" w:cs="Arial"/>
                <w:noProof/>
                <w:shd w:val="clear" w:color="auto" w:fill="FFFFFF"/>
              </w:rPr>
              <w:t>Section 2: Goal 2 Zero Hunger</w:t>
            </w:r>
            <w:r>
              <w:rPr>
                <w:noProof/>
                <w:webHidden/>
              </w:rPr>
              <w:tab/>
            </w:r>
            <w:r>
              <w:rPr>
                <w:noProof/>
                <w:webHidden/>
              </w:rPr>
              <w:fldChar w:fldCharType="begin"/>
            </w:r>
            <w:r>
              <w:rPr>
                <w:noProof/>
                <w:webHidden/>
              </w:rPr>
              <w:instrText xml:space="preserve"> PAGEREF _Toc213260791 \h </w:instrText>
            </w:r>
            <w:r>
              <w:rPr>
                <w:noProof/>
                <w:webHidden/>
              </w:rPr>
            </w:r>
            <w:r>
              <w:rPr>
                <w:noProof/>
                <w:webHidden/>
              </w:rPr>
              <w:fldChar w:fldCharType="separate"/>
            </w:r>
            <w:r>
              <w:rPr>
                <w:noProof/>
                <w:webHidden/>
              </w:rPr>
              <w:t>6</w:t>
            </w:r>
            <w:r>
              <w:rPr>
                <w:noProof/>
                <w:webHidden/>
              </w:rPr>
              <w:fldChar w:fldCharType="end"/>
            </w:r>
          </w:hyperlink>
        </w:p>
        <w:p w14:paraId="1AEC794B" w14:textId="73913480"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92" w:history="1">
            <w:r w:rsidRPr="001802BD">
              <w:rPr>
                <w:rStyle w:val="Hyperlink"/>
                <w:rFonts w:ascii="Arial" w:hAnsi="Arial" w:cs="Arial"/>
                <w:noProof/>
              </w:rPr>
              <w:t>Global Policies and Initiatives</w:t>
            </w:r>
            <w:r>
              <w:rPr>
                <w:noProof/>
                <w:webHidden/>
              </w:rPr>
              <w:tab/>
            </w:r>
            <w:r>
              <w:rPr>
                <w:noProof/>
                <w:webHidden/>
              </w:rPr>
              <w:fldChar w:fldCharType="begin"/>
            </w:r>
            <w:r>
              <w:rPr>
                <w:noProof/>
                <w:webHidden/>
              </w:rPr>
              <w:instrText xml:space="preserve"> PAGEREF _Toc213260792 \h </w:instrText>
            </w:r>
            <w:r>
              <w:rPr>
                <w:noProof/>
                <w:webHidden/>
              </w:rPr>
            </w:r>
            <w:r>
              <w:rPr>
                <w:noProof/>
                <w:webHidden/>
              </w:rPr>
              <w:fldChar w:fldCharType="separate"/>
            </w:r>
            <w:r>
              <w:rPr>
                <w:noProof/>
                <w:webHidden/>
              </w:rPr>
              <w:t>6</w:t>
            </w:r>
            <w:r>
              <w:rPr>
                <w:noProof/>
                <w:webHidden/>
              </w:rPr>
              <w:fldChar w:fldCharType="end"/>
            </w:r>
          </w:hyperlink>
        </w:p>
        <w:p w14:paraId="7CF5FED2" w14:textId="7937B361" w:rsidR="00F07C77" w:rsidRDefault="00F07C77">
          <w:pPr>
            <w:pStyle w:val="TOC2"/>
            <w:tabs>
              <w:tab w:val="right" w:leader="dot" w:pos="9010"/>
            </w:tabs>
            <w:rPr>
              <w:rFonts w:eastAsiaTheme="minorEastAsia"/>
              <w:b w:val="0"/>
              <w:bCs w:val="0"/>
              <w:smallCaps w:val="0"/>
              <w:noProof/>
              <w:sz w:val="24"/>
              <w:szCs w:val="24"/>
              <w:lang w:eastAsia="en-GB"/>
            </w:rPr>
          </w:pPr>
          <w:hyperlink w:anchor="_Toc213260793" w:history="1">
            <w:r w:rsidRPr="001802BD">
              <w:rPr>
                <w:rStyle w:val="Hyperlink"/>
                <w:noProof/>
              </w:rPr>
              <w:t>National and Local Policies and Initiatives</w:t>
            </w:r>
            <w:r>
              <w:rPr>
                <w:noProof/>
                <w:webHidden/>
              </w:rPr>
              <w:tab/>
            </w:r>
            <w:r>
              <w:rPr>
                <w:noProof/>
                <w:webHidden/>
              </w:rPr>
              <w:fldChar w:fldCharType="begin"/>
            </w:r>
            <w:r>
              <w:rPr>
                <w:noProof/>
                <w:webHidden/>
              </w:rPr>
              <w:instrText xml:space="preserve"> PAGEREF _Toc213260793 \h </w:instrText>
            </w:r>
            <w:r>
              <w:rPr>
                <w:noProof/>
                <w:webHidden/>
              </w:rPr>
            </w:r>
            <w:r>
              <w:rPr>
                <w:noProof/>
                <w:webHidden/>
              </w:rPr>
              <w:fldChar w:fldCharType="separate"/>
            </w:r>
            <w:r>
              <w:rPr>
                <w:noProof/>
                <w:webHidden/>
              </w:rPr>
              <w:t>7</w:t>
            </w:r>
            <w:r>
              <w:rPr>
                <w:noProof/>
                <w:webHidden/>
              </w:rPr>
              <w:fldChar w:fldCharType="end"/>
            </w:r>
          </w:hyperlink>
        </w:p>
        <w:p w14:paraId="043DB08F" w14:textId="60FE4BE6"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94" w:history="1">
            <w:r w:rsidRPr="001802BD">
              <w:rPr>
                <w:rStyle w:val="Hyperlink"/>
                <w:noProof/>
                <w:shd w:val="clear" w:color="auto" w:fill="FFFFFF"/>
              </w:rPr>
              <w:t>Conclusion</w:t>
            </w:r>
            <w:r>
              <w:rPr>
                <w:noProof/>
                <w:webHidden/>
              </w:rPr>
              <w:tab/>
            </w:r>
            <w:r>
              <w:rPr>
                <w:noProof/>
                <w:webHidden/>
              </w:rPr>
              <w:fldChar w:fldCharType="begin"/>
            </w:r>
            <w:r>
              <w:rPr>
                <w:noProof/>
                <w:webHidden/>
              </w:rPr>
              <w:instrText xml:space="preserve"> PAGEREF _Toc213260794 \h </w:instrText>
            </w:r>
            <w:r>
              <w:rPr>
                <w:noProof/>
                <w:webHidden/>
              </w:rPr>
            </w:r>
            <w:r>
              <w:rPr>
                <w:noProof/>
                <w:webHidden/>
              </w:rPr>
              <w:fldChar w:fldCharType="separate"/>
            </w:r>
            <w:r>
              <w:rPr>
                <w:noProof/>
                <w:webHidden/>
              </w:rPr>
              <w:t>8</w:t>
            </w:r>
            <w:r>
              <w:rPr>
                <w:noProof/>
                <w:webHidden/>
              </w:rPr>
              <w:fldChar w:fldCharType="end"/>
            </w:r>
          </w:hyperlink>
        </w:p>
        <w:p w14:paraId="4DAB1193" w14:textId="5FF7AF35" w:rsidR="00F07C77" w:rsidRDefault="00F07C77">
          <w:pPr>
            <w:pStyle w:val="TOC1"/>
            <w:tabs>
              <w:tab w:val="right" w:leader="dot" w:pos="9010"/>
            </w:tabs>
            <w:rPr>
              <w:rFonts w:eastAsiaTheme="minorEastAsia"/>
              <w:b w:val="0"/>
              <w:bCs w:val="0"/>
              <w:caps w:val="0"/>
              <w:noProof/>
              <w:sz w:val="24"/>
              <w:szCs w:val="24"/>
              <w:u w:val="none"/>
              <w:lang w:eastAsia="en-GB"/>
            </w:rPr>
          </w:pPr>
          <w:hyperlink w:anchor="_Toc213260795" w:history="1">
            <w:r w:rsidRPr="001802BD">
              <w:rPr>
                <w:rStyle w:val="Hyperlink"/>
                <w:rFonts w:ascii="Arial" w:hAnsi="Arial" w:cs="Arial"/>
                <w:noProof/>
              </w:rPr>
              <w:t>Reference</w:t>
            </w:r>
            <w:r>
              <w:rPr>
                <w:noProof/>
                <w:webHidden/>
              </w:rPr>
              <w:tab/>
            </w:r>
            <w:r>
              <w:rPr>
                <w:noProof/>
                <w:webHidden/>
              </w:rPr>
              <w:fldChar w:fldCharType="begin"/>
            </w:r>
            <w:r>
              <w:rPr>
                <w:noProof/>
                <w:webHidden/>
              </w:rPr>
              <w:instrText xml:space="preserve"> PAGEREF _Toc213260795 \h </w:instrText>
            </w:r>
            <w:r>
              <w:rPr>
                <w:noProof/>
                <w:webHidden/>
              </w:rPr>
            </w:r>
            <w:r>
              <w:rPr>
                <w:noProof/>
                <w:webHidden/>
              </w:rPr>
              <w:fldChar w:fldCharType="separate"/>
            </w:r>
            <w:r>
              <w:rPr>
                <w:noProof/>
                <w:webHidden/>
              </w:rPr>
              <w:t>9</w:t>
            </w:r>
            <w:r>
              <w:rPr>
                <w:noProof/>
                <w:webHidden/>
              </w:rPr>
              <w:fldChar w:fldCharType="end"/>
            </w:r>
          </w:hyperlink>
        </w:p>
        <w:p w14:paraId="100A6D7F" w14:textId="36CE1403" w:rsidR="00D60B7F" w:rsidRPr="002F605F" w:rsidRDefault="00D60B7F">
          <w:pPr>
            <w:rPr>
              <w:rFonts w:ascii="Arial" w:hAnsi="Arial" w:cs="Arial"/>
              <w:sz w:val="22"/>
              <w:szCs w:val="22"/>
            </w:rPr>
          </w:pPr>
          <w:r w:rsidRPr="002F605F">
            <w:rPr>
              <w:rFonts w:ascii="Arial" w:hAnsi="Arial" w:cs="Arial"/>
              <w:b/>
              <w:bCs/>
              <w:noProof/>
              <w:sz w:val="22"/>
              <w:szCs w:val="22"/>
            </w:rPr>
            <w:fldChar w:fldCharType="end"/>
          </w:r>
        </w:p>
      </w:sdtContent>
    </w:sdt>
    <w:p w14:paraId="7586855F" w14:textId="77777777" w:rsidR="00956380" w:rsidRPr="002F605F" w:rsidRDefault="00956380" w:rsidP="00276B79">
      <w:pPr>
        <w:spacing w:line="360" w:lineRule="auto"/>
        <w:jc w:val="center"/>
        <w:rPr>
          <w:rFonts w:ascii="Arial" w:hAnsi="Arial" w:cs="Arial"/>
          <w:b/>
          <w:bCs/>
          <w:sz w:val="22"/>
          <w:szCs w:val="22"/>
          <w:lang w:val="en-US"/>
        </w:rPr>
      </w:pPr>
    </w:p>
    <w:p w14:paraId="4FF5808A" w14:textId="77777777" w:rsidR="00956380" w:rsidRPr="002F605F" w:rsidRDefault="00956380" w:rsidP="00276B79">
      <w:pPr>
        <w:spacing w:line="360" w:lineRule="auto"/>
        <w:jc w:val="center"/>
        <w:rPr>
          <w:rFonts w:ascii="Arial" w:hAnsi="Arial" w:cs="Arial"/>
          <w:b/>
          <w:bCs/>
          <w:sz w:val="22"/>
          <w:szCs w:val="22"/>
          <w:lang w:val="en-US"/>
        </w:rPr>
      </w:pPr>
    </w:p>
    <w:p w14:paraId="771ED376" w14:textId="77777777" w:rsidR="00956380" w:rsidRPr="002F605F" w:rsidRDefault="00956380" w:rsidP="00276B79">
      <w:pPr>
        <w:spacing w:line="360" w:lineRule="auto"/>
        <w:jc w:val="center"/>
        <w:rPr>
          <w:rFonts w:ascii="Arial" w:hAnsi="Arial" w:cs="Arial"/>
          <w:b/>
          <w:bCs/>
          <w:sz w:val="22"/>
          <w:szCs w:val="22"/>
          <w:lang w:val="en-US"/>
        </w:rPr>
      </w:pPr>
    </w:p>
    <w:p w14:paraId="3A9C9187" w14:textId="77777777" w:rsidR="00956380" w:rsidRPr="002F605F" w:rsidRDefault="00956380" w:rsidP="00276B79">
      <w:pPr>
        <w:spacing w:line="360" w:lineRule="auto"/>
        <w:jc w:val="center"/>
        <w:rPr>
          <w:rFonts w:ascii="Arial" w:hAnsi="Arial" w:cs="Arial"/>
          <w:b/>
          <w:bCs/>
          <w:sz w:val="22"/>
          <w:szCs w:val="22"/>
          <w:lang w:val="en-US"/>
        </w:rPr>
      </w:pPr>
    </w:p>
    <w:p w14:paraId="2AE943FB" w14:textId="77777777" w:rsidR="00956380" w:rsidRPr="002F605F" w:rsidRDefault="00956380" w:rsidP="00276B79">
      <w:pPr>
        <w:spacing w:line="360" w:lineRule="auto"/>
        <w:jc w:val="center"/>
        <w:rPr>
          <w:rFonts w:ascii="Arial" w:hAnsi="Arial" w:cs="Arial"/>
          <w:b/>
          <w:bCs/>
          <w:sz w:val="22"/>
          <w:szCs w:val="22"/>
          <w:lang w:val="en-US"/>
        </w:rPr>
      </w:pPr>
    </w:p>
    <w:p w14:paraId="5CD7E2CD" w14:textId="77777777" w:rsidR="00956380" w:rsidRPr="002F605F" w:rsidRDefault="00956380" w:rsidP="00276B79">
      <w:pPr>
        <w:spacing w:line="360" w:lineRule="auto"/>
        <w:jc w:val="center"/>
        <w:rPr>
          <w:rFonts w:ascii="Arial" w:hAnsi="Arial" w:cs="Arial"/>
          <w:b/>
          <w:bCs/>
          <w:sz w:val="22"/>
          <w:szCs w:val="22"/>
          <w:lang w:val="en-US"/>
        </w:rPr>
      </w:pPr>
    </w:p>
    <w:p w14:paraId="593230DE" w14:textId="77777777" w:rsidR="00956380" w:rsidRPr="002F605F" w:rsidRDefault="00956380" w:rsidP="00276B79">
      <w:pPr>
        <w:spacing w:line="360" w:lineRule="auto"/>
        <w:jc w:val="center"/>
        <w:rPr>
          <w:rFonts w:ascii="Arial" w:hAnsi="Arial" w:cs="Arial"/>
          <w:b/>
          <w:bCs/>
          <w:sz w:val="22"/>
          <w:szCs w:val="22"/>
          <w:lang w:val="en-US"/>
        </w:rPr>
      </w:pPr>
    </w:p>
    <w:p w14:paraId="3C11C1B7" w14:textId="77777777" w:rsidR="00956380" w:rsidRPr="002F605F" w:rsidRDefault="00956380" w:rsidP="00276B79">
      <w:pPr>
        <w:spacing w:line="360" w:lineRule="auto"/>
        <w:jc w:val="center"/>
        <w:rPr>
          <w:rFonts w:ascii="Arial" w:hAnsi="Arial" w:cs="Arial"/>
          <w:b/>
          <w:bCs/>
          <w:sz w:val="22"/>
          <w:szCs w:val="22"/>
          <w:lang w:val="en-US"/>
        </w:rPr>
      </w:pPr>
    </w:p>
    <w:p w14:paraId="391E805B" w14:textId="77777777" w:rsidR="00956380" w:rsidRPr="002F605F" w:rsidRDefault="00956380" w:rsidP="00276B79">
      <w:pPr>
        <w:spacing w:line="360" w:lineRule="auto"/>
        <w:jc w:val="center"/>
        <w:rPr>
          <w:rFonts w:ascii="Arial" w:hAnsi="Arial" w:cs="Arial"/>
          <w:b/>
          <w:bCs/>
          <w:sz w:val="22"/>
          <w:szCs w:val="22"/>
          <w:lang w:val="en-US"/>
        </w:rPr>
      </w:pPr>
    </w:p>
    <w:p w14:paraId="3F5E1897" w14:textId="77777777" w:rsidR="00956380" w:rsidRPr="002F605F" w:rsidRDefault="00956380" w:rsidP="00276B79">
      <w:pPr>
        <w:spacing w:line="360" w:lineRule="auto"/>
        <w:jc w:val="center"/>
        <w:rPr>
          <w:rFonts w:ascii="Arial" w:hAnsi="Arial" w:cs="Arial"/>
          <w:b/>
          <w:bCs/>
          <w:sz w:val="22"/>
          <w:szCs w:val="22"/>
          <w:lang w:val="en-US"/>
        </w:rPr>
      </w:pPr>
    </w:p>
    <w:p w14:paraId="5A7DB6D2" w14:textId="77777777" w:rsidR="00956380" w:rsidRPr="002F605F" w:rsidRDefault="00956380" w:rsidP="00276B79">
      <w:pPr>
        <w:spacing w:line="360" w:lineRule="auto"/>
        <w:jc w:val="center"/>
        <w:rPr>
          <w:rFonts w:ascii="Arial" w:hAnsi="Arial" w:cs="Arial"/>
          <w:b/>
          <w:bCs/>
          <w:sz w:val="22"/>
          <w:szCs w:val="22"/>
          <w:lang w:val="en-US"/>
        </w:rPr>
      </w:pPr>
    </w:p>
    <w:p w14:paraId="3486325E" w14:textId="77777777" w:rsidR="00956380" w:rsidRPr="002F605F" w:rsidRDefault="00956380" w:rsidP="00276B79">
      <w:pPr>
        <w:spacing w:line="360" w:lineRule="auto"/>
        <w:jc w:val="center"/>
        <w:rPr>
          <w:rFonts w:ascii="Arial" w:hAnsi="Arial" w:cs="Arial"/>
          <w:b/>
          <w:bCs/>
          <w:sz w:val="22"/>
          <w:szCs w:val="22"/>
          <w:lang w:val="en-US"/>
        </w:rPr>
      </w:pPr>
    </w:p>
    <w:p w14:paraId="113E5647" w14:textId="77777777" w:rsidR="00956380" w:rsidRDefault="00956380" w:rsidP="00276B79">
      <w:pPr>
        <w:spacing w:line="360" w:lineRule="auto"/>
        <w:jc w:val="center"/>
        <w:rPr>
          <w:rFonts w:ascii="Arial" w:hAnsi="Arial" w:cs="Arial"/>
          <w:b/>
          <w:bCs/>
          <w:sz w:val="22"/>
          <w:szCs w:val="22"/>
          <w:lang w:val="en-US"/>
        </w:rPr>
      </w:pPr>
    </w:p>
    <w:p w14:paraId="46BAB18B" w14:textId="0A330946" w:rsidR="00293265" w:rsidRPr="0028025D" w:rsidRDefault="002F605F" w:rsidP="0028025D">
      <w:pPr>
        <w:spacing w:line="360" w:lineRule="auto"/>
        <w:jc w:val="center"/>
        <w:rPr>
          <w:rFonts w:ascii="Arial" w:hAnsi="Arial" w:cs="Arial"/>
          <w:b/>
          <w:bCs/>
          <w:sz w:val="22"/>
          <w:szCs w:val="22"/>
          <w:lang w:val="en-US"/>
        </w:rPr>
      </w:pPr>
      <w:r>
        <w:rPr>
          <w:rFonts w:ascii="Arial" w:hAnsi="Arial" w:cs="Arial"/>
          <w:b/>
          <w:bCs/>
          <w:sz w:val="22"/>
          <w:szCs w:val="22"/>
          <w:lang w:val="en-US"/>
        </w:rPr>
        <w:t xml:space="preserve"> </w:t>
      </w:r>
    </w:p>
    <w:p w14:paraId="7AC78C76" w14:textId="5DD521DA" w:rsidR="00A6595C" w:rsidRDefault="009D10DC" w:rsidP="00427566">
      <w:pPr>
        <w:pStyle w:val="Heading1"/>
        <w:rPr>
          <w:rFonts w:ascii="Arial" w:hAnsi="Arial" w:cs="Arial"/>
          <w:b/>
          <w:bCs/>
          <w:color w:val="000000" w:themeColor="text1"/>
          <w:sz w:val="22"/>
          <w:szCs w:val="22"/>
          <w:lang w:val="en-US"/>
        </w:rPr>
      </w:pPr>
      <w:r w:rsidRPr="002F605F">
        <w:rPr>
          <w:rFonts w:ascii="Arial" w:hAnsi="Arial" w:cs="Arial"/>
          <w:sz w:val="22"/>
          <w:szCs w:val="22"/>
          <w:lang w:val="en-US"/>
        </w:rPr>
        <w:lastRenderedPageBreak/>
        <w:t xml:space="preserve"> </w:t>
      </w:r>
      <w:bookmarkStart w:id="1" w:name="_Toc213260787"/>
      <w:r w:rsidRPr="002F605F">
        <w:rPr>
          <w:rFonts w:ascii="Arial" w:hAnsi="Arial" w:cs="Arial"/>
          <w:b/>
          <w:bCs/>
          <w:color w:val="000000" w:themeColor="text1"/>
          <w:sz w:val="22"/>
          <w:szCs w:val="22"/>
          <w:lang w:val="en-US"/>
        </w:rPr>
        <w:t>Introduction</w:t>
      </w:r>
      <w:bookmarkEnd w:id="1"/>
    </w:p>
    <w:p w14:paraId="64668D1B" w14:textId="77777777" w:rsidR="004A53AD" w:rsidRPr="004A53AD" w:rsidRDefault="004A53AD" w:rsidP="004A53AD">
      <w:pPr>
        <w:rPr>
          <w:lang w:val="en-US"/>
        </w:rPr>
      </w:pPr>
    </w:p>
    <w:p w14:paraId="30FF32C1" w14:textId="2E2F83A2" w:rsidR="0028025D" w:rsidRDefault="00B81AD4" w:rsidP="0028025D">
      <w:pPr>
        <w:spacing w:line="360" w:lineRule="auto"/>
        <w:jc w:val="both"/>
        <w:rPr>
          <w:rFonts w:ascii="Arial" w:hAnsi="Arial" w:cs="Arial"/>
          <w:color w:val="1C1C1C"/>
          <w:kern w:val="0"/>
          <w:sz w:val="22"/>
          <w:szCs w:val="22"/>
          <w:shd w:val="clear" w:color="auto" w:fill="FFFFFF"/>
          <w14:ligatures w14:val="none"/>
        </w:rPr>
      </w:pPr>
      <w:r w:rsidRPr="00B81AD4">
        <w:rPr>
          <w:rFonts w:ascii="Arial" w:hAnsi="Arial" w:cs="Arial"/>
          <w:sz w:val="22"/>
          <w:szCs w:val="22"/>
        </w:rPr>
        <w:t>The Sustainable Development Goals (SDGs) comprise 17 interconnected global objectives set by the United Nations in 2015. All UN member states adopted these goals to tackle urgent environmental, political, and economic issues. They aim to build a more sustainable and equitable future by 2030</w:t>
      </w:r>
      <w:r>
        <w:rPr>
          <w:rFonts w:ascii="Arial" w:hAnsi="Arial" w:cs="Arial"/>
          <w:sz w:val="22"/>
          <w:szCs w:val="22"/>
        </w:rPr>
        <w:t>,</w:t>
      </w:r>
      <w:r w:rsidRPr="00B81AD4">
        <w:rPr>
          <w:rFonts w:ascii="Arial" w:hAnsi="Arial" w:cs="Arial"/>
          <w:sz w:val="22"/>
          <w:szCs w:val="22"/>
        </w:rPr>
        <w:t xml:space="preserve"> addressing topics </w:t>
      </w:r>
      <w:r>
        <w:rPr>
          <w:rFonts w:ascii="Arial" w:hAnsi="Arial" w:cs="Arial"/>
          <w:sz w:val="22"/>
          <w:szCs w:val="22"/>
        </w:rPr>
        <w:t>such as</w:t>
      </w:r>
      <w:r w:rsidRPr="00B81AD4">
        <w:rPr>
          <w:rFonts w:ascii="Arial" w:hAnsi="Arial" w:cs="Arial"/>
          <w:sz w:val="22"/>
          <w:szCs w:val="22"/>
        </w:rPr>
        <w:t xml:space="preserve"> poverty, education, gender equality, clean water, and climate action</w:t>
      </w:r>
      <w:r w:rsidR="00365AAF" w:rsidRPr="00365AAF">
        <w:rPr>
          <w:rFonts w:ascii="Arial" w:eastAsia="Aptos" w:hAnsi="Arial" w:cs="Arial"/>
          <w:color w:val="000000"/>
        </w:rPr>
        <w:t xml:space="preserve"> </w:t>
      </w:r>
      <w:r w:rsidR="00510B70">
        <w:rPr>
          <w:rFonts w:ascii="Arial" w:eastAsia="Aptos" w:hAnsi="Arial" w:cs="Arial"/>
          <w:color w:val="000000"/>
        </w:rPr>
        <w:t>(</w:t>
      </w:r>
      <w:r w:rsidR="00365AAF" w:rsidRPr="00365AAF">
        <w:rPr>
          <w:rFonts w:ascii="Arial" w:hAnsi="Arial" w:cs="Arial"/>
          <w:sz w:val="22"/>
          <w:szCs w:val="22"/>
        </w:rPr>
        <w:t>United Nations,</w:t>
      </w:r>
      <w:r w:rsidR="00510B70">
        <w:rPr>
          <w:rFonts w:ascii="Arial" w:hAnsi="Arial" w:cs="Arial"/>
          <w:sz w:val="22"/>
          <w:szCs w:val="22"/>
        </w:rPr>
        <w:t xml:space="preserve"> </w:t>
      </w:r>
      <w:r w:rsidR="00365AAF" w:rsidRPr="00365AAF">
        <w:rPr>
          <w:rFonts w:ascii="Arial" w:hAnsi="Arial" w:cs="Arial"/>
          <w:sz w:val="22"/>
          <w:szCs w:val="22"/>
        </w:rPr>
        <w:t>2025</w:t>
      </w:r>
      <w:r w:rsidR="00AB2646">
        <w:rPr>
          <w:rFonts w:ascii="Arial" w:hAnsi="Arial" w:cs="Arial"/>
          <w:sz w:val="22"/>
          <w:szCs w:val="22"/>
        </w:rPr>
        <w:t>a</w:t>
      </w:r>
      <w:r w:rsidR="00365AAF">
        <w:rPr>
          <w:rFonts w:ascii="Arial" w:hAnsi="Arial" w:cs="Arial"/>
          <w:sz w:val="22"/>
          <w:szCs w:val="22"/>
        </w:rPr>
        <w:t>)</w:t>
      </w:r>
      <w:r w:rsidRPr="00B81AD4">
        <w:rPr>
          <w:rFonts w:ascii="Arial" w:hAnsi="Arial" w:cs="Arial"/>
          <w:sz w:val="22"/>
          <w:szCs w:val="22"/>
        </w:rPr>
        <w:t xml:space="preserve">. Each goal includes precise targets and indicators to track progress. </w:t>
      </w:r>
      <w:r w:rsidR="005E0378" w:rsidRPr="005E0378">
        <w:rPr>
          <w:rFonts w:ascii="Arial" w:hAnsi="Arial" w:cs="Arial"/>
          <w:color w:val="1C1C1C"/>
          <w:sz w:val="22"/>
          <w:szCs w:val="22"/>
          <w:shd w:val="clear" w:color="auto" w:fill="FFFFFF"/>
        </w:rPr>
        <w:t xml:space="preserve">This report aims to thoroughly evaluate Sustainable Development Goal 3 (SDG 3), which focuses on Good Health and Well-Being for all, as well as </w:t>
      </w:r>
      <w:bookmarkStart w:id="2" w:name="OLE_LINK7"/>
      <w:r w:rsidR="005E0378" w:rsidRPr="005E0378">
        <w:rPr>
          <w:rFonts w:ascii="Arial" w:hAnsi="Arial" w:cs="Arial"/>
          <w:color w:val="1C1C1C"/>
          <w:sz w:val="22"/>
          <w:szCs w:val="22"/>
          <w:shd w:val="clear" w:color="auto" w:fill="FFFFFF"/>
        </w:rPr>
        <w:t>Goal 2 (SDG 2), dedicated to Zero Hunger</w:t>
      </w:r>
      <w:r w:rsidR="00FA44AE" w:rsidRPr="00FA44AE">
        <w:rPr>
          <w:rFonts w:ascii="Arial" w:eastAsia="Aptos" w:hAnsi="Arial" w:cs="Arial"/>
          <w:color w:val="000000"/>
        </w:rPr>
        <w:t xml:space="preserve"> </w:t>
      </w:r>
      <w:bookmarkEnd w:id="2"/>
      <w:r w:rsidR="00FA44AE">
        <w:rPr>
          <w:rFonts w:ascii="Arial" w:eastAsia="Aptos" w:hAnsi="Arial" w:cs="Arial"/>
          <w:color w:val="000000"/>
        </w:rPr>
        <w:t>(</w:t>
      </w:r>
      <w:r w:rsidR="00FA44AE" w:rsidRPr="00FA44AE">
        <w:rPr>
          <w:rFonts w:ascii="Arial" w:hAnsi="Arial" w:cs="Arial"/>
          <w:color w:val="1C1C1C"/>
          <w:sz w:val="22"/>
          <w:szCs w:val="22"/>
          <w:shd w:val="clear" w:color="auto" w:fill="FFFFFF"/>
        </w:rPr>
        <w:t>Acharya, Lin and Dhingra, 2018</w:t>
      </w:r>
      <w:r w:rsidR="00FA44AE">
        <w:rPr>
          <w:rFonts w:ascii="Arial" w:hAnsi="Arial" w:cs="Arial"/>
          <w:color w:val="1C1C1C"/>
          <w:sz w:val="22"/>
          <w:szCs w:val="22"/>
          <w:shd w:val="clear" w:color="auto" w:fill="FFFFFF"/>
        </w:rPr>
        <w:t>)</w:t>
      </w:r>
      <w:r w:rsidR="005E0378" w:rsidRPr="005E0378">
        <w:rPr>
          <w:rFonts w:ascii="Arial" w:hAnsi="Arial" w:cs="Arial"/>
          <w:color w:val="1C1C1C"/>
          <w:sz w:val="22"/>
          <w:szCs w:val="22"/>
          <w:shd w:val="clear" w:color="auto" w:fill="FFFFFF"/>
        </w:rPr>
        <w:t>. The analysis will assess their global implementation, including case studies from outside the UK</w:t>
      </w:r>
      <w:r w:rsidR="00622060">
        <w:rPr>
          <w:rFonts w:ascii="Arial" w:hAnsi="Arial" w:cs="Arial"/>
          <w:color w:val="1C1C1C"/>
          <w:sz w:val="22"/>
          <w:szCs w:val="22"/>
          <w:shd w:val="clear" w:color="auto" w:fill="FFFFFF"/>
        </w:rPr>
        <w:t>,</w:t>
      </w:r>
      <w:r w:rsidR="005E0378" w:rsidRPr="005E0378">
        <w:rPr>
          <w:rFonts w:ascii="Arial" w:hAnsi="Arial" w:cs="Arial"/>
          <w:color w:val="1C1C1C"/>
          <w:sz w:val="22"/>
          <w:szCs w:val="22"/>
          <w:shd w:val="clear" w:color="auto" w:fill="FFFFFF"/>
        </w:rPr>
        <w:t xml:space="preserve"> to explore the strategies used and their success. </w:t>
      </w:r>
      <w:r w:rsidR="003A5F58">
        <w:rPr>
          <w:rFonts w:ascii="Arial" w:hAnsi="Arial" w:cs="Arial"/>
          <w:color w:val="1C1C1C"/>
          <w:kern w:val="0"/>
          <w:sz w:val="22"/>
          <w:szCs w:val="22"/>
          <w:shd w:val="clear" w:color="auto" w:fill="FFFFFF"/>
          <w14:ligatures w14:val="none"/>
        </w:rPr>
        <w:t>The report will examine the status and initiatives concerning these goals in the UK, evaluating efforts at both national and local levels</w:t>
      </w:r>
      <w:r w:rsidR="004E16C0" w:rsidRPr="004E16C0">
        <w:rPr>
          <w:rFonts w:ascii="Arial" w:eastAsia="Aptos" w:hAnsi="Arial" w:cs="Arial"/>
          <w:color w:val="FFFFFF" w:themeColor="background1"/>
          <w:sz w:val="22"/>
          <w:szCs w:val="22"/>
        </w:rPr>
        <w:t xml:space="preserve"> </w:t>
      </w:r>
      <w:r w:rsidR="004E16C0">
        <w:rPr>
          <w:rFonts w:ascii="Arial" w:hAnsi="Arial" w:cs="Arial"/>
          <w:color w:val="1C1C1C"/>
          <w:kern w:val="0"/>
          <w:sz w:val="22"/>
          <w:szCs w:val="22"/>
          <w:shd w:val="clear" w:color="auto" w:fill="FFFFFF"/>
          <w14:ligatures w14:val="none"/>
        </w:rPr>
        <w:t>(</w:t>
      </w:r>
      <w:r w:rsidR="004E16C0" w:rsidRPr="004E16C0">
        <w:rPr>
          <w:rFonts w:ascii="Arial" w:hAnsi="Arial" w:cs="Arial"/>
          <w:color w:val="1C1C1C"/>
          <w:kern w:val="0"/>
          <w:sz w:val="22"/>
          <w:szCs w:val="22"/>
          <w:shd w:val="clear" w:color="auto" w:fill="FFFFFF"/>
          <w14:ligatures w14:val="none"/>
        </w:rPr>
        <w:t>Blanc, 2015</w:t>
      </w:r>
      <w:r w:rsidR="00A37024">
        <w:rPr>
          <w:rFonts w:ascii="Arial" w:hAnsi="Arial" w:cs="Arial"/>
          <w:color w:val="1C1C1C"/>
          <w:kern w:val="0"/>
          <w:sz w:val="22"/>
          <w:szCs w:val="22"/>
          <w:shd w:val="clear" w:color="auto" w:fill="FFFFFF"/>
          <w14:ligatures w14:val="none"/>
        </w:rPr>
        <w:t>)</w:t>
      </w:r>
      <w:r w:rsidR="003A5F58">
        <w:rPr>
          <w:rFonts w:ascii="Arial" w:hAnsi="Arial" w:cs="Arial"/>
          <w:color w:val="1C1C1C"/>
          <w:kern w:val="0"/>
          <w:sz w:val="22"/>
          <w:szCs w:val="22"/>
          <w:shd w:val="clear" w:color="auto" w:fill="FFFFFF"/>
          <w14:ligatures w14:val="none"/>
        </w:rPr>
        <w:t>. It will critically analyse the successes and challenges of these initiatives to provide a nuanced understanding of the factors that affect their outcomes. Ultimately, the report will offer evidence-based recommendations to enhance program effectiveness, supported by relevant theories or models that contribute to the broader conversation on sustainable development</w:t>
      </w:r>
      <w:r w:rsidR="00392C1D" w:rsidRPr="00392C1D">
        <w:rPr>
          <w:rFonts w:ascii="-webkit-standard" w:hAnsi="-webkit-standard"/>
          <w:color w:val="000000"/>
          <w:sz w:val="27"/>
          <w:szCs w:val="27"/>
        </w:rPr>
        <w:t xml:space="preserve"> </w:t>
      </w:r>
      <w:r w:rsidR="00392C1D" w:rsidRPr="00392C1D">
        <w:rPr>
          <w:rFonts w:ascii="Arial" w:hAnsi="Arial" w:cs="Arial"/>
          <w:color w:val="1C1C1C"/>
          <w:kern w:val="0"/>
          <w:sz w:val="22"/>
          <w:szCs w:val="22"/>
          <w:shd w:val="clear" w:color="auto" w:fill="FFFFFF"/>
          <w14:ligatures w14:val="none"/>
        </w:rPr>
        <w:t>(Guenduez </w:t>
      </w:r>
      <w:r w:rsidR="00392C1D" w:rsidRPr="00392C1D">
        <w:rPr>
          <w:rFonts w:ascii="Arial" w:hAnsi="Arial" w:cs="Arial"/>
          <w:i/>
          <w:iCs/>
          <w:color w:val="1C1C1C"/>
          <w:kern w:val="0"/>
          <w:sz w:val="22"/>
          <w:szCs w:val="22"/>
          <w:shd w:val="clear" w:color="auto" w:fill="FFFFFF"/>
          <w14:ligatures w14:val="none"/>
        </w:rPr>
        <w:t>et al.</w:t>
      </w:r>
      <w:r w:rsidR="00392C1D" w:rsidRPr="00392C1D">
        <w:rPr>
          <w:rFonts w:ascii="Arial" w:hAnsi="Arial" w:cs="Arial"/>
          <w:color w:val="1C1C1C"/>
          <w:kern w:val="0"/>
          <w:sz w:val="22"/>
          <w:szCs w:val="22"/>
          <w:shd w:val="clear" w:color="auto" w:fill="FFFFFF"/>
          <w14:ligatures w14:val="none"/>
        </w:rPr>
        <w:t>, 2018</w:t>
      </w:r>
      <w:r w:rsidR="00683AFB">
        <w:rPr>
          <w:rFonts w:ascii="Arial" w:hAnsi="Arial" w:cs="Arial"/>
          <w:color w:val="1C1C1C"/>
          <w:kern w:val="0"/>
          <w:sz w:val="22"/>
          <w:szCs w:val="22"/>
          <w:shd w:val="clear" w:color="auto" w:fill="FFFFFF"/>
          <w14:ligatures w14:val="none"/>
        </w:rPr>
        <w:t>a</w:t>
      </w:r>
      <w:r w:rsidR="00392C1D" w:rsidRPr="00392C1D">
        <w:rPr>
          <w:rFonts w:ascii="Arial" w:hAnsi="Arial" w:cs="Arial"/>
          <w:color w:val="1C1C1C"/>
          <w:kern w:val="0"/>
          <w:sz w:val="22"/>
          <w:szCs w:val="22"/>
          <w:shd w:val="clear" w:color="auto" w:fill="FFFFFF"/>
          <w14:ligatures w14:val="none"/>
        </w:rPr>
        <w:t>)</w:t>
      </w:r>
      <w:r w:rsidR="003A5F58">
        <w:rPr>
          <w:rFonts w:ascii="Arial" w:hAnsi="Arial" w:cs="Arial"/>
          <w:color w:val="1C1C1C"/>
          <w:kern w:val="0"/>
          <w:sz w:val="22"/>
          <w:szCs w:val="22"/>
          <w:shd w:val="clear" w:color="auto" w:fill="FFFFFF"/>
          <w14:ligatures w14:val="none"/>
        </w:rPr>
        <w:t>.</w:t>
      </w:r>
      <w:bookmarkStart w:id="3" w:name="_Toc213260788"/>
    </w:p>
    <w:p w14:paraId="2802A742"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08A573B2"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100943C0"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0C3ACE59"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092743A1"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1B203586"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71301F8C"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05ED993D"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69695069"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68191335"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74996753"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61411AB2"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2CD9AE8F"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468F1959"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0716B6B9"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19CBD955"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63C9E83E"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40271C9C" w14:textId="77777777" w:rsidR="00045058" w:rsidRDefault="00045058" w:rsidP="0028025D">
      <w:pPr>
        <w:spacing w:line="360" w:lineRule="auto"/>
        <w:jc w:val="both"/>
        <w:rPr>
          <w:rFonts w:ascii="Arial" w:hAnsi="Arial" w:cs="Arial"/>
          <w:color w:val="1C1C1C"/>
          <w:kern w:val="0"/>
          <w:sz w:val="22"/>
          <w:szCs w:val="22"/>
          <w:shd w:val="clear" w:color="auto" w:fill="FFFFFF"/>
          <w14:ligatures w14:val="none"/>
        </w:rPr>
      </w:pPr>
    </w:p>
    <w:p w14:paraId="5729E03F" w14:textId="77777777" w:rsidR="0028025D" w:rsidRDefault="0028025D" w:rsidP="0028025D">
      <w:pPr>
        <w:spacing w:line="360" w:lineRule="auto"/>
        <w:jc w:val="both"/>
        <w:rPr>
          <w:rFonts w:ascii="Arial" w:hAnsi="Arial" w:cs="Arial"/>
          <w:color w:val="1C1C1C"/>
          <w:kern w:val="0"/>
          <w:sz w:val="22"/>
          <w:szCs w:val="22"/>
          <w:shd w:val="clear" w:color="auto" w:fill="FFFFFF"/>
          <w14:ligatures w14:val="none"/>
        </w:rPr>
      </w:pPr>
    </w:p>
    <w:p w14:paraId="33E0696C" w14:textId="77777777" w:rsidR="0055347F" w:rsidRDefault="000744FF" w:rsidP="0055347F">
      <w:pPr>
        <w:spacing w:line="360" w:lineRule="auto"/>
        <w:jc w:val="both"/>
        <w:rPr>
          <w:rFonts w:ascii="Arial" w:hAnsi="Arial" w:cs="Arial"/>
          <w:b/>
          <w:bCs/>
          <w:color w:val="000000" w:themeColor="text1"/>
          <w:sz w:val="22"/>
          <w:szCs w:val="22"/>
          <w:shd w:val="clear" w:color="auto" w:fill="FFFFFF"/>
        </w:rPr>
      </w:pPr>
      <w:r w:rsidRPr="00982FE7">
        <w:rPr>
          <w:rFonts w:ascii="Arial" w:hAnsi="Arial" w:cs="Arial"/>
          <w:b/>
          <w:bCs/>
          <w:color w:val="000000" w:themeColor="text1"/>
          <w:sz w:val="22"/>
          <w:szCs w:val="22"/>
          <w:shd w:val="clear" w:color="auto" w:fill="FFFFFF"/>
        </w:rPr>
        <w:lastRenderedPageBreak/>
        <w:t>Section</w:t>
      </w:r>
      <w:r w:rsidR="00291F7A" w:rsidRPr="00982FE7">
        <w:rPr>
          <w:rFonts w:ascii="Arial" w:hAnsi="Arial" w:cs="Arial"/>
          <w:b/>
          <w:bCs/>
          <w:color w:val="000000" w:themeColor="text1"/>
          <w:sz w:val="22"/>
          <w:szCs w:val="22"/>
          <w:shd w:val="clear" w:color="auto" w:fill="FFFFFF"/>
        </w:rPr>
        <w:t xml:space="preserve"> </w:t>
      </w:r>
      <w:r w:rsidR="00096AFB" w:rsidRPr="00982FE7">
        <w:rPr>
          <w:rFonts w:ascii="Arial" w:hAnsi="Arial" w:cs="Arial"/>
          <w:b/>
          <w:bCs/>
          <w:color w:val="000000" w:themeColor="text1"/>
          <w:sz w:val="22"/>
          <w:szCs w:val="22"/>
          <w:shd w:val="clear" w:color="auto" w:fill="FFFFFF"/>
        </w:rPr>
        <w:t>1: SDG3 G</w:t>
      </w:r>
      <w:r w:rsidR="00291F7A" w:rsidRPr="00982FE7">
        <w:rPr>
          <w:rFonts w:ascii="Arial" w:hAnsi="Arial" w:cs="Arial"/>
          <w:b/>
          <w:bCs/>
          <w:color w:val="000000" w:themeColor="text1"/>
          <w:sz w:val="22"/>
          <w:szCs w:val="22"/>
          <w:shd w:val="clear" w:color="auto" w:fill="FFFFFF"/>
        </w:rPr>
        <w:t>ood health and wellbei</w:t>
      </w:r>
      <w:r w:rsidR="00096AFB" w:rsidRPr="00982FE7">
        <w:rPr>
          <w:rFonts w:ascii="Arial" w:hAnsi="Arial" w:cs="Arial"/>
          <w:b/>
          <w:bCs/>
          <w:color w:val="000000" w:themeColor="text1"/>
          <w:sz w:val="22"/>
          <w:szCs w:val="22"/>
          <w:shd w:val="clear" w:color="auto" w:fill="FFFFFF"/>
        </w:rPr>
        <w:t>ng</w:t>
      </w:r>
      <w:bookmarkEnd w:id="3"/>
      <w:r w:rsidR="00096AFB" w:rsidRPr="00982FE7">
        <w:rPr>
          <w:rFonts w:ascii="Arial" w:hAnsi="Arial" w:cs="Arial"/>
          <w:b/>
          <w:bCs/>
          <w:color w:val="000000" w:themeColor="text1"/>
          <w:sz w:val="22"/>
          <w:szCs w:val="22"/>
          <w:shd w:val="clear" w:color="auto" w:fill="FFFFFF"/>
        </w:rPr>
        <w:t xml:space="preserve"> </w:t>
      </w:r>
      <w:bookmarkStart w:id="4" w:name="_Toc213260789"/>
    </w:p>
    <w:p w14:paraId="368DC6FF" w14:textId="77777777" w:rsidR="0055347F" w:rsidRDefault="0055347F" w:rsidP="0055347F">
      <w:pPr>
        <w:spacing w:line="360" w:lineRule="auto"/>
        <w:jc w:val="both"/>
        <w:rPr>
          <w:rFonts w:ascii="Arial" w:hAnsi="Arial" w:cs="Arial"/>
          <w:b/>
          <w:bCs/>
          <w:color w:val="000000" w:themeColor="text1"/>
          <w:sz w:val="22"/>
          <w:szCs w:val="22"/>
          <w:shd w:val="clear" w:color="auto" w:fill="FFFFFF"/>
        </w:rPr>
      </w:pPr>
    </w:p>
    <w:p w14:paraId="508E4FD6" w14:textId="5647C4AF" w:rsidR="00697466" w:rsidRPr="0055347F" w:rsidRDefault="003676D7" w:rsidP="0055347F">
      <w:pPr>
        <w:spacing w:line="360" w:lineRule="auto"/>
        <w:jc w:val="both"/>
        <w:rPr>
          <w:rFonts w:ascii="Arial" w:hAnsi="Arial" w:cs="Arial"/>
          <w:b/>
          <w:bCs/>
          <w:color w:val="000000" w:themeColor="text1"/>
          <w:sz w:val="22"/>
          <w:szCs w:val="22"/>
          <w:shd w:val="clear" w:color="auto" w:fill="FFFFFF"/>
        </w:rPr>
      </w:pPr>
      <w:r w:rsidRPr="003676D7">
        <w:rPr>
          <w:rFonts w:ascii="Arial" w:hAnsi="Arial" w:cs="Arial"/>
          <w:sz w:val="22"/>
          <w:szCs w:val="22"/>
        </w:rPr>
        <w:t xml:space="preserve">Sustainable Development Goal 3 (SDG 3) focuses on ensuring healthy lives and promoting well-being across all age groups. Part of the United Nations' Agenda for Sustainable Development, SDG 3 includes 13 specific targets. These targets aim to reduce maternal mortality, fight major diseases such as AIDS, tuberculosis, and malaria, and expand universal health coverage (GOV.UK, 2019). The goal also emphasises the importance of improved health financing, </w:t>
      </w:r>
      <w:r w:rsidR="00CD19A9">
        <w:rPr>
          <w:rFonts w:ascii="Arial" w:hAnsi="Arial" w:cs="Arial"/>
          <w:sz w:val="22"/>
          <w:szCs w:val="22"/>
        </w:rPr>
        <w:t>develop</w:t>
      </w:r>
      <w:r w:rsidR="00CD19A9" w:rsidRPr="003676D7">
        <w:rPr>
          <w:rFonts w:ascii="Arial" w:hAnsi="Arial" w:cs="Arial"/>
          <w:sz w:val="22"/>
          <w:szCs w:val="22"/>
        </w:rPr>
        <w:t>ing recruitment and training of healthcare workers, enhancing mental health services, road safety, reproductive health access, childhood immunisations, reducing substance abuse, and minimising</w:t>
      </w:r>
      <w:r w:rsidRPr="003676D7">
        <w:rPr>
          <w:rFonts w:ascii="Arial" w:hAnsi="Arial" w:cs="Arial"/>
          <w:sz w:val="22"/>
          <w:szCs w:val="22"/>
        </w:rPr>
        <w:t xml:space="preserve"> health risks from pollution. Additionally, SDG 3 advocates increased research support, especially in developing nations, and </w:t>
      </w:r>
      <w:r w:rsidR="00697466">
        <w:rPr>
          <w:rFonts w:ascii="Arial" w:hAnsi="Arial" w:cs="Arial"/>
          <w:sz w:val="22"/>
          <w:szCs w:val="22"/>
        </w:rPr>
        <w:t>the</w:t>
      </w:r>
      <w:r w:rsidRPr="003676D7">
        <w:rPr>
          <w:rFonts w:ascii="Arial" w:hAnsi="Arial" w:cs="Arial"/>
          <w:sz w:val="22"/>
          <w:szCs w:val="22"/>
        </w:rPr>
        <w:t xml:space="preserve"> mobilis</w:t>
      </w:r>
      <w:r w:rsidR="00697466">
        <w:rPr>
          <w:rFonts w:ascii="Arial" w:hAnsi="Arial" w:cs="Arial"/>
          <w:sz w:val="22"/>
          <w:szCs w:val="22"/>
        </w:rPr>
        <w:t>ation of</w:t>
      </w:r>
      <w:r w:rsidRPr="003676D7">
        <w:rPr>
          <w:rFonts w:ascii="Arial" w:hAnsi="Arial" w:cs="Arial"/>
          <w:sz w:val="22"/>
          <w:szCs w:val="22"/>
        </w:rPr>
        <w:t xml:space="preserve"> financial resources to bolster health systems (The Sustainable Development Report, 2024).</w:t>
      </w:r>
    </w:p>
    <w:p w14:paraId="4D586A88" w14:textId="4436FB86" w:rsidR="00CE6F27" w:rsidRDefault="00FC3318" w:rsidP="00427566">
      <w:pPr>
        <w:pStyle w:val="Heading1"/>
        <w:rPr>
          <w:rFonts w:ascii="Arial" w:hAnsi="Arial" w:cs="Arial"/>
          <w:b/>
          <w:bCs/>
          <w:color w:val="000000" w:themeColor="text1"/>
          <w:sz w:val="22"/>
          <w:szCs w:val="22"/>
        </w:rPr>
      </w:pPr>
      <w:r w:rsidRPr="00982FE7">
        <w:rPr>
          <w:rFonts w:ascii="Arial" w:hAnsi="Arial" w:cs="Arial"/>
          <w:b/>
          <w:bCs/>
          <w:color w:val="000000" w:themeColor="text1"/>
          <w:sz w:val="22"/>
          <w:szCs w:val="22"/>
        </w:rPr>
        <w:t>Glob</w:t>
      </w:r>
      <w:r w:rsidR="009906F3" w:rsidRPr="00982FE7">
        <w:rPr>
          <w:rFonts w:ascii="Arial" w:hAnsi="Arial" w:cs="Arial"/>
          <w:b/>
          <w:bCs/>
          <w:color w:val="000000" w:themeColor="text1"/>
          <w:sz w:val="22"/>
          <w:szCs w:val="22"/>
        </w:rPr>
        <w:t>al</w:t>
      </w:r>
      <w:r w:rsidRPr="00982FE7">
        <w:rPr>
          <w:rFonts w:ascii="Arial" w:hAnsi="Arial" w:cs="Arial"/>
          <w:b/>
          <w:bCs/>
          <w:color w:val="000000" w:themeColor="text1"/>
          <w:sz w:val="22"/>
          <w:szCs w:val="22"/>
        </w:rPr>
        <w:t xml:space="preserve"> </w:t>
      </w:r>
      <w:r w:rsidR="00D374C3" w:rsidRPr="00982FE7">
        <w:rPr>
          <w:rFonts w:ascii="Arial" w:hAnsi="Arial" w:cs="Arial"/>
          <w:b/>
          <w:bCs/>
          <w:color w:val="000000" w:themeColor="text1"/>
          <w:sz w:val="22"/>
          <w:szCs w:val="22"/>
        </w:rPr>
        <w:t>P</w:t>
      </w:r>
      <w:r w:rsidRPr="00982FE7">
        <w:rPr>
          <w:rFonts w:ascii="Arial" w:hAnsi="Arial" w:cs="Arial"/>
          <w:b/>
          <w:bCs/>
          <w:color w:val="000000" w:themeColor="text1"/>
          <w:sz w:val="22"/>
          <w:szCs w:val="22"/>
        </w:rPr>
        <w:t xml:space="preserve">olicies and </w:t>
      </w:r>
      <w:r w:rsidR="002A048A" w:rsidRPr="00982FE7">
        <w:rPr>
          <w:rFonts w:ascii="Arial" w:hAnsi="Arial" w:cs="Arial"/>
          <w:b/>
          <w:bCs/>
          <w:color w:val="000000" w:themeColor="text1"/>
          <w:sz w:val="22"/>
          <w:szCs w:val="22"/>
        </w:rPr>
        <w:t>I</w:t>
      </w:r>
      <w:r w:rsidRPr="00982FE7">
        <w:rPr>
          <w:rFonts w:ascii="Arial" w:hAnsi="Arial" w:cs="Arial"/>
          <w:b/>
          <w:bCs/>
          <w:color w:val="000000" w:themeColor="text1"/>
          <w:sz w:val="22"/>
          <w:szCs w:val="22"/>
        </w:rPr>
        <w:t>nitiatives</w:t>
      </w:r>
      <w:bookmarkEnd w:id="4"/>
    </w:p>
    <w:p w14:paraId="261E43FB" w14:textId="77777777" w:rsidR="004A53AD" w:rsidRPr="004A53AD" w:rsidRDefault="004A53AD" w:rsidP="004A53AD"/>
    <w:p w14:paraId="79F26358" w14:textId="72CE83BF" w:rsidR="00AB364E" w:rsidRDefault="00AB364E" w:rsidP="00AB364E">
      <w:pPr>
        <w:spacing w:line="360" w:lineRule="auto"/>
        <w:jc w:val="both"/>
        <w:rPr>
          <w:rFonts w:ascii="Arial" w:hAnsi="Arial" w:cs="Arial"/>
          <w:kern w:val="0"/>
          <w:sz w:val="22"/>
          <w:szCs w:val="22"/>
          <w14:ligatures w14:val="none"/>
        </w:rPr>
      </w:pPr>
      <w:r w:rsidRPr="005E2EC3">
        <w:rPr>
          <w:rFonts w:ascii="Arial" w:hAnsi="Arial" w:cs="Arial"/>
          <w:kern w:val="0"/>
          <w:sz w:val="22"/>
          <w:szCs w:val="22"/>
          <w14:ligatures w14:val="none"/>
        </w:rPr>
        <w:t>SDG 3 promotes health and wellbeing through policies and initiatives that reduce health disparities and support marginalised communities. Efforts include encouraging international cooperation and aiming for universal health coverage</w:t>
      </w:r>
      <w:r w:rsidR="00045B23" w:rsidRPr="00045B23">
        <w:rPr>
          <w:rFonts w:ascii="Arial" w:hAnsi="Arial" w:cs="Arial"/>
          <w:kern w:val="0"/>
          <w:sz w:val="22"/>
          <w:szCs w:val="22"/>
          <w14:ligatures w14:val="none"/>
        </w:rPr>
        <w:t xml:space="preserve"> </w:t>
      </w:r>
      <w:r w:rsidR="00045B23">
        <w:rPr>
          <w:rFonts w:ascii="Arial" w:hAnsi="Arial" w:cs="Arial"/>
          <w:kern w:val="0"/>
          <w:sz w:val="22"/>
          <w:szCs w:val="22"/>
          <w14:ligatures w14:val="none"/>
        </w:rPr>
        <w:t xml:space="preserve">(Frieden </w:t>
      </w:r>
      <w:r w:rsidR="00045B23">
        <w:rPr>
          <w:rFonts w:ascii="Arial" w:hAnsi="Arial" w:cs="Arial"/>
          <w:i/>
          <w:iCs/>
          <w:kern w:val="0"/>
          <w:sz w:val="22"/>
          <w:szCs w:val="22"/>
          <w14:ligatures w14:val="none"/>
        </w:rPr>
        <w:t>et</w:t>
      </w:r>
      <w:r w:rsidR="00045B23" w:rsidRPr="0033649E">
        <w:rPr>
          <w:rFonts w:ascii="Arial" w:hAnsi="Arial" w:cs="Arial"/>
          <w:i/>
          <w:iCs/>
          <w:sz w:val="22"/>
          <w:szCs w:val="22"/>
        </w:rPr>
        <w:t xml:space="preserve"> al.</w:t>
      </w:r>
      <w:r w:rsidR="00045B23" w:rsidRPr="0033649E">
        <w:rPr>
          <w:rFonts w:ascii="Arial" w:hAnsi="Arial" w:cs="Arial"/>
          <w:sz w:val="22"/>
          <w:szCs w:val="22"/>
        </w:rPr>
        <w:t>, 2020</w:t>
      </w:r>
      <w:r w:rsidR="00045B23">
        <w:rPr>
          <w:rFonts w:ascii="Arial" w:hAnsi="Arial" w:cs="Arial"/>
          <w:sz w:val="22"/>
          <w:szCs w:val="22"/>
        </w:rPr>
        <w:t>)</w:t>
      </w:r>
      <w:r w:rsidRPr="005E2EC3">
        <w:rPr>
          <w:rFonts w:ascii="Arial" w:hAnsi="Arial" w:cs="Arial"/>
          <w:kern w:val="0"/>
          <w:sz w:val="22"/>
          <w:szCs w:val="22"/>
          <w14:ligatures w14:val="none"/>
        </w:rPr>
        <w:t>. Organisations like Médecins Sans Frontières provide essential medical care in crisis areas, despite facing risks such as violence and kidnapping, which can hinder their work. In 201</w:t>
      </w:r>
      <w:r w:rsidR="00411A39">
        <w:rPr>
          <w:rFonts w:ascii="Arial" w:hAnsi="Arial" w:cs="Arial"/>
          <w:kern w:val="0"/>
          <w:sz w:val="22"/>
          <w:szCs w:val="22"/>
          <w14:ligatures w14:val="none"/>
        </w:rPr>
        <w:t>5</w:t>
      </w:r>
      <w:r w:rsidRPr="005E2EC3">
        <w:rPr>
          <w:rFonts w:ascii="Arial" w:hAnsi="Arial" w:cs="Arial"/>
          <w:kern w:val="0"/>
          <w:sz w:val="22"/>
          <w:szCs w:val="22"/>
          <w14:ligatures w14:val="none"/>
        </w:rPr>
        <w:t>, their trauma centre in Kunduz, Afghanistan, was bombed</w:t>
      </w:r>
      <w:r w:rsidR="00B84D8B">
        <w:rPr>
          <w:rFonts w:ascii="Arial" w:hAnsi="Arial" w:cs="Arial"/>
          <w:kern w:val="0"/>
          <w:sz w:val="22"/>
          <w:szCs w:val="22"/>
          <w14:ligatures w14:val="none"/>
        </w:rPr>
        <w:t xml:space="preserve"> by </w:t>
      </w:r>
      <w:r w:rsidR="00EF1E58">
        <w:rPr>
          <w:rFonts w:ascii="Arial" w:hAnsi="Arial" w:cs="Arial"/>
          <w:kern w:val="0"/>
          <w:sz w:val="22"/>
          <w:szCs w:val="22"/>
          <w14:ligatures w14:val="none"/>
        </w:rPr>
        <w:t>the USA</w:t>
      </w:r>
      <w:r w:rsidRPr="005E2EC3">
        <w:rPr>
          <w:rFonts w:ascii="Arial" w:hAnsi="Arial" w:cs="Arial"/>
          <w:kern w:val="0"/>
          <w:sz w:val="22"/>
          <w:szCs w:val="22"/>
          <w14:ligatures w14:val="none"/>
        </w:rPr>
        <w:t xml:space="preserve">, </w:t>
      </w:r>
      <w:r w:rsidR="000B4B14">
        <w:rPr>
          <w:rFonts w:ascii="Arial" w:hAnsi="Arial" w:cs="Arial"/>
          <w:kern w:val="0"/>
          <w:sz w:val="22"/>
          <w:szCs w:val="22"/>
          <w14:ligatures w14:val="none"/>
        </w:rPr>
        <w:t>“</w:t>
      </w:r>
      <w:r w:rsidR="00715401">
        <w:rPr>
          <w:rFonts w:ascii="Arial" w:hAnsi="Arial" w:cs="Arial"/>
          <w:kern w:val="0"/>
          <w:sz w:val="22"/>
          <w:szCs w:val="22"/>
          <w14:ligatures w14:val="none"/>
        </w:rPr>
        <w:t>t</w:t>
      </w:r>
      <w:r w:rsidR="000B4B14" w:rsidRPr="000B4B14">
        <w:rPr>
          <w:rFonts w:ascii="Arial" w:hAnsi="Arial" w:cs="Arial"/>
          <w:kern w:val="0"/>
          <w:sz w:val="22"/>
          <w:szCs w:val="22"/>
          <w14:ligatures w14:val="none"/>
        </w:rPr>
        <w:t>welve staff members and at least 10 patients, including three children, were killed; 37 people were injured</w:t>
      </w:r>
      <w:r w:rsidR="00715401">
        <w:rPr>
          <w:rFonts w:ascii="Arial" w:hAnsi="Arial" w:cs="Arial"/>
          <w:kern w:val="0"/>
          <w:sz w:val="22"/>
          <w:szCs w:val="22"/>
          <w14:ligatures w14:val="none"/>
        </w:rPr>
        <w:t>,</w:t>
      </w:r>
      <w:r w:rsidR="000B4B14" w:rsidRPr="000B4B14">
        <w:rPr>
          <w:rFonts w:ascii="Arial" w:hAnsi="Arial" w:cs="Arial"/>
          <w:kern w:val="0"/>
          <w:sz w:val="22"/>
          <w:szCs w:val="22"/>
          <w14:ligatures w14:val="none"/>
        </w:rPr>
        <w:t xml:space="preserve"> including 19 staff members</w:t>
      </w:r>
      <w:r w:rsidR="000B4B14">
        <w:rPr>
          <w:rFonts w:ascii="Arial" w:hAnsi="Arial" w:cs="Arial"/>
          <w:kern w:val="0"/>
          <w:sz w:val="22"/>
          <w:szCs w:val="22"/>
          <w14:ligatures w14:val="none"/>
        </w:rPr>
        <w:t>”</w:t>
      </w:r>
      <w:r w:rsidR="00DE0E34" w:rsidRPr="00DE0E34">
        <w:rPr>
          <w:rFonts w:ascii="Arial" w:hAnsi="Arial" w:cs="Arial"/>
          <w:kern w:val="0"/>
          <w:sz w:val="22"/>
          <w:szCs w:val="22"/>
          <w14:ligatures w14:val="none"/>
        </w:rPr>
        <w:t>(Médecins Sans Frontières, 2024</w:t>
      </w:r>
      <w:r w:rsidR="004F3A27">
        <w:rPr>
          <w:rFonts w:ascii="Arial" w:hAnsi="Arial" w:cs="Arial"/>
          <w:kern w:val="0"/>
          <w:sz w:val="22"/>
          <w:szCs w:val="22"/>
          <w14:ligatures w14:val="none"/>
        </w:rPr>
        <w:t>;</w:t>
      </w:r>
      <w:r w:rsidR="00FD15FD" w:rsidRPr="00FD15FD">
        <w:rPr>
          <w:noProof/>
        </w:rPr>
        <w:t xml:space="preserve"> </w:t>
      </w:r>
      <w:r w:rsidR="00FD15FD" w:rsidRPr="00FD15FD">
        <w:rPr>
          <w:rFonts w:ascii="Arial" w:hAnsi="Arial" w:cs="Arial"/>
          <w:kern w:val="0"/>
          <w:sz w:val="22"/>
          <w:szCs w:val="22"/>
          <w14:ligatures w14:val="none"/>
        </w:rPr>
        <w:t>Médecins Sans Frontières, 2015)</w:t>
      </w:r>
      <w:r w:rsidRPr="005E2EC3">
        <w:rPr>
          <w:rFonts w:ascii="Arial" w:hAnsi="Arial" w:cs="Arial"/>
          <w:kern w:val="0"/>
          <w:sz w:val="22"/>
          <w:szCs w:val="22"/>
          <w14:ligatures w14:val="none"/>
        </w:rPr>
        <w:t>. During the Ebola outbreak in West Africa, some MSF personnel contracted the virus despite precautions. Constant exposure to trauma and death can cause compassion fatigue, burnout, and PTSD, with MSF reporting high mental health issues among staff. Transporting supplies to remote or unstable regions is difficult due to poor infrastructure, limited transportation, and supply chain issues. Securing enough funding is crucial, as economic downturns or political changes can reduce donor support</w:t>
      </w:r>
      <w:r w:rsidR="000A54BC">
        <w:rPr>
          <w:rFonts w:ascii="Arial" w:hAnsi="Arial" w:cs="Arial"/>
          <w:kern w:val="0"/>
          <w:sz w:val="22"/>
          <w:szCs w:val="22"/>
          <w14:ligatures w14:val="none"/>
        </w:rPr>
        <w:t xml:space="preserve"> </w:t>
      </w:r>
      <w:r w:rsidR="00A9305A" w:rsidRPr="00A9305A">
        <w:rPr>
          <w:rFonts w:ascii="Arial" w:hAnsi="Arial" w:cs="Arial"/>
          <w:kern w:val="0"/>
          <w:sz w:val="22"/>
          <w:szCs w:val="22"/>
          <w14:ligatures w14:val="none"/>
        </w:rPr>
        <w:t>(Médecins Sans Frontières, 2014</w:t>
      </w:r>
      <w:r w:rsidR="00E75F4F">
        <w:rPr>
          <w:rFonts w:ascii="Arial" w:hAnsi="Arial" w:cs="Arial"/>
          <w:kern w:val="0"/>
          <w:sz w:val="22"/>
          <w:szCs w:val="22"/>
          <w14:ligatures w14:val="none"/>
        </w:rPr>
        <w:t>;</w:t>
      </w:r>
      <w:r w:rsidR="00E75F4F" w:rsidRPr="00E75F4F">
        <w:rPr>
          <w:rFonts w:ascii="-webkit-standard" w:hAnsi="-webkit-standard"/>
          <w:color w:val="000000"/>
          <w:sz w:val="27"/>
          <w:szCs w:val="27"/>
        </w:rPr>
        <w:t xml:space="preserve"> </w:t>
      </w:r>
      <w:r w:rsidR="00E75F4F" w:rsidRPr="00CE7153">
        <w:rPr>
          <w:rFonts w:ascii="Arial" w:hAnsi="Arial" w:cs="Arial"/>
          <w:color w:val="000000"/>
          <w:sz w:val="22"/>
          <w:szCs w:val="22"/>
        </w:rPr>
        <w:t>Houldey, 2019</w:t>
      </w:r>
      <w:r w:rsidR="00A9305A" w:rsidRPr="00CE7153">
        <w:rPr>
          <w:rFonts w:ascii="Arial" w:hAnsi="Arial" w:cs="Arial"/>
          <w:kern w:val="0"/>
          <w:sz w:val="22"/>
          <w:szCs w:val="22"/>
          <w14:ligatures w14:val="none"/>
        </w:rPr>
        <w:t>)</w:t>
      </w:r>
      <w:r w:rsidRPr="00CE7153">
        <w:rPr>
          <w:rFonts w:ascii="Arial" w:hAnsi="Arial" w:cs="Arial"/>
          <w:kern w:val="0"/>
          <w:sz w:val="22"/>
          <w:szCs w:val="22"/>
          <w14:ligatures w14:val="none"/>
        </w:rPr>
        <w:t>.</w:t>
      </w:r>
      <w:r w:rsidRPr="005E2EC3">
        <w:rPr>
          <w:rFonts w:ascii="Arial" w:hAnsi="Arial" w:cs="Arial"/>
          <w:kern w:val="0"/>
          <w:sz w:val="22"/>
          <w:szCs w:val="22"/>
          <w14:ligatures w14:val="none"/>
        </w:rPr>
        <w:t xml:space="preserve"> </w:t>
      </w:r>
    </w:p>
    <w:p w14:paraId="276AAB35" w14:textId="77777777" w:rsidR="00126BA4" w:rsidRDefault="00126BA4" w:rsidP="00AB364E">
      <w:pPr>
        <w:spacing w:line="360" w:lineRule="auto"/>
        <w:jc w:val="both"/>
        <w:rPr>
          <w:rFonts w:ascii="Arial" w:hAnsi="Arial" w:cs="Arial"/>
          <w:kern w:val="0"/>
          <w:sz w:val="22"/>
          <w:szCs w:val="22"/>
          <w14:ligatures w14:val="none"/>
        </w:rPr>
      </w:pPr>
    </w:p>
    <w:p w14:paraId="5560B5E8" w14:textId="1F85B0AA" w:rsidR="0027106F" w:rsidRDefault="004E7BA7" w:rsidP="0027106F">
      <w:pPr>
        <w:spacing w:line="360" w:lineRule="auto"/>
        <w:jc w:val="both"/>
        <w:rPr>
          <w:rFonts w:ascii="Arial" w:hAnsi="Arial" w:cs="Arial"/>
          <w:kern w:val="0"/>
          <w:sz w:val="22"/>
          <w:szCs w:val="22"/>
          <w14:ligatures w14:val="none"/>
        </w:rPr>
      </w:pPr>
      <w:r w:rsidRPr="005E2EC3">
        <w:rPr>
          <w:rFonts w:ascii="Arial" w:hAnsi="Arial" w:cs="Arial"/>
          <w:kern w:val="0"/>
          <w:sz w:val="22"/>
          <w:szCs w:val="22"/>
          <w14:ligatures w14:val="none"/>
        </w:rPr>
        <w:t xml:space="preserve">Advocacy for access to care and addressing </w:t>
      </w:r>
      <w:r>
        <w:rPr>
          <w:rFonts w:ascii="Arial" w:hAnsi="Arial" w:cs="Arial"/>
          <w:kern w:val="0"/>
          <w:sz w:val="22"/>
          <w:szCs w:val="22"/>
          <w14:ligatures w14:val="none"/>
        </w:rPr>
        <w:t xml:space="preserve">the </w:t>
      </w:r>
      <w:r w:rsidRPr="005E2EC3">
        <w:rPr>
          <w:rFonts w:ascii="Arial" w:hAnsi="Arial" w:cs="Arial"/>
          <w:kern w:val="0"/>
          <w:sz w:val="22"/>
          <w:szCs w:val="22"/>
          <w14:ligatures w14:val="none"/>
        </w:rPr>
        <w:t xml:space="preserve">root causes of crises often face criticism from various stakeholders. Since </w:t>
      </w:r>
      <w:r>
        <w:rPr>
          <w:rFonts w:ascii="Arial" w:hAnsi="Arial" w:cs="Arial"/>
          <w:kern w:val="0"/>
          <w:sz w:val="22"/>
          <w:szCs w:val="22"/>
          <w14:ligatures w14:val="none"/>
        </w:rPr>
        <w:t xml:space="preserve">its </w:t>
      </w:r>
      <w:r w:rsidRPr="005E2EC3">
        <w:rPr>
          <w:rFonts w:ascii="Arial" w:hAnsi="Arial" w:cs="Arial"/>
          <w:kern w:val="0"/>
          <w:sz w:val="22"/>
          <w:szCs w:val="22"/>
          <w14:ligatures w14:val="none"/>
        </w:rPr>
        <w:t xml:space="preserve">founding in 1971, MSF has achieved many successes, including rapid, lifesaving aid during crises </w:t>
      </w:r>
      <w:r>
        <w:rPr>
          <w:rFonts w:ascii="Arial" w:hAnsi="Arial" w:cs="Arial"/>
          <w:kern w:val="0"/>
          <w:sz w:val="22"/>
          <w:szCs w:val="22"/>
          <w14:ligatures w14:val="none"/>
        </w:rPr>
        <w:t>such as</w:t>
      </w:r>
      <w:r w:rsidRPr="005E2EC3">
        <w:rPr>
          <w:rFonts w:ascii="Arial" w:hAnsi="Arial" w:cs="Arial"/>
          <w:kern w:val="0"/>
          <w:sz w:val="22"/>
          <w:szCs w:val="22"/>
          <w14:ligatures w14:val="none"/>
        </w:rPr>
        <w:t xml:space="preserve"> the 2010 Haiti earthquake and disease outbreaks</w:t>
      </w:r>
      <w:r w:rsidR="00D64AEE" w:rsidRPr="00D64AEE">
        <w:rPr>
          <w:rFonts w:ascii="-webkit-standard" w:hAnsi="-webkit-standard"/>
          <w:color w:val="000000"/>
          <w:sz w:val="27"/>
          <w:szCs w:val="27"/>
        </w:rPr>
        <w:t xml:space="preserve"> </w:t>
      </w:r>
      <w:r w:rsidR="00D64AEE" w:rsidRPr="00D64AEE">
        <w:rPr>
          <w:rFonts w:ascii="Arial" w:hAnsi="Arial" w:cs="Arial"/>
          <w:kern w:val="0"/>
          <w:sz w:val="22"/>
          <w:szCs w:val="22"/>
          <w14:ligatures w14:val="none"/>
        </w:rPr>
        <w:t>(Benatar, 2014</w:t>
      </w:r>
      <w:r w:rsidR="00557165">
        <w:rPr>
          <w:rFonts w:ascii="Arial" w:hAnsi="Arial" w:cs="Arial"/>
          <w:kern w:val="0"/>
          <w:sz w:val="22"/>
          <w:szCs w:val="22"/>
          <w14:ligatures w14:val="none"/>
        </w:rPr>
        <w:t>;</w:t>
      </w:r>
      <w:r w:rsidR="00557165">
        <w:rPr>
          <w:noProof/>
        </w:rPr>
        <w:t xml:space="preserve"> </w:t>
      </w:r>
      <w:r w:rsidR="00557165" w:rsidRPr="00557165">
        <w:rPr>
          <w:rFonts w:ascii="Arial" w:hAnsi="Arial" w:cs="Arial"/>
          <w:kern w:val="0"/>
          <w:sz w:val="22"/>
          <w:szCs w:val="22"/>
          <w14:ligatures w14:val="none"/>
        </w:rPr>
        <w:t>Médecins Sans Frontières, 2010)</w:t>
      </w:r>
      <w:r w:rsidRPr="005E2EC3">
        <w:rPr>
          <w:rFonts w:ascii="Arial" w:hAnsi="Arial" w:cs="Arial"/>
          <w:kern w:val="0"/>
          <w:sz w:val="22"/>
          <w:szCs w:val="22"/>
          <w14:ligatures w14:val="none"/>
        </w:rPr>
        <w:t xml:space="preserve">. They pioneered mobile clinics and modular hospitals in conflict and disaster zones. MSF has raised global awareness </w:t>
      </w:r>
      <w:r>
        <w:rPr>
          <w:rFonts w:ascii="Arial" w:hAnsi="Arial" w:cs="Arial"/>
          <w:kern w:val="0"/>
          <w:sz w:val="22"/>
          <w:szCs w:val="22"/>
          <w14:ligatures w14:val="none"/>
        </w:rPr>
        <w:t>of</w:t>
      </w:r>
      <w:r w:rsidRPr="005E2EC3">
        <w:rPr>
          <w:rFonts w:ascii="Arial" w:hAnsi="Arial" w:cs="Arial"/>
          <w:kern w:val="0"/>
          <w:sz w:val="22"/>
          <w:szCs w:val="22"/>
          <w14:ligatures w14:val="none"/>
        </w:rPr>
        <w:t xml:space="preserve"> underreported crises, </w:t>
      </w:r>
      <w:r>
        <w:rPr>
          <w:rFonts w:ascii="Arial" w:hAnsi="Arial" w:cs="Arial"/>
          <w:kern w:val="0"/>
          <w:sz w:val="22"/>
          <w:szCs w:val="22"/>
          <w14:ligatures w14:val="none"/>
        </w:rPr>
        <w:t>access</w:t>
      </w:r>
      <w:r w:rsidRPr="005E2EC3">
        <w:rPr>
          <w:rFonts w:ascii="Arial" w:hAnsi="Arial" w:cs="Arial"/>
          <w:kern w:val="0"/>
          <w:sz w:val="22"/>
          <w:szCs w:val="22"/>
          <w14:ligatures w14:val="none"/>
        </w:rPr>
        <w:t xml:space="preserve"> </w:t>
      </w:r>
      <w:r>
        <w:rPr>
          <w:rFonts w:ascii="Arial" w:hAnsi="Arial" w:cs="Arial"/>
          <w:kern w:val="0"/>
          <w:sz w:val="22"/>
          <w:szCs w:val="22"/>
          <w14:ligatures w14:val="none"/>
        </w:rPr>
        <w:t>to medicine</w:t>
      </w:r>
      <w:r w:rsidRPr="005E2EC3">
        <w:rPr>
          <w:rFonts w:ascii="Arial" w:hAnsi="Arial" w:cs="Arial"/>
          <w:kern w:val="0"/>
          <w:sz w:val="22"/>
          <w:szCs w:val="22"/>
          <w14:ligatures w14:val="none"/>
        </w:rPr>
        <w:t xml:space="preserve"> issues, and displaced populations, often pressuring governments and the UN to act. They successfully carried out mass vaccination campaigns </w:t>
      </w:r>
      <w:r w:rsidRPr="005E2EC3">
        <w:rPr>
          <w:rFonts w:ascii="Arial" w:hAnsi="Arial" w:cs="Arial"/>
          <w:kern w:val="0"/>
          <w:sz w:val="22"/>
          <w:szCs w:val="22"/>
          <w14:ligatures w14:val="none"/>
        </w:rPr>
        <w:lastRenderedPageBreak/>
        <w:t>against diseases such as measles and meningitis, saving many lives. Their neutrality allows them to operate in areas others cannot reach, helping marginalised and conflict-affected populations</w:t>
      </w:r>
      <w:r w:rsidR="004F49D5" w:rsidRPr="004F49D5">
        <w:rPr>
          <w:rFonts w:ascii="Arial" w:hAnsi="Arial" w:cs="Arial"/>
          <w:kern w:val="0"/>
          <w:sz w:val="22"/>
          <w:szCs w:val="22"/>
          <w14:ligatures w14:val="none"/>
        </w:rPr>
        <w:t>(Médecins Sans Frontières, 2023</w:t>
      </w:r>
      <w:r w:rsidR="00CE3E35">
        <w:rPr>
          <w:rFonts w:ascii="Arial" w:hAnsi="Arial" w:cs="Arial"/>
          <w:kern w:val="0"/>
          <w:sz w:val="22"/>
          <w:szCs w:val="22"/>
          <w14:ligatures w14:val="none"/>
        </w:rPr>
        <w:t>;</w:t>
      </w:r>
      <w:r w:rsidR="00CE3E35" w:rsidRPr="00CE3E35">
        <w:rPr>
          <w:rFonts w:ascii="Arial" w:hAnsi="Arial" w:cs="Arial"/>
          <w:kern w:val="0"/>
          <w:sz w:val="22"/>
          <w:szCs w:val="22"/>
          <w14:ligatures w14:val="none"/>
        </w:rPr>
        <w:t xml:space="preserve"> </w:t>
      </w:r>
      <w:r w:rsidR="00CE3E35" w:rsidRPr="001A34D2">
        <w:rPr>
          <w:rFonts w:ascii="Arial" w:hAnsi="Arial" w:cs="Arial"/>
          <w:kern w:val="0"/>
          <w:sz w:val="22"/>
          <w:szCs w:val="22"/>
          <w14:ligatures w14:val="none"/>
        </w:rPr>
        <w:t>Pottie </w:t>
      </w:r>
      <w:r w:rsidR="00CE3E35" w:rsidRPr="001A34D2">
        <w:rPr>
          <w:rFonts w:ascii="Arial" w:hAnsi="Arial" w:cs="Arial"/>
          <w:i/>
          <w:iCs/>
          <w:kern w:val="0"/>
          <w:sz w:val="22"/>
          <w:szCs w:val="22"/>
          <w14:ligatures w14:val="none"/>
        </w:rPr>
        <w:t>et al.</w:t>
      </w:r>
      <w:r w:rsidR="00CE3E35" w:rsidRPr="001A34D2">
        <w:rPr>
          <w:rFonts w:ascii="Arial" w:hAnsi="Arial" w:cs="Arial"/>
          <w:kern w:val="0"/>
          <w:sz w:val="22"/>
          <w:szCs w:val="22"/>
          <w14:ligatures w14:val="none"/>
        </w:rPr>
        <w:t>, 2015</w:t>
      </w:r>
      <w:r w:rsidR="004F49D5" w:rsidRPr="004F49D5">
        <w:rPr>
          <w:rFonts w:ascii="Arial" w:hAnsi="Arial" w:cs="Arial"/>
          <w:kern w:val="0"/>
          <w:sz w:val="22"/>
          <w:szCs w:val="22"/>
          <w14:ligatures w14:val="none"/>
        </w:rPr>
        <w:t>)</w:t>
      </w:r>
      <w:r w:rsidRPr="005E2EC3">
        <w:rPr>
          <w:rFonts w:ascii="Arial" w:hAnsi="Arial" w:cs="Arial"/>
          <w:kern w:val="0"/>
          <w:sz w:val="22"/>
          <w:szCs w:val="22"/>
          <w14:ligatures w14:val="none"/>
        </w:rPr>
        <w:t>.</w:t>
      </w:r>
      <w:r>
        <w:rPr>
          <w:rFonts w:ascii="Arial" w:hAnsi="Arial" w:cs="Arial"/>
          <w:kern w:val="0"/>
          <w:sz w:val="22"/>
          <w:szCs w:val="22"/>
          <w14:ligatures w14:val="none"/>
        </w:rPr>
        <w:t xml:space="preserve"> </w:t>
      </w:r>
      <w:r w:rsidRPr="005E2EC3">
        <w:rPr>
          <w:rFonts w:ascii="Arial" w:hAnsi="Arial" w:cs="Arial"/>
          <w:kern w:val="0"/>
          <w:sz w:val="22"/>
          <w:szCs w:val="22"/>
          <w14:ligatures w14:val="none"/>
        </w:rPr>
        <w:t>Following events</w:t>
      </w:r>
      <w:r>
        <w:rPr>
          <w:rFonts w:ascii="Arial" w:hAnsi="Arial" w:cs="Arial"/>
          <w:kern w:val="0"/>
          <w:sz w:val="22"/>
          <w:szCs w:val="22"/>
          <w14:ligatures w14:val="none"/>
        </w:rPr>
        <w:t xml:space="preserve"> and </w:t>
      </w:r>
      <w:r>
        <w:rPr>
          <w:rFonts w:ascii="Arial" w:hAnsi="Arial" w:cs="Arial"/>
          <w:sz w:val="22"/>
          <w:szCs w:val="22"/>
        </w:rPr>
        <w:t>recommendations align</w:t>
      </w:r>
      <w:r w:rsidRPr="00FA5FF9">
        <w:rPr>
          <w:rFonts w:ascii="Arial" w:hAnsi="Arial" w:cs="Arial"/>
          <w:sz w:val="22"/>
          <w:szCs w:val="22"/>
        </w:rPr>
        <w:t xml:space="preserve">ed </w:t>
      </w:r>
      <w:r>
        <w:rPr>
          <w:rFonts w:ascii="Arial" w:hAnsi="Arial" w:cs="Arial"/>
          <w:sz w:val="22"/>
          <w:szCs w:val="22"/>
        </w:rPr>
        <w:t>with</w:t>
      </w:r>
      <w:r w:rsidRPr="00FA5FF9">
        <w:rPr>
          <w:rFonts w:ascii="Arial" w:hAnsi="Arial" w:cs="Arial"/>
          <w:sz w:val="22"/>
          <w:szCs w:val="22"/>
        </w:rPr>
        <w:t xml:space="preserve"> humanitarian best practices</w:t>
      </w:r>
      <w:r w:rsidRPr="005E2EC3">
        <w:rPr>
          <w:rFonts w:ascii="Arial" w:hAnsi="Arial" w:cs="Arial"/>
          <w:kern w:val="0"/>
          <w:sz w:val="22"/>
          <w:szCs w:val="22"/>
          <w14:ligatures w14:val="none"/>
        </w:rPr>
        <w:t>, MSF strengthened security protocols and regularly updated risk assessments and crisis procedures to adapt to new threats, especially in conflict zones. They provide thorough</w:t>
      </w:r>
      <w:r w:rsidR="00AB364E" w:rsidRPr="005E2EC3">
        <w:rPr>
          <w:rFonts w:ascii="Arial" w:hAnsi="Arial" w:cs="Arial"/>
          <w:kern w:val="0"/>
          <w:sz w:val="22"/>
          <w:szCs w:val="22"/>
          <w14:ligatures w14:val="none"/>
        </w:rPr>
        <w:t xml:space="preserve"> security and safety training for all staff and volunteers. To support staff mental health, MSF conducts routine psychological screenings, establishes peer support programs, and offers accessible mental healthcare to prevent trauma and burnout. Promoting open communication also helps reduce stigma around mental health issues</w:t>
      </w:r>
      <w:r w:rsidR="00C95116" w:rsidRPr="00C95116">
        <w:rPr>
          <w:rFonts w:ascii="Arial" w:hAnsi="Arial" w:cs="Arial"/>
          <w:kern w:val="0"/>
          <w:sz w:val="22"/>
          <w:szCs w:val="22"/>
          <w14:ligatures w14:val="none"/>
        </w:rPr>
        <w:t>(Taipale, 2016</w:t>
      </w:r>
      <w:r w:rsidR="00C95116">
        <w:rPr>
          <w:rFonts w:ascii="Arial" w:hAnsi="Arial" w:cs="Arial"/>
          <w:kern w:val="0"/>
          <w:sz w:val="22"/>
          <w:szCs w:val="22"/>
          <w14:ligatures w14:val="none"/>
        </w:rPr>
        <w:t>;</w:t>
      </w:r>
      <w:r w:rsidR="005D017C" w:rsidRPr="005D017C">
        <w:rPr>
          <w:rFonts w:ascii="-webkit-standard" w:hAnsi="-webkit-standard"/>
          <w:color w:val="000000"/>
          <w:sz w:val="27"/>
          <w:szCs w:val="27"/>
        </w:rPr>
        <w:t xml:space="preserve"> </w:t>
      </w:r>
      <w:r w:rsidR="005D017C" w:rsidRPr="005D017C">
        <w:rPr>
          <w:rFonts w:ascii="Arial" w:hAnsi="Arial" w:cs="Arial"/>
          <w:kern w:val="0"/>
          <w:sz w:val="22"/>
          <w:szCs w:val="22"/>
          <w14:ligatures w14:val="none"/>
        </w:rPr>
        <w:t>Strohmeier and Scholte, 2015)</w:t>
      </w:r>
      <w:r w:rsidR="00AB364E" w:rsidRPr="005E2EC3">
        <w:rPr>
          <w:rFonts w:ascii="Arial" w:hAnsi="Arial" w:cs="Arial"/>
          <w:kern w:val="0"/>
          <w:sz w:val="22"/>
          <w:szCs w:val="22"/>
          <w14:ligatures w14:val="none"/>
        </w:rPr>
        <w:t xml:space="preserve">. </w:t>
      </w:r>
      <w:bookmarkStart w:id="5" w:name="_Toc213260790"/>
    </w:p>
    <w:p w14:paraId="2B9A2FC2" w14:textId="21EB27C0" w:rsidR="00B46C8C" w:rsidRDefault="00B46C8C" w:rsidP="003D6028">
      <w:pPr>
        <w:pStyle w:val="Heading1"/>
        <w:rPr>
          <w:rFonts w:ascii="Arial" w:hAnsi="Arial" w:cs="Arial"/>
          <w:b/>
          <w:bCs/>
          <w:color w:val="000000" w:themeColor="text1"/>
          <w:sz w:val="22"/>
          <w:szCs w:val="22"/>
        </w:rPr>
      </w:pPr>
      <w:r w:rsidRPr="00C33289">
        <w:rPr>
          <w:rFonts w:ascii="Arial" w:hAnsi="Arial" w:cs="Arial"/>
          <w:b/>
          <w:bCs/>
          <w:color w:val="000000" w:themeColor="text1"/>
          <w:sz w:val="22"/>
          <w:szCs w:val="22"/>
          <w:shd w:val="clear" w:color="auto" w:fill="FFFFFF"/>
        </w:rPr>
        <w:t>N</w:t>
      </w:r>
      <w:r w:rsidR="008E5AC8" w:rsidRPr="00C33289">
        <w:rPr>
          <w:rFonts w:ascii="Arial" w:hAnsi="Arial" w:cs="Arial"/>
          <w:b/>
          <w:bCs/>
          <w:color w:val="000000" w:themeColor="text1"/>
          <w:sz w:val="22"/>
          <w:szCs w:val="22"/>
          <w:shd w:val="clear" w:color="auto" w:fill="FFFFFF"/>
        </w:rPr>
        <w:t>a</w:t>
      </w:r>
      <w:r w:rsidRPr="00C33289">
        <w:rPr>
          <w:rFonts w:ascii="Arial" w:hAnsi="Arial" w:cs="Arial"/>
          <w:b/>
          <w:bCs/>
          <w:color w:val="000000" w:themeColor="text1"/>
          <w:sz w:val="22"/>
          <w:szCs w:val="22"/>
          <w:shd w:val="clear" w:color="auto" w:fill="FFFFFF"/>
        </w:rPr>
        <w:t xml:space="preserve">tional and </w:t>
      </w:r>
      <w:r w:rsidR="00666C45" w:rsidRPr="00C33289">
        <w:rPr>
          <w:rFonts w:ascii="Arial" w:hAnsi="Arial" w:cs="Arial"/>
          <w:b/>
          <w:bCs/>
          <w:color w:val="000000" w:themeColor="text1"/>
          <w:sz w:val="22"/>
          <w:szCs w:val="22"/>
          <w:shd w:val="clear" w:color="auto" w:fill="FFFFFF"/>
        </w:rPr>
        <w:t>L</w:t>
      </w:r>
      <w:r w:rsidRPr="00C33289">
        <w:rPr>
          <w:rFonts w:ascii="Arial" w:hAnsi="Arial" w:cs="Arial"/>
          <w:b/>
          <w:bCs/>
          <w:color w:val="000000" w:themeColor="text1"/>
          <w:sz w:val="22"/>
          <w:szCs w:val="22"/>
          <w:shd w:val="clear" w:color="auto" w:fill="FFFFFF"/>
        </w:rPr>
        <w:t xml:space="preserve">ocal </w:t>
      </w:r>
      <w:r w:rsidR="00666C45" w:rsidRPr="00C33289">
        <w:rPr>
          <w:rFonts w:ascii="Arial" w:hAnsi="Arial" w:cs="Arial"/>
          <w:b/>
          <w:bCs/>
          <w:color w:val="000000" w:themeColor="text1"/>
          <w:sz w:val="22"/>
          <w:szCs w:val="22"/>
        </w:rPr>
        <w:t>P</w:t>
      </w:r>
      <w:r w:rsidRPr="00C33289">
        <w:rPr>
          <w:rFonts w:ascii="Arial" w:hAnsi="Arial" w:cs="Arial"/>
          <w:b/>
          <w:bCs/>
          <w:color w:val="000000" w:themeColor="text1"/>
          <w:sz w:val="22"/>
          <w:szCs w:val="22"/>
        </w:rPr>
        <w:t xml:space="preserve">olicies and </w:t>
      </w:r>
      <w:r w:rsidR="00666C45" w:rsidRPr="00C33289">
        <w:rPr>
          <w:rFonts w:ascii="Arial" w:hAnsi="Arial" w:cs="Arial"/>
          <w:b/>
          <w:bCs/>
          <w:color w:val="000000" w:themeColor="text1"/>
          <w:sz w:val="22"/>
          <w:szCs w:val="22"/>
        </w:rPr>
        <w:t>I</w:t>
      </w:r>
      <w:r w:rsidRPr="00C33289">
        <w:rPr>
          <w:rFonts w:ascii="Arial" w:hAnsi="Arial" w:cs="Arial"/>
          <w:b/>
          <w:bCs/>
          <w:color w:val="000000" w:themeColor="text1"/>
          <w:sz w:val="22"/>
          <w:szCs w:val="22"/>
        </w:rPr>
        <w:t>nitiatives</w:t>
      </w:r>
      <w:bookmarkEnd w:id="5"/>
    </w:p>
    <w:p w14:paraId="0D38B00D" w14:textId="77777777" w:rsidR="004A53AD" w:rsidRPr="004A53AD" w:rsidRDefault="004A53AD" w:rsidP="004A53AD"/>
    <w:p w14:paraId="678C433B" w14:textId="4F207793" w:rsidR="00715825" w:rsidRDefault="00715825" w:rsidP="00715825">
      <w:pPr>
        <w:spacing w:line="360" w:lineRule="auto"/>
        <w:jc w:val="both"/>
        <w:rPr>
          <w:rFonts w:ascii="Arial" w:hAnsi="Arial" w:cs="Arial"/>
          <w:sz w:val="22"/>
          <w:szCs w:val="22"/>
        </w:rPr>
      </w:pPr>
      <w:r w:rsidRPr="0045293E">
        <w:rPr>
          <w:rFonts w:ascii="Arial" w:hAnsi="Arial" w:cs="Arial"/>
          <w:sz w:val="22"/>
          <w:szCs w:val="22"/>
        </w:rPr>
        <w:t>The NHS 10-Year Health Plan for England, titled “Fit for the Future,” aims to fundamentally transform the National Health Service by enhancing hospital services, advancing community care, and prioritising prevention over treatment. This plan, aligned with the principles of patient-centred care and a commitment to sustainability, aims to make patients feel valued while improving the NHS's effectiveness and long-term viability (GOV.UK, 2025; Morton, Pencheon, and Squires, 2017). Ultimately, these reforms are designed to enhance the health and well-being of the population.</w:t>
      </w:r>
      <w:r>
        <w:rPr>
          <w:rFonts w:ascii="Arial" w:hAnsi="Arial" w:cs="Arial"/>
          <w:sz w:val="22"/>
          <w:szCs w:val="22"/>
        </w:rPr>
        <w:t xml:space="preserve"> </w:t>
      </w:r>
      <w:r w:rsidRPr="0045293E">
        <w:rPr>
          <w:rFonts w:ascii="Arial" w:hAnsi="Arial" w:cs="Arial"/>
          <w:sz w:val="22"/>
          <w:szCs w:val="22"/>
        </w:rPr>
        <w:t xml:space="preserve">Closely linked to Sustainable Development Goal 3 (SDG 3), which focuses on ensuring healthy lives and promoting well-being for all age groups, the NHS plan emphasises illness prevention and the management of long-term conditions. It targets key objectives under SDG 3, including reducing mortality from communicable diseases, promoting mental health, and addressing substance abuse. The plan’s emphasis on service integration and improved access directly supports SDG 3’s goal of achieving universal health coverage (Kieny </w:t>
      </w:r>
      <w:r w:rsidRPr="0028461F">
        <w:rPr>
          <w:rFonts w:ascii="Arial" w:hAnsi="Arial" w:cs="Arial"/>
          <w:i/>
          <w:iCs/>
          <w:sz w:val="22"/>
          <w:szCs w:val="22"/>
        </w:rPr>
        <w:t>et al.,</w:t>
      </w:r>
      <w:r w:rsidRPr="0045293E">
        <w:rPr>
          <w:rFonts w:ascii="Arial" w:hAnsi="Arial" w:cs="Arial"/>
          <w:sz w:val="22"/>
          <w:szCs w:val="22"/>
        </w:rPr>
        <w:t xml:space="preserve"> 2017; Lakioti </w:t>
      </w:r>
      <w:r w:rsidRPr="006E3817">
        <w:rPr>
          <w:rFonts w:ascii="Arial" w:hAnsi="Arial" w:cs="Arial"/>
          <w:i/>
          <w:iCs/>
          <w:sz w:val="22"/>
          <w:szCs w:val="22"/>
        </w:rPr>
        <w:t>et al.,</w:t>
      </w:r>
      <w:r w:rsidRPr="0045293E">
        <w:rPr>
          <w:rFonts w:ascii="Arial" w:hAnsi="Arial" w:cs="Arial"/>
          <w:sz w:val="22"/>
          <w:szCs w:val="22"/>
        </w:rPr>
        <w:t xml:space="preserve"> 2025</w:t>
      </w:r>
      <w:r w:rsidR="00E059CE">
        <w:rPr>
          <w:rFonts w:ascii="Arial" w:hAnsi="Arial" w:cs="Arial"/>
          <w:sz w:val="22"/>
          <w:szCs w:val="22"/>
        </w:rPr>
        <w:t>a</w:t>
      </w:r>
      <w:r w:rsidRPr="0045293E">
        <w:rPr>
          <w:rFonts w:ascii="Arial" w:hAnsi="Arial" w:cs="Arial"/>
          <w:sz w:val="22"/>
          <w:szCs w:val="22"/>
        </w:rPr>
        <w:t>).</w:t>
      </w:r>
      <w:r>
        <w:rPr>
          <w:rFonts w:ascii="Arial" w:hAnsi="Arial" w:cs="Arial"/>
          <w:sz w:val="22"/>
          <w:szCs w:val="22"/>
        </w:rPr>
        <w:t xml:space="preserve"> </w:t>
      </w:r>
      <w:r w:rsidRPr="0045293E">
        <w:rPr>
          <w:rFonts w:ascii="Arial" w:hAnsi="Arial" w:cs="Arial"/>
          <w:sz w:val="22"/>
          <w:szCs w:val="22"/>
        </w:rPr>
        <w:t>However, the initiatives outlined in the NHS 10-Year Health Plan face challenges, such as funding constraints and health disparities. While fostering innovation and promoting community health are notable strengths, continuous investment, monitoring, and adaptation are vital to achieving universal coverage and effectively addressing social determinants, ensuring that progress meets current needs and future challenges (House of Commons Library, 2025; WHO, 2025).</w:t>
      </w:r>
    </w:p>
    <w:p w14:paraId="2990A666" w14:textId="77777777" w:rsidR="00E53D28" w:rsidRDefault="00E53D28" w:rsidP="00715825">
      <w:pPr>
        <w:spacing w:line="360" w:lineRule="auto"/>
        <w:jc w:val="both"/>
        <w:rPr>
          <w:rFonts w:ascii="Arial" w:hAnsi="Arial" w:cs="Arial"/>
          <w:sz w:val="22"/>
          <w:szCs w:val="22"/>
        </w:rPr>
      </w:pPr>
      <w:bookmarkStart w:id="6" w:name="OLE_LINK11"/>
    </w:p>
    <w:bookmarkEnd w:id="6"/>
    <w:p w14:paraId="2A0B3F0F" w14:textId="1A823F5C" w:rsidR="0063549C" w:rsidRDefault="0063549C" w:rsidP="0063549C">
      <w:pPr>
        <w:spacing w:line="360" w:lineRule="auto"/>
        <w:jc w:val="both"/>
        <w:rPr>
          <w:rFonts w:ascii="Arial" w:hAnsi="Arial" w:cs="Arial"/>
          <w:sz w:val="22"/>
          <w:szCs w:val="22"/>
        </w:rPr>
      </w:pPr>
      <w:r w:rsidRPr="0063549C">
        <w:rPr>
          <w:rFonts w:ascii="Arial" w:hAnsi="Arial" w:cs="Arial"/>
          <w:sz w:val="22"/>
          <w:szCs w:val="22"/>
        </w:rPr>
        <w:t xml:space="preserve">Birmingham’s 2022–2030 Health and Well-being Strategies focus on enhancing residents' overall health and well-being by collaborating with local organisations and healthcare providers to create an inclusive, NHS-aligned system. Focus groups in 2021 showed strong support for these strategies, with 88% of participants in favour. The priorities include Healthy and Affordable Food (90%), Mental Wellness (90%), Active Living (87%), a Green Future </w:t>
      </w:r>
      <w:r w:rsidRPr="0063549C">
        <w:rPr>
          <w:rFonts w:ascii="Arial" w:hAnsi="Arial" w:cs="Arial"/>
          <w:sz w:val="22"/>
          <w:szCs w:val="22"/>
        </w:rPr>
        <w:lastRenderedPageBreak/>
        <w:t xml:space="preserve">(87%), and Protect and Detect (83%) (Birmingham City Council, 2022). </w:t>
      </w:r>
      <w:r w:rsidR="000A368F">
        <w:rPr>
          <w:rFonts w:ascii="Arial" w:hAnsi="Arial" w:cs="Arial"/>
          <w:sz w:val="22"/>
          <w:szCs w:val="22"/>
        </w:rPr>
        <w:t>T</w:t>
      </w:r>
      <w:r w:rsidRPr="0063549C">
        <w:rPr>
          <w:rFonts w:ascii="Arial" w:hAnsi="Arial" w:cs="Arial"/>
          <w:sz w:val="22"/>
          <w:szCs w:val="22"/>
        </w:rPr>
        <w:t>he Better Mental Health Fund supported 16 projects and awarded £813,673 to 13 Birmingham organisations during 2022–2023, reaching over 3,000 residents (Birmingham City Council, 202</w:t>
      </w:r>
      <w:r w:rsidR="00A12A24">
        <w:rPr>
          <w:rFonts w:ascii="Arial" w:hAnsi="Arial" w:cs="Arial"/>
          <w:sz w:val="22"/>
          <w:szCs w:val="22"/>
        </w:rPr>
        <w:t>5</w:t>
      </w:r>
      <w:r w:rsidRPr="0063549C">
        <w:rPr>
          <w:rFonts w:ascii="Arial" w:hAnsi="Arial" w:cs="Arial"/>
          <w:sz w:val="22"/>
          <w:szCs w:val="22"/>
        </w:rPr>
        <w:t xml:space="preserve">; Khan, 2023). These initiatives utilise the Socioecological Model, acknowledging that multiple levels, from the individual to the policy, influence health behaviours. Targeting these different levels increases the effectiveness and sustainability of behavioural change (Scarneo </w:t>
      </w:r>
      <w:r w:rsidRPr="0063549C">
        <w:rPr>
          <w:rFonts w:ascii="Arial" w:hAnsi="Arial" w:cs="Arial"/>
          <w:i/>
          <w:iCs/>
          <w:sz w:val="22"/>
          <w:szCs w:val="22"/>
        </w:rPr>
        <w:t>et al.,</w:t>
      </w:r>
      <w:r w:rsidRPr="0063549C">
        <w:rPr>
          <w:rFonts w:ascii="Arial" w:hAnsi="Arial" w:cs="Arial"/>
          <w:sz w:val="22"/>
          <w:szCs w:val="22"/>
        </w:rPr>
        <w:t xml:space="preserve"> 2019). For instance, the Better Mental Health Fund addresses individual and interpersonal needs, while partnerships and NHS-aligned policies look at broader systemic and community factors. Nevertheless,</w:t>
      </w:r>
      <w:r w:rsidR="00906275">
        <w:rPr>
          <w:rFonts w:ascii="Arial" w:hAnsi="Arial" w:cs="Arial"/>
          <w:sz w:val="22"/>
          <w:szCs w:val="22"/>
        </w:rPr>
        <w:t xml:space="preserve"> </w:t>
      </w:r>
      <w:r w:rsidRPr="0063549C">
        <w:rPr>
          <w:rFonts w:ascii="Arial" w:hAnsi="Arial" w:cs="Arial"/>
          <w:sz w:val="22"/>
          <w:szCs w:val="22"/>
        </w:rPr>
        <w:t xml:space="preserve">sustained implementation faces challenges, including impact measurement, evaluation, community engagement, and adequate funding (Local Government Association, 2024; Brazier </w:t>
      </w:r>
      <w:r w:rsidRPr="0063549C">
        <w:rPr>
          <w:rFonts w:ascii="Arial" w:hAnsi="Arial" w:cs="Arial"/>
          <w:i/>
          <w:iCs/>
          <w:sz w:val="22"/>
          <w:szCs w:val="22"/>
        </w:rPr>
        <w:t>et al.,</w:t>
      </w:r>
      <w:r w:rsidRPr="0063549C">
        <w:rPr>
          <w:rFonts w:ascii="Arial" w:hAnsi="Arial" w:cs="Arial"/>
          <w:sz w:val="22"/>
          <w:szCs w:val="22"/>
        </w:rPr>
        <w:t xml:space="preserve"> 2023). </w:t>
      </w:r>
    </w:p>
    <w:p w14:paraId="5224AF26" w14:textId="036412A6" w:rsidR="00096AFB" w:rsidRDefault="00A40E7D" w:rsidP="00427566">
      <w:pPr>
        <w:pStyle w:val="Heading1"/>
        <w:rPr>
          <w:rFonts w:ascii="Arial" w:hAnsi="Arial" w:cs="Arial"/>
          <w:b/>
          <w:bCs/>
          <w:color w:val="000000" w:themeColor="text1"/>
          <w:sz w:val="22"/>
          <w:szCs w:val="22"/>
          <w:shd w:val="clear" w:color="auto" w:fill="FFFFFF"/>
        </w:rPr>
      </w:pPr>
      <w:bookmarkStart w:id="7" w:name="_Toc213260791"/>
      <w:r w:rsidRPr="00982FE7">
        <w:rPr>
          <w:rFonts w:ascii="Arial" w:hAnsi="Arial" w:cs="Arial"/>
          <w:b/>
          <w:bCs/>
          <w:color w:val="000000" w:themeColor="text1"/>
          <w:sz w:val="22"/>
          <w:szCs w:val="22"/>
          <w:shd w:val="clear" w:color="auto" w:fill="FFFFFF"/>
        </w:rPr>
        <w:t>Section 2:</w:t>
      </w:r>
      <w:r w:rsidR="00413EAD" w:rsidRPr="00982FE7">
        <w:rPr>
          <w:rFonts w:ascii="Arial" w:hAnsi="Arial" w:cs="Arial"/>
          <w:b/>
          <w:bCs/>
          <w:color w:val="000000" w:themeColor="text1"/>
          <w:sz w:val="22"/>
          <w:szCs w:val="22"/>
          <w:shd w:val="clear" w:color="auto" w:fill="FFFFFF"/>
        </w:rPr>
        <w:t xml:space="preserve"> Goal</w:t>
      </w:r>
      <w:r w:rsidR="00623899" w:rsidRPr="00982FE7">
        <w:rPr>
          <w:rFonts w:ascii="Arial" w:hAnsi="Arial" w:cs="Arial"/>
          <w:b/>
          <w:bCs/>
          <w:color w:val="000000" w:themeColor="text1"/>
          <w:sz w:val="22"/>
          <w:szCs w:val="22"/>
          <w:shd w:val="clear" w:color="auto" w:fill="FFFFFF"/>
        </w:rPr>
        <w:t xml:space="preserve"> </w:t>
      </w:r>
      <w:r w:rsidR="003A62E0" w:rsidRPr="00982FE7">
        <w:rPr>
          <w:rFonts w:ascii="Arial" w:hAnsi="Arial" w:cs="Arial"/>
          <w:b/>
          <w:bCs/>
          <w:color w:val="000000" w:themeColor="text1"/>
          <w:sz w:val="22"/>
          <w:szCs w:val="22"/>
          <w:shd w:val="clear" w:color="auto" w:fill="FFFFFF"/>
        </w:rPr>
        <w:t>2</w:t>
      </w:r>
      <w:r w:rsidR="00413EAD" w:rsidRPr="00982FE7">
        <w:rPr>
          <w:rFonts w:ascii="Arial" w:hAnsi="Arial" w:cs="Arial"/>
          <w:b/>
          <w:bCs/>
          <w:color w:val="000000" w:themeColor="text1"/>
          <w:sz w:val="22"/>
          <w:szCs w:val="22"/>
          <w:shd w:val="clear" w:color="auto" w:fill="FFFFFF"/>
        </w:rPr>
        <w:t xml:space="preserve"> Zero Hunger</w:t>
      </w:r>
      <w:bookmarkEnd w:id="7"/>
    </w:p>
    <w:p w14:paraId="4A574B0C" w14:textId="0687B707" w:rsidR="00045058" w:rsidRDefault="005C2519" w:rsidP="00045058">
      <w:pPr>
        <w:pStyle w:val="Heading1"/>
        <w:spacing w:line="360" w:lineRule="auto"/>
        <w:jc w:val="both"/>
        <w:rPr>
          <w:rFonts w:ascii="Arial" w:eastAsiaTheme="minorHAnsi" w:hAnsi="Arial" w:cs="Arial"/>
          <w:color w:val="1C1C1C"/>
          <w:sz w:val="22"/>
          <w:szCs w:val="22"/>
          <w:shd w:val="clear" w:color="auto" w:fill="FFFFFF"/>
        </w:rPr>
      </w:pPr>
      <w:bookmarkStart w:id="8" w:name="_Toc213260792"/>
      <w:r w:rsidRPr="005C2519">
        <w:rPr>
          <w:rFonts w:ascii="Arial" w:eastAsiaTheme="minorHAnsi" w:hAnsi="Arial" w:cs="Arial"/>
          <w:color w:val="1C1C1C"/>
          <w:sz w:val="22"/>
          <w:szCs w:val="22"/>
          <w:shd w:val="clear" w:color="auto" w:fill="FFFFFF"/>
        </w:rPr>
        <w:t>Sustainable Development Goal 2 (SDG 2) aims to eliminate hunger, achieve global food security, enhance nutrition, and support sustainable farming methods. It highlights the need to ensure that everyone</w:t>
      </w:r>
      <w:r w:rsidR="00964B8A">
        <w:rPr>
          <w:rFonts w:ascii="Arial" w:eastAsiaTheme="minorHAnsi" w:hAnsi="Arial" w:cs="Arial"/>
          <w:color w:val="1C1C1C"/>
          <w:sz w:val="22"/>
          <w:szCs w:val="22"/>
          <w:shd w:val="clear" w:color="auto" w:fill="FFFFFF"/>
        </w:rPr>
        <w:t xml:space="preserve">, </w:t>
      </w:r>
      <w:r w:rsidRPr="005C2519">
        <w:rPr>
          <w:rFonts w:ascii="Arial" w:eastAsiaTheme="minorHAnsi" w:hAnsi="Arial" w:cs="Arial"/>
          <w:color w:val="1C1C1C"/>
          <w:sz w:val="22"/>
          <w:szCs w:val="22"/>
          <w:shd w:val="clear" w:color="auto" w:fill="FFFFFF"/>
        </w:rPr>
        <w:t xml:space="preserve">especially vulnerable groups </w:t>
      </w:r>
      <w:r w:rsidR="002B469A">
        <w:rPr>
          <w:rFonts w:ascii="Arial" w:eastAsiaTheme="minorHAnsi" w:hAnsi="Arial" w:cs="Arial"/>
          <w:color w:val="1C1C1C"/>
          <w:sz w:val="22"/>
          <w:szCs w:val="22"/>
          <w:shd w:val="clear" w:color="auto" w:fill="FFFFFF"/>
        </w:rPr>
        <w:t>such as</w:t>
      </w:r>
      <w:r w:rsidRPr="005C2519">
        <w:rPr>
          <w:rFonts w:ascii="Arial" w:eastAsiaTheme="minorHAnsi" w:hAnsi="Arial" w:cs="Arial"/>
          <w:color w:val="1C1C1C"/>
          <w:sz w:val="22"/>
          <w:szCs w:val="22"/>
          <w:shd w:val="clear" w:color="auto" w:fill="FFFFFF"/>
        </w:rPr>
        <w:t xml:space="preserve"> children, the elderly, and marginalised communities</w:t>
      </w:r>
      <w:r w:rsidR="00964B8A">
        <w:rPr>
          <w:rFonts w:ascii="Arial" w:eastAsiaTheme="minorHAnsi" w:hAnsi="Arial" w:cs="Arial"/>
          <w:color w:val="1C1C1C"/>
          <w:sz w:val="22"/>
          <w:szCs w:val="22"/>
          <w:shd w:val="clear" w:color="auto" w:fill="FFFFFF"/>
        </w:rPr>
        <w:t>,</w:t>
      </w:r>
      <w:r w:rsidRPr="005C2519">
        <w:rPr>
          <w:rFonts w:ascii="Arial" w:eastAsiaTheme="minorHAnsi" w:hAnsi="Arial" w:cs="Arial"/>
          <w:color w:val="1C1C1C"/>
          <w:sz w:val="22"/>
          <w:szCs w:val="22"/>
          <w:shd w:val="clear" w:color="auto" w:fill="FFFFFF"/>
        </w:rPr>
        <w:t xml:space="preserve"> has reliable access to </w:t>
      </w:r>
      <w:r w:rsidR="002B469A">
        <w:rPr>
          <w:rFonts w:ascii="Arial" w:eastAsiaTheme="minorHAnsi" w:hAnsi="Arial" w:cs="Arial"/>
          <w:color w:val="1C1C1C"/>
          <w:sz w:val="22"/>
          <w:szCs w:val="22"/>
          <w:shd w:val="clear" w:color="auto" w:fill="FFFFFF"/>
        </w:rPr>
        <w:t>sufficient</w:t>
      </w:r>
      <w:r w:rsidRPr="005C2519">
        <w:rPr>
          <w:rFonts w:ascii="Arial" w:eastAsiaTheme="minorHAnsi" w:hAnsi="Arial" w:cs="Arial"/>
          <w:color w:val="1C1C1C"/>
          <w:sz w:val="22"/>
          <w:szCs w:val="22"/>
          <w:shd w:val="clear" w:color="auto" w:fill="FFFFFF"/>
        </w:rPr>
        <w:t xml:space="preserve">, safe, and nutritious food </w:t>
      </w:r>
      <w:r w:rsidR="00564B96">
        <w:rPr>
          <w:rFonts w:ascii="Arial" w:eastAsiaTheme="minorHAnsi" w:hAnsi="Arial" w:cs="Arial"/>
          <w:color w:val="1C1C1C"/>
          <w:sz w:val="22"/>
          <w:szCs w:val="22"/>
          <w:shd w:val="clear" w:color="auto" w:fill="FFFFFF"/>
        </w:rPr>
        <w:t>year-</w:t>
      </w:r>
      <w:r w:rsidRPr="005C2519">
        <w:rPr>
          <w:rFonts w:ascii="Arial" w:eastAsiaTheme="minorHAnsi" w:hAnsi="Arial" w:cs="Arial"/>
          <w:color w:val="1C1C1C"/>
          <w:sz w:val="22"/>
          <w:szCs w:val="22"/>
          <w:shd w:val="clear" w:color="auto" w:fill="FFFFFF"/>
        </w:rPr>
        <w:t>round (United Nations 2025b). SDG 2 includes eight targets, seeking to end hunger, eradicate all types of malnutrition, double agricultural productivity and incomes, promote sustainable production systems, conserve genetic diversity of seeds, crops, and livestock, invest in rural infrastructure, agricultural research, and technology, and ensure food market efficiency (Sporchia </w:t>
      </w:r>
      <w:r w:rsidRPr="00DC7948">
        <w:rPr>
          <w:rFonts w:ascii="Arial" w:eastAsiaTheme="minorHAnsi" w:hAnsi="Arial" w:cs="Arial"/>
          <w:i/>
          <w:iCs/>
          <w:color w:val="1C1C1C"/>
          <w:sz w:val="22"/>
          <w:szCs w:val="22"/>
          <w:shd w:val="clear" w:color="auto" w:fill="FFFFFF"/>
        </w:rPr>
        <w:t>et al.,</w:t>
      </w:r>
      <w:r w:rsidRPr="005C2519">
        <w:rPr>
          <w:rFonts w:ascii="Arial" w:eastAsiaTheme="minorHAnsi" w:hAnsi="Arial" w:cs="Arial"/>
          <w:color w:val="1C1C1C"/>
          <w:sz w:val="22"/>
          <w:szCs w:val="22"/>
          <w:shd w:val="clear" w:color="auto" w:fill="FFFFFF"/>
        </w:rPr>
        <w:t xml:space="preserve"> 2024; UK Parliament, 2025).</w:t>
      </w:r>
    </w:p>
    <w:p w14:paraId="21F4ACBA" w14:textId="5BC9087B" w:rsidR="00B07D42" w:rsidRPr="00045058" w:rsidRDefault="00B07D42" w:rsidP="00045058">
      <w:pPr>
        <w:pStyle w:val="Heading1"/>
        <w:spacing w:line="360" w:lineRule="auto"/>
        <w:jc w:val="both"/>
        <w:rPr>
          <w:rFonts w:ascii="Arial" w:eastAsiaTheme="minorHAnsi" w:hAnsi="Arial" w:cs="Arial"/>
          <w:color w:val="1C1C1C"/>
          <w:sz w:val="22"/>
          <w:szCs w:val="22"/>
          <w:shd w:val="clear" w:color="auto" w:fill="FFFFFF"/>
        </w:rPr>
      </w:pPr>
      <w:r w:rsidRPr="00982FE7">
        <w:rPr>
          <w:rFonts w:ascii="Arial" w:hAnsi="Arial" w:cs="Arial"/>
          <w:b/>
          <w:bCs/>
          <w:color w:val="000000" w:themeColor="text1"/>
          <w:sz w:val="22"/>
          <w:szCs w:val="22"/>
        </w:rPr>
        <w:t>Glo</w:t>
      </w:r>
      <w:r w:rsidR="002A048A" w:rsidRPr="00982FE7">
        <w:rPr>
          <w:rFonts w:ascii="Arial" w:hAnsi="Arial" w:cs="Arial"/>
          <w:b/>
          <w:bCs/>
          <w:color w:val="000000" w:themeColor="text1"/>
          <w:sz w:val="22"/>
          <w:szCs w:val="22"/>
        </w:rPr>
        <w:t>bal</w:t>
      </w:r>
      <w:r w:rsidRPr="00982FE7">
        <w:rPr>
          <w:rFonts w:ascii="Arial" w:hAnsi="Arial" w:cs="Arial"/>
          <w:b/>
          <w:bCs/>
          <w:color w:val="000000" w:themeColor="text1"/>
          <w:sz w:val="22"/>
          <w:szCs w:val="22"/>
        </w:rPr>
        <w:t xml:space="preserve"> </w:t>
      </w:r>
      <w:r w:rsidR="004C2BA3" w:rsidRPr="00982FE7">
        <w:rPr>
          <w:rFonts w:ascii="Arial" w:hAnsi="Arial" w:cs="Arial"/>
          <w:b/>
          <w:bCs/>
          <w:color w:val="000000" w:themeColor="text1"/>
          <w:sz w:val="22"/>
          <w:szCs w:val="22"/>
        </w:rPr>
        <w:t>P</w:t>
      </w:r>
      <w:r w:rsidRPr="00982FE7">
        <w:rPr>
          <w:rFonts w:ascii="Arial" w:hAnsi="Arial" w:cs="Arial"/>
          <w:b/>
          <w:bCs/>
          <w:color w:val="000000" w:themeColor="text1"/>
          <w:sz w:val="22"/>
          <w:szCs w:val="22"/>
        </w:rPr>
        <w:t xml:space="preserve">olicies and </w:t>
      </w:r>
      <w:r w:rsidR="004C2BA3" w:rsidRPr="00982FE7">
        <w:rPr>
          <w:rFonts w:ascii="Arial" w:hAnsi="Arial" w:cs="Arial"/>
          <w:b/>
          <w:bCs/>
          <w:color w:val="000000" w:themeColor="text1"/>
          <w:sz w:val="22"/>
          <w:szCs w:val="22"/>
        </w:rPr>
        <w:t>I</w:t>
      </w:r>
      <w:r w:rsidRPr="00982FE7">
        <w:rPr>
          <w:rFonts w:ascii="Arial" w:hAnsi="Arial" w:cs="Arial"/>
          <w:b/>
          <w:bCs/>
          <w:color w:val="000000" w:themeColor="text1"/>
          <w:sz w:val="22"/>
          <w:szCs w:val="22"/>
        </w:rPr>
        <w:t>nitiatives</w:t>
      </w:r>
      <w:bookmarkEnd w:id="8"/>
    </w:p>
    <w:p w14:paraId="4914B9B2" w14:textId="77777777" w:rsidR="00EA3E02" w:rsidRDefault="00EA3E02" w:rsidP="00EA3E02">
      <w:pPr>
        <w:spacing w:line="360" w:lineRule="auto"/>
        <w:jc w:val="both"/>
        <w:rPr>
          <w:rFonts w:ascii="Arial" w:hAnsi="Arial" w:cs="Arial"/>
          <w:color w:val="151515"/>
          <w:kern w:val="0"/>
          <w:position w:val="6"/>
          <w:sz w:val="22"/>
          <w:szCs w:val="22"/>
        </w:rPr>
      </w:pPr>
      <w:r w:rsidRPr="002612A6">
        <w:rPr>
          <w:rFonts w:ascii="Arial" w:hAnsi="Arial" w:cs="Arial"/>
          <w:color w:val="151515"/>
          <w:kern w:val="0"/>
          <w:position w:val="6"/>
          <w:sz w:val="22"/>
          <w:szCs w:val="22"/>
        </w:rPr>
        <w:t>Several UN initiatives support Sustainable Development Goal 2 (SDG2) by aiming to end hunger and promote sustainable agriculture. The World Food Programme (WFP) is one such organi</w:t>
      </w:r>
      <w:r>
        <w:rPr>
          <w:rFonts w:ascii="Arial" w:hAnsi="Arial" w:cs="Arial"/>
          <w:color w:val="151515"/>
          <w:kern w:val="0"/>
          <w:position w:val="6"/>
          <w:sz w:val="22"/>
          <w:szCs w:val="22"/>
        </w:rPr>
        <w:t>s</w:t>
      </w:r>
      <w:r w:rsidRPr="002612A6">
        <w:rPr>
          <w:rFonts w:ascii="Arial" w:hAnsi="Arial" w:cs="Arial"/>
          <w:color w:val="151515"/>
          <w:kern w:val="0"/>
          <w:position w:val="6"/>
          <w:sz w:val="22"/>
          <w:szCs w:val="22"/>
        </w:rPr>
        <w:t xml:space="preserve">ation, providing emergency food aid, improving nutrition, and bolstering community resilience through programs </w:t>
      </w:r>
      <w:r>
        <w:rPr>
          <w:rFonts w:ascii="Arial" w:hAnsi="Arial" w:cs="Arial"/>
          <w:color w:val="151515"/>
          <w:kern w:val="0"/>
          <w:position w:val="6"/>
          <w:sz w:val="22"/>
          <w:szCs w:val="22"/>
        </w:rPr>
        <w:t>such as</w:t>
      </w:r>
      <w:r w:rsidRPr="002612A6">
        <w:rPr>
          <w:rFonts w:ascii="Arial" w:hAnsi="Arial" w:cs="Arial"/>
          <w:color w:val="151515"/>
          <w:kern w:val="0"/>
          <w:position w:val="6"/>
          <w:sz w:val="22"/>
          <w:szCs w:val="22"/>
        </w:rPr>
        <w:t xml:space="preserve"> school meals, nutritional support, and climate-smart farming</w:t>
      </w:r>
      <w:r>
        <w:rPr>
          <w:rFonts w:ascii="Arial" w:hAnsi="Arial" w:cs="Arial"/>
          <w:color w:val="151515"/>
          <w:kern w:val="0"/>
          <w:position w:val="6"/>
          <w:sz w:val="22"/>
          <w:szCs w:val="22"/>
        </w:rPr>
        <w:t xml:space="preserve">, </w:t>
      </w:r>
      <w:r w:rsidRPr="002612A6">
        <w:rPr>
          <w:rFonts w:ascii="Arial" w:hAnsi="Arial" w:cs="Arial"/>
          <w:color w:val="151515"/>
          <w:kern w:val="0"/>
          <w:position w:val="6"/>
          <w:sz w:val="22"/>
          <w:szCs w:val="22"/>
        </w:rPr>
        <w:t xml:space="preserve">all </w:t>
      </w:r>
      <w:r>
        <w:rPr>
          <w:rFonts w:ascii="Arial" w:hAnsi="Arial" w:cs="Arial"/>
          <w:color w:val="151515"/>
          <w:kern w:val="0"/>
          <w:position w:val="6"/>
          <w:sz w:val="22"/>
          <w:szCs w:val="22"/>
        </w:rPr>
        <w:t>of which align</w:t>
      </w:r>
      <w:r w:rsidRPr="002612A6">
        <w:rPr>
          <w:rFonts w:ascii="Arial" w:hAnsi="Arial" w:cs="Arial"/>
          <w:color w:val="151515"/>
          <w:kern w:val="0"/>
          <w:position w:val="6"/>
          <w:sz w:val="22"/>
          <w:szCs w:val="22"/>
        </w:rPr>
        <w:t xml:space="preserve"> with SDG2. For example, in drought-affected Turkana, Kenya, the WFP launched school feeding programs for vulnerable households </w:t>
      </w:r>
      <w:r>
        <w:rPr>
          <w:rFonts w:ascii="Arial" w:hAnsi="Arial" w:cs="Arial"/>
          <w:color w:val="151515"/>
          <w:kern w:val="0"/>
          <w:position w:val="6"/>
          <w:sz w:val="22"/>
          <w:szCs w:val="22"/>
        </w:rPr>
        <w:t>to address</w:t>
      </w:r>
      <w:r w:rsidRPr="002612A6">
        <w:rPr>
          <w:rFonts w:ascii="Arial" w:hAnsi="Arial" w:cs="Arial"/>
          <w:color w:val="151515"/>
          <w:kern w:val="0"/>
          <w:position w:val="6"/>
          <w:sz w:val="22"/>
          <w:szCs w:val="22"/>
        </w:rPr>
        <w:t xml:space="preserve"> immediate hunger (World Food Program, 2021). It also promoted climate-smart agriculture to help farmers adopt sustainable and resilient practices. As a result, there was a 10% increase in school attendance, an 8% decline in child malnutrition, and over 50,000 households shifted to climate-resilient farming (Rockström </w:t>
      </w:r>
      <w:r w:rsidRPr="00FC72EB">
        <w:rPr>
          <w:rFonts w:ascii="Arial" w:hAnsi="Arial" w:cs="Arial"/>
          <w:i/>
          <w:iCs/>
          <w:color w:val="151515"/>
          <w:kern w:val="0"/>
          <w:position w:val="6"/>
          <w:sz w:val="22"/>
          <w:szCs w:val="22"/>
        </w:rPr>
        <w:t>et al.,</w:t>
      </w:r>
      <w:r w:rsidRPr="002612A6">
        <w:rPr>
          <w:rFonts w:ascii="Arial" w:hAnsi="Arial" w:cs="Arial"/>
          <w:color w:val="151515"/>
          <w:kern w:val="0"/>
          <w:position w:val="6"/>
          <w:sz w:val="22"/>
          <w:szCs w:val="22"/>
        </w:rPr>
        <w:t xml:space="preserve"> 2016).</w:t>
      </w:r>
    </w:p>
    <w:p w14:paraId="09A69A9B" w14:textId="77777777" w:rsidR="006D069A" w:rsidRDefault="006D069A" w:rsidP="00EA3E02">
      <w:pPr>
        <w:spacing w:line="360" w:lineRule="auto"/>
        <w:jc w:val="both"/>
        <w:rPr>
          <w:rFonts w:ascii="Arial" w:hAnsi="Arial" w:cs="Arial"/>
          <w:color w:val="151515"/>
          <w:kern w:val="0"/>
          <w:position w:val="6"/>
          <w:sz w:val="22"/>
          <w:szCs w:val="22"/>
        </w:rPr>
      </w:pPr>
    </w:p>
    <w:p w14:paraId="717A3177" w14:textId="53565315" w:rsidR="00EA3E02" w:rsidRPr="00FC72EB" w:rsidRDefault="00EA3E02" w:rsidP="00EA3E02">
      <w:pPr>
        <w:spacing w:line="360" w:lineRule="auto"/>
        <w:jc w:val="both"/>
        <w:rPr>
          <w:rFonts w:ascii="Arial" w:hAnsi="Arial" w:cs="Arial"/>
          <w:color w:val="151515"/>
          <w:kern w:val="0"/>
          <w:position w:val="6"/>
          <w:sz w:val="22"/>
          <w:szCs w:val="22"/>
        </w:rPr>
      </w:pPr>
      <w:r w:rsidRPr="00FC72EB">
        <w:rPr>
          <w:rFonts w:ascii="Arial" w:hAnsi="Arial" w:cs="Arial"/>
          <w:color w:val="1C1C1C"/>
          <w:sz w:val="21"/>
          <w:szCs w:val="21"/>
          <w:shd w:val="clear" w:color="auto" w:fill="FFFFFF"/>
        </w:rPr>
        <w:lastRenderedPageBreak/>
        <w:t xml:space="preserve"> </w:t>
      </w:r>
      <w:r w:rsidRPr="00FC72EB">
        <w:rPr>
          <w:rFonts w:ascii="Arial" w:hAnsi="Arial" w:cs="Arial"/>
          <w:color w:val="151515"/>
          <w:kern w:val="0"/>
          <w:position w:val="6"/>
          <w:sz w:val="22"/>
          <w:szCs w:val="22"/>
        </w:rPr>
        <w:t>During July and August 2024, the World Food Programme (WFP) encountered significant operational challenges in Gaza, stemming from ongoing conflict, border restrictions</w:t>
      </w:r>
      <w:r>
        <w:rPr>
          <w:rFonts w:ascii="Arial" w:hAnsi="Arial" w:cs="Arial"/>
          <w:color w:val="151515"/>
          <w:kern w:val="0"/>
          <w:position w:val="6"/>
          <w:sz w:val="22"/>
          <w:szCs w:val="22"/>
        </w:rPr>
        <w:t xml:space="preserve"> by Israel</w:t>
      </w:r>
      <w:r w:rsidRPr="00FC72EB">
        <w:rPr>
          <w:rFonts w:ascii="Arial" w:hAnsi="Arial" w:cs="Arial"/>
          <w:color w:val="151515"/>
          <w:kern w:val="0"/>
          <w:position w:val="6"/>
          <w:sz w:val="22"/>
          <w:szCs w:val="22"/>
        </w:rPr>
        <w:t>, and damaged infrastructure. These factors resulted in supply shortages and a limitation on food parcel distribution, with border crossings allowing only half of the necessary aid to enter</w:t>
      </w:r>
      <w:r>
        <w:rPr>
          <w:rFonts w:ascii="Arial" w:hAnsi="Arial" w:cs="Arial"/>
          <w:color w:val="151515"/>
          <w:kern w:val="0"/>
          <w:position w:val="6"/>
          <w:sz w:val="22"/>
          <w:szCs w:val="22"/>
        </w:rPr>
        <w:t xml:space="preserve"> </w:t>
      </w:r>
      <w:r w:rsidRPr="00FC72EB">
        <w:rPr>
          <w:rFonts w:ascii="Arial" w:hAnsi="Arial" w:cs="Arial"/>
          <w:color w:val="151515"/>
          <w:kern w:val="0"/>
          <w:position w:val="6"/>
          <w:sz w:val="22"/>
          <w:szCs w:val="22"/>
        </w:rPr>
        <w:t xml:space="preserve"> (World Food Programme, 2024). These challenges can be analysed through Leon Festinger’s Cognitive Dissonance Theory, which reveals how individuals reconcile psychological discomfort arising from conflicting beliefs by adjusting their attitudes or behaviours (Festinger, 1957). This theory is particularly </w:t>
      </w:r>
      <w:r w:rsidR="00FD3E7F" w:rsidRPr="00FC72EB">
        <w:rPr>
          <w:rFonts w:ascii="Arial" w:hAnsi="Arial" w:cs="Arial"/>
          <w:color w:val="151515"/>
          <w:kern w:val="0"/>
          <w:position w:val="6"/>
          <w:sz w:val="22"/>
          <w:szCs w:val="22"/>
        </w:rPr>
        <w:t>related</w:t>
      </w:r>
      <w:r w:rsidRPr="00FC72EB">
        <w:rPr>
          <w:rFonts w:ascii="Arial" w:hAnsi="Arial" w:cs="Arial"/>
          <w:color w:val="151515"/>
          <w:kern w:val="0"/>
          <w:position w:val="6"/>
          <w:sz w:val="22"/>
          <w:szCs w:val="22"/>
        </w:rPr>
        <w:t xml:space="preserve"> </w:t>
      </w:r>
      <w:r w:rsidR="00E925C9">
        <w:rPr>
          <w:rFonts w:ascii="Arial" w:hAnsi="Arial" w:cs="Arial"/>
          <w:color w:val="151515"/>
          <w:kern w:val="0"/>
          <w:position w:val="6"/>
          <w:sz w:val="22"/>
          <w:szCs w:val="22"/>
        </w:rPr>
        <w:t>to</w:t>
      </w:r>
      <w:r w:rsidRPr="00FC72EB">
        <w:rPr>
          <w:rFonts w:ascii="Arial" w:hAnsi="Arial" w:cs="Arial"/>
          <w:color w:val="151515"/>
          <w:kern w:val="0"/>
          <w:position w:val="6"/>
          <w:sz w:val="22"/>
          <w:szCs w:val="22"/>
        </w:rPr>
        <w:t xml:space="preserve"> exploring how individuals and organisations navigate ethical dilemmas in humanitarian crises, shedding light on their processes for reevaluating beliefs and maintaining psychological balance. </w:t>
      </w:r>
      <w:r w:rsidR="00CD19A9">
        <w:rPr>
          <w:rFonts w:ascii="Arial" w:hAnsi="Arial" w:cs="Arial"/>
          <w:color w:val="151515"/>
          <w:kern w:val="0"/>
          <w:position w:val="6"/>
          <w:sz w:val="22"/>
          <w:szCs w:val="22"/>
        </w:rPr>
        <w:t>Given</w:t>
      </w:r>
      <w:r w:rsidRPr="00FC72EB">
        <w:rPr>
          <w:rFonts w:ascii="Arial" w:hAnsi="Arial" w:cs="Arial"/>
          <w:color w:val="151515"/>
          <w:kern w:val="0"/>
          <w:position w:val="6"/>
          <w:sz w:val="22"/>
          <w:szCs w:val="22"/>
        </w:rPr>
        <w:t xml:space="preserve"> </w:t>
      </w:r>
      <w:r w:rsidR="005461B6">
        <w:rPr>
          <w:rFonts w:ascii="Arial" w:hAnsi="Arial" w:cs="Arial"/>
          <w:color w:val="151515"/>
          <w:kern w:val="0"/>
          <w:position w:val="6"/>
          <w:sz w:val="22"/>
          <w:szCs w:val="22"/>
        </w:rPr>
        <w:t xml:space="preserve">the </w:t>
      </w:r>
      <w:r w:rsidR="00D63004">
        <w:rPr>
          <w:rFonts w:ascii="Arial" w:hAnsi="Arial" w:cs="Arial"/>
          <w:color w:val="151515"/>
          <w:kern w:val="0"/>
          <w:position w:val="6"/>
          <w:sz w:val="22"/>
          <w:szCs w:val="22"/>
          <w14:ligatures w14:val="none"/>
        </w:rPr>
        <w:t>challenges faced in Gaza, the</w:t>
      </w:r>
      <w:r w:rsidR="003371DA">
        <w:rPr>
          <w:rFonts w:ascii="Arial" w:hAnsi="Arial" w:cs="Arial"/>
          <w:color w:val="151515"/>
          <w:kern w:val="0"/>
          <w:position w:val="6"/>
          <w:sz w:val="22"/>
          <w:szCs w:val="22"/>
          <w14:ligatures w14:val="none"/>
        </w:rPr>
        <w:t>re is</w:t>
      </w:r>
      <w:r w:rsidRPr="00FC72EB">
        <w:rPr>
          <w:rFonts w:ascii="Arial" w:hAnsi="Arial" w:cs="Arial"/>
          <w:color w:val="151515"/>
          <w:kern w:val="0"/>
          <w:position w:val="6"/>
          <w:sz w:val="22"/>
          <w:szCs w:val="22"/>
        </w:rPr>
        <w:t xml:space="preserve"> </w:t>
      </w:r>
      <w:r w:rsidR="003371DA">
        <w:rPr>
          <w:rFonts w:ascii="Arial" w:hAnsi="Arial" w:cs="Arial"/>
          <w:color w:val="151515"/>
          <w:kern w:val="0"/>
          <w:position w:val="6"/>
          <w:sz w:val="22"/>
          <w:szCs w:val="22"/>
        </w:rPr>
        <w:t xml:space="preserve">an </w:t>
      </w:r>
      <w:r w:rsidRPr="00FC72EB">
        <w:rPr>
          <w:rFonts w:ascii="Arial" w:hAnsi="Arial" w:cs="Arial"/>
          <w:color w:val="151515"/>
          <w:kern w:val="0"/>
          <w:position w:val="6"/>
          <w:sz w:val="22"/>
          <w:szCs w:val="22"/>
        </w:rPr>
        <w:t xml:space="preserve">obligation to communicate the substantial difficulties they </w:t>
      </w:r>
      <w:r w:rsidR="003371DA">
        <w:rPr>
          <w:rFonts w:ascii="Arial" w:hAnsi="Arial" w:cs="Arial"/>
          <w:color w:val="151515"/>
          <w:kern w:val="0"/>
          <w:position w:val="6"/>
          <w:sz w:val="22"/>
          <w:szCs w:val="22"/>
        </w:rPr>
        <w:t>a</w:t>
      </w:r>
      <w:r w:rsidRPr="00FC72EB">
        <w:rPr>
          <w:rFonts w:ascii="Arial" w:hAnsi="Arial" w:cs="Arial"/>
          <w:color w:val="151515"/>
          <w:kern w:val="0"/>
          <w:position w:val="6"/>
          <w:sz w:val="22"/>
          <w:szCs w:val="22"/>
        </w:rPr>
        <w:t>re encountering</w:t>
      </w:r>
      <w:r w:rsidR="00E248BC">
        <w:rPr>
          <w:rFonts w:ascii="Arial" w:hAnsi="Arial" w:cs="Arial"/>
          <w:color w:val="151515"/>
          <w:kern w:val="0"/>
          <w:position w:val="6"/>
          <w:sz w:val="22"/>
          <w:szCs w:val="22"/>
        </w:rPr>
        <w:t xml:space="preserve"> openly</w:t>
      </w:r>
      <w:r w:rsidRPr="00FC72EB">
        <w:rPr>
          <w:rFonts w:ascii="Arial" w:hAnsi="Arial" w:cs="Arial"/>
          <w:color w:val="151515"/>
          <w:kern w:val="0"/>
          <w:position w:val="6"/>
          <w:sz w:val="22"/>
          <w:szCs w:val="22"/>
        </w:rPr>
        <w:t xml:space="preserve">. This choice extended beyond merely outlining their challenges; it was grounded in a commitment to accountability and ethical responsibility, reflecting the principles of cognitive dissonance and social perception in effective crisis management (Hinojosa </w:t>
      </w:r>
      <w:r w:rsidRPr="00FC72EB">
        <w:rPr>
          <w:rFonts w:ascii="Arial" w:hAnsi="Arial" w:cs="Arial"/>
          <w:i/>
          <w:iCs/>
          <w:color w:val="151515"/>
          <w:kern w:val="0"/>
          <w:position w:val="6"/>
          <w:sz w:val="22"/>
          <w:szCs w:val="22"/>
        </w:rPr>
        <w:t>et al.,</w:t>
      </w:r>
      <w:r w:rsidRPr="00FC72EB">
        <w:rPr>
          <w:rFonts w:ascii="Arial" w:hAnsi="Arial" w:cs="Arial"/>
          <w:color w:val="151515"/>
          <w:kern w:val="0"/>
          <w:position w:val="6"/>
          <w:sz w:val="22"/>
          <w:szCs w:val="22"/>
        </w:rPr>
        <w:t xml:space="preserve"> 2016).</w:t>
      </w:r>
    </w:p>
    <w:p w14:paraId="66F1FFC8" w14:textId="4C8B67AA" w:rsidR="00701220" w:rsidRDefault="00701220" w:rsidP="00207E3A">
      <w:pPr>
        <w:pStyle w:val="Heading2"/>
        <w:rPr>
          <w:b/>
          <w:bCs/>
          <w:color w:val="000000" w:themeColor="text1"/>
          <w:sz w:val="22"/>
          <w:szCs w:val="22"/>
        </w:rPr>
      </w:pPr>
      <w:bookmarkStart w:id="9" w:name="_Toc213260793"/>
      <w:r w:rsidRPr="00207E3A">
        <w:rPr>
          <w:b/>
          <w:bCs/>
          <w:color w:val="000000" w:themeColor="text1"/>
          <w:sz w:val="22"/>
          <w:szCs w:val="22"/>
        </w:rPr>
        <w:t>National and Local Policies and Initiatives</w:t>
      </w:r>
      <w:bookmarkEnd w:id="9"/>
    </w:p>
    <w:p w14:paraId="24FBEA69" w14:textId="77777777" w:rsidR="004A53AD" w:rsidRPr="004A53AD" w:rsidRDefault="004A53AD" w:rsidP="004A53AD"/>
    <w:p w14:paraId="41FDB7D9" w14:textId="77777777" w:rsidR="00E0434D" w:rsidRDefault="0067380E"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 Trussell Trust is a leading UK charity that supports over 1,400 food bank locations. It aims to eliminate hunger and promote Sustainable Development Goal 2 (SDG 2) by improving food security. The organisation offers emergency food parcels containing non-perishable items to those facing financial hardship,</w:t>
      </w:r>
      <w:r w:rsidRPr="00577E48">
        <w:t xml:space="preserve"> </w:t>
      </w:r>
      <w:r>
        <w:t xml:space="preserve">and </w:t>
      </w:r>
      <w:r>
        <w:rPr>
          <w:rFonts w:ascii="Arial" w:eastAsia="Times New Roman" w:hAnsi="Arial" w:cs="Arial"/>
          <w:kern w:val="0"/>
          <w:sz w:val="22"/>
          <w:szCs w:val="22"/>
          <w:lang w:eastAsia="en-GB"/>
          <w14:ligatures w14:val="none"/>
        </w:rPr>
        <w:t>l</w:t>
      </w:r>
      <w:r w:rsidRPr="00577E48">
        <w:rPr>
          <w:rFonts w:ascii="Arial" w:eastAsia="Times New Roman" w:hAnsi="Arial" w:cs="Arial"/>
          <w:kern w:val="0"/>
          <w:sz w:val="22"/>
          <w:szCs w:val="22"/>
          <w:lang w:eastAsia="en-GB"/>
          <w14:ligatures w14:val="none"/>
        </w:rPr>
        <w:t xml:space="preserve">ast year </w:t>
      </w:r>
      <w:r>
        <w:rPr>
          <w:rFonts w:ascii="Arial" w:eastAsia="Times New Roman" w:hAnsi="Arial" w:cs="Arial"/>
          <w:kern w:val="0"/>
          <w:sz w:val="22"/>
          <w:szCs w:val="22"/>
          <w:lang w:eastAsia="en-GB"/>
          <w14:ligatures w14:val="none"/>
        </w:rPr>
        <w:t>it</w:t>
      </w:r>
      <w:r w:rsidRPr="00577E48">
        <w:rPr>
          <w:rFonts w:ascii="Arial" w:eastAsia="Times New Roman" w:hAnsi="Arial" w:cs="Arial"/>
          <w:kern w:val="0"/>
          <w:sz w:val="22"/>
          <w:szCs w:val="22"/>
          <w:lang w:eastAsia="en-GB"/>
          <w14:ligatures w14:val="none"/>
        </w:rPr>
        <w:t xml:space="preserve"> distributed 2.9 million</w:t>
      </w:r>
      <w:r>
        <w:rPr>
          <w:rFonts w:ascii="Arial" w:eastAsia="Times New Roman" w:hAnsi="Arial" w:cs="Arial"/>
          <w:kern w:val="0"/>
          <w:sz w:val="22"/>
          <w:szCs w:val="22"/>
          <w:lang w:eastAsia="en-GB"/>
          <w14:ligatures w14:val="none"/>
        </w:rPr>
        <w:t>. By collaborating with local communities and policymakers, the Trust addresses the root causes of food poverty, such as low income and systemic inequalities</w:t>
      </w:r>
      <w:r w:rsidR="00CE183B" w:rsidRPr="00CE183B">
        <w:rPr>
          <w:rFonts w:ascii="Arial" w:eastAsia="Times New Roman" w:hAnsi="Arial" w:cs="Arial"/>
          <w:kern w:val="0"/>
          <w:sz w:val="22"/>
          <w:szCs w:val="22"/>
          <w:lang w:eastAsia="en-GB"/>
          <w14:ligatures w14:val="none"/>
        </w:rPr>
        <w:t>(Trussell Trust, 2025</w:t>
      </w:r>
      <w:r w:rsidR="00231294">
        <w:rPr>
          <w:rFonts w:ascii="Arial" w:eastAsia="Times New Roman" w:hAnsi="Arial" w:cs="Arial"/>
          <w:kern w:val="0"/>
          <w:sz w:val="22"/>
          <w:szCs w:val="22"/>
          <w:lang w:eastAsia="en-GB"/>
          <w14:ligatures w14:val="none"/>
        </w:rPr>
        <w:t>a</w:t>
      </w:r>
      <w:r w:rsidR="00CE183B" w:rsidRPr="00CE183B">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Through research and advocacy, it raises public awareness and champions policy reforms, especially for vulnerable groups like low-income families and older adults. The Trust is dedicated to building a future without hunger, ensuring nutritious food is accessible to everyone</w:t>
      </w:r>
      <w:r w:rsidR="00A24979">
        <w:rPr>
          <w:rFonts w:ascii="Arial" w:eastAsia="Times New Roman" w:hAnsi="Arial" w:cs="Arial"/>
          <w:kern w:val="0"/>
          <w:sz w:val="22"/>
          <w:szCs w:val="22"/>
          <w:lang w:eastAsia="en-GB"/>
          <w14:ligatures w14:val="none"/>
        </w:rPr>
        <w:t>;</w:t>
      </w:r>
      <w:r w:rsidR="00E712EB">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evidence indicates that stigma discourages many in need from seeking help.</w:t>
      </w:r>
      <w:r w:rsidR="00264FBD">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Others encounter barriers such as limited opening hours, lack of transport, or complex referral procedures</w:t>
      </w:r>
      <w:r w:rsidR="00130F64" w:rsidRPr="00130F64">
        <w:rPr>
          <w:rFonts w:ascii="Arial" w:eastAsia="Times New Roman" w:hAnsi="Arial" w:cs="Arial"/>
          <w:kern w:val="0"/>
          <w:sz w:val="22"/>
          <w:szCs w:val="22"/>
          <w:lang w:eastAsia="en-GB"/>
          <w14:ligatures w14:val="none"/>
        </w:rPr>
        <w:t>(Trussell Trust, 2025</w:t>
      </w:r>
      <w:r w:rsidR="00231294">
        <w:rPr>
          <w:rFonts w:ascii="Arial" w:eastAsia="Times New Roman" w:hAnsi="Arial" w:cs="Arial"/>
          <w:kern w:val="0"/>
          <w:sz w:val="22"/>
          <w:szCs w:val="22"/>
          <w:lang w:eastAsia="en-GB"/>
          <w14:ligatures w14:val="none"/>
        </w:rPr>
        <w:t>b</w:t>
      </w:r>
      <w:r w:rsidR="00130F64" w:rsidRPr="00130F64">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p>
    <w:p w14:paraId="5F6CB296" w14:textId="77777777" w:rsidR="00E0434D" w:rsidRDefault="00E0434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kern w:val="0"/>
          <w:sz w:val="22"/>
          <w:szCs w:val="22"/>
          <w:lang w:eastAsia="en-GB"/>
          <w14:ligatures w14:val="none"/>
        </w:rPr>
      </w:pPr>
    </w:p>
    <w:p w14:paraId="428116DF" w14:textId="3D82D686" w:rsidR="00A54540" w:rsidRDefault="0067380E"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 rising use of food banks highlights deeper issues within welfare and income security systems. While food parcels provide immediate relief, they do not tackle the root causes of poverty, such as low wages, benefit delays, and high living costs. During the COVID-19 pandemic, Trussell Trust food banks distributed a record number of emergency parcels</w:t>
      </w:r>
      <w:r w:rsidR="007034FC">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007034FC">
        <w:rPr>
          <w:rFonts w:ascii="Arial" w:eastAsia="Times New Roman" w:hAnsi="Arial" w:cs="Arial"/>
          <w:kern w:val="0"/>
          <w:sz w:val="22"/>
          <w:szCs w:val="22"/>
          <w:lang w:eastAsia="en-GB"/>
          <w14:ligatures w14:val="none"/>
        </w:rPr>
        <w:t>They</w:t>
      </w:r>
      <w:r>
        <w:rPr>
          <w:rFonts w:ascii="Arial" w:eastAsia="Times New Roman" w:hAnsi="Arial" w:cs="Arial"/>
          <w:kern w:val="0"/>
          <w:sz w:val="22"/>
          <w:szCs w:val="22"/>
          <w:lang w:eastAsia="en-GB"/>
          <w14:ligatures w14:val="none"/>
        </w:rPr>
        <w:t xml:space="preserve"> responded swiftly by partnering with local authorities, supermarkets, and community organisations</w:t>
      </w:r>
      <w:r w:rsidR="00C75DDC">
        <w:rPr>
          <w:rFonts w:ascii="Arial" w:eastAsia="Times New Roman" w:hAnsi="Arial" w:cs="Arial"/>
          <w:kern w:val="0"/>
          <w:sz w:val="22"/>
          <w:szCs w:val="22"/>
          <w:lang w:eastAsia="en-GB"/>
          <w14:ligatures w14:val="none"/>
        </w:rPr>
        <w:t>, which</w:t>
      </w:r>
      <w:r>
        <w:rPr>
          <w:rFonts w:ascii="Arial" w:eastAsia="Times New Roman" w:hAnsi="Arial" w:cs="Arial"/>
          <w:kern w:val="0"/>
          <w:sz w:val="22"/>
          <w:szCs w:val="22"/>
          <w:lang w:eastAsia="en-GB"/>
          <w14:ligatures w14:val="none"/>
        </w:rPr>
        <w:t xml:space="preserve"> have also helped reduce the stigma associated with food banks across various areas, making it easier for people to seek </w:t>
      </w:r>
      <w:r w:rsidR="00C75DDC">
        <w:rPr>
          <w:rFonts w:ascii="Arial" w:eastAsia="Times New Roman" w:hAnsi="Arial" w:cs="Arial"/>
          <w:kern w:val="0"/>
          <w:sz w:val="22"/>
          <w:szCs w:val="22"/>
          <w:lang w:eastAsia="en-GB"/>
          <w14:ligatures w14:val="none"/>
        </w:rPr>
        <w:t>help</w:t>
      </w:r>
      <w:r w:rsidR="00426F70" w:rsidRPr="00426F70">
        <w:rPr>
          <w:rFonts w:ascii="-webkit-standard" w:hAnsi="-webkit-standard"/>
          <w:color w:val="000000"/>
          <w:sz w:val="27"/>
          <w:szCs w:val="27"/>
        </w:rPr>
        <w:t xml:space="preserve"> </w:t>
      </w:r>
      <w:r w:rsidR="00426F70" w:rsidRPr="00426F70">
        <w:rPr>
          <w:rFonts w:ascii="Arial" w:eastAsia="Times New Roman" w:hAnsi="Arial" w:cs="Arial"/>
          <w:kern w:val="0"/>
          <w:sz w:val="22"/>
          <w:szCs w:val="22"/>
          <w:lang w:eastAsia="en-GB"/>
          <w14:ligatures w14:val="none"/>
        </w:rPr>
        <w:t>(Lambie-Mumford and Lambie-Mumford, 2018</w:t>
      </w:r>
      <w:r w:rsidR="008E4EC7">
        <w:rPr>
          <w:rFonts w:ascii="Arial" w:eastAsia="Times New Roman" w:hAnsi="Arial" w:cs="Arial"/>
          <w:kern w:val="0"/>
          <w:sz w:val="22"/>
          <w:szCs w:val="22"/>
          <w:lang w:eastAsia="en-GB"/>
          <w14:ligatures w14:val="none"/>
        </w:rPr>
        <w:t>a</w:t>
      </w:r>
      <w:r w:rsidR="00426F70">
        <w:rPr>
          <w:rFonts w:ascii="Arial" w:eastAsia="Times New Roman" w:hAnsi="Arial" w:cs="Arial"/>
          <w:kern w:val="0"/>
          <w:sz w:val="22"/>
          <w:szCs w:val="22"/>
          <w:lang w:eastAsia="en-GB"/>
          <w14:ligatures w14:val="none"/>
        </w:rPr>
        <w:t>;</w:t>
      </w:r>
      <w:r w:rsidR="00332AD3" w:rsidRPr="00332AD3">
        <w:rPr>
          <w:rFonts w:ascii="-webkit-standard" w:hAnsi="-webkit-standard"/>
          <w:color w:val="000000"/>
          <w:sz w:val="27"/>
          <w:szCs w:val="27"/>
        </w:rPr>
        <w:t xml:space="preserve"> </w:t>
      </w:r>
      <w:r w:rsidR="00332AD3" w:rsidRPr="00332AD3">
        <w:rPr>
          <w:rFonts w:ascii="Arial" w:hAnsi="Arial" w:cs="Arial"/>
          <w:color w:val="000000"/>
          <w:sz w:val="22"/>
          <w:szCs w:val="22"/>
        </w:rPr>
        <w:t>Sosenko</w:t>
      </w:r>
      <w:r w:rsidR="00332AD3" w:rsidRPr="00332AD3">
        <w:rPr>
          <w:rStyle w:val="apple-converted-space"/>
          <w:rFonts w:ascii="Arial" w:hAnsi="Arial" w:cs="Arial"/>
          <w:color w:val="000000"/>
          <w:sz w:val="22"/>
          <w:szCs w:val="22"/>
        </w:rPr>
        <w:t> </w:t>
      </w:r>
      <w:r w:rsidR="00332AD3" w:rsidRPr="00332AD3">
        <w:rPr>
          <w:rFonts w:ascii="Arial" w:hAnsi="Arial" w:cs="Arial"/>
          <w:i/>
          <w:iCs/>
          <w:color w:val="000000"/>
          <w:sz w:val="22"/>
          <w:szCs w:val="22"/>
        </w:rPr>
        <w:t>et al.</w:t>
      </w:r>
      <w:r w:rsidR="00332AD3" w:rsidRPr="00332AD3">
        <w:rPr>
          <w:rFonts w:ascii="Arial" w:hAnsi="Arial" w:cs="Arial"/>
          <w:color w:val="000000"/>
          <w:sz w:val="22"/>
          <w:szCs w:val="22"/>
        </w:rPr>
        <w:t>, 2022)</w:t>
      </w:r>
      <w:r w:rsidRPr="00332AD3">
        <w:rPr>
          <w:rFonts w:ascii="Arial" w:eastAsia="Times New Roman" w:hAnsi="Arial" w:cs="Arial"/>
          <w:kern w:val="0"/>
          <w:sz w:val="22"/>
          <w:szCs w:val="22"/>
          <w:lang w:eastAsia="en-GB"/>
          <w14:ligatures w14:val="none"/>
        </w:rPr>
        <w:t>.</w:t>
      </w:r>
      <w:r w:rsidR="006B74FD" w:rsidRPr="006B74FD">
        <w:rPr>
          <w:rFonts w:ascii="Arial" w:hAnsi="Arial" w:cs="Arial"/>
          <w:color w:val="1C1C1C"/>
          <w:sz w:val="22"/>
          <w:szCs w:val="22"/>
          <w:shd w:val="clear" w:color="auto" w:fill="FFFFFF"/>
        </w:rPr>
        <w:t xml:space="preserve"> </w:t>
      </w:r>
      <w:r w:rsidR="006B74FD" w:rsidRPr="006B74FD">
        <w:rPr>
          <w:rFonts w:ascii="Arial" w:eastAsia="Times New Roman" w:hAnsi="Arial" w:cs="Arial"/>
          <w:kern w:val="0"/>
          <w:sz w:val="22"/>
          <w:szCs w:val="22"/>
          <w:lang w:eastAsia="en-GB"/>
          <w14:ligatures w14:val="none"/>
        </w:rPr>
        <w:t xml:space="preserve">The Trussell Trust advocates a cash-first approach </w:t>
      </w:r>
      <w:r w:rsidR="006B74FD" w:rsidRPr="006B74FD">
        <w:rPr>
          <w:rFonts w:ascii="Arial" w:eastAsia="Times New Roman" w:hAnsi="Arial" w:cs="Arial"/>
          <w:kern w:val="0"/>
          <w:sz w:val="22"/>
          <w:szCs w:val="22"/>
          <w:lang w:eastAsia="en-GB"/>
          <w14:ligatures w14:val="none"/>
        </w:rPr>
        <w:lastRenderedPageBreak/>
        <w:t>to combat UK poverty and food insecurity, emphasising financial resources over food aid. Immediate cash access helps maintain dignity and independence and addresses poverty's root causes(Trussell Trust, 2022)</w:t>
      </w:r>
      <w:r w:rsidR="00126BA4">
        <w:rPr>
          <w:rFonts w:ascii="Arial" w:eastAsia="Times New Roman" w:hAnsi="Arial" w:cs="Arial"/>
          <w:kern w:val="0"/>
          <w:sz w:val="22"/>
          <w:szCs w:val="22"/>
          <w:lang w:eastAsia="en-GB"/>
          <w14:ligatures w14:val="none"/>
        </w:rPr>
        <w:t>.</w:t>
      </w:r>
    </w:p>
    <w:p w14:paraId="12C5E213" w14:textId="77777777" w:rsidR="00E853C5" w:rsidRDefault="00E853C5"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kern w:val="0"/>
          <w:sz w:val="22"/>
          <w:szCs w:val="22"/>
          <w:lang w:eastAsia="en-GB"/>
          <w14:ligatures w14:val="none"/>
        </w:rPr>
      </w:pPr>
    </w:p>
    <w:p w14:paraId="47E89826" w14:textId="3BE0D073" w:rsidR="0067380E" w:rsidRDefault="0067380E"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r>
        <w:rPr>
          <w:rFonts w:ascii="Arial" w:hAnsi="Arial" w:cs="Arial"/>
          <w:sz w:val="22"/>
          <w:szCs w:val="22"/>
        </w:rPr>
        <w:t>Himmah is a dedicated social justice organisation committed to tackling critical issues such as food poverty and social inequality. As the largest independent food bank in Nottingham, Himmah provides essential food supplies and emergency relief to thousands of individuals and families each month. Their operations include distributing non-perishable food</w:t>
      </w:r>
      <w:r w:rsidR="00554265">
        <w:rPr>
          <w:rFonts w:ascii="Arial" w:hAnsi="Arial" w:cs="Arial"/>
          <w:sz w:val="22"/>
          <w:szCs w:val="22"/>
        </w:rPr>
        <w:t xml:space="preserve"> and</w:t>
      </w:r>
      <w:r>
        <w:rPr>
          <w:rFonts w:ascii="Arial" w:hAnsi="Arial" w:cs="Arial"/>
          <w:sz w:val="22"/>
          <w:szCs w:val="22"/>
        </w:rPr>
        <w:t xml:space="preserve"> fresh produce. Collaboration is central to their approach</w:t>
      </w:r>
      <w:r w:rsidR="0087190D" w:rsidRPr="00395517">
        <w:rPr>
          <w:rFonts w:ascii="Arial" w:hAnsi="Arial" w:cs="Arial"/>
          <w:sz w:val="22"/>
          <w:szCs w:val="22"/>
        </w:rPr>
        <w:t>(Lambie-Mumford and Lambie-Mumford, 2018b)</w:t>
      </w:r>
      <w:r>
        <w:rPr>
          <w:rFonts w:ascii="Arial" w:hAnsi="Arial" w:cs="Arial"/>
          <w:sz w:val="22"/>
          <w:szCs w:val="22"/>
        </w:rPr>
        <w:t>. Himmah partners with the Trussell Trust to expand its outreach and strengthen support networks, reaching even more community members. The ongoing cost-of-living crisis and rising inflation have significantly increased the need for food banks and hot meal programs, pushing more people into relative poverty</w:t>
      </w:r>
      <w:r w:rsidR="002E7E1C" w:rsidRPr="002E7E1C">
        <w:rPr>
          <w:rFonts w:ascii="Arial" w:hAnsi="Arial" w:cs="Arial"/>
          <w:sz w:val="22"/>
          <w:szCs w:val="22"/>
        </w:rPr>
        <w:t>(Loopstra and Lambie-Mumford, 2023)</w:t>
      </w:r>
      <w:r>
        <w:rPr>
          <w:rFonts w:ascii="Arial" w:hAnsi="Arial" w:cs="Arial"/>
          <w:sz w:val="22"/>
          <w:szCs w:val="22"/>
        </w:rPr>
        <w:t>. In response, Himmah has launched a user-friendly website and in-person drop-in services across the city, connecting multiple organisations and providing essential guidance through a single accessible platform. Their Foodprint initiative operates a mobile service to collect surplus food and deliver it directly to those in need</w:t>
      </w:r>
      <w:r w:rsidR="001249C9">
        <w:rPr>
          <w:rFonts w:ascii="Arial" w:hAnsi="Arial" w:cs="Arial"/>
          <w:sz w:val="22"/>
          <w:szCs w:val="22"/>
        </w:rPr>
        <w:t>. T</w:t>
      </w:r>
      <w:r>
        <w:rPr>
          <w:rFonts w:ascii="Arial" w:hAnsi="Arial" w:cs="Arial"/>
          <w:sz w:val="22"/>
          <w:szCs w:val="22"/>
        </w:rPr>
        <w:t xml:space="preserve">hey offer cooking classes </w:t>
      </w:r>
      <w:r w:rsidR="0064072D">
        <w:rPr>
          <w:rFonts w:ascii="Arial" w:hAnsi="Arial" w:cs="Arial"/>
          <w:sz w:val="22"/>
          <w:szCs w:val="22"/>
        </w:rPr>
        <w:t xml:space="preserve">from </w:t>
      </w:r>
      <w:r>
        <w:rPr>
          <w:rFonts w:ascii="Arial" w:hAnsi="Arial" w:cs="Arial"/>
          <w:sz w:val="22"/>
          <w:szCs w:val="22"/>
        </w:rPr>
        <w:t>their food parcels. Himmah distributes over 11,000 food parcels</w:t>
      </w:r>
      <w:r w:rsidR="00A44ABF">
        <w:rPr>
          <w:rFonts w:ascii="Arial" w:hAnsi="Arial" w:cs="Arial"/>
          <w:sz w:val="22"/>
          <w:szCs w:val="22"/>
        </w:rPr>
        <w:t xml:space="preserve"> annually</w:t>
      </w:r>
      <w:r>
        <w:rPr>
          <w:rFonts w:ascii="Arial" w:hAnsi="Arial" w:cs="Arial"/>
          <w:sz w:val="22"/>
          <w:szCs w:val="22"/>
        </w:rPr>
        <w:t>, averaging 300-350</w:t>
      </w:r>
      <w:r w:rsidR="00814595">
        <w:rPr>
          <w:rFonts w:ascii="Arial" w:hAnsi="Arial" w:cs="Arial"/>
          <w:sz w:val="22"/>
          <w:szCs w:val="22"/>
        </w:rPr>
        <w:t xml:space="preserve"> a week</w:t>
      </w:r>
      <w:r w:rsidR="00A46139" w:rsidRPr="00A46139">
        <w:rPr>
          <w:rFonts w:ascii="Arial" w:hAnsi="Arial" w:cs="Arial"/>
          <w:sz w:val="22"/>
          <w:szCs w:val="22"/>
        </w:rPr>
        <w:t>(Himmah, n</w:t>
      </w:r>
      <w:r w:rsidR="00DE185E">
        <w:rPr>
          <w:rFonts w:ascii="Arial" w:hAnsi="Arial" w:cs="Arial"/>
          <w:sz w:val="22"/>
          <w:szCs w:val="22"/>
        </w:rPr>
        <w:t>o date</w:t>
      </w:r>
      <w:r w:rsidR="004301D3">
        <w:rPr>
          <w:rFonts w:ascii="Arial" w:hAnsi="Arial" w:cs="Arial"/>
          <w:sz w:val="22"/>
          <w:szCs w:val="22"/>
        </w:rPr>
        <w:t>;</w:t>
      </w:r>
      <w:r w:rsidR="00D25949" w:rsidRPr="00D25949">
        <w:rPr>
          <w:rFonts w:ascii="-webkit-standard" w:hAnsi="-webkit-standard"/>
          <w:color w:val="000000"/>
          <w:sz w:val="27"/>
          <w:szCs w:val="27"/>
        </w:rPr>
        <w:t xml:space="preserve"> </w:t>
      </w:r>
      <w:r w:rsidR="00D25949" w:rsidRPr="00D25949">
        <w:rPr>
          <w:rFonts w:ascii="Arial" w:hAnsi="Arial" w:cs="Arial"/>
          <w:color w:val="000000"/>
          <w:sz w:val="22"/>
          <w:szCs w:val="22"/>
        </w:rPr>
        <w:t>Oldroyd</w:t>
      </w:r>
      <w:r w:rsidR="00D25949" w:rsidRPr="00D25949">
        <w:rPr>
          <w:rStyle w:val="apple-converted-space"/>
          <w:rFonts w:ascii="Arial" w:hAnsi="Arial" w:cs="Arial"/>
          <w:color w:val="000000"/>
          <w:sz w:val="22"/>
          <w:szCs w:val="22"/>
        </w:rPr>
        <w:t> </w:t>
      </w:r>
      <w:r w:rsidR="00D25949" w:rsidRPr="00D25949">
        <w:rPr>
          <w:rFonts w:ascii="Arial" w:hAnsi="Arial" w:cs="Arial"/>
          <w:i/>
          <w:iCs/>
          <w:color w:val="000000"/>
          <w:sz w:val="22"/>
          <w:szCs w:val="22"/>
        </w:rPr>
        <w:t>et al.</w:t>
      </w:r>
      <w:r w:rsidR="00D25949" w:rsidRPr="00D25949">
        <w:rPr>
          <w:rFonts w:ascii="Arial" w:hAnsi="Arial" w:cs="Arial"/>
          <w:color w:val="000000"/>
          <w:sz w:val="22"/>
          <w:szCs w:val="22"/>
        </w:rPr>
        <w:t>, 2022</w:t>
      </w:r>
      <w:r w:rsidR="00950090">
        <w:rPr>
          <w:rFonts w:ascii="Arial" w:hAnsi="Arial" w:cs="Arial"/>
          <w:color w:val="000000"/>
          <w:sz w:val="22"/>
          <w:szCs w:val="22"/>
        </w:rPr>
        <w:t>a</w:t>
      </w:r>
      <w:r w:rsidR="00A46139" w:rsidRPr="00D25949">
        <w:rPr>
          <w:rFonts w:ascii="Arial" w:hAnsi="Arial" w:cs="Arial"/>
          <w:sz w:val="22"/>
          <w:szCs w:val="22"/>
        </w:rPr>
        <w:t>)</w:t>
      </w:r>
      <w:r w:rsidR="00814595" w:rsidRPr="00D25949">
        <w:rPr>
          <w:rFonts w:ascii="Arial" w:hAnsi="Arial" w:cs="Arial"/>
          <w:sz w:val="22"/>
          <w:szCs w:val="22"/>
        </w:rPr>
        <w:t>.</w:t>
      </w:r>
    </w:p>
    <w:p w14:paraId="29615BC5" w14:textId="77777777" w:rsidR="001C37FD" w:rsidRDefault="001C37F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016934F0" w14:textId="77777777" w:rsidR="001C37FD" w:rsidRDefault="001C37F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48783CA5" w14:textId="77777777" w:rsidR="001C37FD" w:rsidRDefault="001C37F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7C2238A2" w14:textId="77777777" w:rsidR="001C37FD" w:rsidRDefault="001C37F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01347B07" w14:textId="77777777" w:rsidR="001C37FD" w:rsidRDefault="001C37F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704ABC15" w14:textId="77777777" w:rsidR="001C37FD" w:rsidRDefault="001C37F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6D02782A" w14:textId="77777777" w:rsidR="001C37FD" w:rsidRDefault="001C37FD"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68E28C28" w14:textId="77777777" w:rsidR="00946E7B" w:rsidRDefault="00946E7B"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51A0543C" w14:textId="77777777" w:rsidR="00946E7B" w:rsidRDefault="00946E7B"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53F50A94" w14:textId="77777777" w:rsidR="00946E7B" w:rsidRDefault="00946E7B" w:rsidP="006738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hAnsi="Arial" w:cs="Arial"/>
          <w:sz w:val="22"/>
          <w:szCs w:val="22"/>
        </w:rPr>
      </w:pPr>
    </w:p>
    <w:p w14:paraId="098548BC" w14:textId="77777777" w:rsidR="00946E7B" w:rsidRDefault="00946E7B" w:rsidP="00F07C77">
      <w:pPr>
        <w:pStyle w:val="Heading1"/>
        <w:rPr>
          <w:rFonts w:ascii="Arial" w:hAnsi="Arial" w:cs="Arial"/>
          <w:b/>
          <w:bCs/>
          <w:color w:val="000000" w:themeColor="text1"/>
          <w:sz w:val="22"/>
          <w:szCs w:val="22"/>
          <w:shd w:val="clear" w:color="auto" w:fill="FFFFFF"/>
        </w:rPr>
      </w:pPr>
      <w:bookmarkStart w:id="10" w:name="_Toc213260794"/>
    </w:p>
    <w:p w14:paraId="4E274A2B" w14:textId="77777777" w:rsidR="00925E80" w:rsidRPr="00925E80" w:rsidRDefault="00925E80" w:rsidP="00925E80"/>
    <w:p w14:paraId="0AD447E3" w14:textId="77777777" w:rsidR="00AA7DA2" w:rsidRPr="00AA7DA2" w:rsidRDefault="00AA7DA2" w:rsidP="00AA7DA2"/>
    <w:p w14:paraId="1A2AE7C3" w14:textId="51356C37" w:rsidR="0062717C" w:rsidRPr="00D777FD" w:rsidRDefault="0062717C" w:rsidP="00F07C77">
      <w:pPr>
        <w:pStyle w:val="Heading1"/>
        <w:rPr>
          <w:rFonts w:ascii="Arial" w:hAnsi="Arial" w:cs="Arial"/>
          <w:b/>
          <w:bCs/>
          <w:color w:val="000000" w:themeColor="text1"/>
          <w:sz w:val="22"/>
          <w:szCs w:val="22"/>
          <w:shd w:val="clear" w:color="auto" w:fill="FFFFFF"/>
        </w:rPr>
      </w:pPr>
      <w:r w:rsidRPr="00D777FD">
        <w:rPr>
          <w:rFonts w:ascii="Arial" w:hAnsi="Arial" w:cs="Arial"/>
          <w:b/>
          <w:bCs/>
          <w:color w:val="000000" w:themeColor="text1"/>
          <w:sz w:val="22"/>
          <w:szCs w:val="22"/>
          <w:shd w:val="clear" w:color="auto" w:fill="FFFFFF"/>
        </w:rPr>
        <w:lastRenderedPageBreak/>
        <w:t>Conclusion</w:t>
      </w:r>
      <w:bookmarkEnd w:id="10"/>
    </w:p>
    <w:p w14:paraId="1EBE25B4" w14:textId="2650EA20" w:rsidR="00055DC4" w:rsidRDefault="002644BE"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r w:rsidRPr="0055304B">
        <w:rPr>
          <w:rFonts w:ascii="Arial" w:hAnsi="Arial" w:cs="Arial"/>
          <w:color w:val="151515"/>
          <w:kern w:val="0"/>
          <w:position w:val="6"/>
          <w:sz w:val="22"/>
          <w:szCs w:val="22"/>
        </w:rPr>
        <w:t>Sustainable Development Goal</w:t>
      </w:r>
      <w:r w:rsidR="0055304B">
        <w:rPr>
          <w:rFonts w:ascii="Arial" w:hAnsi="Arial" w:cs="Arial"/>
          <w:color w:val="151515"/>
          <w:kern w:val="0"/>
          <w:position w:val="6"/>
          <w:sz w:val="22"/>
          <w:szCs w:val="22"/>
        </w:rPr>
        <w:t>s</w:t>
      </w:r>
      <w:r w:rsidRPr="0055304B">
        <w:rPr>
          <w:rFonts w:ascii="Arial" w:hAnsi="Arial" w:cs="Arial"/>
          <w:color w:val="151515"/>
          <w:kern w:val="0"/>
          <w:position w:val="6"/>
          <w:sz w:val="22"/>
          <w:szCs w:val="22"/>
        </w:rPr>
        <w:t xml:space="preserve"> 3 (Good Health and Well-Being) and 2 (Zero Hunger) </w:t>
      </w:r>
      <w:r w:rsidR="0055304B">
        <w:rPr>
          <w:rFonts w:ascii="Arial" w:hAnsi="Arial" w:cs="Arial"/>
          <w:color w:val="151515"/>
          <w:kern w:val="0"/>
          <w:position w:val="6"/>
          <w:sz w:val="22"/>
          <w:szCs w:val="22"/>
        </w:rPr>
        <w:t>are</w:t>
      </w:r>
      <w:r w:rsidRPr="0055304B">
        <w:rPr>
          <w:rFonts w:ascii="Arial" w:hAnsi="Arial" w:cs="Arial"/>
          <w:color w:val="151515"/>
          <w:kern w:val="0"/>
          <w:position w:val="6"/>
          <w:sz w:val="22"/>
          <w:szCs w:val="22"/>
        </w:rPr>
        <w:t xml:space="preserve"> essential priorities within the United Nations’ 2030 Agenda, aiming to foster healthier, more equitable, and sustainable societies. Globally, initiatives by organisations such as Médecins Sans Frontières and the World Food Programme demonstrate the significance of international cooperation, innovation, and resilience in addressing health and food insecurity challenges</w:t>
      </w:r>
      <w:r w:rsidR="00DE61FF">
        <w:rPr>
          <w:rFonts w:ascii="Arial" w:hAnsi="Arial" w:cs="Arial"/>
          <w:sz w:val="22"/>
          <w:szCs w:val="22"/>
        </w:rPr>
        <w:t xml:space="preserve"> </w:t>
      </w:r>
      <w:r w:rsidRPr="0055304B">
        <w:rPr>
          <w:rFonts w:ascii="Arial" w:hAnsi="Arial" w:cs="Arial"/>
          <w:color w:val="151515"/>
          <w:kern w:val="0"/>
          <w:position w:val="6"/>
          <w:sz w:val="22"/>
          <w:szCs w:val="22"/>
        </w:rPr>
        <w:t xml:space="preserve"> </w:t>
      </w:r>
      <w:r w:rsidR="0017799D" w:rsidRPr="0017799D">
        <w:rPr>
          <w:rFonts w:ascii="Arial" w:hAnsi="Arial" w:cs="Arial"/>
          <w:color w:val="151515"/>
          <w:kern w:val="0"/>
          <w:position w:val="6"/>
          <w:sz w:val="22"/>
          <w:szCs w:val="22"/>
        </w:rPr>
        <w:t xml:space="preserve">(Lakioti </w:t>
      </w:r>
      <w:r w:rsidR="0017799D" w:rsidRPr="0017799D">
        <w:rPr>
          <w:rFonts w:ascii="Arial" w:hAnsi="Arial" w:cs="Arial"/>
          <w:i/>
          <w:iCs/>
          <w:color w:val="151515"/>
          <w:kern w:val="0"/>
          <w:position w:val="6"/>
          <w:sz w:val="22"/>
          <w:szCs w:val="22"/>
        </w:rPr>
        <w:t>et al.,</w:t>
      </w:r>
      <w:r w:rsidR="0017799D" w:rsidRPr="0017799D">
        <w:rPr>
          <w:rFonts w:ascii="Arial" w:hAnsi="Arial" w:cs="Arial"/>
          <w:color w:val="151515"/>
          <w:kern w:val="0"/>
          <w:position w:val="6"/>
          <w:sz w:val="22"/>
          <w:szCs w:val="22"/>
        </w:rPr>
        <w:t xml:space="preserve"> 2025</w:t>
      </w:r>
      <w:r w:rsidR="00B7447C">
        <w:rPr>
          <w:rFonts w:ascii="Arial" w:hAnsi="Arial" w:cs="Arial"/>
          <w:color w:val="151515"/>
          <w:kern w:val="0"/>
          <w:position w:val="6"/>
          <w:sz w:val="22"/>
          <w:szCs w:val="22"/>
        </w:rPr>
        <w:t>b</w:t>
      </w:r>
      <w:r w:rsidR="0017799D" w:rsidRPr="0017799D">
        <w:rPr>
          <w:rFonts w:ascii="Arial" w:hAnsi="Arial" w:cs="Arial"/>
          <w:color w:val="151515"/>
          <w:kern w:val="0"/>
          <w:position w:val="6"/>
          <w:sz w:val="22"/>
          <w:szCs w:val="22"/>
        </w:rPr>
        <w:t>).</w:t>
      </w:r>
      <w:r w:rsidR="00B7447C">
        <w:rPr>
          <w:rFonts w:ascii="Arial" w:hAnsi="Arial" w:cs="Arial"/>
          <w:color w:val="151515"/>
          <w:kern w:val="0"/>
          <w:position w:val="6"/>
          <w:sz w:val="22"/>
          <w:szCs w:val="22"/>
        </w:rPr>
        <w:t xml:space="preserve"> </w:t>
      </w:r>
      <w:r w:rsidRPr="0055304B">
        <w:rPr>
          <w:rFonts w:ascii="Arial" w:hAnsi="Arial" w:cs="Arial"/>
          <w:color w:val="151515"/>
          <w:kern w:val="0"/>
          <w:position w:val="6"/>
          <w:sz w:val="22"/>
          <w:szCs w:val="22"/>
        </w:rPr>
        <w:t>Within the UK, national and local strategies</w:t>
      </w:r>
      <w:r w:rsidR="0055304B">
        <w:rPr>
          <w:rFonts w:ascii="Arial" w:hAnsi="Arial" w:cs="Arial"/>
          <w:color w:val="151515"/>
          <w:kern w:val="0"/>
          <w:position w:val="6"/>
          <w:sz w:val="22"/>
          <w:szCs w:val="22"/>
        </w:rPr>
        <w:t xml:space="preserve">, </w:t>
      </w:r>
      <w:r w:rsidRPr="0055304B">
        <w:rPr>
          <w:rFonts w:ascii="Arial" w:hAnsi="Arial" w:cs="Arial"/>
          <w:color w:val="151515"/>
          <w:kern w:val="0"/>
          <w:position w:val="6"/>
          <w:sz w:val="22"/>
          <w:szCs w:val="22"/>
        </w:rPr>
        <w:t>including the NHS 10-Year</w:t>
      </w:r>
      <w:r w:rsidR="00CF264D">
        <w:rPr>
          <w:rFonts w:ascii="Arial" w:hAnsi="Arial" w:cs="Arial"/>
          <w:color w:val="151515"/>
          <w:kern w:val="0"/>
          <w:position w:val="6"/>
          <w:sz w:val="22"/>
          <w:szCs w:val="22"/>
        </w:rPr>
        <w:t xml:space="preserve"> Plan</w:t>
      </w:r>
      <w:r w:rsidRPr="0055304B">
        <w:rPr>
          <w:rFonts w:ascii="Arial" w:hAnsi="Arial" w:cs="Arial"/>
          <w:color w:val="151515"/>
          <w:kern w:val="0"/>
          <w:position w:val="6"/>
          <w:sz w:val="22"/>
          <w:szCs w:val="22"/>
        </w:rPr>
        <w:t>, the Trussell Trust, and Himmah</w:t>
      </w:r>
      <w:r w:rsidR="0055304B">
        <w:rPr>
          <w:rFonts w:ascii="Arial" w:hAnsi="Arial" w:cs="Arial"/>
          <w:color w:val="151515"/>
          <w:kern w:val="0"/>
          <w:position w:val="6"/>
          <w:sz w:val="22"/>
          <w:szCs w:val="22"/>
        </w:rPr>
        <w:t xml:space="preserve">, </w:t>
      </w:r>
      <w:r w:rsidRPr="0055304B">
        <w:rPr>
          <w:rFonts w:ascii="Arial" w:hAnsi="Arial" w:cs="Arial"/>
          <w:color w:val="151515"/>
          <w:kern w:val="0"/>
          <w:position w:val="6"/>
          <w:sz w:val="22"/>
          <w:szCs w:val="22"/>
        </w:rPr>
        <w:t>underscore the importance of both systemic reforms and grassroots engagement. However, persistent obstacles such as funding constraints, health disparities, stigma, and complex social determinants highlight the need for ongoing investment, robust evaluation, and adaptive strategies</w:t>
      </w:r>
      <w:r w:rsidR="00327D8B">
        <w:rPr>
          <w:rFonts w:ascii="Arial" w:hAnsi="Arial" w:cs="Arial"/>
          <w:color w:val="151515"/>
          <w:kern w:val="0"/>
          <w:position w:val="6"/>
          <w:sz w:val="22"/>
          <w:szCs w:val="22"/>
        </w:rPr>
        <w:t xml:space="preserve"> (</w:t>
      </w:r>
      <w:r w:rsidR="00792B48" w:rsidRPr="00792B48">
        <w:rPr>
          <w:rFonts w:ascii="Arial" w:hAnsi="Arial" w:cs="Arial"/>
          <w:color w:val="151515"/>
          <w:kern w:val="0"/>
          <w:position w:val="6"/>
          <w:sz w:val="22"/>
          <w:szCs w:val="22"/>
        </w:rPr>
        <w:t>Oldroyd </w:t>
      </w:r>
      <w:r w:rsidR="00792B48" w:rsidRPr="00792B48">
        <w:rPr>
          <w:rFonts w:ascii="Arial" w:hAnsi="Arial" w:cs="Arial"/>
          <w:i/>
          <w:iCs/>
          <w:color w:val="151515"/>
          <w:kern w:val="0"/>
          <w:position w:val="6"/>
          <w:sz w:val="22"/>
          <w:szCs w:val="22"/>
        </w:rPr>
        <w:t>et al.</w:t>
      </w:r>
      <w:r w:rsidR="00792B48" w:rsidRPr="00792B48">
        <w:rPr>
          <w:rFonts w:ascii="Arial" w:hAnsi="Arial" w:cs="Arial"/>
          <w:color w:val="151515"/>
          <w:kern w:val="0"/>
          <w:position w:val="6"/>
          <w:sz w:val="22"/>
          <w:szCs w:val="22"/>
        </w:rPr>
        <w:t>, 2022</w:t>
      </w:r>
      <w:r w:rsidR="00832C7F">
        <w:rPr>
          <w:rFonts w:ascii="Arial" w:hAnsi="Arial" w:cs="Arial"/>
          <w:color w:val="151515"/>
          <w:kern w:val="0"/>
          <w:position w:val="6"/>
          <w:sz w:val="22"/>
          <w:szCs w:val="22"/>
        </w:rPr>
        <w:t>b</w:t>
      </w:r>
      <w:r w:rsidR="00792B48">
        <w:rPr>
          <w:rFonts w:ascii="Arial" w:hAnsi="Arial" w:cs="Arial"/>
          <w:color w:val="151515"/>
          <w:kern w:val="0"/>
          <w:position w:val="6"/>
          <w:sz w:val="22"/>
          <w:szCs w:val="22"/>
        </w:rPr>
        <w:t>)</w:t>
      </w:r>
      <w:r w:rsidRPr="0055304B">
        <w:rPr>
          <w:rFonts w:ascii="Arial" w:hAnsi="Arial" w:cs="Arial"/>
          <w:color w:val="151515"/>
          <w:kern w:val="0"/>
          <w:position w:val="6"/>
          <w:sz w:val="22"/>
          <w:szCs w:val="22"/>
        </w:rPr>
        <w:t>.</w:t>
      </w:r>
      <w:r w:rsidR="00055DC4">
        <w:rPr>
          <w:rFonts w:ascii="Arial" w:hAnsi="Arial" w:cs="Arial"/>
          <w:color w:val="151515"/>
          <w:kern w:val="0"/>
          <w:position w:val="6"/>
          <w:sz w:val="22"/>
          <w:szCs w:val="22"/>
        </w:rPr>
        <w:t xml:space="preserve"> </w:t>
      </w:r>
    </w:p>
    <w:p w14:paraId="39F6F320" w14:textId="5AB6C0E2" w:rsidR="00AB0896" w:rsidRDefault="002644BE"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r w:rsidRPr="0055304B">
        <w:rPr>
          <w:rFonts w:ascii="Arial" w:hAnsi="Arial" w:cs="Arial"/>
          <w:color w:val="151515"/>
          <w:kern w:val="0"/>
          <w:position w:val="6"/>
          <w:sz w:val="22"/>
          <w:szCs w:val="22"/>
        </w:rPr>
        <w:t>Enhancing the effectiveness of these SDG programs requires not only evidence-based interventions, strong multisector partnerships, and stakeholder engagement, but also a commitment to addressing root causes and promoting inclusivity</w:t>
      </w:r>
      <w:r w:rsidR="00693996" w:rsidRPr="00693996">
        <w:rPr>
          <w:rFonts w:ascii="Arial" w:hAnsi="Arial" w:cs="Arial"/>
          <w:color w:val="151515"/>
          <w:kern w:val="0"/>
          <w:position w:val="6"/>
          <w:sz w:val="22"/>
          <w:szCs w:val="22"/>
        </w:rPr>
        <w:t>(Guenduez </w:t>
      </w:r>
      <w:r w:rsidR="00693996" w:rsidRPr="00693996">
        <w:rPr>
          <w:rFonts w:ascii="Arial" w:hAnsi="Arial" w:cs="Arial"/>
          <w:i/>
          <w:iCs/>
          <w:color w:val="151515"/>
          <w:kern w:val="0"/>
          <w:position w:val="6"/>
          <w:sz w:val="22"/>
          <w:szCs w:val="22"/>
        </w:rPr>
        <w:t>et al.</w:t>
      </w:r>
      <w:r w:rsidR="00693996" w:rsidRPr="00693996">
        <w:rPr>
          <w:rFonts w:ascii="Arial" w:hAnsi="Arial" w:cs="Arial"/>
          <w:color w:val="151515"/>
          <w:kern w:val="0"/>
          <w:position w:val="6"/>
          <w:sz w:val="22"/>
          <w:szCs w:val="22"/>
        </w:rPr>
        <w:t>, 2018</w:t>
      </w:r>
      <w:r w:rsidR="00683AFB">
        <w:rPr>
          <w:rFonts w:ascii="Arial" w:hAnsi="Arial" w:cs="Arial"/>
          <w:color w:val="151515"/>
          <w:kern w:val="0"/>
          <w:position w:val="6"/>
          <w:sz w:val="22"/>
          <w:szCs w:val="22"/>
        </w:rPr>
        <w:t>b</w:t>
      </w:r>
      <w:r w:rsidR="00693996" w:rsidRPr="00693996">
        <w:rPr>
          <w:rFonts w:ascii="Arial" w:hAnsi="Arial" w:cs="Arial"/>
          <w:color w:val="151515"/>
          <w:kern w:val="0"/>
          <w:position w:val="6"/>
          <w:sz w:val="22"/>
          <w:szCs w:val="22"/>
        </w:rPr>
        <w:t>)</w:t>
      </w:r>
      <w:r w:rsidRPr="0055304B">
        <w:rPr>
          <w:rFonts w:ascii="Arial" w:hAnsi="Arial" w:cs="Arial"/>
          <w:color w:val="151515"/>
          <w:kern w:val="0"/>
          <w:position w:val="6"/>
          <w:sz w:val="22"/>
          <w:szCs w:val="22"/>
        </w:rPr>
        <w:t>. By learning from international best practices and integrating comprehensive frameworks like the Socioecological Model and Cognitive Dissonance Theory, policymakers and organisations can devise more impactful and sustainable solutions. Ultimately, the collective efforts at both global and local levels will be critical to ensuring a healthier, hunger-free future for all by 2030</w:t>
      </w:r>
      <w:r w:rsidR="00326BF5">
        <w:rPr>
          <w:rFonts w:ascii="Arial" w:hAnsi="Arial" w:cs="Arial"/>
          <w:color w:val="151515"/>
          <w:kern w:val="0"/>
          <w:position w:val="6"/>
          <w:sz w:val="22"/>
          <w:szCs w:val="22"/>
        </w:rPr>
        <w:t xml:space="preserve"> </w:t>
      </w:r>
      <w:r w:rsidR="00047608" w:rsidRPr="00047608">
        <w:rPr>
          <w:rFonts w:ascii="Arial" w:hAnsi="Arial" w:cs="Arial"/>
          <w:color w:val="151515"/>
          <w:kern w:val="0"/>
          <w:position w:val="6"/>
          <w:sz w:val="22"/>
          <w:szCs w:val="22"/>
        </w:rPr>
        <w:t>(United Nations 2025</w:t>
      </w:r>
      <w:r w:rsidR="00243932">
        <w:rPr>
          <w:rFonts w:ascii="Arial" w:hAnsi="Arial" w:cs="Arial"/>
          <w:color w:val="151515"/>
          <w:kern w:val="0"/>
          <w:position w:val="6"/>
          <w:sz w:val="22"/>
          <w:szCs w:val="22"/>
        </w:rPr>
        <w:t>c</w:t>
      </w:r>
      <w:r w:rsidR="00047608" w:rsidRPr="00047608">
        <w:rPr>
          <w:rFonts w:ascii="Arial" w:hAnsi="Arial" w:cs="Arial"/>
          <w:color w:val="151515"/>
          <w:kern w:val="0"/>
          <w:position w:val="6"/>
          <w:sz w:val="22"/>
          <w:szCs w:val="22"/>
        </w:rPr>
        <w:t>)</w:t>
      </w:r>
      <w:r w:rsidR="00733FCA">
        <w:rPr>
          <w:rFonts w:ascii="Arial" w:hAnsi="Arial" w:cs="Arial"/>
          <w:color w:val="151515"/>
          <w:kern w:val="0"/>
          <w:position w:val="6"/>
          <w:sz w:val="22"/>
          <w:szCs w:val="22"/>
        </w:rPr>
        <w:t>.</w:t>
      </w:r>
    </w:p>
    <w:p w14:paraId="15143FE2" w14:textId="77777777" w:rsidR="001C37FD" w:rsidRDefault="001C37FD"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6882BAD4" w14:textId="77777777" w:rsidR="001C37FD" w:rsidRDefault="001C37FD"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73488228" w14:textId="77777777" w:rsidR="001C37FD" w:rsidRDefault="001C37FD"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4B976275" w14:textId="77777777" w:rsidR="001C37FD" w:rsidRDefault="001C37FD"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35AB8DB3" w14:textId="77777777" w:rsidR="001C37FD" w:rsidRDefault="001C37FD"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591D05F5" w14:textId="77777777" w:rsidR="008F3357" w:rsidRDefault="008F3357"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75F7596C" w14:textId="77777777" w:rsidR="008F3357" w:rsidRDefault="008F3357"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6DB821B4" w14:textId="77777777" w:rsidR="008F3357" w:rsidRDefault="008F3357"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1AED29CC" w14:textId="77777777" w:rsidR="008F3357" w:rsidRDefault="008F3357"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72B18504" w14:textId="77777777" w:rsidR="007C01CE" w:rsidRDefault="007C01CE"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28F45EC2" w14:textId="77777777" w:rsidR="00E6232E" w:rsidRDefault="00E6232E" w:rsidP="00055D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jc w:val="both"/>
        <w:rPr>
          <w:rFonts w:ascii="Arial" w:hAnsi="Arial" w:cs="Arial"/>
          <w:color w:val="151515"/>
          <w:kern w:val="0"/>
          <w:position w:val="6"/>
          <w:sz w:val="22"/>
          <w:szCs w:val="22"/>
        </w:rPr>
      </w:pPr>
    </w:p>
    <w:p w14:paraId="74F78850" w14:textId="22E39AD0" w:rsidR="00BC68F9" w:rsidRPr="002C0CF4" w:rsidRDefault="00885877" w:rsidP="00427566">
      <w:pPr>
        <w:pStyle w:val="Heading1"/>
        <w:rPr>
          <w:rFonts w:ascii="Arial" w:hAnsi="Arial" w:cs="Arial"/>
          <w:b/>
          <w:bCs/>
          <w:sz w:val="22"/>
          <w:szCs w:val="22"/>
        </w:rPr>
      </w:pPr>
      <w:r w:rsidRPr="002C0CF4">
        <w:rPr>
          <w:rFonts w:ascii="Arial" w:hAnsi="Arial" w:cs="Arial"/>
          <w:sz w:val="22"/>
          <w:szCs w:val="22"/>
        </w:rPr>
        <w:t xml:space="preserve"> </w:t>
      </w:r>
      <w:bookmarkStart w:id="11" w:name="_Toc213260795"/>
      <w:r w:rsidR="00BC68F9" w:rsidRPr="002C0CF4">
        <w:rPr>
          <w:rFonts w:ascii="Arial" w:hAnsi="Arial" w:cs="Arial"/>
          <w:b/>
          <w:bCs/>
          <w:sz w:val="22"/>
          <w:szCs w:val="22"/>
        </w:rPr>
        <w:t>Reference</w:t>
      </w:r>
      <w:bookmarkEnd w:id="11"/>
    </w:p>
    <w:p w14:paraId="01BC10B8" w14:textId="77777777" w:rsidR="002942B1" w:rsidRPr="002C0CF4" w:rsidRDefault="002942B1" w:rsidP="002942B1">
      <w:pPr>
        <w:rPr>
          <w:rFonts w:ascii="Arial" w:hAnsi="Arial" w:cs="Arial"/>
          <w:sz w:val="22"/>
          <w:szCs w:val="22"/>
        </w:rPr>
      </w:pPr>
    </w:p>
    <w:p w14:paraId="735900DA"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Afentou, N. et al. (2024) 'Valuing Blue Spaces for Health and Wellbeing from the Community Perspective,</w:t>
      </w:r>
      <w:r w:rsidRPr="002C0CF4">
        <w:rPr>
          <w:rFonts w:ascii="Arial" w:hAnsi="Arial" w:cs="Arial"/>
          <w:i/>
          <w:iCs/>
          <w:color w:val="1C1C1C"/>
          <w:kern w:val="0"/>
          <w:sz w:val="22"/>
          <w:szCs w:val="22"/>
          <w:shd w:val="clear" w:color="auto" w:fill="FFFFFF"/>
          <w14:ligatures w14:val="none"/>
        </w:rPr>
        <w:t>' Sustainability</w:t>
      </w:r>
      <w:r w:rsidRPr="002C0CF4">
        <w:rPr>
          <w:rFonts w:ascii="Arial" w:hAnsi="Arial" w:cs="Arial"/>
          <w:color w:val="1C1C1C"/>
          <w:kern w:val="0"/>
          <w:sz w:val="22"/>
          <w:szCs w:val="22"/>
          <w:shd w:val="clear" w:color="auto" w:fill="FFFFFF"/>
          <w14:ligatures w14:val="none"/>
        </w:rPr>
        <w:t>, 16(12), p. 5222. https://doi.org/10.3390/su16125222.</w:t>
      </w:r>
    </w:p>
    <w:p w14:paraId="12083B20" w14:textId="77777777" w:rsidR="00792939" w:rsidRPr="002C0CF4" w:rsidRDefault="00792939" w:rsidP="00F55EAB">
      <w:pPr>
        <w:spacing w:line="360" w:lineRule="auto"/>
        <w:rPr>
          <w:rFonts w:ascii="Arial" w:hAnsi="Arial" w:cs="Arial"/>
          <w:color w:val="1C1C1C"/>
          <w:kern w:val="0"/>
          <w:sz w:val="22"/>
          <w:szCs w:val="22"/>
          <w:shd w:val="clear" w:color="auto" w:fill="FFFFFF"/>
          <w14:ligatures w14:val="none"/>
        </w:rPr>
      </w:pPr>
    </w:p>
    <w:p w14:paraId="06E52604"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Benatar, S. (2014) 'Doctors Without Borders: Humanitarian Quests, Impossible Dreams of Médecins sans Frontières. By Renee C Fox. Baltimore, MD: Johns Hopkins University Press, 2014. ISBN 9781421413549,' </w:t>
      </w:r>
      <w:r w:rsidRPr="002C0CF4">
        <w:rPr>
          <w:rFonts w:ascii="Arial" w:hAnsi="Arial" w:cs="Arial"/>
          <w:i/>
          <w:iCs/>
          <w:color w:val="1C1C1C"/>
          <w:kern w:val="0"/>
          <w:sz w:val="22"/>
          <w:szCs w:val="22"/>
          <w:shd w:val="clear" w:color="auto" w:fill="FFFFFF"/>
          <w14:ligatures w14:val="none"/>
        </w:rPr>
        <w:t>South African Medical Journal</w:t>
      </w:r>
      <w:r w:rsidRPr="002C0CF4">
        <w:rPr>
          <w:rFonts w:ascii="Arial" w:hAnsi="Arial" w:cs="Arial"/>
          <w:color w:val="1C1C1C"/>
          <w:kern w:val="0"/>
          <w:sz w:val="22"/>
          <w:szCs w:val="22"/>
          <w:shd w:val="clear" w:color="auto" w:fill="FFFFFF"/>
          <w14:ligatures w14:val="none"/>
        </w:rPr>
        <w:t>, 104(9), p. 603. https://doi.org/10.7196/samj.8757.</w:t>
      </w:r>
    </w:p>
    <w:p w14:paraId="5896C4DB" w14:textId="77777777" w:rsidR="00792939" w:rsidRPr="002C0CF4" w:rsidRDefault="00792939" w:rsidP="00F55EAB">
      <w:pPr>
        <w:spacing w:line="360" w:lineRule="auto"/>
        <w:rPr>
          <w:rFonts w:ascii="Arial" w:hAnsi="Arial" w:cs="Arial"/>
          <w:color w:val="1C1C1C"/>
          <w:kern w:val="0"/>
          <w:sz w:val="22"/>
          <w:szCs w:val="22"/>
          <w:shd w:val="clear" w:color="auto" w:fill="FFFFFF"/>
          <w14:ligatures w14:val="none"/>
        </w:rPr>
      </w:pPr>
    </w:p>
    <w:p w14:paraId="5A628154"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Brazier, J. et al. (2023) 'Mapping the provision and evaluation practices of local community health and wellbeing programmes delivered by professional sports clubs in England: a practice-based targeted review,' </w:t>
      </w:r>
      <w:r w:rsidRPr="002C0CF4">
        <w:rPr>
          <w:rFonts w:ascii="Arial" w:hAnsi="Arial" w:cs="Arial"/>
          <w:i/>
          <w:iCs/>
          <w:color w:val="1C1C1C"/>
          <w:kern w:val="0"/>
          <w:sz w:val="22"/>
          <w:szCs w:val="22"/>
          <w:shd w:val="clear" w:color="auto" w:fill="FFFFFF"/>
          <w14:ligatures w14:val="none"/>
        </w:rPr>
        <w:t>International Journal of Sport Policy and Politics</w:t>
      </w:r>
      <w:r w:rsidRPr="002C0CF4">
        <w:rPr>
          <w:rFonts w:ascii="Arial" w:hAnsi="Arial" w:cs="Arial"/>
          <w:color w:val="1C1C1C"/>
          <w:kern w:val="0"/>
          <w:sz w:val="22"/>
          <w:szCs w:val="22"/>
          <w:shd w:val="clear" w:color="auto" w:fill="FFFFFF"/>
          <w14:ligatures w14:val="none"/>
        </w:rPr>
        <w:t>, 16(1), pp. 39–58. https://doi.org/10.1080/19406940.2023.2271904.</w:t>
      </w:r>
    </w:p>
    <w:p w14:paraId="4ED18F39" w14:textId="77777777" w:rsidR="007A7F7D" w:rsidRPr="002C0CF4" w:rsidRDefault="007A7F7D" w:rsidP="00F55EAB">
      <w:pPr>
        <w:spacing w:line="360" w:lineRule="auto"/>
        <w:rPr>
          <w:rFonts w:ascii="Arial" w:hAnsi="Arial" w:cs="Arial"/>
          <w:color w:val="1C1C1C"/>
          <w:kern w:val="0"/>
          <w:sz w:val="22"/>
          <w:szCs w:val="22"/>
          <w:shd w:val="clear" w:color="auto" w:fill="FFFFFF"/>
          <w14:ligatures w14:val="none"/>
        </w:rPr>
      </w:pPr>
    </w:p>
    <w:p w14:paraId="0B227594" w14:textId="251A7C9F" w:rsidR="009F13D8" w:rsidRPr="009F13D8" w:rsidRDefault="009F13D8" w:rsidP="009F13D8">
      <w:pPr>
        <w:spacing w:line="360" w:lineRule="auto"/>
        <w:rPr>
          <w:rFonts w:ascii="Arial" w:hAnsi="Arial" w:cs="Arial"/>
          <w:sz w:val="22"/>
          <w:szCs w:val="22"/>
        </w:rPr>
      </w:pPr>
      <w:r w:rsidRPr="009F13D8">
        <w:rPr>
          <w:rFonts w:ascii="Arial" w:hAnsi="Arial" w:cs="Arial"/>
          <w:sz w:val="22"/>
          <w:szCs w:val="22"/>
        </w:rPr>
        <w:t>Birmingham City Council, (2025). Health and wellbeing strategy. [Online] Available at: https://www.birmingham.gov.uk/info/50119/health_and_wellbeing_board/1300/health_and_wellbeing_strategy</w:t>
      </w:r>
    </w:p>
    <w:p w14:paraId="44055F8B" w14:textId="77777777" w:rsidR="009F13D8" w:rsidRPr="009F13D8" w:rsidRDefault="009F13D8" w:rsidP="009F13D8">
      <w:pPr>
        <w:spacing w:line="360" w:lineRule="auto"/>
        <w:rPr>
          <w:rFonts w:ascii="Arial" w:hAnsi="Arial" w:cs="Arial"/>
          <w:sz w:val="22"/>
          <w:szCs w:val="22"/>
        </w:rPr>
      </w:pPr>
      <w:r w:rsidRPr="009F13D8">
        <w:rPr>
          <w:rFonts w:ascii="Arial" w:hAnsi="Arial" w:cs="Arial"/>
          <w:sz w:val="22"/>
          <w:szCs w:val="22"/>
        </w:rPr>
        <w:t>(Accessed:10 November 2025).</w:t>
      </w:r>
    </w:p>
    <w:p w14:paraId="1D2F3ADA" w14:textId="77777777" w:rsidR="009F13D8" w:rsidRPr="009F13D8" w:rsidRDefault="009F13D8" w:rsidP="009F13D8">
      <w:pPr>
        <w:spacing w:line="360" w:lineRule="auto"/>
        <w:rPr>
          <w:rFonts w:ascii="Arial" w:hAnsi="Arial" w:cs="Arial"/>
          <w:sz w:val="22"/>
          <w:szCs w:val="22"/>
        </w:rPr>
      </w:pPr>
    </w:p>
    <w:p w14:paraId="1A80231C" w14:textId="5C84943F" w:rsidR="0056526A" w:rsidRPr="0056526A" w:rsidRDefault="0056526A" w:rsidP="0056526A">
      <w:pPr>
        <w:spacing w:line="360" w:lineRule="auto"/>
        <w:rPr>
          <w:rFonts w:ascii="Arial" w:hAnsi="Arial" w:cs="Arial"/>
          <w:sz w:val="22"/>
          <w:szCs w:val="22"/>
        </w:rPr>
      </w:pPr>
      <w:r w:rsidRPr="0056526A">
        <w:rPr>
          <w:rFonts w:ascii="Arial" w:hAnsi="Arial" w:cs="Arial"/>
          <w:sz w:val="22"/>
          <w:szCs w:val="22"/>
        </w:rPr>
        <w:t>Birmingham City Council,</w:t>
      </w:r>
      <w:r w:rsidR="005F0937" w:rsidRPr="002C0CF4">
        <w:rPr>
          <w:rFonts w:ascii="Arial" w:hAnsi="Arial" w:cs="Arial"/>
          <w:sz w:val="22"/>
          <w:szCs w:val="22"/>
        </w:rPr>
        <w:t xml:space="preserve"> </w:t>
      </w:r>
      <w:r w:rsidRPr="0056526A">
        <w:rPr>
          <w:rFonts w:ascii="Arial" w:hAnsi="Arial" w:cs="Arial"/>
          <w:sz w:val="22"/>
          <w:szCs w:val="22"/>
        </w:rPr>
        <w:t xml:space="preserve">( 2022). </w:t>
      </w:r>
      <w:r w:rsidRPr="0056526A">
        <w:rPr>
          <w:rFonts w:ascii="Arial" w:hAnsi="Arial" w:cs="Arial"/>
          <w:i/>
          <w:iCs/>
          <w:sz w:val="22"/>
          <w:szCs w:val="22"/>
        </w:rPr>
        <w:t xml:space="preserve">Birmingham Health and Wellbeing Board Strategy: Creating a </w:t>
      </w:r>
      <w:proofErr w:type="gramStart"/>
      <w:r w:rsidRPr="0056526A">
        <w:rPr>
          <w:rFonts w:ascii="Arial" w:hAnsi="Arial" w:cs="Arial"/>
          <w:i/>
          <w:iCs/>
          <w:sz w:val="22"/>
          <w:szCs w:val="22"/>
        </w:rPr>
        <w:t>Bolder</w:t>
      </w:r>
      <w:proofErr w:type="gramEnd"/>
      <w:r w:rsidRPr="0056526A">
        <w:rPr>
          <w:rFonts w:ascii="Arial" w:hAnsi="Arial" w:cs="Arial"/>
          <w:i/>
          <w:iCs/>
          <w:sz w:val="22"/>
          <w:szCs w:val="22"/>
        </w:rPr>
        <w:t>, Healthier City Feedback updated 24 Feb 2022</w:t>
      </w:r>
      <w:r w:rsidRPr="0056526A">
        <w:rPr>
          <w:rFonts w:ascii="Arial" w:hAnsi="Arial" w:cs="Arial"/>
          <w:sz w:val="22"/>
          <w:szCs w:val="22"/>
        </w:rPr>
        <w:t>. Available at: https://www.birminghambeheard.org.uk/economy/creating-a-bolder-healthier-city/ (Accessed: 10 November 2025).</w:t>
      </w:r>
    </w:p>
    <w:p w14:paraId="68AFAB6A" w14:textId="77777777" w:rsidR="00AB10E3" w:rsidRPr="002C0CF4" w:rsidRDefault="00AB10E3" w:rsidP="00F55EAB">
      <w:pPr>
        <w:spacing w:line="360" w:lineRule="auto"/>
        <w:rPr>
          <w:rFonts w:ascii="Arial" w:hAnsi="Arial" w:cs="Arial"/>
          <w:sz w:val="22"/>
          <w:szCs w:val="22"/>
        </w:rPr>
      </w:pPr>
    </w:p>
    <w:p w14:paraId="7DBB8B13"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Festinger, L. (1957) A theory of cognitive dissonance</w:t>
      </w:r>
      <w:r w:rsidRPr="002C0CF4">
        <w:rPr>
          <w:rFonts w:ascii="Arial" w:hAnsi="Arial" w:cs="Arial"/>
          <w:i/>
          <w:iCs/>
          <w:color w:val="1C1C1C"/>
          <w:kern w:val="0"/>
          <w:sz w:val="22"/>
          <w:szCs w:val="22"/>
          <w:shd w:val="clear" w:color="auto" w:fill="FFFFFF"/>
          <w14:ligatures w14:val="none"/>
        </w:rPr>
        <w:t>, Stanford University Press eBooks</w:t>
      </w:r>
      <w:r w:rsidRPr="002C0CF4">
        <w:rPr>
          <w:rFonts w:ascii="Arial" w:hAnsi="Arial" w:cs="Arial"/>
          <w:color w:val="1C1C1C"/>
          <w:kern w:val="0"/>
          <w:sz w:val="22"/>
          <w:szCs w:val="22"/>
          <w:shd w:val="clear" w:color="auto" w:fill="FFFFFF"/>
          <w14:ligatures w14:val="none"/>
        </w:rPr>
        <w:t>. https://doi.org/10.1515/9781503620766.</w:t>
      </w:r>
    </w:p>
    <w:p w14:paraId="27B4B420" w14:textId="77777777" w:rsidR="00792939" w:rsidRPr="002C0CF4" w:rsidRDefault="00792939" w:rsidP="00F55EAB">
      <w:pPr>
        <w:spacing w:line="360" w:lineRule="auto"/>
        <w:rPr>
          <w:rFonts w:ascii="Arial" w:hAnsi="Arial" w:cs="Arial"/>
          <w:color w:val="1C1C1C"/>
          <w:kern w:val="0"/>
          <w:sz w:val="22"/>
          <w:szCs w:val="22"/>
          <w:shd w:val="clear" w:color="auto" w:fill="FFFFFF"/>
          <w14:ligatures w14:val="none"/>
        </w:rPr>
      </w:pPr>
    </w:p>
    <w:p w14:paraId="2D01CB65" w14:textId="6D4FC13A"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Guenduez, A.A. et al. (2018) 'Smart Government success factors,' </w:t>
      </w:r>
      <w:r w:rsidRPr="002C0CF4">
        <w:rPr>
          <w:rFonts w:ascii="Arial" w:hAnsi="Arial" w:cs="Arial"/>
          <w:i/>
          <w:iCs/>
          <w:color w:val="1C1C1C"/>
          <w:kern w:val="0"/>
          <w:sz w:val="22"/>
          <w:szCs w:val="22"/>
          <w:shd w:val="clear" w:color="auto" w:fill="FFFFFF"/>
          <w14:ligatures w14:val="none"/>
        </w:rPr>
        <w:t>Yearbook of Swiss Administrative Sciences</w:t>
      </w:r>
      <w:r w:rsidRPr="002C0CF4">
        <w:rPr>
          <w:rFonts w:ascii="Arial" w:hAnsi="Arial" w:cs="Arial"/>
          <w:color w:val="1C1C1C"/>
          <w:kern w:val="0"/>
          <w:sz w:val="22"/>
          <w:szCs w:val="22"/>
          <w:shd w:val="clear" w:color="auto" w:fill="FFFFFF"/>
          <w14:ligatures w14:val="none"/>
        </w:rPr>
        <w:t>, 9(1), p. 96. https://doi.org/10.5334/ssas.124.</w:t>
      </w:r>
    </w:p>
    <w:p w14:paraId="67F6FF42" w14:textId="77777777" w:rsidR="0087068F" w:rsidRPr="002C0CF4" w:rsidRDefault="0087068F" w:rsidP="00F55EAB">
      <w:pPr>
        <w:spacing w:line="360" w:lineRule="auto"/>
        <w:rPr>
          <w:rFonts w:ascii="Arial" w:hAnsi="Arial" w:cs="Arial"/>
          <w:color w:val="1C1C1C"/>
          <w:kern w:val="0"/>
          <w:sz w:val="22"/>
          <w:szCs w:val="22"/>
          <w:shd w:val="clear" w:color="auto" w:fill="FFFFFF"/>
          <w14:ligatures w14:val="none"/>
        </w:rPr>
      </w:pPr>
    </w:p>
    <w:p w14:paraId="39CA4447" w14:textId="77777777"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GOV.UK, (2025). </w:t>
      </w:r>
      <w:r w:rsidRPr="002C0CF4">
        <w:rPr>
          <w:rFonts w:ascii="Arial" w:hAnsi="Arial" w:cs="Arial"/>
          <w:i/>
          <w:iCs/>
          <w:sz w:val="22"/>
          <w:szCs w:val="22"/>
        </w:rPr>
        <w:t>Fit for the future: 10 Year Health Plan for England - executive summary (accessible version)</w:t>
      </w:r>
      <w:r w:rsidRPr="002C0CF4">
        <w:rPr>
          <w:rFonts w:ascii="Arial" w:hAnsi="Arial" w:cs="Arial"/>
          <w:sz w:val="22"/>
          <w:szCs w:val="22"/>
        </w:rPr>
        <w:t>.  Available at: https://www.gov.uk/government/publications/10-year-health-plan-for-england-fit-for-the-future/fit-for-the-future-10-year-health-plan-for-england-executive-summary (Accessed: 30 October 2025).</w:t>
      </w:r>
    </w:p>
    <w:p w14:paraId="58988620" w14:textId="77777777" w:rsidR="00BE3D2F" w:rsidRPr="002C0CF4" w:rsidRDefault="00BE3D2F" w:rsidP="00F55EAB">
      <w:pPr>
        <w:spacing w:line="360" w:lineRule="auto"/>
        <w:rPr>
          <w:rFonts w:ascii="Arial" w:hAnsi="Arial" w:cs="Arial"/>
          <w:sz w:val="22"/>
          <w:szCs w:val="22"/>
        </w:rPr>
      </w:pPr>
    </w:p>
    <w:p w14:paraId="5E2DD1CF" w14:textId="1309D9E2"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Himmah, (n</w:t>
      </w:r>
      <w:r w:rsidR="006C15B9" w:rsidRPr="002C0CF4">
        <w:rPr>
          <w:rFonts w:ascii="Arial" w:hAnsi="Arial" w:cs="Arial"/>
          <w:sz w:val="22"/>
          <w:szCs w:val="22"/>
        </w:rPr>
        <w:t>o date</w:t>
      </w:r>
      <w:r w:rsidRPr="002C0CF4">
        <w:rPr>
          <w:rFonts w:ascii="Arial" w:hAnsi="Arial" w:cs="Arial"/>
          <w:sz w:val="22"/>
          <w:szCs w:val="22"/>
        </w:rPr>
        <w:t>)</w:t>
      </w:r>
      <w:r w:rsidR="006C15B9" w:rsidRPr="002C0CF4">
        <w:rPr>
          <w:rFonts w:ascii="Arial" w:hAnsi="Arial" w:cs="Arial"/>
          <w:sz w:val="22"/>
          <w:szCs w:val="22"/>
        </w:rPr>
        <w:t xml:space="preserve"> </w:t>
      </w:r>
      <w:r w:rsidRPr="002C0CF4">
        <w:rPr>
          <w:rFonts w:ascii="Arial" w:hAnsi="Arial" w:cs="Arial"/>
          <w:i/>
          <w:iCs/>
          <w:sz w:val="22"/>
          <w:szCs w:val="22"/>
        </w:rPr>
        <w:t>Projects and Campaigns We are proud to spearhead a diverse range of projects in Nottingham. Some of these projects are self-initiated, while others are done in partnership with local groups..</w:t>
      </w:r>
      <w:r w:rsidRPr="002C0CF4">
        <w:rPr>
          <w:rFonts w:ascii="Arial" w:hAnsi="Arial" w:cs="Arial"/>
          <w:sz w:val="22"/>
          <w:szCs w:val="22"/>
        </w:rPr>
        <w:t>Available at: https://himmah.org/projects/ (Accessed: 04 November 2025).</w:t>
      </w:r>
    </w:p>
    <w:p w14:paraId="2C94F763" w14:textId="77777777" w:rsidR="007025E3" w:rsidRPr="002C0CF4" w:rsidRDefault="007025E3" w:rsidP="00F55EAB">
      <w:pPr>
        <w:spacing w:line="360" w:lineRule="auto"/>
        <w:rPr>
          <w:rFonts w:ascii="Arial" w:hAnsi="Arial" w:cs="Arial"/>
          <w:sz w:val="22"/>
          <w:szCs w:val="22"/>
        </w:rPr>
      </w:pPr>
    </w:p>
    <w:p w14:paraId="33CF15E7" w14:textId="2FEDDC7E"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House of Commons Library, (2025). </w:t>
      </w:r>
      <w:r w:rsidRPr="002C0CF4">
        <w:rPr>
          <w:rFonts w:ascii="Arial" w:hAnsi="Arial" w:cs="Arial"/>
          <w:i/>
          <w:iCs/>
          <w:sz w:val="22"/>
          <w:szCs w:val="22"/>
        </w:rPr>
        <w:t>The 10 Year Health Plan for England.</w:t>
      </w:r>
      <w:r w:rsidRPr="002C0CF4">
        <w:rPr>
          <w:rFonts w:ascii="Arial" w:hAnsi="Arial" w:cs="Arial"/>
          <w:sz w:val="22"/>
          <w:szCs w:val="22"/>
        </w:rPr>
        <w:t xml:space="preserve"> Available at: https://commonslibrary.parliament.uk/research-briefings/cbp-10368/#:~:text=This%20briefing%20provides%20an%20overview,are%20three%20strategic%20“shifts”: (Accessed: 30 October 2025).</w:t>
      </w:r>
    </w:p>
    <w:p w14:paraId="2B99579A" w14:textId="77777777" w:rsidR="00BE3D2F" w:rsidRPr="002C0CF4" w:rsidRDefault="00BE3D2F" w:rsidP="00F55EAB">
      <w:pPr>
        <w:spacing w:line="360" w:lineRule="auto"/>
        <w:rPr>
          <w:rFonts w:ascii="Arial" w:hAnsi="Arial" w:cs="Arial"/>
          <w:sz w:val="22"/>
          <w:szCs w:val="22"/>
        </w:rPr>
      </w:pPr>
    </w:p>
    <w:p w14:paraId="2A880BDF"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Hinojosa, A.S. et al. (2016) 'A review of Cognitive dissonance Theory in Management Research,' </w:t>
      </w:r>
      <w:r w:rsidRPr="002C0CF4">
        <w:rPr>
          <w:rFonts w:ascii="Arial" w:hAnsi="Arial" w:cs="Arial"/>
          <w:i/>
          <w:iCs/>
          <w:color w:val="1C1C1C"/>
          <w:kern w:val="0"/>
          <w:sz w:val="22"/>
          <w:szCs w:val="22"/>
          <w:shd w:val="clear" w:color="auto" w:fill="FFFFFF"/>
          <w14:ligatures w14:val="none"/>
        </w:rPr>
        <w:t>Journal of Management</w:t>
      </w:r>
      <w:r w:rsidRPr="002C0CF4">
        <w:rPr>
          <w:rFonts w:ascii="Arial" w:hAnsi="Arial" w:cs="Arial"/>
          <w:color w:val="1C1C1C"/>
          <w:kern w:val="0"/>
          <w:sz w:val="22"/>
          <w:szCs w:val="22"/>
          <w:shd w:val="clear" w:color="auto" w:fill="FFFFFF"/>
          <w14:ligatures w14:val="none"/>
        </w:rPr>
        <w:t>, 43(1), pp. 170–199. https://doi.org/10.1177/0149206316668236.</w:t>
      </w:r>
    </w:p>
    <w:p w14:paraId="403C3265"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p>
    <w:p w14:paraId="60661200"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Houldey, G. (2019) 'Humanitarian response and stress in Kenya: gendered problems and their implications,' </w:t>
      </w:r>
      <w:r w:rsidRPr="002C0CF4">
        <w:rPr>
          <w:rFonts w:ascii="Arial" w:hAnsi="Arial" w:cs="Arial"/>
          <w:i/>
          <w:iCs/>
          <w:color w:val="1C1C1C"/>
          <w:kern w:val="0"/>
          <w:sz w:val="22"/>
          <w:szCs w:val="22"/>
          <w:shd w:val="clear" w:color="auto" w:fill="FFFFFF"/>
          <w14:ligatures w14:val="none"/>
        </w:rPr>
        <w:t>Gender &amp; Development</w:t>
      </w:r>
      <w:r w:rsidRPr="002C0CF4">
        <w:rPr>
          <w:rFonts w:ascii="Arial" w:hAnsi="Arial" w:cs="Arial"/>
          <w:color w:val="1C1C1C"/>
          <w:kern w:val="0"/>
          <w:sz w:val="22"/>
          <w:szCs w:val="22"/>
          <w:shd w:val="clear" w:color="auto" w:fill="FFFFFF"/>
          <w14:ligatures w14:val="none"/>
        </w:rPr>
        <w:t>, 27(2), pp. 337–353. https://doi.org/10.1080/13552074.2019.1615281.</w:t>
      </w:r>
    </w:p>
    <w:p w14:paraId="7A5B2AC0" w14:textId="77777777" w:rsidR="00BE3D2F" w:rsidRPr="002C0CF4" w:rsidRDefault="00BE3D2F" w:rsidP="00F55EAB">
      <w:pPr>
        <w:spacing w:line="360" w:lineRule="auto"/>
        <w:rPr>
          <w:rFonts w:ascii="Arial" w:hAnsi="Arial" w:cs="Arial"/>
          <w:color w:val="1C1C1C"/>
          <w:kern w:val="0"/>
          <w:sz w:val="22"/>
          <w:szCs w:val="22"/>
          <w:shd w:val="clear" w:color="auto" w:fill="FFFFFF"/>
          <w14:ligatures w14:val="none"/>
        </w:rPr>
      </w:pPr>
    </w:p>
    <w:p w14:paraId="5095DF9D"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Kieny, M.P. et al. (2017) 'Strengthening health systems for universal health coverage and sustainable development,' </w:t>
      </w:r>
      <w:r w:rsidRPr="002C0CF4">
        <w:rPr>
          <w:rFonts w:ascii="Arial" w:hAnsi="Arial" w:cs="Arial"/>
          <w:i/>
          <w:iCs/>
          <w:color w:val="1C1C1C"/>
          <w:kern w:val="0"/>
          <w:sz w:val="22"/>
          <w:szCs w:val="22"/>
          <w:shd w:val="clear" w:color="auto" w:fill="FFFFFF"/>
          <w14:ligatures w14:val="none"/>
        </w:rPr>
        <w:t>Bulletin of the World Health Organization</w:t>
      </w:r>
      <w:r w:rsidRPr="002C0CF4">
        <w:rPr>
          <w:rFonts w:ascii="Arial" w:hAnsi="Arial" w:cs="Arial"/>
          <w:color w:val="1C1C1C"/>
          <w:kern w:val="0"/>
          <w:sz w:val="22"/>
          <w:szCs w:val="22"/>
          <w:shd w:val="clear" w:color="auto" w:fill="FFFFFF"/>
          <w14:ligatures w14:val="none"/>
        </w:rPr>
        <w:t>, 95(7), pp. 537–539. https://doi.org/10.2471/blt.16.187476.</w:t>
      </w:r>
    </w:p>
    <w:p w14:paraId="27C75540" w14:textId="77777777" w:rsidR="007715DC" w:rsidRPr="002C0CF4" w:rsidRDefault="007715DC" w:rsidP="00F55EAB">
      <w:pPr>
        <w:spacing w:line="360" w:lineRule="auto"/>
        <w:rPr>
          <w:rFonts w:ascii="Arial" w:hAnsi="Arial" w:cs="Arial"/>
          <w:color w:val="1C1C1C"/>
          <w:kern w:val="0"/>
          <w:sz w:val="22"/>
          <w:szCs w:val="22"/>
          <w:shd w:val="clear" w:color="auto" w:fill="FFFFFF"/>
          <w14:ligatures w14:val="none"/>
        </w:rPr>
      </w:pPr>
    </w:p>
    <w:p w14:paraId="3C0EAB3D" w14:textId="7CDFE602" w:rsidR="006E30F3"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Khan, M., (2024). </w:t>
      </w:r>
      <w:r w:rsidR="00A178F5" w:rsidRPr="002C0CF4">
        <w:rPr>
          <w:rFonts w:ascii="Arial" w:hAnsi="Arial" w:cs="Arial"/>
          <w:i/>
          <w:iCs/>
          <w:sz w:val="22"/>
          <w:szCs w:val="22"/>
        </w:rPr>
        <w:t xml:space="preserve">Creating an active Birmingham </w:t>
      </w:r>
      <w:r w:rsidR="00A178F5" w:rsidRPr="002C0CF4">
        <w:rPr>
          <w:rFonts w:ascii="Arial" w:hAnsi="Arial" w:cs="Arial"/>
          <w:i/>
          <w:iCs/>
          <w:sz w:val="22"/>
          <w:szCs w:val="22"/>
        </w:rPr>
        <w:t>strategy</w:t>
      </w:r>
      <w:r w:rsidR="000857E0" w:rsidRPr="002C0CF4">
        <w:rPr>
          <w:rFonts w:ascii="Arial" w:hAnsi="Arial" w:cs="Arial"/>
          <w:i/>
          <w:iCs/>
          <w:sz w:val="22"/>
          <w:szCs w:val="22"/>
        </w:rPr>
        <w:t>,</w:t>
      </w:r>
      <w:r w:rsidR="00A178F5" w:rsidRPr="002C0CF4">
        <w:rPr>
          <w:rFonts w:ascii="Arial" w:hAnsi="Arial" w:cs="Arial"/>
          <w:i/>
          <w:iCs/>
          <w:sz w:val="22"/>
          <w:szCs w:val="22"/>
        </w:rPr>
        <w:t xml:space="preserve"> Birmingham</w:t>
      </w:r>
      <w:r w:rsidRPr="002C0CF4">
        <w:rPr>
          <w:rFonts w:ascii="Arial" w:hAnsi="Arial" w:cs="Arial"/>
          <w:i/>
          <w:iCs/>
          <w:sz w:val="22"/>
          <w:szCs w:val="22"/>
        </w:rPr>
        <w:t xml:space="preserve"> Physical Activity Strategy 2024-2034</w:t>
      </w:r>
      <w:r w:rsidRPr="002C0CF4">
        <w:rPr>
          <w:rFonts w:ascii="Arial" w:hAnsi="Arial" w:cs="Arial"/>
          <w:sz w:val="22"/>
          <w:szCs w:val="22"/>
        </w:rPr>
        <w:t>. Available</w:t>
      </w:r>
      <w:r w:rsidR="006E30F3" w:rsidRPr="002C0CF4">
        <w:rPr>
          <w:rFonts w:ascii="Arial" w:hAnsi="Arial" w:cs="Arial"/>
          <w:sz w:val="22"/>
          <w:szCs w:val="22"/>
        </w:rPr>
        <w:t xml:space="preserve"> </w:t>
      </w:r>
      <w:r w:rsidRPr="002C0CF4">
        <w:rPr>
          <w:rFonts w:ascii="Arial" w:hAnsi="Arial" w:cs="Arial"/>
          <w:sz w:val="22"/>
          <w:szCs w:val="22"/>
        </w:rPr>
        <w:t>at:https://birmingham.cmis.uk.com/Birmingham/Document.ashx?czJKcaeAi5tUFL1DTL2UE4zNRBcoShgo=OJk1fFMkqdwdP%2Fzzqg9XRkZhXYf3khikZi4xZQYRCRqMZAKJYUnYHg%3D%3D&amp;rUzwRPf%2BZ3zd4E7Ikn8Lyw%3D%3D=pwRE6AGJFLDNlh225F5QMaQWCtPHwdhUfCZ%2FLUQzgA2uL5jNRG4jdQ%3D%3D&amp;mCTIbCubS (Accessed: 30 October 2025).</w:t>
      </w:r>
    </w:p>
    <w:p w14:paraId="126F527D" w14:textId="77777777" w:rsidR="00461811" w:rsidRPr="002C0CF4" w:rsidRDefault="00461811" w:rsidP="00F55EAB">
      <w:pPr>
        <w:spacing w:line="360" w:lineRule="auto"/>
        <w:rPr>
          <w:rFonts w:ascii="Arial" w:hAnsi="Arial" w:cs="Arial"/>
          <w:sz w:val="22"/>
          <w:szCs w:val="22"/>
        </w:rPr>
      </w:pPr>
    </w:p>
    <w:p w14:paraId="3D8DA135" w14:textId="18ED84B8"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Local Government Association, (2024). </w:t>
      </w:r>
      <w:r w:rsidRPr="002C0CF4">
        <w:rPr>
          <w:rFonts w:ascii="Arial" w:hAnsi="Arial" w:cs="Arial"/>
          <w:i/>
          <w:iCs/>
          <w:sz w:val="22"/>
          <w:szCs w:val="22"/>
        </w:rPr>
        <w:t>Creative Health at Birmingham City Council Public Health: Public Health Researchers in Residence</w:t>
      </w:r>
      <w:r w:rsidRPr="002C0CF4">
        <w:rPr>
          <w:rFonts w:ascii="Arial" w:hAnsi="Arial" w:cs="Arial"/>
          <w:sz w:val="22"/>
          <w:szCs w:val="22"/>
        </w:rPr>
        <w:t xml:space="preserve">. [Online] Available at: </w:t>
      </w:r>
      <w:r w:rsidRPr="002C0CF4">
        <w:rPr>
          <w:rFonts w:ascii="Arial" w:hAnsi="Arial" w:cs="Arial"/>
          <w:sz w:val="22"/>
          <w:szCs w:val="22"/>
        </w:rPr>
        <w:lastRenderedPageBreak/>
        <w:t>https://www.local.gov.uk/case-studies/creative-health-birmingham-city-council-public-health-public-health-researchers#lessons-learned</w:t>
      </w:r>
      <w:r w:rsidR="0023401E" w:rsidRPr="002C0CF4">
        <w:rPr>
          <w:rFonts w:ascii="Arial" w:hAnsi="Arial" w:cs="Arial"/>
          <w:sz w:val="22"/>
          <w:szCs w:val="22"/>
        </w:rPr>
        <w:t xml:space="preserve"> </w:t>
      </w:r>
      <w:r w:rsidRPr="002C0CF4">
        <w:rPr>
          <w:rFonts w:ascii="Arial" w:hAnsi="Arial" w:cs="Arial"/>
          <w:sz w:val="22"/>
          <w:szCs w:val="22"/>
        </w:rPr>
        <w:t>(Accessed: 30 October 2025).</w:t>
      </w:r>
    </w:p>
    <w:p w14:paraId="0C936DFC" w14:textId="77777777" w:rsidR="00DD6396" w:rsidRPr="002C0CF4" w:rsidRDefault="00DD6396" w:rsidP="00F55EAB">
      <w:pPr>
        <w:spacing w:line="360" w:lineRule="auto"/>
        <w:rPr>
          <w:rFonts w:ascii="Arial" w:hAnsi="Arial" w:cs="Arial"/>
          <w:sz w:val="22"/>
          <w:szCs w:val="22"/>
        </w:rPr>
      </w:pPr>
    </w:p>
    <w:p w14:paraId="08A5CB5B" w14:textId="2BF20556"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Lakioti, E. et al. (2025</w:t>
      </w:r>
      <w:r w:rsidR="00BB3157" w:rsidRPr="002C0CF4">
        <w:rPr>
          <w:rFonts w:ascii="Arial" w:hAnsi="Arial" w:cs="Arial"/>
          <w:color w:val="1C1C1C"/>
          <w:kern w:val="0"/>
          <w:sz w:val="22"/>
          <w:szCs w:val="22"/>
          <w:shd w:val="clear" w:color="auto" w:fill="FFFFFF"/>
          <w14:ligatures w14:val="none"/>
        </w:rPr>
        <w:t>a</w:t>
      </w:r>
      <w:r w:rsidRPr="002C0CF4">
        <w:rPr>
          <w:rFonts w:ascii="Arial" w:hAnsi="Arial" w:cs="Arial"/>
          <w:color w:val="1C1C1C"/>
          <w:kern w:val="0"/>
          <w:sz w:val="22"/>
          <w:szCs w:val="22"/>
          <w:shd w:val="clear" w:color="auto" w:fill="FFFFFF"/>
          <w14:ligatures w14:val="none"/>
        </w:rPr>
        <w:t>) 'Social Factors and Policies Promoting Good Health and Well-Being as a Sustainable Development Goal: Current Achievements and Future Pathways,' </w:t>
      </w:r>
      <w:r w:rsidRPr="002C0CF4">
        <w:rPr>
          <w:rFonts w:ascii="Arial" w:hAnsi="Arial" w:cs="Arial"/>
          <w:i/>
          <w:iCs/>
          <w:color w:val="1C1C1C"/>
          <w:kern w:val="0"/>
          <w:sz w:val="22"/>
          <w:szCs w:val="22"/>
          <w:shd w:val="clear" w:color="auto" w:fill="FFFFFF"/>
          <w14:ligatures w14:val="none"/>
        </w:rPr>
        <w:t>Sustainability</w:t>
      </w:r>
      <w:r w:rsidRPr="002C0CF4">
        <w:rPr>
          <w:rFonts w:ascii="Arial" w:hAnsi="Arial" w:cs="Arial"/>
          <w:color w:val="1C1C1C"/>
          <w:kern w:val="0"/>
          <w:sz w:val="22"/>
          <w:szCs w:val="22"/>
          <w:shd w:val="clear" w:color="auto" w:fill="FFFFFF"/>
          <w14:ligatures w14:val="none"/>
        </w:rPr>
        <w:t>, 17(11), p. 5063. https://doi.org/10.3390/su17115063.</w:t>
      </w:r>
    </w:p>
    <w:p w14:paraId="76ECF70E" w14:textId="77777777" w:rsidR="00074262" w:rsidRPr="002C0CF4" w:rsidRDefault="00074262" w:rsidP="00F55EAB">
      <w:pPr>
        <w:spacing w:line="360" w:lineRule="auto"/>
        <w:rPr>
          <w:rFonts w:ascii="Arial" w:hAnsi="Arial" w:cs="Arial"/>
          <w:color w:val="1C1C1C"/>
          <w:kern w:val="0"/>
          <w:sz w:val="22"/>
          <w:szCs w:val="22"/>
          <w:shd w:val="clear" w:color="auto" w:fill="FFFFFF"/>
          <w14:ligatures w14:val="none"/>
        </w:rPr>
      </w:pPr>
    </w:p>
    <w:p w14:paraId="2F11E599" w14:textId="7A4570A7" w:rsidR="00BB3157" w:rsidRPr="002C0CF4" w:rsidRDefault="00BB3157"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Lakioti, E. et al. (2025</w:t>
      </w:r>
      <w:r w:rsidR="00C21BF3" w:rsidRPr="002C0CF4">
        <w:rPr>
          <w:rFonts w:ascii="Arial" w:hAnsi="Arial" w:cs="Arial"/>
          <w:color w:val="1C1C1C"/>
          <w:kern w:val="0"/>
          <w:sz w:val="22"/>
          <w:szCs w:val="22"/>
          <w:shd w:val="clear" w:color="auto" w:fill="FFFFFF"/>
          <w14:ligatures w14:val="none"/>
        </w:rPr>
        <w:t>b</w:t>
      </w:r>
      <w:r w:rsidRPr="002C0CF4">
        <w:rPr>
          <w:rFonts w:ascii="Arial" w:hAnsi="Arial" w:cs="Arial"/>
          <w:color w:val="1C1C1C"/>
          <w:kern w:val="0"/>
          <w:sz w:val="22"/>
          <w:szCs w:val="22"/>
          <w:shd w:val="clear" w:color="auto" w:fill="FFFFFF"/>
          <w14:ligatures w14:val="none"/>
        </w:rPr>
        <w:t>) 'Social Factors and Policies Promoting Good Health and Well-Being as a Sustainable Development Goal: Current Achievements and Future Pathways,' </w:t>
      </w:r>
      <w:r w:rsidRPr="002C0CF4">
        <w:rPr>
          <w:rFonts w:ascii="Arial" w:hAnsi="Arial" w:cs="Arial"/>
          <w:i/>
          <w:iCs/>
          <w:color w:val="1C1C1C"/>
          <w:kern w:val="0"/>
          <w:sz w:val="22"/>
          <w:szCs w:val="22"/>
          <w:shd w:val="clear" w:color="auto" w:fill="FFFFFF"/>
          <w14:ligatures w14:val="none"/>
        </w:rPr>
        <w:t>Sustainability</w:t>
      </w:r>
      <w:r w:rsidRPr="002C0CF4">
        <w:rPr>
          <w:rFonts w:ascii="Arial" w:hAnsi="Arial" w:cs="Arial"/>
          <w:color w:val="1C1C1C"/>
          <w:kern w:val="0"/>
          <w:sz w:val="22"/>
          <w:szCs w:val="22"/>
          <w:shd w:val="clear" w:color="auto" w:fill="FFFFFF"/>
          <w14:ligatures w14:val="none"/>
        </w:rPr>
        <w:t>, 17(11), p. 5063. https://doi.org/10.3390/su17115063.</w:t>
      </w:r>
    </w:p>
    <w:p w14:paraId="74813531" w14:textId="77777777" w:rsidR="00074262" w:rsidRPr="002C0CF4" w:rsidRDefault="00074262" w:rsidP="00F55EAB">
      <w:pPr>
        <w:spacing w:line="360" w:lineRule="auto"/>
        <w:rPr>
          <w:rFonts w:ascii="Arial" w:hAnsi="Arial" w:cs="Arial"/>
          <w:color w:val="1C1C1C"/>
          <w:kern w:val="0"/>
          <w:sz w:val="22"/>
          <w:szCs w:val="22"/>
          <w:shd w:val="clear" w:color="auto" w:fill="FFFFFF"/>
          <w14:ligatures w14:val="none"/>
        </w:rPr>
      </w:pPr>
    </w:p>
    <w:p w14:paraId="00E9CCCF"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Lambie-Mumford, H. and Lambie-Mumford, H. (2018a) 'The growth of food banks in Britain and what they mean for social policy,' </w:t>
      </w:r>
      <w:r w:rsidRPr="002C0CF4">
        <w:rPr>
          <w:rFonts w:ascii="Arial" w:hAnsi="Arial" w:cs="Arial"/>
          <w:i/>
          <w:iCs/>
          <w:color w:val="1C1C1C"/>
          <w:kern w:val="0"/>
          <w:sz w:val="22"/>
          <w:szCs w:val="22"/>
          <w:shd w:val="clear" w:color="auto" w:fill="FFFFFF"/>
          <w14:ligatures w14:val="none"/>
        </w:rPr>
        <w:t>Critical Social Policy</w:t>
      </w:r>
      <w:r w:rsidRPr="002C0CF4">
        <w:rPr>
          <w:rFonts w:ascii="Arial" w:hAnsi="Arial" w:cs="Arial"/>
          <w:color w:val="1C1C1C"/>
          <w:kern w:val="0"/>
          <w:sz w:val="22"/>
          <w:szCs w:val="22"/>
          <w:shd w:val="clear" w:color="auto" w:fill="FFFFFF"/>
          <w14:ligatures w14:val="none"/>
        </w:rPr>
        <w:t>, 39(1), pp. 3–22. https://doi.org/10.1177/0261018318765855.</w:t>
      </w:r>
    </w:p>
    <w:p w14:paraId="268737F7" w14:textId="77777777" w:rsidR="00831F98" w:rsidRPr="002C0CF4" w:rsidRDefault="00831F98" w:rsidP="00F55EAB">
      <w:pPr>
        <w:spacing w:line="360" w:lineRule="auto"/>
        <w:rPr>
          <w:rFonts w:ascii="Arial" w:hAnsi="Arial" w:cs="Arial"/>
          <w:color w:val="1C1C1C"/>
          <w:kern w:val="0"/>
          <w:sz w:val="22"/>
          <w:szCs w:val="22"/>
          <w:shd w:val="clear" w:color="auto" w:fill="FFFFFF"/>
          <w14:ligatures w14:val="none"/>
        </w:rPr>
      </w:pPr>
    </w:p>
    <w:p w14:paraId="569F97A6" w14:textId="1063D1F3"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Lambie-Mumford, H. and Lambie-Mumford, H. (2018b) 'The growth of food banks in Britain and what they mean for social policy,' </w:t>
      </w:r>
      <w:r w:rsidRPr="002C0CF4">
        <w:rPr>
          <w:rFonts w:ascii="Arial" w:hAnsi="Arial" w:cs="Arial"/>
          <w:i/>
          <w:iCs/>
          <w:color w:val="1C1C1C"/>
          <w:kern w:val="0"/>
          <w:sz w:val="22"/>
          <w:szCs w:val="22"/>
          <w:shd w:val="clear" w:color="auto" w:fill="FFFFFF"/>
          <w14:ligatures w14:val="none"/>
        </w:rPr>
        <w:t>Critical Social Policy</w:t>
      </w:r>
      <w:r w:rsidRPr="002C0CF4">
        <w:rPr>
          <w:rFonts w:ascii="Arial" w:hAnsi="Arial" w:cs="Arial"/>
          <w:color w:val="1C1C1C"/>
          <w:kern w:val="0"/>
          <w:sz w:val="22"/>
          <w:szCs w:val="22"/>
          <w:shd w:val="clear" w:color="auto" w:fill="FFFFFF"/>
          <w14:ligatures w14:val="none"/>
        </w:rPr>
        <w:t>, 39(1), pp. 3–22. https://doi.org/10.1177/0261018318765855.</w:t>
      </w:r>
    </w:p>
    <w:p w14:paraId="22181A79" w14:textId="77777777" w:rsidR="00831F98" w:rsidRPr="002C0CF4" w:rsidRDefault="00831F98" w:rsidP="00F55EAB">
      <w:pPr>
        <w:spacing w:line="360" w:lineRule="auto"/>
        <w:rPr>
          <w:rFonts w:ascii="Arial" w:hAnsi="Arial" w:cs="Arial"/>
          <w:color w:val="1C1C1C"/>
          <w:kern w:val="0"/>
          <w:sz w:val="22"/>
          <w:szCs w:val="22"/>
          <w:shd w:val="clear" w:color="auto" w:fill="FFFFFF"/>
          <w14:ligatures w14:val="none"/>
        </w:rPr>
      </w:pPr>
    </w:p>
    <w:p w14:paraId="11DAAAB8" w14:textId="1EA2EBB6"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Loopstra, R. and Lambie-Mumford, H. (2023) 'Food banks: Understanding their role in the food insecure population in the UK,' </w:t>
      </w:r>
      <w:r w:rsidRPr="002C0CF4">
        <w:rPr>
          <w:rFonts w:ascii="Arial" w:hAnsi="Arial" w:cs="Arial"/>
          <w:i/>
          <w:iCs/>
          <w:color w:val="1C1C1C"/>
          <w:kern w:val="0"/>
          <w:sz w:val="22"/>
          <w:szCs w:val="22"/>
          <w:shd w:val="clear" w:color="auto" w:fill="FFFFFF"/>
          <w14:ligatures w14:val="none"/>
        </w:rPr>
        <w:t>Proceedings of the Nutrition Soc</w:t>
      </w:r>
      <w:r w:rsidRPr="002C0CF4">
        <w:rPr>
          <w:rFonts w:ascii="Arial" w:hAnsi="Arial" w:cs="Arial"/>
          <w:color w:val="1C1C1C"/>
          <w:kern w:val="0"/>
          <w:sz w:val="22"/>
          <w:szCs w:val="22"/>
          <w:shd w:val="clear" w:color="auto" w:fill="FFFFFF"/>
          <w14:ligatures w14:val="none"/>
        </w:rPr>
        <w:t>iety, 82(3), pp. 253–263. https://doi.org/10.1017/s0029665123002720.</w:t>
      </w:r>
    </w:p>
    <w:p w14:paraId="4C1272F0" w14:textId="77777777" w:rsidR="00831F98" w:rsidRPr="002C0CF4" w:rsidRDefault="00831F98" w:rsidP="00F55EAB">
      <w:pPr>
        <w:spacing w:line="360" w:lineRule="auto"/>
        <w:rPr>
          <w:rFonts w:ascii="Arial" w:hAnsi="Arial" w:cs="Arial"/>
          <w:color w:val="1C1C1C"/>
          <w:kern w:val="0"/>
          <w:sz w:val="22"/>
          <w:szCs w:val="22"/>
          <w:shd w:val="clear" w:color="auto" w:fill="FFFFFF"/>
          <w14:ligatures w14:val="none"/>
        </w:rPr>
      </w:pPr>
    </w:p>
    <w:p w14:paraId="30072641" w14:textId="386BC06F"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Morton, S., Pencheon, D. and Squires, N. (2017) 'Sustainable Development Goals (SDGs), and their implementation,' </w:t>
      </w:r>
      <w:r w:rsidRPr="002C0CF4">
        <w:rPr>
          <w:rFonts w:ascii="Arial" w:hAnsi="Arial" w:cs="Arial"/>
          <w:i/>
          <w:iCs/>
          <w:color w:val="1C1C1C"/>
          <w:kern w:val="0"/>
          <w:sz w:val="22"/>
          <w:szCs w:val="22"/>
          <w:shd w:val="clear" w:color="auto" w:fill="FFFFFF"/>
          <w14:ligatures w14:val="none"/>
        </w:rPr>
        <w:t>British Medical Bulletin</w:t>
      </w:r>
      <w:r w:rsidRPr="002C0CF4">
        <w:rPr>
          <w:rFonts w:ascii="Arial" w:hAnsi="Arial" w:cs="Arial"/>
          <w:color w:val="1C1C1C"/>
          <w:kern w:val="0"/>
          <w:sz w:val="22"/>
          <w:szCs w:val="22"/>
          <w:shd w:val="clear" w:color="auto" w:fill="FFFFFF"/>
          <w14:ligatures w14:val="none"/>
        </w:rPr>
        <w:t>, pp. 1–10. https://doi.org/10.1093/bmb/ldx031.</w:t>
      </w:r>
    </w:p>
    <w:p w14:paraId="25C7D3D8" w14:textId="77777777" w:rsidR="00831F98" w:rsidRPr="002C0CF4" w:rsidRDefault="00831F98" w:rsidP="00F55EAB">
      <w:pPr>
        <w:spacing w:line="360" w:lineRule="auto"/>
        <w:rPr>
          <w:rFonts w:ascii="Arial" w:hAnsi="Arial" w:cs="Arial"/>
          <w:color w:val="1C1C1C"/>
          <w:kern w:val="0"/>
          <w:sz w:val="22"/>
          <w:szCs w:val="22"/>
          <w:shd w:val="clear" w:color="auto" w:fill="FFFFFF"/>
          <w14:ligatures w14:val="none"/>
        </w:rPr>
      </w:pPr>
    </w:p>
    <w:p w14:paraId="23D24008" w14:textId="66885036"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Médecins Sans Frontières, (2010). </w:t>
      </w:r>
      <w:r w:rsidRPr="002C0CF4">
        <w:rPr>
          <w:rFonts w:ascii="Arial" w:hAnsi="Arial" w:cs="Arial"/>
          <w:i/>
          <w:iCs/>
          <w:sz w:val="22"/>
          <w:szCs w:val="22"/>
        </w:rPr>
        <w:t>Teleconference on Haiti Earthquake on January 18, 2010</w:t>
      </w:r>
      <w:r w:rsidRPr="002C0CF4">
        <w:rPr>
          <w:rFonts w:ascii="Arial" w:hAnsi="Arial" w:cs="Arial"/>
          <w:sz w:val="22"/>
          <w:szCs w:val="22"/>
        </w:rPr>
        <w:t>. Available at: https://www.doctorswithoutborders.org/latest/teleconference-haiti-earthquake-january-18-2010</w:t>
      </w:r>
      <w:r w:rsidR="006E29BD" w:rsidRPr="002C0CF4">
        <w:rPr>
          <w:rFonts w:ascii="Arial" w:hAnsi="Arial" w:cs="Arial"/>
          <w:sz w:val="22"/>
          <w:szCs w:val="22"/>
        </w:rPr>
        <w:t xml:space="preserve"> </w:t>
      </w:r>
      <w:r w:rsidRPr="002C0CF4">
        <w:rPr>
          <w:rFonts w:ascii="Arial" w:hAnsi="Arial" w:cs="Arial"/>
          <w:sz w:val="22"/>
          <w:szCs w:val="22"/>
        </w:rPr>
        <w:t>(Accessed: 29 October 2025).</w:t>
      </w:r>
    </w:p>
    <w:p w14:paraId="5FEA17CF" w14:textId="77777777" w:rsidR="00831F98" w:rsidRPr="002C0CF4" w:rsidRDefault="00831F98" w:rsidP="00F55EAB">
      <w:pPr>
        <w:spacing w:line="360" w:lineRule="auto"/>
        <w:rPr>
          <w:rFonts w:ascii="Arial" w:hAnsi="Arial" w:cs="Arial"/>
          <w:sz w:val="22"/>
          <w:szCs w:val="22"/>
        </w:rPr>
      </w:pPr>
    </w:p>
    <w:p w14:paraId="53EF26E8" w14:textId="77777777"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Médecins Sans Frontières, (2014). </w:t>
      </w:r>
      <w:r w:rsidRPr="002C0CF4">
        <w:rPr>
          <w:rFonts w:ascii="Arial" w:hAnsi="Arial" w:cs="Arial"/>
          <w:i/>
          <w:iCs/>
          <w:sz w:val="22"/>
          <w:szCs w:val="22"/>
        </w:rPr>
        <w:t>A French MSF staff member infected in Liberia</w:t>
      </w:r>
      <w:r w:rsidRPr="002C0CF4">
        <w:rPr>
          <w:rFonts w:ascii="Arial" w:hAnsi="Arial" w:cs="Arial"/>
          <w:sz w:val="22"/>
          <w:szCs w:val="22"/>
        </w:rPr>
        <w:t>. Available at: https://www.msf.org/ebola-french-msf-staff-member-infected-liberia (Accessed: 29 October 2025).</w:t>
      </w:r>
    </w:p>
    <w:p w14:paraId="4D8D19B1" w14:textId="77777777" w:rsidR="00114529" w:rsidRPr="002C0CF4" w:rsidRDefault="00114529" w:rsidP="00F55EAB">
      <w:pPr>
        <w:spacing w:line="360" w:lineRule="auto"/>
        <w:rPr>
          <w:rFonts w:ascii="Arial" w:hAnsi="Arial" w:cs="Arial"/>
          <w:sz w:val="22"/>
          <w:szCs w:val="22"/>
        </w:rPr>
      </w:pPr>
    </w:p>
    <w:p w14:paraId="5CFAEF0D" w14:textId="77777777"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Médecins Sans Frontières, (2015). </w:t>
      </w:r>
      <w:r w:rsidRPr="002C0CF4">
        <w:rPr>
          <w:rFonts w:ascii="Arial" w:hAnsi="Arial" w:cs="Arial"/>
          <w:i/>
          <w:iCs/>
          <w:sz w:val="22"/>
          <w:szCs w:val="22"/>
        </w:rPr>
        <w:t>Afghanistan: MSF Demands Explanations After Deadly Airstrikes Hit Hospital in Kunduz</w:t>
      </w:r>
      <w:r w:rsidRPr="002C0CF4">
        <w:rPr>
          <w:rFonts w:ascii="Arial" w:hAnsi="Arial" w:cs="Arial"/>
          <w:sz w:val="22"/>
          <w:szCs w:val="22"/>
        </w:rPr>
        <w:t xml:space="preserve">. [Online] Available at: </w:t>
      </w:r>
      <w:r w:rsidRPr="002C0CF4">
        <w:rPr>
          <w:rFonts w:ascii="Arial" w:hAnsi="Arial" w:cs="Arial"/>
          <w:sz w:val="22"/>
          <w:szCs w:val="22"/>
        </w:rPr>
        <w:lastRenderedPageBreak/>
        <w:t>https://www.doctorswithoutborders.org/latest/afghanistan-msf-demands-explanations-after-deadly-airstrikes-hit-hospital-kunduz (Accessed: 29 October 2025).</w:t>
      </w:r>
    </w:p>
    <w:p w14:paraId="01293C96" w14:textId="77777777" w:rsidR="00114529" w:rsidRPr="002C0CF4" w:rsidRDefault="00114529" w:rsidP="00F55EAB">
      <w:pPr>
        <w:spacing w:line="360" w:lineRule="auto"/>
        <w:rPr>
          <w:rFonts w:ascii="Arial" w:hAnsi="Arial" w:cs="Arial"/>
          <w:sz w:val="22"/>
          <w:szCs w:val="22"/>
        </w:rPr>
      </w:pPr>
    </w:p>
    <w:p w14:paraId="3AA9F64A" w14:textId="77777777"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Médecins Sans Frontières, (2023). </w:t>
      </w:r>
      <w:r w:rsidRPr="002C0CF4">
        <w:rPr>
          <w:rFonts w:ascii="Arial" w:hAnsi="Arial" w:cs="Arial"/>
          <w:i/>
          <w:iCs/>
          <w:sz w:val="22"/>
          <w:szCs w:val="22"/>
        </w:rPr>
        <w:t>Mobile clinics reach people stranded by violence in Haiti</w:t>
      </w:r>
      <w:r w:rsidRPr="002C0CF4">
        <w:rPr>
          <w:rFonts w:ascii="Arial" w:hAnsi="Arial" w:cs="Arial"/>
          <w:sz w:val="22"/>
          <w:szCs w:val="22"/>
        </w:rPr>
        <w:t>. [Online] Available at: https://www.doctorswithoutborders.org/latest/mobile-clinics-reach-people-stranded-violence-haiti (Accessed: 29 October 2025).</w:t>
      </w:r>
    </w:p>
    <w:p w14:paraId="61D4E511" w14:textId="77777777" w:rsidR="00A97627" w:rsidRPr="002C0CF4" w:rsidRDefault="00A97627" w:rsidP="00F55EAB">
      <w:pPr>
        <w:spacing w:line="360" w:lineRule="auto"/>
        <w:rPr>
          <w:rFonts w:ascii="Arial" w:hAnsi="Arial" w:cs="Arial"/>
          <w:sz w:val="22"/>
          <w:szCs w:val="22"/>
        </w:rPr>
      </w:pPr>
    </w:p>
    <w:p w14:paraId="13D8A8E6" w14:textId="07F0574E"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Médecins Sans Frontières, (2024). </w:t>
      </w:r>
      <w:r w:rsidRPr="002C0CF4">
        <w:rPr>
          <w:rFonts w:ascii="Arial" w:hAnsi="Arial" w:cs="Arial"/>
          <w:i/>
          <w:iCs/>
          <w:sz w:val="22"/>
          <w:szCs w:val="22"/>
        </w:rPr>
        <w:t>Delivering care in a conflict zone.</w:t>
      </w:r>
      <w:r w:rsidRPr="002C0CF4">
        <w:rPr>
          <w:rFonts w:ascii="Arial" w:hAnsi="Arial" w:cs="Arial"/>
          <w:sz w:val="22"/>
          <w:szCs w:val="22"/>
        </w:rPr>
        <w:t xml:space="preserve"> [Online] Available at: https://www.doctorswithoutborders.org/what-we-do/focus/care-in-conflict-zones#:~:text=MSF%20provides%20lifesaving%20medical%20care%20in%20conflict,have%20been%20fractured%20or%20overburdened%20by%20war</w:t>
      </w:r>
      <w:r w:rsidR="00B95BA7" w:rsidRPr="002C0CF4">
        <w:rPr>
          <w:rFonts w:ascii="Arial" w:hAnsi="Arial" w:cs="Arial"/>
          <w:sz w:val="22"/>
          <w:szCs w:val="22"/>
        </w:rPr>
        <w:t xml:space="preserve"> </w:t>
      </w:r>
      <w:r w:rsidRPr="002C0CF4">
        <w:rPr>
          <w:rFonts w:ascii="Arial" w:hAnsi="Arial" w:cs="Arial"/>
          <w:sz w:val="22"/>
          <w:szCs w:val="22"/>
        </w:rPr>
        <w:t>(Accessed: 29 October 2025).</w:t>
      </w:r>
    </w:p>
    <w:p w14:paraId="3DE6CAA7" w14:textId="77777777" w:rsidR="00114529" w:rsidRPr="002C0CF4" w:rsidRDefault="00114529" w:rsidP="00F55EAB">
      <w:pPr>
        <w:spacing w:line="360" w:lineRule="auto"/>
        <w:rPr>
          <w:rFonts w:ascii="Arial" w:hAnsi="Arial" w:cs="Arial"/>
          <w:sz w:val="22"/>
          <w:szCs w:val="22"/>
        </w:rPr>
      </w:pPr>
    </w:p>
    <w:p w14:paraId="6070E0A4" w14:textId="19B3E4F8"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Oldroyd, L. et al. (2022</w:t>
      </w:r>
      <w:r w:rsidR="0045730B" w:rsidRPr="002C0CF4">
        <w:rPr>
          <w:rFonts w:ascii="Arial" w:hAnsi="Arial" w:cs="Arial"/>
          <w:color w:val="1C1C1C"/>
          <w:kern w:val="0"/>
          <w:sz w:val="22"/>
          <w:szCs w:val="22"/>
          <w:shd w:val="clear" w:color="auto" w:fill="FFFFFF"/>
          <w14:ligatures w14:val="none"/>
        </w:rPr>
        <w:t>a</w:t>
      </w:r>
      <w:r w:rsidRPr="002C0CF4">
        <w:rPr>
          <w:rFonts w:ascii="Arial" w:hAnsi="Arial" w:cs="Arial"/>
          <w:color w:val="1C1C1C"/>
          <w:kern w:val="0"/>
          <w:sz w:val="22"/>
          <w:szCs w:val="22"/>
          <w:shd w:val="clear" w:color="auto" w:fill="FFFFFF"/>
          <w14:ligatures w14:val="none"/>
        </w:rPr>
        <w:t>) 'The nutritional quality of food parcels provided by food banks and the effectiveness of food banks at reducing food insecurity in developed countries: a mixed</w:t>
      </w:r>
      <w:r w:rsidRPr="002C0CF4">
        <w:rPr>
          <w:rFonts w:ascii="Cambria Math" w:hAnsi="Cambria Math" w:cs="Cambria Math"/>
          <w:color w:val="1C1C1C"/>
          <w:kern w:val="0"/>
          <w:sz w:val="22"/>
          <w:szCs w:val="22"/>
          <w:shd w:val="clear" w:color="auto" w:fill="FFFFFF"/>
          <w14:ligatures w14:val="none"/>
        </w:rPr>
        <w:t>‐</w:t>
      </w:r>
      <w:r w:rsidRPr="002C0CF4">
        <w:rPr>
          <w:rFonts w:ascii="Arial" w:hAnsi="Arial" w:cs="Arial"/>
          <w:color w:val="1C1C1C"/>
          <w:kern w:val="0"/>
          <w:sz w:val="22"/>
          <w:szCs w:val="22"/>
          <w:shd w:val="clear" w:color="auto" w:fill="FFFFFF"/>
          <w14:ligatures w14:val="none"/>
        </w:rPr>
        <w:t>method systematic review,' </w:t>
      </w:r>
      <w:r w:rsidRPr="002C0CF4">
        <w:rPr>
          <w:rFonts w:ascii="Arial" w:hAnsi="Arial" w:cs="Arial"/>
          <w:i/>
          <w:iCs/>
          <w:color w:val="1C1C1C"/>
          <w:kern w:val="0"/>
          <w:sz w:val="22"/>
          <w:szCs w:val="22"/>
          <w:shd w:val="clear" w:color="auto" w:fill="FFFFFF"/>
          <w14:ligatures w14:val="none"/>
        </w:rPr>
        <w:t>Journal of Human Nutrition and Dietetics</w:t>
      </w:r>
      <w:r w:rsidRPr="002C0CF4">
        <w:rPr>
          <w:rFonts w:ascii="Arial" w:hAnsi="Arial" w:cs="Arial"/>
          <w:color w:val="1C1C1C"/>
          <w:kern w:val="0"/>
          <w:sz w:val="22"/>
          <w:szCs w:val="22"/>
          <w:shd w:val="clear" w:color="auto" w:fill="FFFFFF"/>
          <w14:ligatures w14:val="none"/>
        </w:rPr>
        <w:t>, 35(6), pp. 1202–1229. https://doi.org/10.1111/jhn.12994.</w:t>
      </w:r>
    </w:p>
    <w:p w14:paraId="4D3470C4" w14:textId="77777777" w:rsidR="00114529" w:rsidRPr="002C0CF4" w:rsidRDefault="00114529" w:rsidP="00F55EAB">
      <w:pPr>
        <w:spacing w:line="360" w:lineRule="auto"/>
        <w:rPr>
          <w:rFonts w:ascii="Arial" w:hAnsi="Arial" w:cs="Arial"/>
          <w:color w:val="1C1C1C"/>
          <w:kern w:val="0"/>
          <w:sz w:val="22"/>
          <w:szCs w:val="22"/>
          <w:shd w:val="clear" w:color="auto" w:fill="FFFFFF"/>
          <w14:ligatures w14:val="none"/>
        </w:rPr>
      </w:pPr>
    </w:p>
    <w:p w14:paraId="0A05AFC7" w14:textId="5047BCC4" w:rsidR="0045730B" w:rsidRPr="002C0CF4" w:rsidRDefault="0045730B" w:rsidP="0045730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Oldroyd, L. et al. (2022</w:t>
      </w:r>
      <w:r w:rsidR="000656B3" w:rsidRPr="002C0CF4">
        <w:rPr>
          <w:rFonts w:ascii="Arial" w:hAnsi="Arial" w:cs="Arial"/>
          <w:color w:val="1C1C1C"/>
          <w:kern w:val="0"/>
          <w:sz w:val="22"/>
          <w:szCs w:val="22"/>
          <w:shd w:val="clear" w:color="auto" w:fill="FFFFFF"/>
          <w14:ligatures w14:val="none"/>
        </w:rPr>
        <w:t>b</w:t>
      </w:r>
      <w:r w:rsidRPr="002C0CF4">
        <w:rPr>
          <w:rFonts w:ascii="Arial" w:hAnsi="Arial" w:cs="Arial"/>
          <w:color w:val="1C1C1C"/>
          <w:kern w:val="0"/>
          <w:sz w:val="22"/>
          <w:szCs w:val="22"/>
          <w:shd w:val="clear" w:color="auto" w:fill="FFFFFF"/>
          <w14:ligatures w14:val="none"/>
        </w:rPr>
        <w:t>) 'The nutritional quality of food parcels provided by food banks and the effectiveness of food banks at reducing food insecurity in developed countries: a mixed</w:t>
      </w:r>
      <w:r w:rsidRPr="002C0CF4">
        <w:rPr>
          <w:rFonts w:ascii="Cambria Math" w:hAnsi="Cambria Math" w:cs="Cambria Math"/>
          <w:color w:val="1C1C1C"/>
          <w:kern w:val="0"/>
          <w:sz w:val="22"/>
          <w:szCs w:val="22"/>
          <w:shd w:val="clear" w:color="auto" w:fill="FFFFFF"/>
          <w14:ligatures w14:val="none"/>
        </w:rPr>
        <w:t>‐</w:t>
      </w:r>
      <w:r w:rsidRPr="002C0CF4">
        <w:rPr>
          <w:rFonts w:ascii="Arial" w:hAnsi="Arial" w:cs="Arial"/>
          <w:color w:val="1C1C1C"/>
          <w:kern w:val="0"/>
          <w:sz w:val="22"/>
          <w:szCs w:val="22"/>
          <w:shd w:val="clear" w:color="auto" w:fill="FFFFFF"/>
          <w14:ligatures w14:val="none"/>
        </w:rPr>
        <w:t>method systematic review,' </w:t>
      </w:r>
      <w:r w:rsidRPr="002C0CF4">
        <w:rPr>
          <w:rFonts w:ascii="Arial" w:hAnsi="Arial" w:cs="Arial"/>
          <w:i/>
          <w:iCs/>
          <w:color w:val="1C1C1C"/>
          <w:kern w:val="0"/>
          <w:sz w:val="22"/>
          <w:szCs w:val="22"/>
          <w:shd w:val="clear" w:color="auto" w:fill="FFFFFF"/>
          <w14:ligatures w14:val="none"/>
        </w:rPr>
        <w:t>Journal of Human Nutrition and Dietetics,</w:t>
      </w:r>
      <w:r w:rsidRPr="002C0CF4">
        <w:rPr>
          <w:rFonts w:ascii="Arial" w:hAnsi="Arial" w:cs="Arial"/>
          <w:color w:val="1C1C1C"/>
          <w:kern w:val="0"/>
          <w:sz w:val="22"/>
          <w:szCs w:val="22"/>
          <w:shd w:val="clear" w:color="auto" w:fill="FFFFFF"/>
          <w14:ligatures w14:val="none"/>
        </w:rPr>
        <w:t xml:space="preserve"> 35(6), pp. 1202–1229. https://doi.org/10.1111/jhn.12994.</w:t>
      </w:r>
    </w:p>
    <w:p w14:paraId="577E3834" w14:textId="77777777" w:rsidR="00114529" w:rsidRPr="002C0CF4" w:rsidRDefault="00114529" w:rsidP="0045730B">
      <w:pPr>
        <w:spacing w:line="360" w:lineRule="auto"/>
        <w:rPr>
          <w:rFonts w:ascii="Arial" w:hAnsi="Arial" w:cs="Arial"/>
          <w:color w:val="1C1C1C"/>
          <w:kern w:val="0"/>
          <w:sz w:val="22"/>
          <w:szCs w:val="22"/>
          <w:shd w:val="clear" w:color="auto" w:fill="FFFFFF"/>
          <w14:ligatures w14:val="none"/>
        </w:rPr>
      </w:pPr>
    </w:p>
    <w:p w14:paraId="35C63DD1"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Pottie, K. et al. (2015) 'Access to healthcare for the most vulnerable migrants: a humanitarian crisis,' </w:t>
      </w:r>
      <w:r w:rsidRPr="002C0CF4">
        <w:rPr>
          <w:rFonts w:ascii="Arial" w:hAnsi="Arial" w:cs="Arial"/>
          <w:i/>
          <w:iCs/>
          <w:color w:val="1C1C1C"/>
          <w:kern w:val="0"/>
          <w:sz w:val="22"/>
          <w:szCs w:val="22"/>
          <w:shd w:val="clear" w:color="auto" w:fill="FFFFFF"/>
          <w14:ligatures w14:val="none"/>
        </w:rPr>
        <w:t>Conflict and Health,</w:t>
      </w:r>
      <w:r w:rsidRPr="002C0CF4">
        <w:rPr>
          <w:rFonts w:ascii="Arial" w:hAnsi="Arial" w:cs="Arial"/>
          <w:color w:val="1C1C1C"/>
          <w:kern w:val="0"/>
          <w:sz w:val="22"/>
          <w:szCs w:val="22"/>
          <w:shd w:val="clear" w:color="auto" w:fill="FFFFFF"/>
          <w14:ligatures w14:val="none"/>
        </w:rPr>
        <w:t xml:space="preserve"> 9(1). https://doi.org/10.1186/s13031-015-0043-8.</w:t>
      </w:r>
    </w:p>
    <w:p w14:paraId="3D58336C" w14:textId="77777777" w:rsidR="009910A6" w:rsidRPr="002C0CF4" w:rsidRDefault="009910A6" w:rsidP="00F55EAB">
      <w:pPr>
        <w:spacing w:line="360" w:lineRule="auto"/>
        <w:rPr>
          <w:rFonts w:ascii="Arial" w:hAnsi="Arial" w:cs="Arial"/>
          <w:color w:val="1C1C1C"/>
          <w:kern w:val="0"/>
          <w:sz w:val="22"/>
          <w:szCs w:val="22"/>
          <w:shd w:val="clear" w:color="auto" w:fill="FFFFFF"/>
          <w14:ligatures w14:val="none"/>
        </w:rPr>
      </w:pPr>
    </w:p>
    <w:p w14:paraId="1EF078C2"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Rockström, J. et al. (2016) 'Sustainable intensification of agriculture for human prosperity and global sustainability,' </w:t>
      </w:r>
      <w:r w:rsidRPr="002C0CF4">
        <w:rPr>
          <w:rFonts w:ascii="Arial" w:hAnsi="Arial" w:cs="Arial"/>
          <w:i/>
          <w:iCs/>
          <w:color w:val="1C1C1C"/>
          <w:kern w:val="0"/>
          <w:sz w:val="22"/>
          <w:szCs w:val="22"/>
          <w:shd w:val="clear" w:color="auto" w:fill="FFFFFF"/>
          <w14:ligatures w14:val="none"/>
        </w:rPr>
        <w:t>AMBIO</w:t>
      </w:r>
      <w:r w:rsidRPr="002C0CF4">
        <w:rPr>
          <w:rFonts w:ascii="Arial" w:hAnsi="Arial" w:cs="Arial"/>
          <w:color w:val="1C1C1C"/>
          <w:kern w:val="0"/>
          <w:sz w:val="22"/>
          <w:szCs w:val="22"/>
          <w:shd w:val="clear" w:color="auto" w:fill="FFFFFF"/>
          <w14:ligatures w14:val="none"/>
        </w:rPr>
        <w:t>, 46(1), pp. 4–17. https://doi.org/10.1007/s13280-016-0793-6.</w:t>
      </w:r>
    </w:p>
    <w:p w14:paraId="09389D59"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Scarneo, S.E. et al. (2019) 'The Socioecological Framework: a multifaceted approach to preventing Sport-Related deaths in high school sports,' </w:t>
      </w:r>
      <w:r w:rsidRPr="002C0CF4">
        <w:rPr>
          <w:rFonts w:ascii="Arial" w:hAnsi="Arial" w:cs="Arial"/>
          <w:i/>
          <w:iCs/>
          <w:color w:val="1C1C1C"/>
          <w:kern w:val="0"/>
          <w:sz w:val="22"/>
          <w:szCs w:val="22"/>
          <w:shd w:val="clear" w:color="auto" w:fill="FFFFFF"/>
          <w14:ligatures w14:val="none"/>
        </w:rPr>
        <w:t>Journal of Athletic Training</w:t>
      </w:r>
      <w:r w:rsidRPr="002C0CF4">
        <w:rPr>
          <w:rFonts w:ascii="Arial" w:hAnsi="Arial" w:cs="Arial"/>
          <w:color w:val="1C1C1C"/>
          <w:kern w:val="0"/>
          <w:sz w:val="22"/>
          <w:szCs w:val="22"/>
          <w:shd w:val="clear" w:color="auto" w:fill="FFFFFF"/>
          <w14:ligatures w14:val="none"/>
        </w:rPr>
        <w:t>, 54(4), pp. 356–360. https://doi.org/10.4085/1062-6050-173-18.</w:t>
      </w:r>
    </w:p>
    <w:p w14:paraId="7F8BA0F6" w14:textId="77777777" w:rsidR="009910A6" w:rsidRPr="002C0CF4" w:rsidRDefault="009910A6" w:rsidP="00F55EAB">
      <w:pPr>
        <w:spacing w:line="360" w:lineRule="auto"/>
        <w:rPr>
          <w:rFonts w:ascii="Arial" w:hAnsi="Arial" w:cs="Arial"/>
          <w:color w:val="1C1C1C"/>
          <w:kern w:val="0"/>
          <w:sz w:val="22"/>
          <w:szCs w:val="22"/>
          <w:shd w:val="clear" w:color="auto" w:fill="FFFFFF"/>
          <w14:ligatures w14:val="none"/>
        </w:rPr>
      </w:pPr>
    </w:p>
    <w:p w14:paraId="7F8C8743"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Sosenko, F. et al. (2022) 'Understanding the post-2010 increase in food bank use in England: new quasi-experimental analysis of the role of welfare policy,' </w:t>
      </w:r>
      <w:r w:rsidRPr="002C0CF4">
        <w:rPr>
          <w:rFonts w:ascii="Arial" w:hAnsi="Arial" w:cs="Arial"/>
          <w:i/>
          <w:iCs/>
          <w:color w:val="1C1C1C"/>
          <w:kern w:val="0"/>
          <w:sz w:val="22"/>
          <w:szCs w:val="22"/>
          <w:shd w:val="clear" w:color="auto" w:fill="FFFFFF"/>
          <w14:ligatures w14:val="none"/>
        </w:rPr>
        <w:t>BMC Public Health</w:t>
      </w:r>
      <w:r w:rsidRPr="002C0CF4">
        <w:rPr>
          <w:rFonts w:ascii="Arial" w:hAnsi="Arial" w:cs="Arial"/>
          <w:color w:val="1C1C1C"/>
          <w:kern w:val="0"/>
          <w:sz w:val="22"/>
          <w:szCs w:val="22"/>
          <w:shd w:val="clear" w:color="auto" w:fill="FFFFFF"/>
          <w14:ligatures w14:val="none"/>
        </w:rPr>
        <w:t>, 22(1), p. 1363. https://doi.org/10.1186/s12889-022-13738-0.</w:t>
      </w:r>
    </w:p>
    <w:p w14:paraId="556CB2DB" w14:textId="77777777" w:rsidR="00273E5D" w:rsidRPr="002C0CF4" w:rsidRDefault="00273E5D" w:rsidP="00F55EAB">
      <w:pPr>
        <w:spacing w:line="360" w:lineRule="auto"/>
        <w:rPr>
          <w:rFonts w:ascii="Arial" w:hAnsi="Arial" w:cs="Arial"/>
          <w:color w:val="1C1C1C"/>
          <w:kern w:val="0"/>
          <w:sz w:val="22"/>
          <w:szCs w:val="22"/>
          <w:shd w:val="clear" w:color="auto" w:fill="FFFFFF"/>
          <w14:ligatures w14:val="none"/>
        </w:rPr>
      </w:pPr>
    </w:p>
    <w:p w14:paraId="7A5F59DD"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lastRenderedPageBreak/>
        <w:t>Sporchia, F. et al. (2024) 'Zero hunger: future challenges and the way forward towards the achievement of sustainable development goal 2,' </w:t>
      </w:r>
      <w:r w:rsidRPr="002C0CF4">
        <w:rPr>
          <w:rFonts w:ascii="Arial" w:hAnsi="Arial" w:cs="Arial"/>
          <w:i/>
          <w:iCs/>
          <w:color w:val="1C1C1C"/>
          <w:kern w:val="0"/>
          <w:sz w:val="22"/>
          <w:szCs w:val="22"/>
          <w:shd w:val="clear" w:color="auto" w:fill="FFFFFF"/>
          <w14:ligatures w14:val="none"/>
        </w:rPr>
        <w:t>Sustainable Earth Reviews,</w:t>
      </w:r>
      <w:r w:rsidRPr="002C0CF4">
        <w:rPr>
          <w:rFonts w:ascii="Arial" w:hAnsi="Arial" w:cs="Arial"/>
          <w:color w:val="1C1C1C"/>
          <w:kern w:val="0"/>
          <w:sz w:val="22"/>
          <w:szCs w:val="22"/>
          <w:shd w:val="clear" w:color="auto" w:fill="FFFFFF"/>
          <w14:ligatures w14:val="none"/>
        </w:rPr>
        <w:t xml:space="preserve"> 7(1). https://doi.org/10.1186/s42055-024-00078-7.</w:t>
      </w:r>
    </w:p>
    <w:p w14:paraId="7C33A9CB" w14:textId="77777777" w:rsidR="009910A6" w:rsidRPr="002C0CF4" w:rsidRDefault="009910A6" w:rsidP="00F55EAB">
      <w:pPr>
        <w:spacing w:line="360" w:lineRule="auto"/>
        <w:rPr>
          <w:rFonts w:ascii="Arial" w:hAnsi="Arial" w:cs="Arial"/>
          <w:color w:val="1C1C1C"/>
          <w:kern w:val="0"/>
          <w:sz w:val="22"/>
          <w:szCs w:val="22"/>
          <w:shd w:val="clear" w:color="auto" w:fill="FFFFFF"/>
          <w14:ligatures w14:val="none"/>
        </w:rPr>
      </w:pPr>
    </w:p>
    <w:p w14:paraId="31D28C29"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Strohmeier, H. and Scholte, W.F. (2015) 'Trauma-related mental health problems among national humanitarian staff: a systematic review of the literature,' </w:t>
      </w:r>
      <w:r w:rsidRPr="002C0CF4">
        <w:rPr>
          <w:rFonts w:ascii="Arial" w:hAnsi="Arial" w:cs="Arial"/>
          <w:i/>
          <w:iCs/>
          <w:color w:val="1C1C1C"/>
          <w:kern w:val="0"/>
          <w:sz w:val="22"/>
          <w:szCs w:val="22"/>
          <w:shd w:val="clear" w:color="auto" w:fill="FFFFFF"/>
          <w14:ligatures w14:val="none"/>
        </w:rPr>
        <w:t>European Journal of Psychotraumatology</w:t>
      </w:r>
      <w:r w:rsidRPr="002C0CF4">
        <w:rPr>
          <w:rFonts w:ascii="Arial" w:hAnsi="Arial" w:cs="Arial"/>
          <w:color w:val="1C1C1C"/>
          <w:kern w:val="0"/>
          <w:sz w:val="22"/>
          <w:szCs w:val="22"/>
          <w:shd w:val="clear" w:color="auto" w:fill="FFFFFF"/>
          <w14:ligatures w14:val="none"/>
        </w:rPr>
        <w:t>, 6(1). https://doi.org/10.3402/ejpt.v6.28541.</w:t>
      </w:r>
    </w:p>
    <w:p w14:paraId="7B126D59" w14:textId="77777777" w:rsidR="00273E5D" w:rsidRPr="002C0CF4" w:rsidRDefault="00273E5D" w:rsidP="00F55EAB">
      <w:pPr>
        <w:spacing w:line="360" w:lineRule="auto"/>
        <w:rPr>
          <w:rFonts w:ascii="Arial" w:hAnsi="Arial" w:cs="Arial"/>
          <w:color w:val="1C1C1C"/>
          <w:kern w:val="0"/>
          <w:sz w:val="22"/>
          <w:szCs w:val="22"/>
          <w:shd w:val="clear" w:color="auto" w:fill="FFFFFF"/>
          <w14:ligatures w14:val="none"/>
        </w:rPr>
      </w:pPr>
    </w:p>
    <w:p w14:paraId="41FA0350"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r w:rsidRPr="002C0CF4">
        <w:rPr>
          <w:rFonts w:ascii="Arial" w:hAnsi="Arial" w:cs="Arial"/>
          <w:color w:val="1C1C1C"/>
          <w:kern w:val="0"/>
          <w:sz w:val="22"/>
          <w:szCs w:val="22"/>
          <w:shd w:val="clear" w:color="auto" w:fill="FFFFFF"/>
          <w14:ligatures w14:val="none"/>
        </w:rPr>
        <w:t>Taipale, V. (2016) 'Ebola – how a people’s science helped end an epidemic,' </w:t>
      </w:r>
      <w:r w:rsidRPr="002C0CF4">
        <w:rPr>
          <w:rFonts w:ascii="Arial" w:hAnsi="Arial" w:cs="Arial"/>
          <w:i/>
          <w:iCs/>
          <w:color w:val="1C1C1C"/>
          <w:kern w:val="0"/>
          <w:sz w:val="22"/>
          <w:szCs w:val="22"/>
          <w:shd w:val="clear" w:color="auto" w:fill="FFFFFF"/>
          <w14:ligatures w14:val="none"/>
        </w:rPr>
        <w:t>Medicine Conflict &amp; Survival</w:t>
      </w:r>
      <w:r w:rsidRPr="002C0CF4">
        <w:rPr>
          <w:rFonts w:ascii="Arial" w:hAnsi="Arial" w:cs="Arial"/>
          <w:color w:val="1C1C1C"/>
          <w:kern w:val="0"/>
          <w:sz w:val="22"/>
          <w:szCs w:val="22"/>
          <w:shd w:val="clear" w:color="auto" w:fill="FFFFFF"/>
          <w14:ligatures w14:val="none"/>
        </w:rPr>
        <w:t>, 32(4), pp. 332–334. https://doi.org/10.1080/13623699.2017.1294282.</w:t>
      </w:r>
    </w:p>
    <w:p w14:paraId="167BFE90" w14:textId="77777777" w:rsidR="00FC7B51" w:rsidRPr="002C0CF4" w:rsidRDefault="00FC7B51" w:rsidP="00F55EAB">
      <w:pPr>
        <w:spacing w:line="360" w:lineRule="auto"/>
        <w:rPr>
          <w:rFonts w:ascii="Arial" w:hAnsi="Arial" w:cs="Arial"/>
          <w:color w:val="1C1C1C"/>
          <w:kern w:val="0"/>
          <w:sz w:val="22"/>
          <w:szCs w:val="22"/>
          <w:shd w:val="clear" w:color="auto" w:fill="FFFFFF"/>
          <w14:ligatures w14:val="none"/>
        </w:rPr>
      </w:pPr>
    </w:p>
    <w:p w14:paraId="3F65E0A5" w14:textId="0E33F912"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Trussell Trust, (2022). </w:t>
      </w:r>
      <w:r w:rsidR="00792633" w:rsidRPr="00FD5D04">
        <w:rPr>
          <w:rFonts w:ascii="Arial" w:hAnsi="Arial" w:cs="Arial"/>
          <w:i/>
          <w:iCs/>
          <w:sz w:val="22"/>
          <w:szCs w:val="22"/>
        </w:rPr>
        <w:t>Cash Transfers</w:t>
      </w:r>
      <w:r w:rsidR="00792633">
        <w:rPr>
          <w:rFonts w:ascii="Arial" w:hAnsi="Arial" w:cs="Arial"/>
          <w:i/>
          <w:iCs/>
          <w:sz w:val="22"/>
          <w:szCs w:val="22"/>
        </w:rPr>
        <w:t xml:space="preserve"> </w:t>
      </w:r>
      <w:r w:rsidRPr="002C0CF4">
        <w:rPr>
          <w:rFonts w:ascii="Arial" w:hAnsi="Arial" w:cs="Arial"/>
          <w:i/>
          <w:iCs/>
          <w:sz w:val="22"/>
          <w:szCs w:val="22"/>
        </w:rPr>
        <w:t>Five lessons about cash transfers decision makers at all levels of government should be aware of.</w:t>
      </w:r>
      <w:r w:rsidRPr="002C0CF4">
        <w:rPr>
          <w:rFonts w:ascii="Arial" w:hAnsi="Arial" w:cs="Arial"/>
          <w:sz w:val="22"/>
          <w:szCs w:val="22"/>
        </w:rPr>
        <w:t xml:space="preserve"> Available at: https://cms.trussell.org.uk/sites/default/files/wp-assets/Trussell-Trust-response-to-Leeds-Cash-First-pilot.pdf (Accessed: 04 November 2025).</w:t>
      </w:r>
    </w:p>
    <w:p w14:paraId="40095F4E" w14:textId="77777777" w:rsidR="003171FD" w:rsidRPr="002C0CF4" w:rsidRDefault="003171FD" w:rsidP="00F55EAB">
      <w:pPr>
        <w:spacing w:line="360" w:lineRule="auto"/>
        <w:rPr>
          <w:rFonts w:ascii="Arial" w:hAnsi="Arial" w:cs="Arial"/>
          <w:sz w:val="22"/>
          <w:szCs w:val="22"/>
        </w:rPr>
      </w:pPr>
    </w:p>
    <w:p w14:paraId="1E3EFEA8" w14:textId="3EE5DD22"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Trussell Trust, (2025</w:t>
      </w:r>
      <w:r w:rsidR="005A3E5B">
        <w:rPr>
          <w:rFonts w:ascii="Arial" w:hAnsi="Arial" w:cs="Arial"/>
          <w:sz w:val="22"/>
          <w:szCs w:val="22"/>
        </w:rPr>
        <w:t>a</w:t>
      </w:r>
      <w:r w:rsidRPr="002C0CF4">
        <w:rPr>
          <w:rFonts w:ascii="Arial" w:hAnsi="Arial" w:cs="Arial"/>
          <w:sz w:val="22"/>
          <w:szCs w:val="22"/>
        </w:rPr>
        <w:t xml:space="preserve">). </w:t>
      </w:r>
      <w:r w:rsidRPr="002C0CF4">
        <w:rPr>
          <w:rFonts w:ascii="Arial" w:hAnsi="Arial" w:cs="Arial"/>
          <w:i/>
          <w:iCs/>
          <w:sz w:val="22"/>
          <w:szCs w:val="22"/>
        </w:rPr>
        <w:t>A more resilient future: Rebuilding discretionary crisis support in England.</w:t>
      </w:r>
      <w:r w:rsidRPr="002C0CF4">
        <w:rPr>
          <w:rFonts w:ascii="Arial" w:hAnsi="Arial" w:cs="Arial"/>
          <w:sz w:val="22"/>
          <w:szCs w:val="22"/>
        </w:rPr>
        <w:t xml:space="preserve"> Available at: https://www.trussell.org.uk/news-and-research/publications/report/a-more-resilient-future-rebuilding-discretionary-crisis</w:t>
      </w:r>
      <w:r w:rsidR="002C102B" w:rsidRPr="002C0CF4">
        <w:rPr>
          <w:rFonts w:ascii="Arial" w:hAnsi="Arial" w:cs="Arial"/>
          <w:sz w:val="22"/>
          <w:szCs w:val="22"/>
        </w:rPr>
        <w:t xml:space="preserve"> </w:t>
      </w:r>
      <w:r w:rsidRPr="002C0CF4">
        <w:rPr>
          <w:rFonts w:ascii="Arial" w:hAnsi="Arial" w:cs="Arial"/>
          <w:sz w:val="22"/>
          <w:szCs w:val="22"/>
        </w:rPr>
        <w:t>(Accessed: 04 November 2025).</w:t>
      </w:r>
    </w:p>
    <w:p w14:paraId="21CB71D9" w14:textId="77777777" w:rsidR="003171FD" w:rsidRPr="002C0CF4" w:rsidRDefault="003171FD" w:rsidP="00F55EAB">
      <w:pPr>
        <w:spacing w:line="360" w:lineRule="auto"/>
        <w:rPr>
          <w:rFonts w:ascii="Arial" w:hAnsi="Arial" w:cs="Arial"/>
          <w:sz w:val="22"/>
          <w:szCs w:val="22"/>
        </w:rPr>
      </w:pPr>
    </w:p>
    <w:p w14:paraId="222B56BC" w14:textId="13612F94"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Trussell Trust, (2025</w:t>
      </w:r>
      <w:r w:rsidR="005A3E5B">
        <w:rPr>
          <w:rFonts w:ascii="Arial" w:hAnsi="Arial" w:cs="Arial"/>
          <w:sz w:val="22"/>
          <w:szCs w:val="22"/>
        </w:rPr>
        <w:t>b</w:t>
      </w:r>
      <w:r w:rsidRPr="002C0CF4">
        <w:rPr>
          <w:rFonts w:ascii="Arial" w:hAnsi="Arial" w:cs="Arial"/>
          <w:sz w:val="22"/>
          <w:szCs w:val="22"/>
        </w:rPr>
        <w:t xml:space="preserve">). </w:t>
      </w:r>
      <w:r w:rsidRPr="002C0CF4">
        <w:rPr>
          <w:rFonts w:ascii="Arial" w:hAnsi="Arial" w:cs="Arial"/>
          <w:i/>
          <w:iCs/>
          <w:sz w:val="22"/>
          <w:szCs w:val="22"/>
        </w:rPr>
        <w:t>End of year food bank stats.</w:t>
      </w:r>
      <w:r w:rsidRPr="002C0CF4">
        <w:rPr>
          <w:rFonts w:ascii="Arial" w:hAnsi="Arial" w:cs="Arial"/>
          <w:sz w:val="22"/>
          <w:szCs w:val="22"/>
        </w:rPr>
        <w:t xml:space="preserve"> Available at: https://www.trussell.org.uk/news-and-research/latest-stats/end-of-year-stats</w:t>
      </w:r>
      <w:r w:rsidR="004B3710" w:rsidRPr="002C0CF4">
        <w:rPr>
          <w:rFonts w:ascii="Arial" w:hAnsi="Arial" w:cs="Arial"/>
          <w:sz w:val="22"/>
          <w:szCs w:val="22"/>
        </w:rPr>
        <w:t xml:space="preserve"> </w:t>
      </w:r>
      <w:r w:rsidRPr="002C0CF4">
        <w:rPr>
          <w:rFonts w:ascii="Arial" w:hAnsi="Arial" w:cs="Arial"/>
          <w:sz w:val="22"/>
          <w:szCs w:val="22"/>
        </w:rPr>
        <w:t>(Accessed: 04 November 2025).</w:t>
      </w:r>
    </w:p>
    <w:p w14:paraId="16D89C2F" w14:textId="77777777" w:rsidR="003171FD" w:rsidRPr="002C0CF4" w:rsidRDefault="003171FD" w:rsidP="00F55EAB">
      <w:pPr>
        <w:spacing w:line="360" w:lineRule="auto"/>
        <w:rPr>
          <w:rFonts w:ascii="Arial" w:hAnsi="Arial" w:cs="Arial"/>
          <w:sz w:val="22"/>
          <w:szCs w:val="22"/>
        </w:rPr>
      </w:pPr>
    </w:p>
    <w:p w14:paraId="741E0CF6" w14:textId="1FC16EC1"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UK Parliament, (2025). The Government's efforts to achieve SDG2: Zero Hunger.  Available at:</w:t>
      </w:r>
      <w:r w:rsidR="00AC47EA" w:rsidRPr="002C0CF4">
        <w:rPr>
          <w:rFonts w:ascii="Arial" w:hAnsi="Arial" w:cs="Arial"/>
          <w:sz w:val="22"/>
          <w:szCs w:val="22"/>
        </w:rPr>
        <w:t xml:space="preserve"> </w:t>
      </w:r>
      <w:r w:rsidRPr="002C0CF4">
        <w:rPr>
          <w:rFonts w:ascii="Arial" w:hAnsi="Arial" w:cs="Arial"/>
          <w:sz w:val="22"/>
          <w:szCs w:val="22"/>
        </w:rPr>
        <w:t>https://publications.parliament.uk/pa/cm5901/cmselect/cmintdev/515/report.html</w:t>
      </w:r>
      <w:r w:rsidR="00A90162" w:rsidRPr="002C0CF4">
        <w:rPr>
          <w:rFonts w:ascii="Arial" w:hAnsi="Arial" w:cs="Arial"/>
          <w:sz w:val="22"/>
          <w:szCs w:val="22"/>
        </w:rPr>
        <w:t xml:space="preserve"> </w:t>
      </w:r>
      <w:r w:rsidRPr="002C0CF4">
        <w:rPr>
          <w:rFonts w:ascii="Arial" w:hAnsi="Arial" w:cs="Arial"/>
          <w:sz w:val="22"/>
          <w:szCs w:val="22"/>
        </w:rPr>
        <w:t>(Accessed: 01 November 2025).</w:t>
      </w:r>
    </w:p>
    <w:p w14:paraId="7848A8C0" w14:textId="77777777" w:rsidR="003171FD" w:rsidRPr="002C0CF4" w:rsidRDefault="003171FD" w:rsidP="00F55EAB">
      <w:pPr>
        <w:spacing w:line="360" w:lineRule="auto"/>
        <w:rPr>
          <w:rFonts w:ascii="Arial" w:hAnsi="Arial" w:cs="Arial"/>
          <w:sz w:val="22"/>
          <w:szCs w:val="22"/>
        </w:rPr>
      </w:pPr>
    </w:p>
    <w:p w14:paraId="31F4629D" w14:textId="0CDC58AD"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U</w:t>
      </w:r>
      <w:r w:rsidR="007763BA" w:rsidRPr="002C0CF4">
        <w:rPr>
          <w:rFonts w:ascii="Arial" w:hAnsi="Arial" w:cs="Arial"/>
          <w:sz w:val="22"/>
          <w:szCs w:val="22"/>
        </w:rPr>
        <w:t>nited</w:t>
      </w:r>
      <w:r w:rsidRPr="002C0CF4">
        <w:rPr>
          <w:rFonts w:ascii="Arial" w:hAnsi="Arial" w:cs="Arial"/>
          <w:sz w:val="22"/>
          <w:szCs w:val="22"/>
        </w:rPr>
        <w:t xml:space="preserve"> </w:t>
      </w:r>
      <w:r w:rsidR="00EC1DDE" w:rsidRPr="002C0CF4">
        <w:rPr>
          <w:rFonts w:ascii="Arial" w:hAnsi="Arial" w:cs="Arial"/>
          <w:sz w:val="22"/>
          <w:szCs w:val="22"/>
        </w:rPr>
        <w:t>N</w:t>
      </w:r>
      <w:r w:rsidR="004C66AC" w:rsidRPr="002C0CF4">
        <w:rPr>
          <w:rFonts w:ascii="Arial" w:hAnsi="Arial" w:cs="Arial"/>
          <w:sz w:val="22"/>
          <w:szCs w:val="22"/>
        </w:rPr>
        <w:t>atio</w:t>
      </w:r>
      <w:r w:rsidR="00B6258D" w:rsidRPr="002C0CF4">
        <w:rPr>
          <w:rFonts w:ascii="Arial" w:hAnsi="Arial" w:cs="Arial"/>
          <w:sz w:val="22"/>
          <w:szCs w:val="22"/>
        </w:rPr>
        <w:t>n</w:t>
      </w:r>
      <w:r w:rsidR="004C66AC" w:rsidRPr="002C0CF4">
        <w:rPr>
          <w:rFonts w:ascii="Arial" w:hAnsi="Arial" w:cs="Arial"/>
          <w:sz w:val="22"/>
          <w:szCs w:val="22"/>
        </w:rPr>
        <w:t>s</w:t>
      </w:r>
      <w:r w:rsidRPr="002C0CF4">
        <w:rPr>
          <w:rFonts w:ascii="Arial" w:hAnsi="Arial" w:cs="Arial"/>
          <w:sz w:val="22"/>
          <w:szCs w:val="22"/>
        </w:rPr>
        <w:t>, (2025</w:t>
      </w:r>
      <w:r w:rsidR="00EC1DDE" w:rsidRPr="002C0CF4">
        <w:rPr>
          <w:rFonts w:ascii="Arial" w:hAnsi="Arial" w:cs="Arial"/>
          <w:sz w:val="22"/>
          <w:szCs w:val="22"/>
        </w:rPr>
        <w:t>a</w:t>
      </w:r>
      <w:r w:rsidRPr="002C0CF4">
        <w:rPr>
          <w:rFonts w:ascii="Arial" w:hAnsi="Arial" w:cs="Arial"/>
          <w:sz w:val="22"/>
          <w:szCs w:val="22"/>
        </w:rPr>
        <w:t xml:space="preserve">). </w:t>
      </w:r>
      <w:r w:rsidRPr="002C0CF4">
        <w:rPr>
          <w:rFonts w:ascii="Arial" w:hAnsi="Arial" w:cs="Arial"/>
          <w:i/>
          <w:iCs/>
          <w:sz w:val="22"/>
          <w:szCs w:val="22"/>
        </w:rPr>
        <w:t>Goal 2: Zero Hunger.</w:t>
      </w:r>
      <w:r w:rsidR="00ED38F2" w:rsidRPr="002C0CF4">
        <w:rPr>
          <w:rFonts w:ascii="Arial" w:hAnsi="Arial" w:cs="Arial"/>
          <w:i/>
          <w:iCs/>
          <w:sz w:val="22"/>
          <w:szCs w:val="22"/>
        </w:rPr>
        <w:t xml:space="preserve"> </w:t>
      </w:r>
      <w:r w:rsidRPr="002C0CF4">
        <w:rPr>
          <w:rFonts w:ascii="Arial" w:hAnsi="Arial" w:cs="Arial"/>
          <w:i/>
          <w:iCs/>
          <w:sz w:val="22"/>
          <w:szCs w:val="22"/>
        </w:rPr>
        <w:t>Available at:</w:t>
      </w:r>
      <w:r w:rsidRPr="002C0CF4">
        <w:rPr>
          <w:rFonts w:ascii="Arial" w:hAnsi="Arial" w:cs="Arial"/>
          <w:sz w:val="22"/>
          <w:szCs w:val="22"/>
        </w:rPr>
        <w:t xml:space="preserve"> https://www.un.org/sustainabledevelopment/hunger/</w:t>
      </w:r>
      <w:r w:rsidR="00A90162" w:rsidRPr="002C0CF4">
        <w:rPr>
          <w:rFonts w:ascii="Arial" w:hAnsi="Arial" w:cs="Arial"/>
          <w:sz w:val="22"/>
          <w:szCs w:val="22"/>
        </w:rPr>
        <w:t xml:space="preserve"> </w:t>
      </w:r>
      <w:r w:rsidRPr="002C0CF4">
        <w:rPr>
          <w:rFonts w:ascii="Arial" w:hAnsi="Arial" w:cs="Arial"/>
          <w:sz w:val="22"/>
          <w:szCs w:val="22"/>
        </w:rPr>
        <w:t>(Accessed: 01 November 2025).</w:t>
      </w:r>
    </w:p>
    <w:p w14:paraId="79A05F74" w14:textId="77777777" w:rsidR="002C74EC" w:rsidRPr="002C0CF4" w:rsidRDefault="002C74EC" w:rsidP="00F55EAB">
      <w:pPr>
        <w:spacing w:line="360" w:lineRule="auto"/>
        <w:rPr>
          <w:rFonts w:ascii="Arial" w:hAnsi="Arial" w:cs="Arial"/>
          <w:sz w:val="22"/>
          <w:szCs w:val="22"/>
        </w:rPr>
      </w:pPr>
    </w:p>
    <w:p w14:paraId="62B49349" w14:textId="38A78940" w:rsidR="00EA5F4E" w:rsidRPr="002C0CF4" w:rsidRDefault="00000000" w:rsidP="00EA5F4E">
      <w:pPr>
        <w:spacing w:line="360" w:lineRule="auto"/>
        <w:rPr>
          <w:rFonts w:ascii="Arial" w:hAnsi="Arial" w:cs="Arial"/>
          <w:sz w:val="22"/>
          <w:szCs w:val="22"/>
        </w:rPr>
      </w:pPr>
      <w:r w:rsidRPr="002C0CF4">
        <w:rPr>
          <w:rFonts w:ascii="Arial" w:hAnsi="Arial" w:cs="Arial"/>
          <w:sz w:val="22"/>
          <w:szCs w:val="22"/>
        </w:rPr>
        <w:t xml:space="preserve">United Nations, (2025b). </w:t>
      </w:r>
      <w:r w:rsidRPr="002C0CF4">
        <w:rPr>
          <w:rFonts w:ascii="Arial" w:hAnsi="Arial" w:cs="Arial"/>
          <w:i/>
          <w:iCs/>
          <w:sz w:val="22"/>
          <w:szCs w:val="22"/>
        </w:rPr>
        <w:t>Goal 3: Ensure healthy lives and promote well-being for all at all ages.</w:t>
      </w:r>
      <w:r w:rsidRPr="002C0CF4">
        <w:rPr>
          <w:rFonts w:ascii="Arial" w:hAnsi="Arial" w:cs="Arial"/>
          <w:sz w:val="22"/>
          <w:szCs w:val="22"/>
        </w:rPr>
        <w:t xml:space="preserve"> Available at: https://www.un.org/sustainabledevelopment/health/ (Accessed: 27 September 2025).</w:t>
      </w:r>
    </w:p>
    <w:p w14:paraId="57529999" w14:textId="77777777" w:rsidR="002C74EC" w:rsidRPr="002C0CF4" w:rsidRDefault="002C74EC" w:rsidP="00EA5F4E">
      <w:pPr>
        <w:spacing w:line="360" w:lineRule="auto"/>
        <w:rPr>
          <w:rFonts w:ascii="Arial" w:hAnsi="Arial" w:cs="Arial"/>
          <w:sz w:val="22"/>
          <w:szCs w:val="22"/>
        </w:rPr>
      </w:pPr>
    </w:p>
    <w:p w14:paraId="1CC55859" w14:textId="4B828BAA" w:rsidR="0035584A" w:rsidRPr="002C0CF4" w:rsidRDefault="00000000" w:rsidP="00F55EAB">
      <w:pPr>
        <w:spacing w:line="360" w:lineRule="auto"/>
        <w:rPr>
          <w:rFonts w:ascii="Arial" w:hAnsi="Arial" w:cs="Arial"/>
          <w:sz w:val="22"/>
          <w:szCs w:val="22"/>
        </w:rPr>
      </w:pPr>
      <w:r w:rsidRPr="002C0CF4">
        <w:rPr>
          <w:rFonts w:ascii="Arial" w:hAnsi="Arial" w:cs="Arial"/>
          <w:sz w:val="22"/>
          <w:szCs w:val="22"/>
        </w:rPr>
        <w:lastRenderedPageBreak/>
        <w:t>United Nations, (2025</w:t>
      </w:r>
      <w:r w:rsidR="00EA5F4E" w:rsidRPr="002C0CF4">
        <w:rPr>
          <w:rFonts w:ascii="Arial" w:hAnsi="Arial" w:cs="Arial"/>
          <w:sz w:val="22"/>
          <w:szCs w:val="22"/>
        </w:rPr>
        <w:t>c</w:t>
      </w:r>
      <w:r w:rsidRPr="002C0CF4">
        <w:rPr>
          <w:rFonts w:ascii="Arial" w:hAnsi="Arial" w:cs="Arial"/>
          <w:sz w:val="22"/>
          <w:szCs w:val="22"/>
        </w:rPr>
        <w:t xml:space="preserve">). </w:t>
      </w:r>
      <w:r w:rsidRPr="002C0CF4">
        <w:rPr>
          <w:rFonts w:ascii="Arial" w:hAnsi="Arial" w:cs="Arial"/>
          <w:i/>
          <w:iCs/>
          <w:sz w:val="22"/>
          <w:szCs w:val="22"/>
        </w:rPr>
        <w:t>Goal 3: Ensure healthy lives and promote well-being for all at all ages.</w:t>
      </w:r>
      <w:r w:rsidRPr="002C0CF4">
        <w:rPr>
          <w:rFonts w:ascii="Arial" w:hAnsi="Arial" w:cs="Arial"/>
          <w:sz w:val="22"/>
          <w:szCs w:val="22"/>
        </w:rPr>
        <w:t xml:space="preserve"> Available at: https://www.un.org/sustainabledevelopment/health/</w:t>
      </w:r>
      <w:r w:rsidR="00EA5F4E" w:rsidRPr="002C0CF4">
        <w:rPr>
          <w:rFonts w:ascii="Arial" w:hAnsi="Arial" w:cs="Arial"/>
          <w:sz w:val="22"/>
          <w:szCs w:val="22"/>
        </w:rPr>
        <w:t xml:space="preserve"> </w:t>
      </w:r>
      <w:r w:rsidRPr="002C0CF4">
        <w:rPr>
          <w:rFonts w:ascii="Arial" w:hAnsi="Arial" w:cs="Arial"/>
          <w:sz w:val="22"/>
          <w:szCs w:val="22"/>
        </w:rPr>
        <w:t>(Accessed: 27 September 2025).</w:t>
      </w:r>
    </w:p>
    <w:p w14:paraId="73432FAA" w14:textId="77777777" w:rsidR="002C74EC" w:rsidRPr="002C0CF4" w:rsidRDefault="002C74EC" w:rsidP="00F55EAB">
      <w:pPr>
        <w:spacing w:line="360" w:lineRule="auto"/>
        <w:rPr>
          <w:rFonts w:ascii="Arial" w:hAnsi="Arial" w:cs="Arial"/>
          <w:sz w:val="22"/>
          <w:szCs w:val="22"/>
        </w:rPr>
      </w:pPr>
    </w:p>
    <w:p w14:paraId="20255D75" w14:textId="2CE5FF70"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WHO, (2025). </w:t>
      </w:r>
      <w:r w:rsidRPr="002C0CF4">
        <w:rPr>
          <w:rFonts w:ascii="Arial" w:hAnsi="Arial" w:cs="Arial"/>
          <w:i/>
          <w:iCs/>
          <w:sz w:val="22"/>
          <w:szCs w:val="22"/>
        </w:rPr>
        <w:t>Stronger Collaboration, Better Health Global Action Plan for Healthy Lives and Well-being for All</w:t>
      </w:r>
      <w:r w:rsidRPr="002C0CF4">
        <w:rPr>
          <w:rFonts w:ascii="Arial" w:hAnsi="Arial" w:cs="Arial"/>
          <w:sz w:val="22"/>
          <w:szCs w:val="22"/>
        </w:rPr>
        <w:t>. Available at: https://www.who.int/initiatives/sdg3-global-action-plan (Accessed: 30 October 2025).</w:t>
      </w:r>
    </w:p>
    <w:p w14:paraId="76FD697A" w14:textId="77777777" w:rsidR="002C74EC" w:rsidRPr="002C0CF4" w:rsidRDefault="002C74EC" w:rsidP="00F55EAB">
      <w:pPr>
        <w:spacing w:line="360" w:lineRule="auto"/>
        <w:rPr>
          <w:rFonts w:ascii="Arial" w:hAnsi="Arial" w:cs="Arial"/>
          <w:sz w:val="22"/>
          <w:szCs w:val="22"/>
        </w:rPr>
      </w:pPr>
    </w:p>
    <w:p w14:paraId="27C3C4CC" w14:textId="0C22C4D6"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World Food Program,( 2021). </w:t>
      </w:r>
      <w:r w:rsidRPr="002C0CF4">
        <w:rPr>
          <w:rFonts w:ascii="Arial" w:hAnsi="Arial" w:cs="Arial"/>
          <w:i/>
          <w:iCs/>
          <w:sz w:val="22"/>
          <w:szCs w:val="22"/>
        </w:rPr>
        <w:t>Kenya’s Home Grown School Meals: A Success Story</w:t>
      </w:r>
      <w:r w:rsidRPr="002C0CF4">
        <w:rPr>
          <w:rFonts w:ascii="Arial" w:hAnsi="Arial" w:cs="Arial"/>
          <w:sz w:val="22"/>
          <w:szCs w:val="22"/>
        </w:rPr>
        <w:t xml:space="preserve">. </w:t>
      </w:r>
    </w:p>
    <w:p w14:paraId="65F4B976" w14:textId="2F366CFA"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Available at: https://wfpusa.org/news/school-meals-success-in-kenya/</w:t>
      </w:r>
      <w:r w:rsidR="00B5567F" w:rsidRPr="002C0CF4">
        <w:rPr>
          <w:rFonts w:ascii="Arial" w:hAnsi="Arial" w:cs="Arial"/>
          <w:sz w:val="22"/>
          <w:szCs w:val="22"/>
        </w:rPr>
        <w:t xml:space="preserve"> </w:t>
      </w:r>
      <w:r w:rsidRPr="002C0CF4">
        <w:rPr>
          <w:rFonts w:ascii="Arial" w:hAnsi="Arial" w:cs="Arial"/>
          <w:sz w:val="22"/>
          <w:szCs w:val="22"/>
        </w:rPr>
        <w:t>(Accessed: 03 November 2025).</w:t>
      </w:r>
    </w:p>
    <w:p w14:paraId="5F2B92AF" w14:textId="77777777" w:rsidR="00D4656D" w:rsidRPr="002C0CF4" w:rsidRDefault="00D4656D" w:rsidP="00F55EAB">
      <w:pPr>
        <w:spacing w:line="360" w:lineRule="auto"/>
        <w:rPr>
          <w:rFonts w:ascii="Arial" w:hAnsi="Arial" w:cs="Arial"/>
          <w:sz w:val="22"/>
          <w:szCs w:val="22"/>
        </w:rPr>
      </w:pPr>
    </w:p>
    <w:p w14:paraId="3E37F9C8" w14:textId="77777777"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World Food Programme, (2025). </w:t>
      </w:r>
      <w:r w:rsidRPr="002C0CF4">
        <w:rPr>
          <w:rFonts w:ascii="Arial" w:hAnsi="Arial" w:cs="Arial"/>
          <w:i/>
          <w:iCs/>
          <w:sz w:val="22"/>
          <w:szCs w:val="22"/>
        </w:rPr>
        <w:t>WFP and the Sustainable Development Goals</w:t>
      </w:r>
      <w:r w:rsidRPr="002C0CF4">
        <w:rPr>
          <w:rFonts w:ascii="Arial" w:hAnsi="Arial" w:cs="Arial"/>
          <w:sz w:val="22"/>
          <w:szCs w:val="22"/>
        </w:rPr>
        <w:t>. Available at: https://www.wfp.org/sdgs (Accessed:03 November 2025).</w:t>
      </w:r>
    </w:p>
    <w:p w14:paraId="1DE7CC4C" w14:textId="77777777" w:rsidR="00C72C50" w:rsidRPr="002C0CF4" w:rsidRDefault="00C72C50" w:rsidP="00F55EAB">
      <w:pPr>
        <w:spacing w:line="360" w:lineRule="auto"/>
        <w:rPr>
          <w:rFonts w:ascii="Arial" w:hAnsi="Arial" w:cs="Arial"/>
          <w:sz w:val="22"/>
          <w:szCs w:val="22"/>
        </w:rPr>
      </w:pPr>
    </w:p>
    <w:p w14:paraId="5F38A134" w14:textId="1CD47D93" w:rsidR="00F55EAB" w:rsidRPr="002C0CF4" w:rsidRDefault="00F55EAB" w:rsidP="00F55EAB">
      <w:pPr>
        <w:spacing w:line="360" w:lineRule="auto"/>
        <w:rPr>
          <w:rFonts w:ascii="Arial" w:hAnsi="Arial" w:cs="Arial"/>
          <w:sz w:val="22"/>
          <w:szCs w:val="22"/>
        </w:rPr>
      </w:pPr>
      <w:r w:rsidRPr="002C0CF4">
        <w:rPr>
          <w:rFonts w:ascii="Arial" w:hAnsi="Arial" w:cs="Arial"/>
          <w:sz w:val="22"/>
          <w:szCs w:val="22"/>
        </w:rPr>
        <w:t xml:space="preserve">World Food Programme, (2024). </w:t>
      </w:r>
      <w:r w:rsidRPr="002C0CF4">
        <w:rPr>
          <w:rFonts w:ascii="Arial" w:hAnsi="Arial" w:cs="Arial"/>
          <w:i/>
          <w:iCs/>
          <w:sz w:val="22"/>
          <w:szCs w:val="22"/>
        </w:rPr>
        <w:t>Food operations in Gaza face growing challenges as ongoing conflict keeps hunger needs high</w:t>
      </w:r>
      <w:r w:rsidRPr="002C0CF4">
        <w:rPr>
          <w:rFonts w:ascii="Arial" w:hAnsi="Arial" w:cs="Arial"/>
          <w:sz w:val="22"/>
          <w:szCs w:val="22"/>
        </w:rPr>
        <w:t>. Available at: https://www.wfp.org/news/food-operations-gaza-face-growing-challenges-ongoing-conflict-keeps-hunger-needs-high</w:t>
      </w:r>
      <w:r w:rsidR="00ED38F2" w:rsidRPr="002C0CF4">
        <w:rPr>
          <w:rFonts w:ascii="Arial" w:hAnsi="Arial" w:cs="Arial"/>
          <w:sz w:val="22"/>
          <w:szCs w:val="22"/>
        </w:rPr>
        <w:t xml:space="preserve"> </w:t>
      </w:r>
      <w:r w:rsidRPr="002C0CF4">
        <w:rPr>
          <w:rFonts w:ascii="Arial" w:hAnsi="Arial" w:cs="Arial"/>
          <w:sz w:val="22"/>
          <w:szCs w:val="22"/>
        </w:rPr>
        <w:t>(Accessed: 03 November 2025).</w:t>
      </w:r>
    </w:p>
    <w:p w14:paraId="1A8D204F" w14:textId="77777777" w:rsidR="00F55EAB" w:rsidRPr="002C0CF4" w:rsidRDefault="00F55EAB" w:rsidP="00F55EAB">
      <w:pPr>
        <w:spacing w:line="360" w:lineRule="auto"/>
        <w:rPr>
          <w:rFonts w:ascii="Arial" w:hAnsi="Arial" w:cs="Arial"/>
          <w:color w:val="1C1C1C"/>
          <w:kern w:val="0"/>
          <w:sz w:val="22"/>
          <w:szCs w:val="22"/>
          <w:shd w:val="clear" w:color="auto" w:fill="FFFFFF"/>
          <w14:ligatures w14:val="none"/>
        </w:rPr>
      </w:pPr>
    </w:p>
    <w:p w14:paraId="05373AB5" w14:textId="4FBF0066" w:rsidR="00397C3D" w:rsidRPr="002C0CF4" w:rsidRDefault="00934FC4" w:rsidP="006B74FD">
      <w:pPr>
        <w:spacing w:line="360" w:lineRule="auto"/>
        <w:rPr>
          <w:rFonts w:ascii="Arial" w:hAnsi="Arial" w:cs="Arial"/>
          <w:color w:val="1C1C1C"/>
          <w:sz w:val="22"/>
          <w:szCs w:val="22"/>
          <w:shd w:val="clear" w:color="auto" w:fill="FFFFFF"/>
        </w:rPr>
      </w:pP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p>
    <w:p w14:paraId="4B971DDA" w14:textId="02E67EA5" w:rsidR="00FE0B0E" w:rsidRDefault="00934FC4" w:rsidP="001971FE">
      <w:pPr>
        <w:spacing w:line="360" w:lineRule="auto"/>
        <w:jc w:val="both"/>
        <w:rPr>
          <w:rFonts w:ascii="Arial" w:hAnsi="Arial" w:cs="Arial"/>
          <w:i/>
          <w:iCs/>
          <w:sz w:val="22"/>
          <w:szCs w:val="22"/>
        </w:rPr>
      </w:pP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p>
    <w:p w14:paraId="68F6463D" w14:textId="3FDD9233" w:rsidR="00701220" w:rsidRPr="002C0CF4" w:rsidRDefault="00934FC4" w:rsidP="001971FE">
      <w:pPr>
        <w:spacing w:line="360" w:lineRule="auto"/>
        <w:jc w:val="both"/>
        <w:rPr>
          <w:rFonts w:ascii="Arial" w:hAnsi="Arial" w:cs="Arial"/>
          <w:color w:val="1C1C1C"/>
          <w:sz w:val="22"/>
          <w:szCs w:val="22"/>
          <w:shd w:val="clear" w:color="auto" w:fill="FFFFFF"/>
        </w:rPr>
      </w:pP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r w:rsidRPr="002C0CF4">
        <w:rPr>
          <w:rFonts w:ascii="Arial" w:hAnsi="Arial" w:cs="Arial"/>
          <w:color w:val="1C1C1C"/>
          <w:sz w:val="22"/>
          <w:szCs w:val="22"/>
          <w:shd w:val="clear" w:color="auto" w:fill="FFFFFF"/>
        </w:rPr>
        <w:tab/>
      </w:r>
    </w:p>
    <w:sectPr w:rsidR="00701220" w:rsidRPr="002C0CF4" w:rsidSect="00A25625">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EDF10" w14:textId="77777777" w:rsidR="00502B6E" w:rsidRDefault="00502B6E" w:rsidP="00DF24AB">
      <w:r>
        <w:separator/>
      </w:r>
    </w:p>
  </w:endnote>
  <w:endnote w:type="continuationSeparator" w:id="0">
    <w:p w14:paraId="70E4A9EE" w14:textId="77777777" w:rsidR="00502B6E" w:rsidRDefault="00502B6E" w:rsidP="00DF2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0905908"/>
      <w:docPartObj>
        <w:docPartGallery w:val="Page Numbers (Bottom of Page)"/>
        <w:docPartUnique/>
      </w:docPartObj>
    </w:sdtPr>
    <w:sdtContent>
      <w:p w14:paraId="31842733" w14:textId="22D54C42" w:rsidR="00DF24AB" w:rsidRDefault="00DF24AB" w:rsidP="00D204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EA6727" w14:textId="77777777" w:rsidR="00DF24AB" w:rsidRDefault="00DF24AB" w:rsidP="00DF24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2101544"/>
      <w:docPartObj>
        <w:docPartGallery w:val="Page Numbers (Bottom of Page)"/>
        <w:docPartUnique/>
      </w:docPartObj>
    </w:sdtPr>
    <w:sdtContent>
      <w:p w14:paraId="0B8C2CE7" w14:textId="18BA587C" w:rsidR="00D2043C" w:rsidRDefault="00D2043C" w:rsidP="00C53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EC1D55B" w14:textId="2E28271E" w:rsidR="00DF24AB" w:rsidRDefault="00004D4D" w:rsidP="00D2043C">
    <w:pPr>
      <w:pStyle w:val="Footer"/>
      <w:ind w:right="360"/>
    </w:pPr>
    <w:r>
      <w:t>Mariama  Sal</w:t>
    </w:r>
  </w:p>
  <w:p w14:paraId="7AE9A898" w14:textId="77777777" w:rsidR="00004D4D" w:rsidRDefault="00004D4D" w:rsidP="00004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A8C8F" w14:textId="77777777" w:rsidR="00502B6E" w:rsidRDefault="00502B6E" w:rsidP="00DF24AB">
      <w:r>
        <w:separator/>
      </w:r>
    </w:p>
  </w:footnote>
  <w:footnote w:type="continuationSeparator" w:id="0">
    <w:p w14:paraId="7168B95C" w14:textId="77777777" w:rsidR="00502B6E" w:rsidRDefault="00502B6E" w:rsidP="00DF24A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06E"/>
    <w:rsid w:val="00004D4D"/>
    <w:rsid w:val="00023F3A"/>
    <w:rsid w:val="00026AE7"/>
    <w:rsid w:val="00035031"/>
    <w:rsid w:val="00036D82"/>
    <w:rsid w:val="000404FB"/>
    <w:rsid w:val="00045058"/>
    <w:rsid w:val="00045B23"/>
    <w:rsid w:val="00047608"/>
    <w:rsid w:val="00055DC4"/>
    <w:rsid w:val="00062658"/>
    <w:rsid w:val="000656B3"/>
    <w:rsid w:val="00074262"/>
    <w:rsid w:val="000744FF"/>
    <w:rsid w:val="00080072"/>
    <w:rsid w:val="0008350D"/>
    <w:rsid w:val="000857E0"/>
    <w:rsid w:val="00096AFB"/>
    <w:rsid w:val="00097FC7"/>
    <w:rsid w:val="000A368F"/>
    <w:rsid w:val="000A5068"/>
    <w:rsid w:val="000A54BC"/>
    <w:rsid w:val="000A7A00"/>
    <w:rsid w:val="000B389A"/>
    <w:rsid w:val="000B4B14"/>
    <w:rsid w:val="000B70A5"/>
    <w:rsid w:val="000C18C5"/>
    <w:rsid w:val="000D270B"/>
    <w:rsid w:val="000D4E2A"/>
    <w:rsid w:val="000D79FC"/>
    <w:rsid w:val="000F4C41"/>
    <w:rsid w:val="00100112"/>
    <w:rsid w:val="00103CE1"/>
    <w:rsid w:val="00106710"/>
    <w:rsid w:val="00112D5F"/>
    <w:rsid w:val="001135C5"/>
    <w:rsid w:val="00114500"/>
    <w:rsid w:val="00114529"/>
    <w:rsid w:val="00115BB3"/>
    <w:rsid w:val="001211C6"/>
    <w:rsid w:val="001242BC"/>
    <w:rsid w:val="001249C9"/>
    <w:rsid w:val="0012549F"/>
    <w:rsid w:val="00126BA4"/>
    <w:rsid w:val="00130F64"/>
    <w:rsid w:val="00154F9A"/>
    <w:rsid w:val="00156903"/>
    <w:rsid w:val="00162CDC"/>
    <w:rsid w:val="00162DC1"/>
    <w:rsid w:val="00162F6F"/>
    <w:rsid w:val="001632B3"/>
    <w:rsid w:val="00172E94"/>
    <w:rsid w:val="0017413C"/>
    <w:rsid w:val="0017799D"/>
    <w:rsid w:val="001971FE"/>
    <w:rsid w:val="001A18A0"/>
    <w:rsid w:val="001A34D2"/>
    <w:rsid w:val="001A7A26"/>
    <w:rsid w:val="001A7EE5"/>
    <w:rsid w:val="001C24C9"/>
    <w:rsid w:val="001C37FD"/>
    <w:rsid w:val="001C41FD"/>
    <w:rsid w:val="001C6C91"/>
    <w:rsid w:val="001D2087"/>
    <w:rsid w:val="001D3EF9"/>
    <w:rsid w:val="001D5B44"/>
    <w:rsid w:val="001D5E40"/>
    <w:rsid w:val="001D6452"/>
    <w:rsid w:val="001F47C4"/>
    <w:rsid w:val="001F5B7D"/>
    <w:rsid w:val="001F7953"/>
    <w:rsid w:val="002031D8"/>
    <w:rsid w:val="0020675F"/>
    <w:rsid w:val="00207E3A"/>
    <w:rsid w:val="002122DE"/>
    <w:rsid w:val="00217579"/>
    <w:rsid w:val="00220E0E"/>
    <w:rsid w:val="00231294"/>
    <w:rsid w:val="00231C99"/>
    <w:rsid w:val="0023401E"/>
    <w:rsid w:val="0023475A"/>
    <w:rsid w:val="00235405"/>
    <w:rsid w:val="002369D7"/>
    <w:rsid w:val="002403A9"/>
    <w:rsid w:val="00243932"/>
    <w:rsid w:val="00263CB3"/>
    <w:rsid w:val="002644BE"/>
    <w:rsid w:val="00264FBD"/>
    <w:rsid w:val="0027106F"/>
    <w:rsid w:val="00273E5D"/>
    <w:rsid w:val="002765E3"/>
    <w:rsid w:val="002768D6"/>
    <w:rsid w:val="00276B79"/>
    <w:rsid w:val="0028025D"/>
    <w:rsid w:val="00282165"/>
    <w:rsid w:val="00282E5F"/>
    <w:rsid w:val="0028461F"/>
    <w:rsid w:val="00284B3A"/>
    <w:rsid w:val="00287813"/>
    <w:rsid w:val="00291F7A"/>
    <w:rsid w:val="00293265"/>
    <w:rsid w:val="002942B1"/>
    <w:rsid w:val="002A048A"/>
    <w:rsid w:val="002A203B"/>
    <w:rsid w:val="002A3B5F"/>
    <w:rsid w:val="002A426B"/>
    <w:rsid w:val="002A48CC"/>
    <w:rsid w:val="002B469A"/>
    <w:rsid w:val="002C0CF4"/>
    <w:rsid w:val="002C102B"/>
    <w:rsid w:val="002C74EC"/>
    <w:rsid w:val="002D088F"/>
    <w:rsid w:val="002D3A9B"/>
    <w:rsid w:val="002E7E1C"/>
    <w:rsid w:val="002F4141"/>
    <w:rsid w:val="002F605F"/>
    <w:rsid w:val="00304DFE"/>
    <w:rsid w:val="00310B5D"/>
    <w:rsid w:val="003156C9"/>
    <w:rsid w:val="003171FD"/>
    <w:rsid w:val="00317A60"/>
    <w:rsid w:val="003263CF"/>
    <w:rsid w:val="00326BF5"/>
    <w:rsid w:val="00327D8B"/>
    <w:rsid w:val="003319EC"/>
    <w:rsid w:val="00332AD3"/>
    <w:rsid w:val="0033649E"/>
    <w:rsid w:val="003371DA"/>
    <w:rsid w:val="00337D7A"/>
    <w:rsid w:val="00345B96"/>
    <w:rsid w:val="00345F4E"/>
    <w:rsid w:val="00353098"/>
    <w:rsid w:val="0035584A"/>
    <w:rsid w:val="003565FC"/>
    <w:rsid w:val="00362D3A"/>
    <w:rsid w:val="0036490E"/>
    <w:rsid w:val="00365AAF"/>
    <w:rsid w:val="00366A96"/>
    <w:rsid w:val="003676D7"/>
    <w:rsid w:val="00373C29"/>
    <w:rsid w:val="00383900"/>
    <w:rsid w:val="00386034"/>
    <w:rsid w:val="00392C1D"/>
    <w:rsid w:val="00395517"/>
    <w:rsid w:val="00397C3D"/>
    <w:rsid w:val="003A5F58"/>
    <w:rsid w:val="003A62E0"/>
    <w:rsid w:val="003B69FA"/>
    <w:rsid w:val="003C239F"/>
    <w:rsid w:val="003D6028"/>
    <w:rsid w:val="003D6D4C"/>
    <w:rsid w:val="003E7081"/>
    <w:rsid w:val="00406ECA"/>
    <w:rsid w:val="00411A39"/>
    <w:rsid w:val="00411E06"/>
    <w:rsid w:val="00413DD3"/>
    <w:rsid w:val="00413EAD"/>
    <w:rsid w:val="00416618"/>
    <w:rsid w:val="00420CFF"/>
    <w:rsid w:val="0042401D"/>
    <w:rsid w:val="00426F70"/>
    <w:rsid w:val="00427566"/>
    <w:rsid w:val="004301D3"/>
    <w:rsid w:val="00437922"/>
    <w:rsid w:val="0044133F"/>
    <w:rsid w:val="004421DE"/>
    <w:rsid w:val="0044689A"/>
    <w:rsid w:val="00447B00"/>
    <w:rsid w:val="00452A33"/>
    <w:rsid w:val="00455F36"/>
    <w:rsid w:val="0045730B"/>
    <w:rsid w:val="00461811"/>
    <w:rsid w:val="004671D0"/>
    <w:rsid w:val="004710F0"/>
    <w:rsid w:val="0047384B"/>
    <w:rsid w:val="004800E2"/>
    <w:rsid w:val="004836EB"/>
    <w:rsid w:val="0049177C"/>
    <w:rsid w:val="004A30C5"/>
    <w:rsid w:val="004A53AD"/>
    <w:rsid w:val="004A72A2"/>
    <w:rsid w:val="004B3710"/>
    <w:rsid w:val="004B61E3"/>
    <w:rsid w:val="004C2B8F"/>
    <w:rsid w:val="004C2BA3"/>
    <w:rsid w:val="004C66AC"/>
    <w:rsid w:val="004D1D31"/>
    <w:rsid w:val="004D3BF5"/>
    <w:rsid w:val="004E16C0"/>
    <w:rsid w:val="004E4C39"/>
    <w:rsid w:val="004E7BA7"/>
    <w:rsid w:val="004F1D9D"/>
    <w:rsid w:val="004F2D12"/>
    <w:rsid w:val="004F3A27"/>
    <w:rsid w:val="004F49D5"/>
    <w:rsid w:val="00500832"/>
    <w:rsid w:val="00502B6E"/>
    <w:rsid w:val="0050788D"/>
    <w:rsid w:val="00510B70"/>
    <w:rsid w:val="00513948"/>
    <w:rsid w:val="00515A11"/>
    <w:rsid w:val="00517F51"/>
    <w:rsid w:val="00520CB8"/>
    <w:rsid w:val="00525545"/>
    <w:rsid w:val="0052722A"/>
    <w:rsid w:val="005461B6"/>
    <w:rsid w:val="005477FE"/>
    <w:rsid w:val="00552C61"/>
    <w:rsid w:val="0055304B"/>
    <w:rsid w:val="0055347F"/>
    <w:rsid w:val="00554265"/>
    <w:rsid w:val="00554738"/>
    <w:rsid w:val="00557165"/>
    <w:rsid w:val="00564A5D"/>
    <w:rsid w:val="00564B96"/>
    <w:rsid w:val="0056526A"/>
    <w:rsid w:val="0057082C"/>
    <w:rsid w:val="0057495D"/>
    <w:rsid w:val="00582873"/>
    <w:rsid w:val="00586D2D"/>
    <w:rsid w:val="005A3E5B"/>
    <w:rsid w:val="005B2967"/>
    <w:rsid w:val="005B70EA"/>
    <w:rsid w:val="005C11DD"/>
    <w:rsid w:val="005C1F0F"/>
    <w:rsid w:val="005C2519"/>
    <w:rsid w:val="005C5D87"/>
    <w:rsid w:val="005C7CC0"/>
    <w:rsid w:val="005D017C"/>
    <w:rsid w:val="005D2E74"/>
    <w:rsid w:val="005E0378"/>
    <w:rsid w:val="005F0937"/>
    <w:rsid w:val="005F4FA2"/>
    <w:rsid w:val="006161B9"/>
    <w:rsid w:val="00622060"/>
    <w:rsid w:val="00623899"/>
    <w:rsid w:val="00625EAC"/>
    <w:rsid w:val="00626428"/>
    <w:rsid w:val="0062717C"/>
    <w:rsid w:val="0063549C"/>
    <w:rsid w:val="006357E3"/>
    <w:rsid w:val="00635C51"/>
    <w:rsid w:val="00635FFA"/>
    <w:rsid w:val="0064072D"/>
    <w:rsid w:val="0065424F"/>
    <w:rsid w:val="00664E16"/>
    <w:rsid w:val="00666C45"/>
    <w:rsid w:val="0067380E"/>
    <w:rsid w:val="00673A3A"/>
    <w:rsid w:val="006747EF"/>
    <w:rsid w:val="0067698F"/>
    <w:rsid w:val="00677DA1"/>
    <w:rsid w:val="00681355"/>
    <w:rsid w:val="006824B9"/>
    <w:rsid w:val="00683AFB"/>
    <w:rsid w:val="00693996"/>
    <w:rsid w:val="00697466"/>
    <w:rsid w:val="006A294C"/>
    <w:rsid w:val="006B3144"/>
    <w:rsid w:val="006B3BDB"/>
    <w:rsid w:val="006B4ED3"/>
    <w:rsid w:val="006B74FD"/>
    <w:rsid w:val="006C0E3F"/>
    <w:rsid w:val="006C15B9"/>
    <w:rsid w:val="006C2E91"/>
    <w:rsid w:val="006C34FA"/>
    <w:rsid w:val="006C48DF"/>
    <w:rsid w:val="006D0162"/>
    <w:rsid w:val="006D069A"/>
    <w:rsid w:val="006D106E"/>
    <w:rsid w:val="006D16AE"/>
    <w:rsid w:val="006E200A"/>
    <w:rsid w:val="006E29BD"/>
    <w:rsid w:val="006E30F3"/>
    <w:rsid w:val="006E3817"/>
    <w:rsid w:val="006E6790"/>
    <w:rsid w:val="006E6CF1"/>
    <w:rsid w:val="006E7F64"/>
    <w:rsid w:val="00701220"/>
    <w:rsid w:val="007025E3"/>
    <w:rsid w:val="007034FC"/>
    <w:rsid w:val="00705975"/>
    <w:rsid w:val="007146FE"/>
    <w:rsid w:val="00715401"/>
    <w:rsid w:val="00715825"/>
    <w:rsid w:val="007235C5"/>
    <w:rsid w:val="0073043D"/>
    <w:rsid w:val="00733FCA"/>
    <w:rsid w:val="00740E7B"/>
    <w:rsid w:val="00747954"/>
    <w:rsid w:val="00750449"/>
    <w:rsid w:val="00756B04"/>
    <w:rsid w:val="00760B84"/>
    <w:rsid w:val="00760CCC"/>
    <w:rsid w:val="007715DC"/>
    <w:rsid w:val="0077540B"/>
    <w:rsid w:val="007763BA"/>
    <w:rsid w:val="00791403"/>
    <w:rsid w:val="00792633"/>
    <w:rsid w:val="00792939"/>
    <w:rsid w:val="00792B48"/>
    <w:rsid w:val="007A7F7D"/>
    <w:rsid w:val="007C01CE"/>
    <w:rsid w:val="007E087F"/>
    <w:rsid w:val="007E6BFA"/>
    <w:rsid w:val="007F5858"/>
    <w:rsid w:val="007F7293"/>
    <w:rsid w:val="008015B7"/>
    <w:rsid w:val="00814595"/>
    <w:rsid w:val="008157C9"/>
    <w:rsid w:val="00821055"/>
    <w:rsid w:val="00830509"/>
    <w:rsid w:val="00831F98"/>
    <w:rsid w:val="00832C7F"/>
    <w:rsid w:val="00844B6A"/>
    <w:rsid w:val="0084536E"/>
    <w:rsid w:val="00855C86"/>
    <w:rsid w:val="008600FE"/>
    <w:rsid w:val="00860522"/>
    <w:rsid w:val="0087068F"/>
    <w:rsid w:val="0087190D"/>
    <w:rsid w:val="008737D9"/>
    <w:rsid w:val="00877511"/>
    <w:rsid w:val="00884877"/>
    <w:rsid w:val="00885877"/>
    <w:rsid w:val="00891C30"/>
    <w:rsid w:val="00894987"/>
    <w:rsid w:val="008A229A"/>
    <w:rsid w:val="008A5401"/>
    <w:rsid w:val="008B0BBA"/>
    <w:rsid w:val="008C229C"/>
    <w:rsid w:val="008D0EC2"/>
    <w:rsid w:val="008E4EC7"/>
    <w:rsid w:val="008E5AC8"/>
    <w:rsid w:val="008F3357"/>
    <w:rsid w:val="008F617E"/>
    <w:rsid w:val="008F759D"/>
    <w:rsid w:val="00902585"/>
    <w:rsid w:val="009053A1"/>
    <w:rsid w:val="00906275"/>
    <w:rsid w:val="00910BAD"/>
    <w:rsid w:val="00910C50"/>
    <w:rsid w:val="00925E80"/>
    <w:rsid w:val="00926E3E"/>
    <w:rsid w:val="00934FC4"/>
    <w:rsid w:val="009355F5"/>
    <w:rsid w:val="00937F5B"/>
    <w:rsid w:val="00946E28"/>
    <w:rsid w:val="00946E7B"/>
    <w:rsid w:val="00950090"/>
    <w:rsid w:val="00956380"/>
    <w:rsid w:val="009638CE"/>
    <w:rsid w:val="0096404E"/>
    <w:rsid w:val="00964B8A"/>
    <w:rsid w:val="0098006A"/>
    <w:rsid w:val="00980283"/>
    <w:rsid w:val="00982FE7"/>
    <w:rsid w:val="00984164"/>
    <w:rsid w:val="0099007C"/>
    <w:rsid w:val="009906F3"/>
    <w:rsid w:val="009910A6"/>
    <w:rsid w:val="00992929"/>
    <w:rsid w:val="0099614F"/>
    <w:rsid w:val="00997F67"/>
    <w:rsid w:val="009A0516"/>
    <w:rsid w:val="009A695A"/>
    <w:rsid w:val="009B14C7"/>
    <w:rsid w:val="009B2BE2"/>
    <w:rsid w:val="009B656E"/>
    <w:rsid w:val="009C0B59"/>
    <w:rsid w:val="009C4E42"/>
    <w:rsid w:val="009D10DC"/>
    <w:rsid w:val="009F13D8"/>
    <w:rsid w:val="00A1046D"/>
    <w:rsid w:val="00A12A24"/>
    <w:rsid w:val="00A178F5"/>
    <w:rsid w:val="00A215FE"/>
    <w:rsid w:val="00A22F22"/>
    <w:rsid w:val="00A24979"/>
    <w:rsid w:val="00A25625"/>
    <w:rsid w:val="00A27735"/>
    <w:rsid w:val="00A34479"/>
    <w:rsid w:val="00A37024"/>
    <w:rsid w:val="00A40890"/>
    <w:rsid w:val="00A40E7D"/>
    <w:rsid w:val="00A44ABF"/>
    <w:rsid w:val="00A46139"/>
    <w:rsid w:val="00A5133E"/>
    <w:rsid w:val="00A54540"/>
    <w:rsid w:val="00A63023"/>
    <w:rsid w:val="00A6595C"/>
    <w:rsid w:val="00A81E31"/>
    <w:rsid w:val="00A90162"/>
    <w:rsid w:val="00A9305A"/>
    <w:rsid w:val="00A97506"/>
    <w:rsid w:val="00A97627"/>
    <w:rsid w:val="00AA601C"/>
    <w:rsid w:val="00AA7DA2"/>
    <w:rsid w:val="00AB0896"/>
    <w:rsid w:val="00AB10E3"/>
    <w:rsid w:val="00AB2646"/>
    <w:rsid w:val="00AB364E"/>
    <w:rsid w:val="00AB4597"/>
    <w:rsid w:val="00AB69B8"/>
    <w:rsid w:val="00AC32F4"/>
    <w:rsid w:val="00AC47EA"/>
    <w:rsid w:val="00AC4D2F"/>
    <w:rsid w:val="00AE169E"/>
    <w:rsid w:val="00AE18D8"/>
    <w:rsid w:val="00AF0D6E"/>
    <w:rsid w:val="00B07D42"/>
    <w:rsid w:val="00B151C4"/>
    <w:rsid w:val="00B24057"/>
    <w:rsid w:val="00B32282"/>
    <w:rsid w:val="00B400F6"/>
    <w:rsid w:val="00B43690"/>
    <w:rsid w:val="00B45287"/>
    <w:rsid w:val="00B46C8C"/>
    <w:rsid w:val="00B5010D"/>
    <w:rsid w:val="00B5567F"/>
    <w:rsid w:val="00B60A53"/>
    <w:rsid w:val="00B6258D"/>
    <w:rsid w:val="00B7447C"/>
    <w:rsid w:val="00B815BA"/>
    <w:rsid w:val="00B81AD4"/>
    <w:rsid w:val="00B84D8B"/>
    <w:rsid w:val="00B85559"/>
    <w:rsid w:val="00B90711"/>
    <w:rsid w:val="00B95BA7"/>
    <w:rsid w:val="00B97CC2"/>
    <w:rsid w:val="00BA3445"/>
    <w:rsid w:val="00BA4EE5"/>
    <w:rsid w:val="00BA6E6F"/>
    <w:rsid w:val="00BA7429"/>
    <w:rsid w:val="00BB3157"/>
    <w:rsid w:val="00BB5306"/>
    <w:rsid w:val="00BB56C9"/>
    <w:rsid w:val="00BC68F9"/>
    <w:rsid w:val="00BE3D2F"/>
    <w:rsid w:val="00BF25A2"/>
    <w:rsid w:val="00BF5F8C"/>
    <w:rsid w:val="00C00C73"/>
    <w:rsid w:val="00C060D4"/>
    <w:rsid w:val="00C1146F"/>
    <w:rsid w:val="00C1662F"/>
    <w:rsid w:val="00C17EAE"/>
    <w:rsid w:val="00C20CEF"/>
    <w:rsid w:val="00C21390"/>
    <w:rsid w:val="00C21BF3"/>
    <w:rsid w:val="00C22008"/>
    <w:rsid w:val="00C24DE1"/>
    <w:rsid w:val="00C25169"/>
    <w:rsid w:val="00C27209"/>
    <w:rsid w:val="00C3208E"/>
    <w:rsid w:val="00C33289"/>
    <w:rsid w:val="00C56BD8"/>
    <w:rsid w:val="00C614E3"/>
    <w:rsid w:val="00C6212C"/>
    <w:rsid w:val="00C623FC"/>
    <w:rsid w:val="00C70C6A"/>
    <w:rsid w:val="00C715A1"/>
    <w:rsid w:val="00C72C50"/>
    <w:rsid w:val="00C75DDC"/>
    <w:rsid w:val="00C81A2F"/>
    <w:rsid w:val="00C91CA9"/>
    <w:rsid w:val="00C95116"/>
    <w:rsid w:val="00C974D5"/>
    <w:rsid w:val="00CA0049"/>
    <w:rsid w:val="00CB5D65"/>
    <w:rsid w:val="00CD099C"/>
    <w:rsid w:val="00CD19A9"/>
    <w:rsid w:val="00CD3BCD"/>
    <w:rsid w:val="00CE183B"/>
    <w:rsid w:val="00CE2037"/>
    <w:rsid w:val="00CE3E35"/>
    <w:rsid w:val="00CE6F27"/>
    <w:rsid w:val="00CE7153"/>
    <w:rsid w:val="00CF264D"/>
    <w:rsid w:val="00D06377"/>
    <w:rsid w:val="00D10BC2"/>
    <w:rsid w:val="00D2043C"/>
    <w:rsid w:val="00D22687"/>
    <w:rsid w:val="00D227BB"/>
    <w:rsid w:val="00D25949"/>
    <w:rsid w:val="00D31847"/>
    <w:rsid w:val="00D3529A"/>
    <w:rsid w:val="00D374C3"/>
    <w:rsid w:val="00D431CC"/>
    <w:rsid w:val="00D4656D"/>
    <w:rsid w:val="00D56143"/>
    <w:rsid w:val="00D60358"/>
    <w:rsid w:val="00D60B7F"/>
    <w:rsid w:val="00D63004"/>
    <w:rsid w:val="00D64AEE"/>
    <w:rsid w:val="00D777FD"/>
    <w:rsid w:val="00D81B5B"/>
    <w:rsid w:val="00D84470"/>
    <w:rsid w:val="00D87CE5"/>
    <w:rsid w:val="00DA1088"/>
    <w:rsid w:val="00DC5A9C"/>
    <w:rsid w:val="00DC7948"/>
    <w:rsid w:val="00DD2983"/>
    <w:rsid w:val="00DD6396"/>
    <w:rsid w:val="00DD7A6E"/>
    <w:rsid w:val="00DE0E34"/>
    <w:rsid w:val="00DE185E"/>
    <w:rsid w:val="00DE61FF"/>
    <w:rsid w:val="00DE7153"/>
    <w:rsid w:val="00DF24AB"/>
    <w:rsid w:val="00DF4651"/>
    <w:rsid w:val="00E0434D"/>
    <w:rsid w:val="00E059CE"/>
    <w:rsid w:val="00E21556"/>
    <w:rsid w:val="00E248BC"/>
    <w:rsid w:val="00E31B33"/>
    <w:rsid w:val="00E325D8"/>
    <w:rsid w:val="00E367E3"/>
    <w:rsid w:val="00E478FC"/>
    <w:rsid w:val="00E53D28"/>
    <w:rsid w:val="00E5517B"/>
    <w:rsid w:val="00E6232E"/>
    <w:rsid w:val="00E626F3"/>
    <w:rsid w:val="00E712EB"/>
    <w:rsid w:val="00E74ED9"/>
    <w:rsid w:val="00E75CC0"/>
    <w:rsid w:val="00E75F4F"/>
    <w:rsid w:val="00E844B0"/>
    <w:rsid w:val="00E84E5D"/>
    <w:rsid w:val="00E853C5"/>
    <w:rsid w:val="00E925C9"/>
    <w:rsid w:val="00EA3E02"/>
    <w:rsid w:val="00EA5568"/>
    <w:rsid w:val="00EA5F4E"/>
    <w:rsid w:val="00EC1DDE"/>
    <w:rsid w:val="00ED0956"/>
    <w:rsid w:val="00ED38F2"/>
    <w:rsid w:val="00ED5C44"/>
    <w:rsid w:val="00EE1EAE"/>
    <w:rsid w:val="00EE3776"/>
    <w:rsid w:val="00EE55D8"/>
    <w:rsid w:val="00EF188C"/>
    <w:rsid w:val="00EF1E58"/>
    <w:rsid w:val="00EF1FBC"/>
    <w:rsid w:val="00F01365"/>
    <w:rsid w:val="00F03067"/>
    <w:rsid w:val="00F07C77"/>
    <w:rsid w:val="00F21472"/>
    <w:rsid w:val="00F26760"/>
    <w:rsid w:val="00F31573"/>
    <w:rsid w:val="00F36170"/>
    <w:rsid w:val="00F371B2"/>
    <w:rsid w:val="00F5467D"/>
    <w:rsid w:val="00F55EAB"/>
    <w:rsid w:val="00F6090C"/>
    <w:rsid w:val="00F61033"/>
    <w:rsid w:val="00F63253"/>
    <w:rsid w:val="00F67D58"/>
    <w:rsid w:val="00F75A16"/>
    <w:rsid w:val="00F820DB"/>
    <w:rsid w:val="00F82FC3"/>
    <w:rsid w:val="00F95A66"/>
    <w:rsid w:val="00FA3A16"/>
    <w:rsid w:val="00FA44AE"/>
    <w:rsid w:val="00FC3318"/>
    <w:rsid w:val="00FC347B"/>
    <w:rsid w:val="00FC4FBF"/>
    <w:rsid w:val="00FC7B51"/>
    <w:rsid w:val="00FD15FD"/>
    <w:rsid w:val="00FD3E7F"/>
    <w:rsid w:val="00FD5D04"/>
    <w:rsid w:val="00FD6889"/>
    <w:rsid w:val="00FE0B0E"/>
    <w:rsid w:val="00FF2F75"/>
    <w:rsid w:val="00FF3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DFCA"/>
  <w15:chartTrackingRefBased/>
  <w15:docId w15:val="{57C51181-26EF-0A49-9C69-26BC6B4F0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0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10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0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0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0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06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06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06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06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6">
    <w:name w:val="toc 6"/>
    <w:basedOn w:val="Normal"/>
    <w:next w:val="Normal"/>
    <w:autoRedefine/>
    <w:uiPriority w:val="39"/>
    <w:semiHidden/>
    <w:unhideWhenUsed/>
    <w:rsid w:val="000F4C41"/>
    <w:rPr>
      <w:sz w:val="22"/>
      <w:szCs w:val="22"/>
    </w:rPr>
  </w:style>
  <w:style w:type="character" w:customStyle="1" w:styleId="Heading1Char">
    <w:name w:val="Heading 1 Char"/>
    <w:basedOn w:val="DefaultParagraphFont"/>
    <w:link w:val="Heading1"/>
    <w:uiPriority w:val="9"/>
    <w:rsid w:val="006D10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10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0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0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0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0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0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0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06E"/>
    <w:rPr>
      <w:rFonts w:eastAsiaTheme="majorEastAsia" w:cstheme="majorBidi"/>
      <w:color w:val="272727" w:themeColor="text1" w:themeTint="D8"/>
    </w:rPr>
  </w:style>
  <w:style w:type="paragraph" w:styleId="Title">
    <w:name w:val="Title"/>
    <w:basedOn w:val="Normal"/>
    <w:next w:val="Normal"/>
    <w:link w:val="TitleChar"/>
    <w:uiPriority w:val="10"/>
    <w:qFormat/>
    <w:rsid w:val="006D106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0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06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0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0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106E"/>
    <w:rPr>
      <w:i/>
      <w:iCs/>
      <w:color w:val="404040" w:themeColor="text1" w:themeTint="BF"/>
    </w:rPr>
  </w:style>
  <w:style w:type="paragraph" w:styleId="ListParagraph">
    <w:name w:val="List Paragraph"/>
    <w:basedOn w:val="Normal"/>
    <w:uiPriority w:val="34"/>
    <w:qFormat/>
    <w:rsid w:val="006D106E"/>
    <w:pPr>
      <w:ind w:left="720"/>
      <w:contextualSpacing/>
    </w:pPr>
  </w:style>
  <w:style w:type="character" w:styleId="IntenseEmphasis">
    <w:name w:val="Intense Emphasis"/>
    <w:basedOn w:val="DefaultParagraphFont"/>
    <w:uiPriority w:val="21"/>
    <w:qFormat/>
    <w:rsid w:val="006D106E"/>
    <w:rPr>
      <w:i/>
      <w:iCs/>
      <w:color w:val="0F4761" w:themeColor="accent1" w:themeShade="BF"/>
    </w:rPr>
  </w:style>
  <w:style w:type="paragraph" w:styleId="IntenseQuote">
    <w:name w:val="Intense Quote"/>
    <w:basedOn w:val="Normal"/>
    <w:next w:val="Normal"/>
    <w:link w:val="IntenseQuoteChar"/>
    <w:uiPriority w:val="30"/>
    <w:qFormat/>
    <w:rsid w:val="006D10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06E"/>
    <w:rPr>
      <w:i/>
      <w:iCs/>
      <w:color w:val="0F4761" w:themeColor="accent1" w:themeShade="BF"/>
    </w:rPr>
  </w:style>
  <w:style w:type="character" w:styleId="IntenseReference">
    <w:name w:val="Intense Reference"/>
    <w:basedOn w:val="DefaultParagraphFont"/>
    <w:uiPriority w:val="32"/>
    <w:qFormat/>
    <w:rsid w:val="006D106E"/>
    <w:rPr>
      <w:b/>
      <w:bCs/>
      <w:smallCaps/>
      <w:color w:val="0F4761" w:themeColor="accent1" w:themeShade="BF"/>
      <w:spacing w:val="5"/>
    </w:rPr>
  </w:style>
  <w:style w:type="paragraph" w:styleId="Footer">
    <w:name w:val="footer"/>
    <w:basedOn w:val="Normal"/>
    <w:link w:val="FooterChar"/>
    <w:uiPriority w:val="99"/>
    <w:unhideWhenUsed/>
    <w:rsid w:val="00DF24AB"/>
    <w:pPr>
      <w:tabs>
        <w:tab w:val="center" w:pos="4513"/>
        <w:tab w:val="right" w:pos="9026"/>
      </w:tabs>
    </w:pPr>
  </w:style>
  <w:style w:type="character" w:customStyle="1" w:styleId="FooterChar">
    <w:name w:val="Footer Char"/>
    <w:basedOn w:val="DefaultParagraphFont"/>
    <w:link w:val="Footer"/>
    <w:uiPriority w:val="99"/>
    <w:rsid w:val="00DF24AB"/>
  </w:style>
  <w:style w:type="character" w:styleId="PageNumber">
    <w:name w:val="page number"/>
    <w:basedOn w:val="DefaultParagraphFont"/>
    <w:uiPriority w:val="99"/>
    <w:semiHidden/>
    <w:unhideWhenUsed/>
    <w:rsid w:val="00DF24AB"/>
  </w:style>
  <w:style w:type="paragraph" w:styleId="Header">
    <w:name w:val="header"/>
    <w:basedOn w:val="Normal"/>
    <w:link w:val="HeaderChar"/>
    <w:uiPriority w:val="99"/>
    <w:unhideWhenUsed/>
    <w:rsid w:val="00B97CC2"/>
    <w:pPr>
      <w:tabs>
        <w:tab w:val="center" w:pos="4513"/>
        <w:tab w:val="right" w:pos="9026"/>
      </w:tabs>
    </w:pPr>
  </w:style>
  <w:style w:type="character" w:customStyle="1" w:styleId="HeaderChar">
    <w:name w:val="Header Char"/>
    <w:basedOn w:val="DefaultParagraphFont"/>
    <w:link w:val="Header"/>
    <w:uiPriority w:val="99"/>
    <w:rsid w:val="00B97CC2"/>
  </w:style>
  <w:style w:type="paragraph" w:styleId="NormalWeb">
    <w:name w:val="Normal (Web)"/>
    <w:basedOn w:val="Normal"/>
    <w:uiPriority w:val="99"/>
    <w:semiHidden/>
    <w:unhideWhenUsed/>
    <w:rsid w:val="00ED095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215FE"/>
  </w:style>
  <w:style w:type="paragraph" w:styleId="TOCHeading">
    <w:name w:val="TOC Heading"/>
    <w:basedOn w:val="Heading1"/>
    <w:next w:val="Normal"/>
    <w:uiPriority w:val="39"/>
    <w:unhideWhenUsed/>
    <w:qFormat/>
    <w:rsid w:val="00D60B7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60B7F"/>
    <w:pPr>
      <w:spacing w:before="360" w:after="360"/>
    </w:pPr>
    <w:rPr>
      <w:b/>
      <w:bCs/>
      <w:caps/>
      <w:sz w:val="22"/>
      <w:szCs w:val="22"/>
      <w:u w:val="single"/>
    </w:rPr>
  </w:style>
  <w:style w:type="paragraph" w:styleId="TOC2">
    <w:name w:val="toc 2"/>
    <w:basedOn w:val="Normal"/>
    <w:next w:val="Normal"/>
    <w:autoRedefine/>
    <w:uiPriority w:val="39"/>
    <w:unhideWhenUsed/>
    <w:rsid w:val="00D60B7F"/>
    <w:rPr>
      <w:b/>
      <w:bCs/>
      <w:smallCaps/>
      <w:sz w:val="22"/>
      <w:szCs w:val="22"/>
    </w:rPr>
  </w:style>
  <w:style w:type="paragraph" w:styleId="TOC3">
    <w:name w:val="toc 3"/>
    <w:basedOn w:val="Normal"/>
    <w:next w:val="Normal"/>
    <w:autoRedefine/>
    <w:uiPriority w:val="39"/>
    <w:semiHidden/>
    <w:unhideWhenUsed/>
    <w:rsid w:val="00D60B7F"/>
    <w:rPr>
      <w:smallCaps/>
      <w:sz w:val="22"/>
      <w:szCs w:val="22"/>
    </w:rPr>
  </w:style>
  <w:style w:type="paragraph" w:styleId="TOC4">
    <w:name w:val="toc 4"/>
    <w:basedOn w:val="Normal"/>
    <w:next w:val="Normal"/>
    <w:autoRedefine/>
    <w:uiPriority w:val="39"/>
    <w:semiHidden/>
    <w:unhideWhenUsed/>
    <w:rsid w:val="00D60B7F"/>
    <w:rPr>
      <w:sz w:val="22"/>
      <w:szCs w:val="22"/>
    </w:rPr>
  </w:style>
  <w:style w:type="paragraph" w:styleId="TOC5">
    <w:name w:val="toc 5"/>
    <w:basedOn w:val="Normal"/>
    <w:next w:val="Normal"/>
    <w:autoRedefine/>
    <w:uiPriority w:val="39"/>
    <w:semiHidden/>
    <w:unhideWhenUsed/>
    <w:rsid w:val="00D60B7F"/>
    <w:rPr>
      <w:sz w:val="22"/>
      <w:szCs w:val="22"/>
    </w:rPr>
  </w:style>
  <w:style w:type="paragraph" w:styleId="TOC7">
    <w:name w:val="toc 7"/>
    <w:basedOn w:val="Normal"/>
    <w:next w:val="Normal"/>
    <w:autoRedefine/>
    <w:uiPriority w:val="39"/>
    <w:semiHidden/>
    <w:unhideWhenUsed/>
    <w:rsid w:val="00D60B7F"/>
    <w:rPr>
      <w:sz w:val="22"/>
      <w:szCs w:val="22"/>
    </w:rPr>
  </w:style>
  <w:style w:type="paragraph" w:styleId="TOC8">
    <w:name w:val="toc 8"/>
    <w:basedOn w:val="Normal"/>
    <w:next w:val="Normal"/>
    <w:autoRedefine/>
    <w:uiPriority w:val="39"/>
    <w:semiHidden/>
    <w:unhideWhenUsed/>
    <w:rsid w:val="00D60B7F"/>
    <w:rPr>
      <w:sz w:val="22"/>
      <w:szCs w:val="22"/>
    </w:rPr>
  </w:style>
  <w:style w:type="paragraph" w:styleId="TOC9">
    <w:name w:val="toc 9"/>
    <w:basedOn w:val="Normal"/>
    <w:next w:val="Normal"/>
    <w:autoRedefine/>
    <w:uiPriority w:val="39"/>
    <w:semiHidden/>
    <w:unhideWhenUsed/>
    <w:rsid w:val="00D60B7F"/>
    <w:rPr>
      <w:sz w:val="22"/>
      <w:szCs w:val="22"/>
    </w:rPr>
  </w:style>
  <w:style w:type="character" w:styleId="Hyperlink">
    <w:name w:val="Hyperlink"/>
    <w:basedOn w:val="DefaultParagraphFont"/>
    <w:uiPriority w:val="99"/>
    <w:unhideWhenUsed/>
    <w:rsid w:val="00CB5D65"/>
    <w:rPr>
      <w:color w:val="467886" w:themeColor="hyperlink"/>
      <w:u w:val="single"/>
    </w:rPr>
  </w:style>
  <w:style w:type="paragraph" w:styleId="NoSpacing">
    <w:name w:val="No Spacing"/>
    <w:uiPriority w:val="1"/>
    <w:qFormat/>
    <w:rsid w:val="0057495D"/>
  </w:style>
  <w:style w:type="character" w:styleId="UnresolvedMention">
    <w:name w:val="Unresolved Mention"/>
    <w:basedOn w:val="DefaultParagraphFont"/>
    <w:uiPriority w:val="99"/>
    <w:semiHidden/>
    <w:unhideWhenUsed/>
    <w:rsid w:val="004573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E4D6DA-31AC-8443-B3D1-65682D5D9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1102</TotalTime>
  <Pages>15</Pages>
  <Words>4177</Words>
  <Characters>23810</Characters>
  <Application>Microsoft Office Word</Application>
  <DocSecurity>0</DocSecurity>
  <Lines>198</Lines>
  <Paragraphs>55</Paragraphs>
  <ScaleCrop>false</ScaleCrop>
  <Company/>
  <LinksUpToDate>false</LinksUpToDate>
  <CharactersWithSpaces>27932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  Aliu Sal (2127362)</dc:creator>
  <cp:keywords/>
  <dc:description/>
  <cp:lastModifiedBy>Mariama  Aliu Sal (2127362)</cp:lastModifiedBy>
  <cp:revision>561</cp:revision>
  <dcterms:created xsi:type="dcterms:W3CDTF">2025-10-24T19:39:00Z</dcterms:created>
  <dcterms:modified xsi:type="dcterms:W3CDTF">2025-11-11T12:50:00Z</dcterms:modified>
</cp:coreProperties>
</file>