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1683358956"/>
        <w:docPartObj>
          <w:docPartGallery w:val="Cover Pages"/>
          <w:docPartUnique/>
        </w:docPartObj>
      </w:sdtPr>
      <w:sdtEndPr>
        <w:rPr>
          <w:color w:val="156082" w:themeColor="accent1"/>
          <w:kern w:val="2"/>
          <w:sz w:val="72"/>
          <w:szCs w:val="72"/>
          <w:lang w:eastAsia="en-US"/>
          <w14:ligatures w14:val="standardContextual"/>
        </w:rPr>
      </w:sdtEndPr>
      <w:sdtContent>
        <w:p w14:paraId="3BCEFE76" w14:textId="0A85E5FE" w:rsidR="00ED34B4" w:rsidRDefault="00ED34B4">
          <w:pPr>
            <w:pStyle w:val="NoSpacing"/>
            <w:rPr>
              <w:sz w:val="2"/>
            </w:rPr>
          </w:pPr>
        </w:p>
        <w:p w14:paraId="0F04C113" w14:textId="77777777" w:rsidR="00ED34B4" w:rsidRDefault="00ED34B4">
          <w:r>
            <w:rPr>
              <w:noProof/>
            </w:rPr>
            <mc:AlternateContent>
              <mc:Choice Requires="wps">
                <w:drawing>
                  <wp:anchor distT="0" distB="0" distL="114300" distR="114300" simplePos="0" relativeHeight="251682816" behindDoc="0" locked="0" layoutInCell="1" allowOverlap="1" wp14:anchorId="446F9EF7" wp14:editId="093231E4">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FCAA32D" w14:textId="396E5FC7" w:rsidR="00ED34B4" w:rsidRDefault="00ED34B4">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Site Investigation Case study.</w:t>
                                    </w:r>
                                  </w:p>
                                </w:sdtContent>
                              </w:sdt>
                              <w:p w14:paraId="2BE2DC4D" w14:textId="2688BE73" w:rsidR="00ED34B4" w:rsidRDefault="00ED34B4">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156082" w:themeColor="accent1"/>
                                        <w:sz w:val="36"/>
                                        <w:szCs w:val="36"/>
                                      </w:rPr>
                                      <w:t>Ben Davies (2521920)</w:t>
                                    </w:r>
                                  </w:sdtContent>
                                </w:sdt>
                                <w:r>
                                  <w:t xml:space="preserve"> </w:t>
                                </w:r>
                              </w:p>
                              <w:p w14:paraId="392A3F7A" w14:textId="77777777" w:rsidR="00ED34B4" w:rsidRDefault="00ED34B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46F9EF7" id="_x0000_t202" coordsize="21600,21600" o:spt="202" path="m,l,21600r21600,l21600,xe">
                    <v:stroke joinstyle="miter"/>
                    <v:path gradientshapeok="t" o:connecttype="rect"/>
                  </v:shapetype>
                  <v:shape id="Text Box 66" o:spid="_x0000_s1026" type="#_x0000_t202" style="position:absolute;margin-left:0;margin-top:0;width:468pt;height:1in;z-index:25168281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FCAA32D" w14:textId="396E5FC7" w:rsidR="00ED34B4" w:rsidRDefault="00ED34B4">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Site Investigation Case study.</w:t>
                              </w:r>
                            </w:p>
                          </w:sdtContent>
                        </w:sdt>
                        <w:p w14:paraId="2BE2DC4D" w14:textId="2688BE73" w:rsidR="00ED34B4" w:rsidRDefault="00ED34B4">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156082" w:themeColor="accent1"/>
                                  <w:sz w:val="36"/>
                                  <w:szCs w:val="36"/>
                                </w:rPr>
                                <w:t>Ben Davies (2521920)</w:t>
                              </w:r>
                            </w:sdtContent>
                          </w:sdt>
                          <w:r>
                            <w:t xml:space="preserve"> </w:t>
                          </w:r>
                        </w:p>
                        <w:p w14:paraId="392A3F7A" w14:textId="77777777" w:rsidR="00ED34B4" w:rsidRDefault="00ED34B4"/>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81792" behindDoc="1" locked="0" layoutInCell="1" allowOverlap="1" wp14:anchorId="65B0A83B" wp14:editId="4532C64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BAE005F" id="Group 2" o:spid="_x0000_s1026" style="position:absolute;margin-left:0;margin-top:0;width:432.65pt;height:448.55pt;z-index:-25163468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80768" behindDoc="0" locked="0" layoutInCell="1" allowOverlap="1" wp14:anchorId="47EEAD99" wp14:editId="2A86ABD0">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D20C6E" w14:textId="0CDEDA18" w:rsidR="00ED34B4" w:rsidRDefault="00ED34B4">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156082" w:themeColor="accent1"/>
                                        <w:sz w:val="36"/>
                                        <w:szCs w:val="36"/>
                                      </w:rPr>
                                      <w:t>University of Wales Trinity Saint David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9339B06" w14:textId="3864EF8B" w:rsidR="00ED34B4" w:rsidRDefault="00ED34B4">
                                    <w:pPr>
                                      <w:pStyle w:val="NoSpacing"/>
                                      <w:jc w:val="right"/>
                                      <w:rPr>
                                        <w:color w:val="156082" w:themeColor="accent1"/>
                                        <w:sz w:val="36"/>
                                        <w:szCs w:val="36"/>
                                      </w:rPr>
                                    </w:pPr>
                                    <w:r>
                                      <w:rPr>
                                        <w:color w:val="156082" w:themeColor="accent1"/>
                                        <w:sz w:val="36"/>
                                        <w:szCs w:val="36"/>
                                      </w:rPr>
                                      <w:t>ACBA4022 - Fundamentals of Construction Technology</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7EEAD99" id="Text Box 73" o:spid="_x0000_s1027" type="#_x0000_t202" style="position:absolute;margin-left:0;margin-top:0;width:468pt;height:29.5pt;z-index:251680768;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24D20C6E" w14:textId="0CDEDA18" w:rsidR="00ED34B4" w:rsidRDefault="00ED34B4">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156082" w:themeColor="accent1"/>
                                  <w:sz w:val="36"/>
                                  <w:szCs w:val="36"/>
                                </w:rPr>
                                <w:t>University of Wales Trinity Saint David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9339B06" w14:textId="3864EF8B" w:rsidR="00ED34B4" w:rsidRDefault="00ED34B4">
                              <w:pPr>
                                <w:pStyle w:val="NoSpacing"/>
                                <w:jc w:val="right"/>
                                <w:rPr>
                                  <w:color w:val="156082" w:themeColor="accent1"/>
                                  <w:sz w:val="36"/>
                                  <w:szCs w:val="36"/>
                                </w:rPr>
                              </w:pPr>
                              <w:r>
                                <w:rPr>
                                  <w:color w:val="156082" w:themeColor="accent1"/>
                                  <w:sz w:val="36"/>
                                  <w:szCs w:val="36"/>
                                </w:rPr>
                                <w:t>ACBA4022 - Fundamentals of Construction Technology</w:t>
                              </w:r>
                            </w:p>
                          </w:sdtContent>
                        </w:sdt>
                      </w:txbxContent>
                    </v:textbox>
                    <w10:wrap anchorx="page" anchory="margin"/>
                  </v:shape>
                </w:pict>
              </mc:Fallback>
            </mc:AlternateContent>
          </w:r>
        </w:p>
        <w:p w14:paraId="298E366C" w14:textId="2DA41351" w:rsidR="00ED34B4" w:rsidRDefault="00ED34B4">
          <w:pPr>
            <w:rPr>
              <w:rFonts w:eastAsiaTheme="minorEastAsia" w:cstheme="majorBidi"/>
              <w:color w:val="156082" w:themeColor="accent1"/>
              <w:sz w:val="72"/>
              <w:szCs w:val="72"/>
            </w:rPr>
          </w:pPr>
          <w:r>
            <w:rPr>
              <w:rFonts w:eastAsiaTheme="minorEastAsia"/>
              <w:color w:val="156082" w:themeColor="accent1"/>
              <w:sz w:val="72"/>
              <w:szCs w:val="72"/>
            </w:rPr>
            <w:br w:type="page"/>
          </w:r>
        </w:p>
      </w:sdtContent>
    </w:sdt>
    <w:sdt>
      <w:sdtPr>
        <w:rPr>
          <w:rFonts w:asciiTheme="minorHAnsi" w:eastAsiaTheme="minorHAnsi" w:hAnsiTheme="minorHAnsi" w:cstheme="minorBidi"/>
          <w:color w:val="auto"/>
          <w:kern w:val="2"/>
          <w:sz w:val="24"/>
          <w:szCs w:val="24"/>
          <w:lang w:eastAsia="en-US"/>
          <w14:ligatures w14:val="standardContextual"/>
        </w:rPr>
        <w:id w:val="-1364897843"/>
        <w:docPartObj>
          <w:docPartGallery w:val="Table of Contents"/>
          <w:docPartUnique/>
        </w:docPartObj>
      </w:sdtPr>
      <w:sdtEndPr>
        <w:rPr>
          <w:b/>
          <w:bCs/>
        </w:rPr>
      </w:sdtEndPr>
      <w:sdtContent>
        <w:p w14:paraId="09D5A10B" w14:textId="1105E0D0" w:rsidR="00F022D1" w:rsidRDefault="00F022D1">
          <w:pPr>
            <w:pStyle w:val="TOCHeading"/>
          </w:pPr>
          <w:r>
            <w:t>Table of Contents</w:t>
          </w:r>
        </w:p>
        <w:p w14:paraId="11F87B49" w14:textId="52EA8DEA" w:rsidR="00A60B19" w:rsidRDefault="00F022D1">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28473579" w:history="1">
            <w:r w:rsidR="00A60B19" w:rsidRPr="004F54B7">
              <w:rPr>
                <w:rStyle w:val="Hyperlink"/>
                <w:noProof/>
              </w:rPr>
              <w:t>1.</w:t>
            </w:r>
            <w:r w:rsidR="00A60B19">
              <w:rPr>
                <w:rFonts w:eastAsiaTheme="minorEastAsia"/>
                <w:noProof/>
                <w:lang w:eastAsia="en-GB"/>
              </w:rPr>
              <w:tab/>
            </w:r>
            <w:r w:rsidR="00A60B19" w:rsidRPr="004F54B7">
              <w:rPr>
                <w:rStyle w:val="Hyperlink"/>
                <w:noProof/>
              </w:rPr>
              <w:t>Introduction</w:t>
            </w:r>
            <w:r w:rsidR="00A60B19">
              <w:rPr>
                <w:noProof/>
                <w:webHidden/>
              </w:rPr>
              <w:tab/>
            </w:r>
            <w:r w:rsidR="00A60B19">
              <w:rPr>
                <w:noProof/>
                <w:webHidden/>
              </w:rPr>
              <w:fldChar w:fldCharType="begin"/>
            </w:r>
            <w:r w:rsidR="00A60B19">
              <w:rPr>
                <w:noProof/>
                <w:webHidden/>
              </w:rPr>
              <w:instrText xml:space="preserve"> PAGEREF _Toc228473579 \h </w:instrText>
            </w:r>
            <w:r w:rsidR="00A60B19">
              <w:rPr>
                <w:noProof/>
                <w:webHidden/>
              </w:rPr>
            </w:r>
            <w:r w:rsidR="00A60B19">
              <w:rPr>
                <w:noProof/>
                <w:webHidden/>
              </w:rPr>
              <w:fldChar w:fldCharType="separate"/>
            </w:r>
            <w:r w:rsidR="00A60B19">
              <w:rPr>
                <w:noProof/>
                <w:webHidden/>
              </w:rPr>
              <w:t>2</w:t>
            </w:r>
            <w:r w:rsidR="00A60B19">
              <w:rPr>
                <w:noProof/>
                <w:webHidden/>
              </w:rPr>
              <w:fldChar w:fldCharType="end"/>
            </w:r>
          </w:hyperlink>
        </w:p>
        <w:p w14:paraId="049E4822" w14:textId="10D22A9E" w:rsidR="00A60B19" w:rsidRDefault="00A60B19">
          <w:pPr>
            <w:pStyle w:val="TOC1"/>
            <w:tabs>
              <w:tab w:val="left" w:pos="480"/>
              <w:tab w:val="right" w:leader="dot" w:pos="9016"/>
            </w:tabs>
            <w:rPr>
              <w:rFonts w:eastAsiaTheme="minorEastAsia"/>
              <w:noProof/>
              <w:lang w:eastAsia="en-GB"/>
            </w:rPr>
          </w:pPr>
          <w:hyperlink w:anchor="_Toc228473580" w:history="1">
            <w:r w:rsidRPr="004F54B7">
              <w:rPr>
                <w:rStyle w:val="Hyperlink"/>
                <w:noProof/>
              </w:rPr>
              <w:t>2.</w:t>
            </w:r>
            <w:r>
              <w:rPr>
                <w:rFonts w:eastAsiaTheme="minorEastAsia"/>
                <w:noProof/>
                <w:lang w:eastAsia="en-GB"/>
              </w:rPr>
              <w:tab/>
            </w:r>
            <w:r w:rsidRPr="004F54B7">
              <w:rPr>
                <w:rStyle w:val="Hyperlink"/>
                <w:noProof/>
              </w:rPr>
              <w:t>Historical background and Study of the site</w:t>
            </w:r>
            <w:r>
              <w:rPr>
                <w:noProof/>
                <w:webHidden/>
              </w:rPr>
              <w:tab/>
            </w:r>
            <w:r>
              <w:rPr>
                <w:noProof/>
                <w:webHidden/>
              </w:rPr>
              <w:fldChar w:fldCharType="begin"/>
            </w:r>
            <w:r>
              <w:rPr>
                <w:noProof/>
                <w:webHidden/>
              </w:rPr>
              <w:instrText xml:space="preserve"> PAGEREF _Toc228473580 \h </w:instrText>
            </w:r>
            <w:r>
              <w:rPr>
                <w:noProof/>
                <w:webHidden/>
              </w:rPr>
            </w:r>
            <w:r>
              <w:rPr>
                <w:noProof/>
                <w:webHidden/>
              </w:rPr>
              <w:fldChar w:fldCharType="separate"/>
            </w:r>
            <w:r>
              <w:rPr>
                <w:noProof/>
                <w:webHidden/>
              </w:rPr>
              <w:t>2</w:t>
            </w:r>
            <w:r>
              <w:rPr>
                <w:noProof/>
                <w:webHidden/>
              </w:rPr>
              <w:fldChar w:fldCharType="end"/>
            </w:r>
          </w:hyperlink>
        </w:p>
        <w:p w14:paraId="47420510" w14:textId="10D5869F" w:rsidR="00A60B19" w:rsidRDefault="00A60B19">
          <w:pPr>
            <w:pStyle w:val="TOC1"/>
            <w:tabs>
              <w:tab w:val="left" w:pos="480"/>
              <w:tab w:val="right" w:leader="dot" w:pos="9016"/>
            </w:tabs>
            <w:rPr>
              <w:rFonts w:eastAsiaTheme="minorEastAsia"/>
              <w:noProof/>
              <w:lang w:eastAsia="en-GB"/>
            </w:rPr>
          </w:pPr>
          <w:hyperlink w:anchor="_Toc228473581" w:history="1">
            <w:r w:rsidRPr="004F54B7">
              <w:rPr>
                <w:rStyle w:val="Hyperlink"/>
                <w:noProof/>
              </w:rPr>
              <w:t>3.</w:t>
            </w:r>
            <w:r>
              <w:rPr>
                <w:rFonts w:eastAsiaTheme="minorEastAsia"/>
                <w:noProof/>
                <w:lang w:eastAsia="en-GB"/>
              </w:rPr>
              <w:tab/>
            </w:r>
            <w:r w:rsidRPr="004F54B7">
              <w:rPr>
                <w:rStyle w:val="Hyperlink"/>
                <w:noProof/>
              </w:rPr>
              <w:t>Site investigation strategy</w:t>
            </w:r>
            <w:r>
              <w:rPr>
                <w:noProof/>
                <w:webHidden/>
              </w:rPr>
              <w:tab/>
            </w:r>
            <w:r>
              <w:rPr>
                <w:noProof/>
                <w:webHidden/>
              </w:rPr>
              <w:fldChar w:fldCharType="begin"/>
            </w:r>
            <w:r>
              <w:rPr>
                <w:noProof/>
                <w:webHidden/>
              </w:rPr>
              <w:instrText xml:space="preserve"> PAGEREF _Toc228473581 \h </w:instrText>
            </w:r>
            <w:r>
              <w:rPr>
                <w:noProof/>
                <w:webHidden/>
              </w:rPr>
            </w:r>
            <w:r>
              <w:rPr>
                <w:noProof/>
                <w:webHidden/>
              </w:rPr>
              <w:fldChar w:fldCharType="separate"/>
            </w:r>
            <w:r>
              <w:rPr>
                <w:noProof/>
                <w:webHidden/>
              </w:rPr>
              <w:t>4</w:t>
            </w:r>
            <w:r>
              <w:rPr>
                <w:noProof/>
                <w:webHidden/>
              </w:rPr>
              <w:fldChar w:fldCharType="end"/>
            </w:r>
          </w:hyperlink>
        </w:p>
        <w:p w14:paraId="4AC8FFF1" w14:textId="389D3AF9" w:rsidR="00A60B19" w:rsidRDefault="00A60B19">
          <w:pPr>
            <w:pStyle w:val="TOC2"/>
            <w:tabs>
              <w:tab w:val="left" w:pos="960"/>
              <w:tab w:val="right" w:leader="dot" w:pos="9016"/>
            </w:tabs>
            <w:rPr>
              <w:rFonts w:eastAsiaTheme="minorEastAsia"/>
              <w:noProof/>
              <w:lang w:eastAsia="en-GB"/>
            </w:rPr>
          </w:pPr>
          <w:hyperlink w:anchor="_Toc228473582" w:history="1">
            <w:r w:rsidRPr="004F54B7">
              <w:rPr>
                <w:rStyle w:val="Hyperlink"/>
                <w:noProof/>
              </w:rPr>
              <w:t>3.1.</w:t>
            </w:r>
            <w:r>
              <w:rPr>
                <w:rFonts w:eastAsiaTheme="minorEastAsia"/>
                <w:noProof/>
                <w:lang w:eastAsia="en-GB"/>
              </w:rPr>
              <w:tab/>
            </w:r>
            <w:r w:rsidRPr="004F54B7">
              <w:rPr>
                <w:rStyle w:val="Hyperlink"/>
                <w:noProof/>
              </w:rPr>
              <w:t>Ground investigation</w:t>
            </w:r>
            <w:r>
              <w:rPr>
                <w:noProof/>
                <w:webHidden/>
              </w:rPr>
              <w:tab/>
            </w:r>
            <w:r>
              <w:rPr>
                <w:noProof/>
                <w:webHidden/>
              </w:rPr>
              <w:fldChar w:fldCharType="begin"/>
            </w:r>
            <w:r>
              <w:rPr>
                <w:noProof/>
                <w:webHidden/>
              </w:rPr>
              <w:instrText xml:space="preserve"> PAGEREF _Toc228473582 \h </w:instrText>
            </w:r>
            <w:r>
              <w:rPr>
                <w:noProof/>
                <w:webHidden/>
              </w:rPr>
            </w:r>
            <w:r>
              <w:rPr>
                <w:noProof/>
                <w:webHidden/>
              </w:rPr>
              <w:fldChar w:fldCharType="separate"/>
            </w:r>
            <w:r>
              <w:rPr>
                <w:noProof/>
                <w:webHidden/>
              </w:rPr>
              <w:t>4</w:t>
            </w:r>
            <w:r>
              <w:rPr>
                <w:noProof/>
                <w:webHidden/>
              </w:rPr>
              <w:fldChar w:fldCharType="end"/>
            </w:r>
          </w:hyperlink>
        </w:p>
        <w:p w14:paraId="1C0FA52F" w14:textId="3884E74E" w:rsidR="00A60B19" w:rsidRDefault="00A60B19">
          <w:pPr>
            <w:pStyle w:val="TOC2"/>
            <w:tabs>
              <w:tab w:val="left" w:pos="960"/>
              <w:tab w:val="right" w:leader="dot" w:pos="9016"/>
            </w:tabs>
            <w:rPr>
              <w:rFonts w:eastAsiaTheme="minorEastAsia"/>
              <w:noProof/>
              <w:lang w:eastAsia="en-GB"/>
            </w:rPr>
          </w:pPr>
          <w:hyperlink w:anchor="_Toc228473583" w:history="1">
            <w:r w:rsidRPr="004F54B7">
              <w:rPr>
                <w:rStyle w:val="Hyperlink"/>
                <w:noProof/>
              </w:rPr>
              <w:t>3.2.</w:t>
            </w:r>
            <w:r>
              <w:rPr>
                <w:rFonts w:eastAsiaTheme="minorEastAsia"/>
                <w:noProof/>
                <w:lang w:eastAsia="en-GB"/>
              </w:rPr>
              <w:tab/>
            </w:r>
            <w:r w:rsidRPr="004F54B7">
              <w:rPr>
                <w:rStyle w:val="Hyperlink"/>
                <w:noProof/>
              </w:rPr>
              <w:t>Contamination assessment</w:t>
            </w:r>
            <w:r>
              <w:rPr>
                <w:noProof/>
                <w:webHidden/>
              </w:rPr>
              <w:tab/>
            </w:r>
            <w:r>
              <w:rPr>
                <w:noProof/>
                <w:webHidden/>
              </w:rPr>
              <w:fldChar w:fldCharType="begin"/>
            </w:r>
            <w:r>
              <w:rPr>
                <w:noProof/>
                <w:webHidden/>
              </w:rPr>
              <w:instrText xml:space="preserve"> PAGEREF _Toc228473583 \h </w:instrText>
            </w:r>
            <w:r>
              <w:rPr>
                <w:noProof/>
                <w:webHidden/>
              </w:rPr>
            </w:r>
            <w:r>
              <w:rPr>
                <w:noProof/>
                <w:webHidden/>
              </w:rPr>
              <w:fldChar w:fldCharType="separate"/>
            </w:r>
            <w:r>
              <w:rPr>
                <w:noProof/>
                <w:webHidden/>
              </w:rPr>
              <w:t>4</w:t>
            </w:r>
            <w:r>
              <w:rPr>
                <w:noProof/>
                <w:webHidden/>
              </w:rPr>
              <w:fldChar w:fldCharType="end"/>
            </w:r>
          </w:hyperlink>
        </w:p>
        <w:p w14:paraId="1F40AD61" w14:textId="6CE5C479" w:rsidR="00A60B19" w:rsidRDefault="00A60B19">
          <w:pPr>
            <w:pStyle w:val="TOC2"/>
            <w:tabs>
              <w:tab w:val="left" w:pos="960"/>
              <w:tab w:val="right" w:leader="dot" w:pos="9016"/>
            </w:tabs>
            <w:rPr>
              <w:rFonts w:eastAsiaTheme="minorEastAsia"/>
              <w:noProof/>
              <w:lang w:eastAsia="en-GB"/>
            </w:rPr>
          </w:pPr>
          <w:hyperlink w:anchor="_Toc228473584" w:history="1">
            <w:r w:rsidRPr="004F54B7">
              <w:rPr>
                <w:rStyle w:val="Hyperlink"/>
                <w:noProof/>
              </w:rPr>
              <w:t>3.3.</w:t>
            </w:r>
            <w:r>
              <w:rPr>
                <w:rFonts w:eastAsiaTheme="minorEastAsia"/>
                <w:noProof/>
                <w:lang w:eastAsia="en-GB"/>
              </w:rPr>
              <w:tab/>
            </w:r>
            <w:r w:rsidRPr="004F54B7">
              <w:rPr>
                <w:rStyle w:val="Hyperlink"/>
                <w:noProof/>
              </w:rPr>
              <w:t>Groundwater conditions</w:t>
            </w:r>
            <w:r>
              <w:rPr>
                <w:noProof/>
                <w:webHidden/>
              </w:rPr>
              <w:tab/>
            </w:r>
            <w:r>
              <w:rPr>
                <w:noProof/>
                <w:webHidden/>
              </w:rPr>
              <w:fldChar w:fldCharType="begin"/>
            </w:r>
            <w:r>
              <w:rPr>
                <w:noProof/>
                <w:webHidden/>
              </w:rPr>
              <w:instrText xml:space="preserve"> PAGEREF _Toc228473584 \h </w:instrText>
            </w:r>
            <w:r>
              <w:rPr>
                <w:noProof/>
                <w:webHidden/>
              </w:rPr>
            </w:r>
            <w:r>
              <w:rPr>
                <w:noProof/>
                <w:webHidden/>
              </w:rPr>
              <w:fldChar w:fldCharType="separate"/>
            </w:r>
            <w:r>
              <w:rPr>
                <w:noProof/>
                <w:webHidden/>
              </w:rPr>
              <w:t>5</w:t>
            </w:r>
            <w:r>
              <w:rPr>
                <w:noProof/>
                <w:webHidden/>
              </w:rPr>
              <w:fldChar w:fldCharType="end"/>
            </w:r>
          </w:hyperlink>
        </w:p>
        <w:p w14:paraId="0F4829A6" w14:textId="6EFFBD4D" w:rsidR="00A60B19" w:rsidRDefault="00A60B19">
          <w:pPr>
            <w:pStyle w:val="TOC2"/>
            <w:tabs>
              <w:tab w:val="left" w:pos="960"/>
              <w:tab w:val="right" w:leader="dot" w:pos="9016"/>
            </w:tabs>
            <w:rPr>
              <w:rFonts w:eastAsiaTheme="minorEastAsia"/>
              <w:noProof/>
              <w:lang w:eastAsia="en-GB"/>
            </w:rPr>
          </w:pPr>
          <w:hyperlink w:anchor="_Toc228473585" w:history="1">
            <w:r w:rsidRPr="004F54B7">
              <w:rPr>
                <w:rStyle w:val="Hyperlink"/>
                <w:noProof/>
              </w:rPr>
              <w:t>3.4.</w:t>
            </w:r>
            <w:r>
              <w:rPr>
                <w:rFonts w:eastAsiaTheme="minorEastAsia"/>
                <w:noProof/>
                <w:lang w:eastAsia="en-GB"/>
              </w:rPr>
              <w:tab/>
            </w:r>
            <w:r w:rsidRPr="004F54B7">
              <w:rPr>
                <w:rStyle w:val="Hyperlink"/>
                <w:noProof/>
              </w:rPr>
              <w:t>Geotechnical testing</w:t>
            </w:r>
            <w:r>
              <w:rPr>
                <w:noProof/>
                <w:webHidden/>
              </w:rPr>
              <w:tab/>
            </w:r>
            <w:r>
              <w:rPr>
                <w:noProof/>
                <w:webHidden/>
              </w:rPr>
              <w:fldChar w:fldCharType="begin"/>
            </w:r>
            <w:r>
              <w:rPr>
                <w:noProof/>
                <w:webHidden/>
              </w:rPr>
              <w:instrText xml:space="preserve"> PAGEREF _Toc228473585 \h </w:instrText>
            </w:r>
            <w:r>
              <w:rPr>
                <w:noProof/>
                <w:webHidden/>
              </w:rPr>
            </w:r>
            <w:r>
              <w:rPr>
                <w:noProof/>
                <w:webHidden/>
              </w:rPr>
              <w:fldChar w:fldCharType="separate"/>
            </w:r>
            <w:r>
              <w:rPr>
                <w:noProof/>
                <w:webHidden/>
              </w:rPr>
              <w:t>5</w:t>
            </w:r>
            <w:r>
              <w:rPr>
                <w:noProof/>
                <w:webHidden/>
              </w:rPr>
              <w:fldChar w:fldCharType="end"/>
            </w:r>
          </w:hyperlink>
        </w:p>
        <w:p w14:paraId="5E727CC0" w14:textId="0ECE42AF" w:rsidR="00A60B19" w:rsidRDefault="00A60B19">
          <w:pPr>
            <w:pStyle w:val="TOC2"/>
            <w:tabs>
              <w:tab w:val="left" w:pos="960"/>
              <w:tab w:val="right" w:leader="dot" w:pos="9016"/>
            </w:tabs>
            <w:rPr>
              <w:rFonts w:eastAsiaTheme="minorEastAsia"/>
              <w:noProof/>
              <w:lang w:eastAsia="en-GB"/>
            </w:rPr>
          </w:pPr>
          <w:hyperlink w:anchor="_Toc228473586" w:history="1">
            <w:r w:rsidRPr="004F54B7">
              <w:rPr>
                <w:rStyle w:val="Hyperlink"/>
                <w:noProof/>
              </w:rPr>
              <w:t>3.5.</w:t>
            </w:r>
            <w:r>
              <w:rPr>
                <w:rFonts w:eastAsiaTheme="minorEastAsia"/>
                <w:noProof/>
                <w:lang w:eastAsia="en-GB"/>
              </w:rPr>
              <w:tab/>
            </w:r>
            <w:r w:rsidRPr="004F54B7">
              <w:rPr>
                <w:rStyle w:val="Hyperlink"/>
                <w:noProof/>
              </w:rPr>
              <w:t>Risk significant elements</w:t>
            </w:r>
            <w:r>
              <w:rPr>
                <w:noProof/>
                <w:webHidden/>
              </w:rPr>
              <w:tab/>
            </w:r>
            <w:r>
              <w:rPr>
                <w:noProof/>
                <w:webHidden/>
              </w:rPr>
              <w:fldChar w:fldCharType="begin"/>
            </w:r>
            <w:r>
              <w:rPr>
                <w:noProof/>
                <w:webHidden/>
              </w:rPr>
              <w:instrText xml:space="preserve"> PAGEREF _Toc228473586 \h </w:instrText>
            </w:r>
            <w:r>
              <w:rPr>
                <w:noProof/>
                <w:webHidden/>
              </w:rPr>
            </w:r>
            <w:r>
              <w:rPr>
                <w:noProof/>
                <w:webHidden/>
              </w:rPr>
              <w:fldChar w:fldCharType="separate"/>
            </w:r>
            <w:r>
              <w:rPr>
                <w:noProof/>
                <w:webHidden/>
              </w:rPr>
              <w:t>5</w:t>
            </w:r>
            <w:r>
              <w:rPr>
                <w:noProof/>
                <w:webHidden/>
              </w:rPr>
              <w:fldChar w:fldCharType="end"/>
            </w:r>
          </w:hyperlink>
        </w:p>
        <w:p w14:paraId="6928BB79" w14:textId="638B5536" w:rsidR="00A60B19" w:rsidRDefault="00A60B19">
          <w:pPr>
            <w:pStyle w:val="TOC1"/>
            <w:tabs>
              <w:tab w:val="left" w:pos="480"/>
              <w:tab w:val="right" w:leader="dot" w:pos="9016"/>
            </w:tabs>
            <w:rPr>
              <w:rFonts w:eastAsiaTheme="minorEastAsia"/>
              <w:noProof/>
              <w:lang w:eastAsia="en-GB"/>
            </w:rPr>
          </w:pPr>
          <w:hyperlink w:anchor="_Toc228473587" w:history="1">
            <w:r w:rsidRPr="004F54B7">
              <w:rPr>
                <w:rStyle w:val="Hyperlink"/>
                <w:noProof/>
              </w:rPr>
              <w:t>4.</w:t>
            </w:r>
            <w:r>
              <w:rPr>
                <w:rFonts w:eastAsiaTheme="minorEastAsia"/>
                <w:noProof/>
                <w:lang w:eastAsia="en-GB"/>
              </w:rPr>
              <w:tab/>
            </w:r>
            <w:r w:rsidRPr="004F54B7">
              <w:rPr>
                <w:rStyle w:val="Hyperlink"/>
                <w:noProof/>
              </w:rPr>
              <w:t>Regulations and authorities</w:t>
            </w:r>
            <w:r>
              <w:rPr>
                <w:noProof/>
                <w:webHidden/>
              </w:rPr>
              <w:tab/>
            </w:r>
            <w:r>
              <w:rPr>
                <w:noProof/>
                <w:webHidden/>
              </w:rPr>
              <w:fldChar w:fldCharType="begin"/>
            </w:r>
            <w:r>
              <w:rPr>
                <w:noProof/>
                <w:webHidden/>
              </w:rPr>
              <w:instrText xml:space="preserve"> PAGEREF _Toc228473587 \h </w:instrText>
            </w:r>
            <w:r>
              <w:rPr>
                <w:noProof/>
                <w:webHidden/>
              </w:rPr>
            </w:r>
            <w:r>
              <w:rPr>
                <w:noProof/>
                <w:webHidden/>
              </w:rPr>
              <w:fldChar w:fldCharType="separate"/>
            </w:r>
            <w:r>
              <w:rPr>
                <w:noProof/>
                <w:webHidden/>
              </w:rPr>
              <w:t>6</w:t>
            </w:r>
            <w:r>
              <w:rPr>
                <w:noProof/>
                <w:webHidden/>
              </w:rPr>
              <w:fldChar w:fldCharType="end"/>
            </w:r>
          </w:hyperlink>
        </w:p>
        <w:p w14:paraId="5AACF61C" w14:textId="0360CDBC" w:rsidR="00A60B19" w:rsidRDefault="00A60B19">
          <w:pPr>
            <w:pStyle w:val="TOC1"/>
            <w:tabs>
              <w:tab w:val="left" w:pos="480"/>
              <w:tab w:val="right" w:leader="dot" w:pos="9016"/>
            </w:tabs>
            <w:rPr>
              <w:rFonts w:eastAsiaTheme="minorEastAsia"/>
              <w:noProof/>
              <w:lang w:eastAsia="en-GB"/>
            </w:rPr>
          </w:pPr>
          <w:hyperlink w:anchor="_Toc228473588" w:history="1">
            <w:r w:rsidRPr="004F54B7">
              <w:rPr>
                <w:rStyle w:val="Hyperlink"/>
                <w:noProof/>
              </w:rPr>
              <w:t>5.</w:t>
            </w:r>
            <w:r>
              <w:rPr>
                <w:rFonts w:eastAsiaTheme="minorEastAsia"/>
                <w:noProof/>
                <w:lang w:eastAsia="en-GB"/>
              </w:rPr>
              <w:tab/>
            </w:r>
            <w:r w:rsidRPr="004F54B7">
              <w:rPr>
                <w:rStyle w:val="Hyperlink"/>
                <w:noProof/>
              </w:rPr>
              <w:t>Foundation recommendation</w:t>
            </w:r>
            <w:r>
              <w:rPr>
                <w:noProof/>
                <w:webHidden/>
              </w:rPr>
              <w:tab/>
            </w:r>
            <w:r>
              <w:rPr>
                <w:noProof/>
                <w:webHidden/>
              </w:rPr>
              <w:fldChar w:fldCharType="begin"/>
            </w:r>
            <w:r>
              <w:rPr>
                <w:noProof/>
                <w:webHidden/>
              </w:rPr>
              <w:instrText xml:space="preserve"> PAGEREF _Toc228473588 \h </w:instrText>
            </w:r>
            <w:r>
              <w:rPr>
                <w:noProof/>
                <w:webHidden/>
              </w:rPr>
            </w:r>
            <w:r>
              <w:rPr>
                <w:noProof/>
                <w:webHidden/>
              </w:rPr>
              <w:fldChar w:fldCharType="separate"/>
            </w:r>
            <w:r>
              <w:rPr>
                <w:noProof/>
                <w:webHidden/>
              </w:rPr>
              <w:t>7</w:t>
            </w:r>
            <w:r>
              <w:rPr>
                <w:noProof/>
                <w:webHidden/>
              </w:rPr>
              <w:fldChar w:fldCharType="end"/>
            </w:r>
          </w:hyperlink>
        </w:p>
        <w:p w14:paraId="386A7241" w14:textId="1A1E8520" w:rsidR="00A60B19" w:rsidRDefault="00A60B19">
          <w:pPr>
            <w:pStyle w:val="TOC1"/>
            <w:tabs>
              <w:tab w:val="left" w:pos="480"/>
              <w:tab w:val="right" w:leader="dot" w:pos="9016"/>
            </w:tabs>
            <w:rPr>
              <w:rFonts w:eastAsiaTheme="minorEastAsia"/>
              <w:noProof/>
              <w:lang w:eastAsia="en-GB"/>
            </w:rPr>
          </w:pPr>
          <w:hyperlink w:anchor="_Toc228473589" w:history="1">
            <w:r w:rsidRPr="004F54B7">
              <w:rPr>
                <w:rStyle w:val="Hyperlink"/>
                <w:noProof/>
              </w:rPr>
              <w:t>6.</w:t>
            </w:r>
            <w:r>
              <w:rPr>
                <w:rFonts w:eastAsiaTheme="minorEastAsia"/>
                <w:noProof/>
                <w:lang w:eastAsia="en-GB"/>
              </w:rPr>
              <w:tab/>
            </w:r>
            <w:r w:rsidRPr="004F54B7">
              <w:rPr>
                <w:rStyle w:val="Hyperlink"/>
                <w:noProof/>
              </w:rPr>
              <w:t>Conclusion</w:t>
            </w:r>
            <w:r>
              <w:rPr>
                <w:noProof/>
                <w:webHidden/>
              </w:rPr>
              <w:tab/>
            </w:r>
            <w:r>
              <w:rPr>
                <w:noProof/>
                <w:webHidden/>
              </w:rPr>
              <w:fldChar w:fldCharType="begin"/>
            </w:r>
            <w:r>
              <w:rPr>
                <w:noProof/>
                <w:webHidden/>
              </w:rPr>
              <w:instrText xml:space="preserve"> PAGEREF _Toc228473589 \h </w:instrText>
            </w:r>
            <w:r>
              <w:rPr>
                <w:noProof/>
                <w:webHidden/>
              </w:rPr>
            </w:r>
            <w:r>
              <w:rPr>
                <w:noProof/>
                <w:webHidden/>
              </w:rPr>
              <w:fldChar w:fldCharType="separate"/>
            </w:r>
            <w:r>
              <w:rPr>
                <w:noProof/>
                <w:webHidden/>
              </w:rPr>
              <w:t>8</w:t>
            </w:r>
            <w:r>
              <w:rPr>
                <w:noProof/>
                <w:webHidden/>
              </w:rPr>
              <w:fldChar w:fldCharType="end"/>
            </w:r>
          </w:hyperlink>
        </w:p>
        <w:p w14:paraId="66ADF889" w14:textId="4DBB0F23" w:rsidR="00A60B19" w:rsidRDefault="00A60B19">
          <w:pPr>
            <w:pStyle w:val="TOC1"/>
            <w:tabs>
              <w:tab w:val="right" w:leader="dot" w:pos="9016"/>
            </w:tabs>
            <w:rPr>
              <w:rFonts w:eastAsiaTheme="minorEastAsia"/>
              <w:noProof/>
              <w:lang w:eastAsia="en-GB"/>
            </w:rPr>
          </w:pPr>
          <w:hyperlink w:anchor="_Toc228473590" w:history="1">
            <w:r w:rsidRPr="004F54B7">
              <w:rPr>
                <w:rStyle w:val="Hyperlink"/>
                <w:noProof/>
              </w:rPr>
              <w:t>Reference List</w:t>
            </w:r>
            <w:r>
              <w:rPr>
                <w:noProof/>
                <w:webHidden/>
              </w:rPr>
              <w:tab/>
            </w:r>
            <w:r>
              <w:rPr>
                <w:noProof/>
                <w:webHidden/>
              </w:rPr>
              <w:fldChar w:fldCharType="begin"/>
            </w:r>
            <w:r>
              <w:rPr>
                <w:noProof/>
                <w:webHidden/>
              </w:rPr>
              <w:instrText xml:space="preserve"> PAGEREF _Toc228473590 \h </w:instrText>
            </w:r>
            <w:r>
              <w:rPr>
                <w:noProof/>
                <w:webHidden/>
              </w:rPr>
            </w:r>
            <w:r>
              <w:rPr>
                <w:noProof/>
                <w:webHidden/>
              </w:rPr>
              <w:fldChar w:fldCharType="separate"/>
            </w:r>
            <w:r>
              <w:rPr>
                <w:noProof/>
                <w:webHidden/>
              </w:rPr>
              <w:t>9</w:t>
            </w:r>
            <w:r>
              <w:rPr>
                <w:noProof/>
                <w:webHidden/>
              </w:rPr>
              <w:fldChar w:fldCharType="end"/>
            </w:r>
          </w:hyperlink>
        </w:p>
        <w:p w14:paraId="638FDC77" w14:textId="3B248034" w:rsidR="00F022D1" w:rsidRDefault="00F022D1">
          <w:r>
            <w:rPr>
              <w:b/>
              <w:bCs/>
            </w:rPr>
            <w:fldChar w:fldCharType="end"/>
          </w:r>
        </w:p>
      </w:sdtContent>
    </w:sdt>
    <w:p w14:paraId="49AB5645" w14:textId="77777777" w:rsidR="00F022D1" w:rsidRDefault="00F022D1" w:rsidP="00F022D1"/>
    <w:p w14:paraId="32A9FC17" w14:textId="77777777" w:rsidR="00F022D1" w:rsidRDefault="00F022D1" w:rsidP="00F022D1"/>
    <w:p w14:paraId="256ECBFA" w14:textId="77777777" w:rsidR="00F022D1" w:rsidRDefault="00F022D1" w:rsidP="00F022D1"/>
    <w:p w14:paraId="15DC7E17" w14:textId="77777777" w:rsidR="00F022D1" w:rsidRDefault="00F022D1" w:rsidP="00F022D1"/>
    <w:p w14:paraId="4DF47649" w14:textId="77777777" w:rsidR="00F022D1" w:rsidRDefault="00F022D1" w:rsidP="00F022D1"/>
    <w:p w14:paraId="385BB9F8" w14:textId="77777777" w:rsidR="00F022D1" w:rsidRDefault="00F022D1" w:rsidP="00F022D1"/>
    <w:p w14:paraId="666A05E0" w14:textId="77777777" w:rsidR="00F022D1" w:rsidRDefault="00F022D1" w:rsidP="00F022D1"/>
    <w:p w14:paraId="4B4C7E6D" w14:textId="77777777" w:rsidR="00F022D1" w:rsidRDefault="00F022D1" w:rsidP="00F022D1"/>
    <w:p w14:paraId="621D2E7F" w14:textId="77777777" w:rsidR="00F022D1" w:rsidRDefault="00F022D1" w:rsidP="00F022D1"/>
    <w:p w14:paraId="1C2528C8" w14:textId="77777777" w:rsidR="00F022D1" w:rsidRDefault="00F022D1" w:rsidP="00F022D1"/>
    <w:p w14:paraId="3010BF8A" w14:textId="77777777" w:rsidR="00F022D1" w:rsidRDefault="00F022D1" w:rsidP="00F022D1"/>
    <w:p w14:paraId="0B53E6FA" w14:textId="77777777" w:rsidR="00F022D1" w:rsidRDefault="00F022D1" w:rsidP="00F022D1"/>
    <w:p w14:paraId="2CF157C5" w14:textId="77777777" w:rsidR="00F022D1" w:rsidRDefault="00F022D1" w:rsidP="00F022D1"/>
    <w:p w14:paraId="545169F5" w14:textId="77777777" w:rsidR="00F022D1" w:rsidRDefault="00F022D1" w:rsidP="00F022D1"/>
    <w:p w14:paraId="6018CB77" w14:textId="77777777" w:rsidR="00C55902" w:rsidRDefault="006950A5" w:rsidP="00C55902">
      <w:pPr>
        <w:pStyle w:val="Heading1"/>
        <w:numPr>
          <w:ilvl w:val="0"/>
          <w:numId w:val="1"/>
        </w:numPr>
      </w:pPr>
      <w:bookmarkStart w:id="0" w:name="_Toc228473579"/>
      <w:r>
        <w:lastRenderedPageBreak/>
        <w:t>Introduction</w:t>
      </w:r>
      <w:bookmarkEnd w:id="0"/>
    </w:p>
    <w:p w14:paraId="2BBAA65F" w14:textId="5D92B439" w:rsidR="00C55902" w:rsidRPr="00C55902" w:rsidRDefault="00C55902" w:rsidP="00C55902">
      <w:r w:rsidRPr="00C55902">
        <w:t>This report presents a preliminary site investigation study for a proposed mixed-use development on Swansea foreshore between County Hall and the Marriott Hotel. The scheme comprises a 2,000m² ground floor restaurant, café bar and ice-cream parlour with associated kitchen and storage areas, together with upper-floor residential and staff accommodation.</w:t>
      </w:r>
    </w:p>
    <w:p w14:paraId="39ADA2AF" w14:textId="4EF51886" w:rsidR="00C55902" w:rsidRPr="00C55902" w:rsidRDefault="00C55902" w:rsidP="00C55902">
      <w:r w:rsidRPr="00C55902">
        <w:t>The report undertakes a desktop study of the site history and identifies risks associated with historical land use, likely ground conditions and groundwater. Recommendations are then made for a detailed site investigation, relevant statutory guidance, and an appropriate foundation solution for the proposed development.</w:t>
      </w:r>
    </w:p>
    <w:p w14:paraId="69923D96" w14:textId="77777777" w:rsidR="006950A5" w:rsidRDefault="006950A5" w:rsidP="006950A5"/>
    <w:p w14:paraId="739D1668" w14:textId="6B6B7F16" w:rsidR="007057FC" w:rsidRDefault="007057FC" w:rsidP="00F022D1">
      <w:pPr>
        <w:pStyle w:val="Heading1"/>
        <w:numPr>
          <w:ilvl w:val="0"/>
          <w:numId w:val="1"/>
        </w:numPr>
      </w:pPr>
      <w:bookmarkStart w:id="1" w:name="_Toc228473580"/>
      <w:r>
        <w:t>Historical background and Study of the site</w:t>
      </w:r>
      <w:bookmarkEnd w:id="1"/>
    </w:p>
    <w:p w14:paraId="425C557C" w14:textId="49AB1EEE" w:rsidR="00DA4B7D" w:rsidRDefault="003A7324" w:rsidP="003A7324">
      <w:r w:rsidRPr="003A7324">
        <w:t>A preliminary desktop study has been undertaken to assess the historical development of the Swansea foreshore site and its likely impact on current ground conditions. Desktop studies are an important early-stage process, allowing previous land uses, potential contamination sources and geotechnical risks to be identified before intrusive investigations commence (British Standards Institution, 2015).</w:t>
      </w:r>
    </w:p>
    <w:p w14:paraId="4C910D7C" w14:textId="013DAF5E" w:rsidR="003A7324" w:rsidRDefault="003A7324" w:rsidP="003A7324">
      <w:r w:rsidRPr="003A7324">
        <w:t>Historical mapping shows that by the mid-nineteenth century Swansea had developed into a major industrial port, with extensive docklands, rail links and associated commercial activity along the waterfront. The proposed site formed part of this wider dockside environment, where shipping, coal exportation and metal industries were prominent. Industrial activity of this nature commonly generated waste materials such as ash, clinker and slag, which were frequently reused as fill during reclamation works (Ordnance Survey, 1870).</w:t>
      </w:r>
      <w:r w:rsidR="00B406C6" w:rsidRPr="00B406C6">
        <w:t xml:space="preserve"> </w:t>
      </w:r>
      <w:r w:rsidR="00384D52" w:rsidRPr="003A7324">
        <w:t xml:space="preserve"> </w:t>
      </w:r>
    </w:p>
    <w:p w14:paraId="23E88115" w14:textId="29ACD0DB" w:rsidR="001D41A9" w:rsidRPr="003A7324" w:rsidRDefault="001D41A9" w:rsidP="003A7324">
      <w:r>
        <w:rPr>
          <w:noProof/>
        </w:rPr>
        <w:drawing>
          <wp:anchor distT="0" distB="0" distL="114300" distR="114300" simplePos="0" relativeHeight="251666432" behindDoc="0" locked="0" layoutInCell="1" allowOverlap="1" wp14:anchorId="65D52D4F" wp14:editId="7DABD1D7">
            <wp:simplePos x="0" y="0"/>
            <wp:positionH relativeFrom="margin">
              <wp:align>left</wp:align>
            </wp:positionH>
            <wp:positionV relativeFrom="paragraph">
              <wp:posOffset>28379</wp:posOffset>
            </wp:positionV>
            <wp:extent cx="3373120" cy="2240915"/>
            <wp:effectExtent l="0" t="0" r="0" b="6985"/>
            <wp:wrapSquare wrapText="bothSides"/>
            <wp:docPr id="148901452" name="Picture 8" descr="Swansea Docks-Ma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wansea Docks-Map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73120" cy="22409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309CF2" w14:textId="77777777" w:rsidR="001D41A9" w:rsidRDefault="001D41A9" w:rsidP="003A7324"/>
    <w:p w14:paraId="5FFCD874" w14:textId="77777777" w:rsidR="001D41A9" w:rsidRDefault="001D41A9" w:rsidP="003A7324"/>
    <w:p w14:paraId="2631F039" w14:textId="77777777" w:rsidR="001D41A9" w:rsidRDefault="001D41A9" w:rsidP="003A7324"/>
    <w:p w14:paraId="08951984" w14:textId="77777777" w:rsidR="001D41A9" w:rsidRDefault="001D41A9" w:rsidP="003A7324"/>
    <w:p w14:paraId="3DDFF296" w14:textId="77777777" w:rsidR="001D41A9" w:rsidRDefault="001D41A9" w:rsidP="003A7324"/>
    <w:p w14:paraId="2A653CE7" w14:textId="77777777" w:rsidR="001D41A9" w:rsidRDefault="001D41A9" w:rsidP="003A7324"/>
    <w:p w14:paraId="53BF01A4" w14:textId="77777777" w:rsidR="001D41A9" w:rsidRDefault="001D41A9" w:rsidP="003A7324">
      <w:r>
        <w:rPr>
          <w:noProof/>
        </w:rPr>
        <mc:AlternateContent>
          <mc:Choice Requires="wps">
            <w:drawing>
              <wp:anchor distT="45720" distB="45720" distL="114300" distR="114300" simplePos="0" relativeHeight="251668480" behindDoc="0" locked="0" layoutInCell="1" allowOverlap="1" wp14:anchorId="2B4223A9" wp14:editId="78BF4832">
                <wp:simplePos x="0" y="0"/>
                <wp:positionH relativeFrom="margin">
                  <wp:align>left</wp:align>
                </wp:positionH>
                <wp:positionV relativeFrom="paragraph">
                  <wp:posOffset>58420</wp:posOffset>
                </wp:positionV>
                <wp:extent cx="3534410" cy="386715"/>
                <wp:effectExtent l="0" t="0" r="8890" b="0"/>
                <wp:wrapSquare wrapText="bothSides"/>
                <wp:docPr id="2837474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4410" cy="386715"/>
                        </a:xfrm>
                        <a:prstGeom prst="rect">
                          <a:avLst/>
                        </a:prstGeom>
                        <a:solidFill>
                          <a:srgbClr val="FFFFFF"/>
                        </a:solidFill>
                        <a:ln w="9525">
                          <a:noFill/>
                          <a:miter lim="800000"/>
                          <a:headEnd/>
                          <a:tailEnd/>
                        </a:ln>
                      </wps:spPr>
                      <wps:txbx>
                        <w:txbxContent>
                          <w:p w14:paraId="2DEE71B1" w14:textId="77777777" w:rsidR="001D41A9" w:rsidRPr="0061277D" w:rsidRDefault="001D41A9" w:rsidP="001D41A9">
                            <w:pPr>
                              <w:rPr>
                                <w:sz w:val="16"/>
                                <w:szCs w:val="16"/>
                              </w:rPr>
                            </w:pPr>
                            <w:r w:rsidRPr="0061277D">
                              <w:rPr>
                                <w:sz w:val="16"/>
                                <w:szCs w:val="16"/>
                              </w:rPr>
                              <w:t>Figure 1: Historic map showing dockland and industrial development along Swansea foreshore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4223A9" id="Text Box 2" o:spid="_x0000_s1028" type="#_x0000_t202" style="position:absolute;margin-left:0;margin-top:4.6pt;width:278.3pt;height:30.45pt;z-index:2516684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" stroked="f">
                <v:textbox>
                  <w:txbxContent>
                    <w:p w14:paraId="2DEE71B1" w14:textId="77777777" w:rsidR="001D41A9" w:rsidRPr="0061277D" w:rsidRDefault="001D41A9" w:rsidP="001D41A9">
                      <w:pPr>
                        <w:rPr>
                          <w:sz w:val="16"/>
                          <w:szCs w:val="16"/>
                        </w:rPr>
                      </w:pPr>
                      <w:r w:rsidRPr="0061277D">
                        <w:rPr>
                          <w:sz w:val="16"/>
                          <w:szCs w:val="16"/>
                        </w:rPr>
                        <w:t>Figure 1: Historic map showing dockland and industrial development along Swansea foreshore</w:t>
                      </w:r>
                    </w:p>
                  </w:txbxContent>
                </v:textbox>
                <w10:wrap type="square" anchorx="margin"/>
              </v:shape>
            </w:pict>
          </mc:Fallback>
        </mc:AlternateContent>
      </w:r>
    </w:p>
    <w:p w14:paraId="73BF2B68" w14:textId="01091032" w:rsidR="003A7324" w:rsidRPr="003A7324" w:rsidRDefault="003A7324" w:rsidP="003A7324">
      <w:r w:rsidRPr="003A7324">
        <w:lastRenderedPageBreak/>
        <w:t>During the late nineteenth and early twentieth centuries, further reclamation along the foreshore created additional development land. This process often produced areas of made ground comprising mixed and variable materials. Such deposits can have inconsistent bearing capacity and may be susceptible to settlement under structural loading (British Geological Survey, 2023).</w:t>
      </w:r>
    </w:p>
    <w:p w14:paraId="07F11B10" w14:textId="4A7D11CB" w:rsidR="003A7324" w:rsidRDefault="003A7324" w:rsidP="003A7324">
      <w:r w:rsidRPr="003A7324">
        <w:t>Following the decline of heavy industry during the twentieth century, parts of the docklands became underused before large-scale regeneration transformed Swansea Marina into a mixed-use residential, leisure and commercial area. Nearby developments, including the Marriott Hotel and Meridian Tower, demonstrate the successful redevelopment of former industrial land (Swansea Council, 2022).</w:t>
      </w:r>
    </w:p>
    <w:p w14:paraId="65290503" w14:textId="1A02652F" w:rsidR="00DD2247" w:rsidRDefault="00FF29E6" w:rsidP="003A7324">
      <w:r>
        <w:rPr>
          <w:noProof/>
        </w:rPr>
        <w:drawing>
          <wp:anchor distT="0" distB="0" distL="114300" distR="114300" simplePos="0" relativeHeight="251671552" behindDoc="0" locked="0" layoutInCell="1" allowOverlap="1" wp14:anchorId="07286762" wp14:editId="62E59B27">
            <wp:simplePos x="0" y="0"/>
            <wp:positionH relativeFrom="column">
              <wp:posOffset>0</wp:posOffset>
            </wp:positionH>
            <wp:positionV relativeFrom="paragraph">
              <wp:posOffset>-2052</wp:posOffset>
            </wp:positionV>
            <wp:extent cx="3709728" cy="2039816"/>
            <wp:effectExtent l="0" t="0" r="5080" b="0"/>
            <wp:wrapSquare wrapText="bothSides"/>
            <wp:docPr id="1502279510" name="Picture 9" descr="Swansea City Mari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wansea City Marin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09728" cy="2039816"/>
                    </a:xfrm>
                    <a:prstGeom prst="rect">
                      <a:avLst/>
                    </a:prstGeom>
                    <a:noFill/>
                    <a:ln>
                      <a:noFill/>
                    </a:ln>
                  </pic:spPr>
                </pic:pic>
              </a:graphicData>
            </a:graphic>
          </wp:anchor>
        </w:drawing>
      </w:r>
    </w:p>
    <w:p w14:paraId="7C128CB6" w14:textId="3B206C84" w:rsidR="00FF29E6" w:rsidRDefault="00FF29E6" w:rsidP="003A7324">
      <w:r>
        <w:rPr>
          <w:noProof/>
        </w:rPr>
        <mc:AlternateContent>
          <mc:Choice Requires="wps">
            <w:drawing>
              <wp:anchor distT="45720" distB="45720" distL="114300" distR="114300" simplePos="0" relativeHeight="251670528" behindDoc="0" locked="0" layoutInCell="1" allowOverlap="1" wp14:anchorId="00F2C849" wp14:editId="78ADF15A">
                <wp:simplePos x="0" y="0"/>
                <wp:positionH relativeFrom="margin">
                  <wp:align>left</wp:align>
                </wp:positionH>
                <wp:positionV relativeFrom="paragraph">
                  <wp:posOffset>9622</wp:posOffset>
                </wp:positionV>
                <wp:extent cx="3534410" cy="386715"/>
                <wp:effectExtent l="0" t="0" r="8890" b="0"/>
                <wp:wrapSquare wrapText="bothSides"/>
                <wp:docPr id="5282495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4410" cy="386715"/>
                        </a:xfrm>
                        <a:prstGeom prst="rect">
                          <a:avLst/>
                        </a:prstGeom>
                        <a:solidFill>
                          <a:srgbClr val="FFFFFF"/>
                        </a:solidFill>
                        <a:ln w="9525">
                          <a:noFill/>
                          <a:miter lim="800000"/>
                          <a:headEnd/>
                          <a:tailEnd/>
                        </a:ln>
                      </wps:spPr>
                      <wps:txbx>
                        <w:txbxContent>
                          <w:p w14:paraId="04809FCB" w14:textId="77777777" w:rsidR="00FF29E6" w:rsidRPr="0061277D" w:rsidRDefault="00FF29E6" w:rsidP="00FF29E6">
                            <w:pPr>
                              <w:rPr>
                                <w:sz w:val="16"/>
                                <w:szCs w:val="16"/>
                              </w:rPr>
                            </w:pPr>
                            <w:r w:rsidRPr="0061277D">
                              <w:rPr>
                                <w:sz w:val="16"/>
                                <w:szCs w:val="16"/>
                              </w:rPr>
                              <w:t>Figure 1: Historic map showing dockland and industrial development along Swansea foreshore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F2C849" id="_x0000_s1029" type="#_x0000_t202" style="position:absolute;margin-left:0;margin-top:.75pt;width:278.3pt;height:30.45pt;z-index:25167052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" stroked="f">
                <v:textbox>
                  <w:txbxContent>
                    <w:p w14:paraId="04809FCB" w14:textId="77777777" w:rsidR="00FF29E6" w:rsidRPr="0061277D" w:rsidRDefault="00FF29E6" w:rsidP="00FF29E6">
                      <w:pPr>
                        <w:rPr>
                          <w:sz w:val="16"/>
                          <w:szCs w:val="16"/>
                        </w:rPr>
                      </w:pPr>
                      <w:r w:rsidRPr="0061277D">
                        <w:rPr>
                          <w:sz w:val="16"/>
                          <w:szCs w:val="16"/>
                        </w:rPr>
                        <w:t>Figure 1: Historic map showing dockland and industrial development along Swansea foreshore</w:t>
                      </w:r>
                    </w:p>
                  </w:txbxContent>
                </v:textbox>
                <w10:wrap type="square" anchorx="margin"/>
              </v:shape>
            </w:pict>
          </mc:Fallback>
        </mc:AlternateContent>
      </w:r>
    </w:p>
    <w:p w14:paraId="7F80FE32" w14:textId="1925B0B5" w:rsidR="00FF29E6" w:rsidRPr="003A7324" w:rsidRDefault="00FF29E6" w:rsidP="003A7324"/>
    <w:p w14:paraId="38975BE2" w14:textId="77777777" w:rsidR="00FF29E6" w:rsidRDefault="00FF29E6" w:rsidP="003A7324"/>
    <w:p w14:paraId="7B9B25C1" w14:textId="77777777" w:rsidR="00FF29E6" w:rsidRDefault="00FF29E6" w:rsidP="003A7324"/>
    <w:p w14:paraId="64EFB8FF" w14:textId="77777777" w:rsidR="00FF29E6" w:rsidRDefault="00FF29E6" w:rsidP="003A7324"/>
    <w:p w14:paraId="19204830" w14:textId="5D516403" w:rsidR="00FF29E6" w:rsidRDefault="00FF29E6" w:rsidP="003A7324">
      <w:r>
        <w:rPr>
          <w:noProof/>
        </w:rPr>
        <mc:AlternateContent>
          <mc:Choice Requires="wps">
            <w:drawing>
              <wp:anchor distT="45720" distB="45720" distL="114300" distR="114300" simplePos="0" relativeHeight="251673600" behindDoc="0" locked="0" layoutInCell="1" allowOverlap="1" wp14:anchorId="515850C1" wp14:editId="1676B40A">
                <wp:simplePos x="0" y="0"/>
                <wp:positionH relativeFrom="margin">
                  <wp:align>left</wp:align>
                </wp:positionH>
                <wp:positionV relativeFrom="paragraph">
                  <wp:posOffset>151276</wp:posOffset>
                </wp:positionV>
                <wp:extent cx="3534410" cy="386715"/>
                <wp:effectExtent l="0" t="0" r="8890" b="0"/>
                <wp:wrapSquare wrapText="bothSides"/>
                <wp:docPr id="18559469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4410" cy="386715"/>
                        </a:xfrm>
                        <a:prstGeom prst="rect">
                          <a:avLst/>
                        </a:prstGeom>
                        <a:solidFill>
                          <a:srgbClr val="FFFFFF"/>
                        </a:solidFill>
                        <a:ln w="9525">
                          <a:noFill/>
                          <a:miter lim="800000"/>
                          <a:headEnd/>
                          <a:tailEnd/>
                        </a:ln>
                      </wps:spPr>
                      <wps:txbx>
                        <w:txbxContent>
                          <w:p w14:paraId="43426134" w14:textId="17D46A47" w:rsidR="00FF29E6" w:rsidRPr="0061277D" w:rsidRDefault="00C704A7" w:rsidP="00FF29E6">
                            <w:pPr>
                              <w:rPr>
                                <w:sz w:val="16"/>
                                <w:szCs w:val="16"/>
                              </w:rPr>
                            </w:pPr>
                            <w:r w:rsidRPr="00C704A7">
                              <w:rPr>
                                <w:sz w:val="16"/>
                                <w:szCs w:val="16"/>
                              </w:rPr>
                              <w:t>Figure 2: Meridian Tower at Swansea Marina, illustrating successful redevelopment of former dockland land and providing a nearby example of construction undertaken within comparable waterfront ground conditions.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5850C1" id="_x0000_s1030" type="#_x0000_t202" style="position:absolute;margin-left:0;margin-top:11.9pt;width:278.3pt;height:30.45pt;z-index:25167360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" stroked="f">
                <v:textbox>
                  <w:txbxContent>
                    <w:p w14:paraId="43426134" w14:textId="17D46A47" w:rsidR="00FF29E6" w:rsidRPr="0061277D" w:rsidRDefault="00C704A7" w:rsidP="00FF29E6">
                      <w:pPr>
                        <w:rPr>
                          <w:sz w:val="16"/>
                          <w:szCs w:val="16"/>
                        </w:rPr>
                      </w:pPr>
                      <w:r w:rsidRPr="00C704A7">
                        <w:rPr>
                          <w:sz w:val="16"/>
                          <w:szCs w:val="16"/>
                        </w:rPr>
                        <w:t>Figure 2: Meridian Tower at Swansea Marina, illustrating successful redevelopment of former dockland land and providing a nearby example of construction undertaken within comparable waterfront ground conditions.</w:t>
                      </w:r>
                    </w:p>
                  </w:txbxContent>
                </v:textbox>
                <w10:wrap type="square" anchorx="margin"/>
              </v:shape>
            </w:pict>
          </mc:Fallback>
        </mc:AlternateContent>
      </w:r>
    </w:p>
    <w:p w14:paraId="5C1F9921" w14:textId="0DF19534" w:rsidR="00FF29E6" w:rsidRDefault="00FF29E6" w:rsidP="003A7324"/>
    <w:p w14:paraId="47A7E60A" w14:textId="3CCB3E3E" w:rsidR="003A7324" w:rsidRDefault="003A7324" w:rsidP="003A7324">
      <w:r w:rsidRPr="003A7324">
        <w:t>Despite regeneration, historic risks may remain beneath the surface. Residual contamination from previous industrial uses, together with shallow groundwater influenced by the coastal setting, may affect excavation works and foundation design. Saline groundwater may also require enhanced concrete specification to resist sulphate or chemical attack (British Standards Institution, 2015).</w:t>
      </w:r>
    </w:p>
    <w:p w14:paraId="1535D6B0" w14:textId="0A653203" w:rsidR="0099450B" w:rsidRPr="003A7324" w:rsidRDefault="00001E01" w:rsidP="003A7324">
      <w:r w:rsidRPr="00001E01">
        <w:t>The scale of nearby regeneration demonstrates that redevelopment of former industrial land in Swansea can be achieved successfully when supported by appropriate investigation and engineering design. However, each site remains unique, and nearby developments should not be assumed to remove the need for a full site-specific assessment.</w:t>
      </w:r>
    </w:p>
    <w:p w14:paraId="3DC2E5B5" w14:textId="0CAB5692" w:rsidR="00F022D1" w:rsidRDefault="003A7324" w:rsidP="00F022D1">
      <w:r w:rsidRPr="003A7324">
        <w:t>Overall, the historical evidence indicates that the site may contain variable made ground, possible contamination and elevated groundwater levels. These are key issues that should be addressed through a detailed site investigation prior to construction.</w:t>
      </w:r>
    </w:p>
    <w:p w14:paraId="1767D7D9" w14:textId="012465FF" w:rsidR="00F022D1" w:rsidRDefault="00F022D1" w:rsidP="00F022D1">
      <w:pPr>
        <w:pStyle w:val="Heading1"/>
        <w:numPr>
          <w:ilvl w:val="0"/>
          <w:numId w:val="1"/>
        </w:numPr>
      </w:pPr>
      <w:bookmarkStart w:id="2" w:name="_Toc228473581"/>
      <w:r>
        <w:lastRenderedPageBreak/>
        <w:t>Site investigation strategy</w:t>
      </w:r>
      <w:bookmarkEnd w:id="2"/>
    </w:p>
    <w:p w14:paraId="347F1D16" w14:textId="2AA7B834" w:rsidR="000D3499" w:rsidRPr="000D3499" w:rsidRDefault="000D3499" w:rsidP="000D3499">
      <w:r w:rsidRPr="000D3499">
        <w:t>Based on the desktop study findings, a targeted site investigation is required to assess the geotechnical and environmental conditions of the site. This is necessary to reduce uncertainty, identify construction risks and inform the safe design of foundations (British Standards Institution, 2015). Due to the site’s industrial history and waterfront location, the investigation should focus on made ground, contamination and groundwater.</w:t>
      </w:r>
    </w:p>
    <w:p w14:paraId="38A12F75" w14:textId="4FEB8322" w:rsidR="00F022D1" w:rsidRDefault="00F022D1" w:rsidP="00F022D1">
      <w:pPr>
        <w:pStyle w:val="Heading2"/>
        <w:numPr>
          <w:ilvl w:val="1"/>
          <w:numId w:val="1"/>
        </w:numPr>
      </w:pPr>
      <w:bookmarkStart w:id="3" w:name="_Toc228473582"/>
      <w:r>
        <w:t>Ground investigation</w:t>
      </w:r>
      <w:bookmarkEnd w:id="3"/>
    </w:p>
    <w:p w14:paraId="6290B76B" w14:textId="77777777" w:rsidR="00F61843" w:rsidRPr="00F61843" w:rsidRDefault="00F61843" w:rsidP="00F61843">
      <w:r w:rsidRPr="00F61843">
        <w:t>An intrusive investigation comprising boreholes and trial pits is recommended across the proposed footprint. Boreholes should extend through any made ground and superficial deposits into competent bearing strata. Trial pits will allow visual inspection of near-surface materials and enable sampling.</w:t>
      </w:r>
    </w:p>
    <w:p w14:paraId="1FB4E07F" w14:textId="7AF2E55B" w:rsidR="00F61843" w:rsidRDefault="00F61843" w:rsidP="00DD3CCB">
      <w:r w:rsidRPr="00F61843">
        <w:t>Given the likelihood of reclaimed land, determining the thickness, composition and consistency of made ground is essential. Standard Penetration Tests (SPTs) and laboratory testing should be undertaken to establish bearing capacity, density and likely settlement characteristics (British Geological Survey, 2023).</w:t>
      </w:r>
    </w:p>
    <w:p w14:paraId="5E1A73B9" w14:textId="7FA746E2" w:rsidR="00DE1963" w:rsidRDefault="00DE1963" w:rsidP="00DD3CCB">
      <w:r>
        <w:rPr>
          <w:noProof/>
        </w:rPr>
        <w:drawing>
          <wp:anchor distT="0" distB="0" distL="114300" distR="114300" simplePos="0" relativeHeight="251678720" behindDoc="0" locked="0" layoutInCell="1" allowOverlap="1" wp14:anchorId="2559DD4E" wp14:editId="008FEDAD">
            <wp:simplePos x="0" y="0"/>
            <wp:positionH relativeFrom="margin">
              <wp:align>left</wp:align>
            </wp:positionH>
            <wp:positionV relativeFrom="paragraph">
              <wp:posOffset>125095</wp:posOffset>
            </wp:positionV>
            <wp:extent cx="3393440" cy="2420620"/>
            <wp:effectExtent l="0" t="0" r="0" b="0"/>
            <wp:wrapSquare wrapText="bothSides"/>
            <wp:docPr id="80023174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231741" name="Picture 80023174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93440" cy="2420620"/>
                    </a:xfrm>
                    <a:prstGeom prst="rect">
                      <a:avLst/>
                    </a:prstGeom>
                  </pic:spPr>
                </pic:pic>
              </a:graphicData>
            </a:graphic>
          </wp:anchor>
        </w:drawing>
      </w:r>
    </w:p>
    <w:p w14:paraId="361286FB" w14:textId="77777777" w:rsidR="00DE1963" w:rsidRDefault="00DE1963" w:rsidP="00DD3CCB"/>
    <w:p w14:paraId="12784C08" w14:textId="77777777" w:rsidR="00DE1963" w:rsidRDefault="00DE1963" w:rsidP="00DD3CCB"/>
    <w:p w14:paraId="05122D4F" w14:textId="77777777" w:rsidR="00DE1963" w:rsidRDefault="00DE1963" w:rsidP="00DD3CCB"/>
    <w:p w14:paraId="13312D6B" w14:textId="77777777" w:rsidR="00DE1963" w:rsidRDefault="00DE1963" w:rsidP="00DD3CCB"/>
    <w:p w14:paraId="29A9DBA1" w14:textId="77777777" w:rsidR="00DE1963" w:rsidRDefault="00DE1963" w:rsidP="00DD3CCB"/>
    <w:p w14:paraId="22A8B10D" w14:textId="77777777" w:rsidR="00DE1963" w:rsidRDefault="00DE1963" w:rsidP="00DD3CCB"/>
    <w:p w14:paraId="49D59DD4" w14:textId="77777777" w:rsidR="00DE1963" w:rsidRDefault="00DE1963" w:rsidP="00DD3CCB"/>
    <w:p w14:paraId="60DE42D7" w14:textId="381DDA58" w:rsidR="00362432" w:rsidRDefault="00DE1963" w:rsidP="00DD3CCB">
      <w:r>
        <w:rPr>
          <w:noProof/>
        </w:rPr>
        <mc:AlternateContent>
          <mc:Choice Requires="wps">
            <w:drawing>
              <wp:anchor distT="45720" distB="45720" distL="114300" distR="114300" simplePos="0" relativeHeight="251675648" behindDoc="0" locked="0" layoutInCell="1" allowOverlap="1" wp14:anchorId="2340614D" wp14:editId="16CB194A">
                <wp:simplePos x="0" y="0"/>
                <wp:positionH relativeFrom="margin">
                  <wp:align>left</wp:align>
                </wp:positionH>
                <wp:positionV relativeFrom="paragraph">
                  <wp:posOffset>95933</wp:posOffset>
                </wp:positionV>
                <wp:extent cx="3053715" cy="527050"/>
                <wp:effectExtent l="0" t="0" r="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3715" cy="527539"/>
                        </a:xfrm>
                        <a:prstGeom prst="rect">
                          <a:avLst/>
                        </a:prstGeom>
                        <a:solidFill>
                          <a:srgbClr val="FFFFFF"/>
                        </a:solidFill>
                        <a:ln w="9525">
                          <a:noFill/>
                          <a:miter lim="800000"/>
                          <a:headEnd/>
                          <a:tailEnd/>
                        </a:ln>
                      </wps:spPr>
                      <wps:txbx>
                        <w:txbxContent>
                          <w:p w14:paraId="4FA64AE6" w14:textId="778F3B72" w:rsidR="006F6E4F" w:rsidRPr="00DE1963" w:rsidRDefault="006F6E4F">
                            <w:pPr>
                              <w:rPr>
                                <w:sz w:val="16"/>
                                <w:szCs w:val="16"/>
                              </w:rPr>
                            </w:pPr>
                            <w:r w:rsidRPr="00DE1963">
                              <w:rPr>
                                <w:sz w:val="16"/>
                                <w:szCs w:val="16"/>
                              </w:rPr>
                              <w:t>Figure 3: Indicative site investigation layout showing proposed boreholes, trial pits and groundwater monitoring positions across the development site.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40614D" id="_x0000_s1031" type="#_x0000_t202" style="position:absolute;margin-left:0;margin-top:7.55pt;width:240.45pt;height:41.5pt;z-index:25167564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" stroked="f">
                <v:textbox>
                  <w:txbxContent>
                    <w:p w14:paraId="4FA64AE6" w14:textId="778F3B72" w:rsidR="006F6E4F" w:rsidRPr="00DE1963" w:rsidRDefault="006F6E4F">
                      <w:pPr>
                        <w:rPr>
                          <w:sz w:val="16"/>
                          <w:szCs w:val="16"/>
                        </w:rPr>
                      </w:pPr>
                      <w:r w:rsidRPr="00DE1963">
                        <w:rPr>
                          <w:sz w:val="16"/>
                          <w:szCs w:val="16"/>
                        </w:rPr>
                        <w:t>Figure 3: Indicative site investigation layout showing proposed boreholes, trial pits and groundwater monitoring positions across the development site.</w:t>
                      </w:r>
                    </w:p>
                  </w:txbxContent>
                </v:textbox>
                <w10:wrap type="square" anchorx="margin"/>
              </v:shape>
            </w:pict>
          </mc:Fallback>
        </mc:AlternateContent>
      </w:r>
    </w:p>
    <w:p w14:paraId="0D11EBA3" w14:textId="77777777" w:rsidR="00D90EC3" w:rsidRDefault="00D90EC3" w:rsidP="00DD3CCB"/>
    <w:p w14:paraId="7970C7F7" w14:textId="77777777" w:rsidR="00DE1963" w:rsidRDefault="00DE1963" w:rsidP="00DD3CCB"/>
    <w:p w14:paraId="45DF22FA" w14:textId="401AF777" w:rsidR="00F022D1" w:rsidRDefault="00F022D1" w:rsidP="00F022D1">
      <w:pPr>
        <w:pStyle w:val="Heading2"/>
        <w:numPr>
          <w:ilvl w:val="1"/>
          <w:numId w:val="1"/>
        </w:numPr>
      </w:pPr>
      <w:bookmarkStart w:id="4" w:name="_Toc228473583"/>
      <w:r>
        <w:t>Contamination assessment</w:t>
      </w:r>
      <w:bookmarkEnd w:id="4"/>
    </w:p>
    <w:p w14:paraId="3AEEADBA" w14:textId="77777777" w:rsidR="00DD3CCB" w:rsidRPr="00DD3CCB" w:rsidRDefault="00DD3CCB" w:rsidP="00DD3CCB">
      <w:r w:rsidRPr="00DD3CCB">
        <w:t>Due to the historic industrial use of the surrounding docklands, soil and groundwater testing should be undertaken for contaminants such as hydrocarbons, heavy metals and other industrial residues. These materials may present risks to construction workers, future occupants and controlled waters (Environment Agency, 2019).</w:t>
      </w:r>
    </w:p>
    <w:p w14:paraId="69EE085D" w14:textId="68FA817C" w:rsidR="00DD3CCB" w:rsidRDefault="00DD3CCB" w:rsidP="00DD3CCB">
      <w:r w:rsidRPr="00DD3CCB">
        <w:lastRenderedPageBreak/>
        <w:t>If contaminants are identified, remediation measures such as excavation, encapsulation or treatment may be required before development proceeds.</w:t>
      </w:r>
    </w:p>
    <w:p w14:paraId="1B47D251" w14:textId="74683475" w:rsidR="00F022D1" w:rsidRDefault="00F022D1" w:rsidP="00F022D1">
      <w:pPr>
        <w:pStyle w:val="Heading2"/>
        <w:numPr>
          <w:ilvl w:val="1"/>
          <w:numId w:val="1"/>
        </w:numPr>
      </w:pPr>
      <w:bookmarkStart w:id="5" w:name="_Toc228473584"/>
      <w:r>
        <w:t>Groundwater conditions</w:t>
      </w:r>
      <w:bookmarkEnd w:id="5"/>
    </w:p>
    <w:p w14:paraId="6BCF3B08" w14:textId="77777777" w:rsidR="00787A4E" w:rsidRPr="00787A4E" w:rsidRDefault="00787A4E" w:rsidP="00787A4E">
      <w:r w:rsidRPr="00787A4E">
        <w:t>As the site is located on the foreshore, groundwater levels are likely to be shallow and potentially influenced by tidal movement. Monitoring wells or standpipes should therefore be installed to record groundwater fluctuations over time.</w:t>
      </w:r>
    </w:p>
    <w:p w14:paraId="3E7DC241" w14:textId="39E079DA" w:rsidR="00DD3CCB" w:rsidRPr="00F022D1" w:rsidRDefault="00787A4E" w:rsidP="00787A4E">
      <w:r w:rsidRPr="00787A4E">
        <w:t>High groundwater can affect excavation stability, increase dewatering requirements and influence foundation design. Chemical testing should also be completed to determine sulphate or saline conditions that may affect buried concrete (British Standards Institution, 2015).</w:t>
      </w:r>
    </w:p>
    <w:p w14:paraId="51B217DB" w14:textId="50A55355" w:rsidR="00F022D1" w:rsidRDefault="00F022D1" w:rsidP="00F022D1">
      <w:pPr>
        <w:pStyle w:val="Heading2"/>
        <w:numPr>
          <w:ilvl w:val="1"/>
          <w:numId w:val="1"/>
        </w:numPr>
      </w:pPr>
      <w:bookmarkStart w:id="6" w:name="_Toc228473585"/>
      <w:r>
        <w:t>Geotechnical testing</w:t>
      </w:r>
      <w:bookmarkEnd w:id="6"/>
    </w:p>
    <w:p w14:paraId="6A337564" w14:textId="77777777" w:rsidR="00106F4A" w:rsidRPr="00106F4A" w:rsidRDefault="00106F4A" w:rsidP="00106F4A">
      <w:r w:rsidRPr="00106F4A">
        <w:t>Laboratory testing should include moisture content, particle size distribution, shear strength and consolidation testing. These results will help determine settlement risk, soil strength and overall ground behaviour under loading.</w:t>
      </w:r>
    </w:p>
    <w:p w14:paraId="17307B8B" w14:textId="1CBA97BB" w:rsidR="00106F4A" w:rsidRPr="00F022D1" w:rsidRDefault="00106F4A" w:rsidP="00D90EC3">
      <w:r w:rsidRPr="00106F4A">
        <w:t>Reliable geotechnical data is essential for selecting an economical and safe foundation system, particularly where variable made ground is anticipated (Craig, 2012).</w:t>
      </w:r>
    </w:p>
    <w:p w14:paraId="0C31D481" w14:textId="0BC4833B" w:rsidR="00F022D1" w:rsidRDefault="00F022D1" w:rsidP="00F022D1">
      <w:pPr>
        <w:pStyle w:val="Heading2"/>
        <w:numPr>
          <w:ilvl w:val="1"/>
          <w:numId w:val="1"/>
        </w:numPr>
      </w:pPr>
      <w:bookmarkStart w:id="7" w:name="_Toc228473586"/>
      <w:r>
        <w:t>Risk significant elements</w:t>
      </w:r>
      <w:bookmarkEnd w:id="7"/>
    </w:p>
    <w:p w14:paraId="75DD2AC2" w14:textId="77777777" w:rsidR="00675C20" w:rsidRDefault="00675C20" w:rsidP="00307BDD">
      <w:r w:rsidRPr="00307BDD">
        <w:t>The most significant risk is the presence of variable made ground, which may have low bearing capacity and cause differential settlement beneath the proposed structure. This is particularly important given the size of the building and likely concentrated loads.</w:t>
      </w:r>
    </w:p>
    <w:p w14:paraId="5DA828E1" w14:textId="58C0E2C7" w:rsidR="003475B7" w:rsidRPr="00307BDD" w:rsidRDefault="003475B7" w:rsidP="00307BDD">
      <w:r w:rsidRPr="003475B7">
        <w:t>In addition, former dockland sites can contain buried obstructions such as old foundations, redundant services, quay wall remnants or undocumented drainage runs. If encountered during construction, these may delay piling operations, increase excavation costs and require redesign of local foundation elements. Early intrusive investigation will help identify such constraints before works commence.</w:t>
      </w:r>
    </w:p>
    <w:p w14:paraId="40BE4D90" w14:textId="77777777" w:rsidR="00675C20" w:rsidRPr="00307BDD" w:rsidRDefault="00675C20" w:rsidP="00307BDD">
      <w:r w:rsidRPr="00307BDD">
        <w:t>A second major risk is residual contamination arising from previous industrial activity. This may delay works, increase costs and require specialist disposal or remediation.</w:t>
      </w:r>
    </w:p>
    <w:p w14:paraId="5FB2552B" w14:textId="77777777" w:rsidR="00675C20" w:rsidRPr="00307BDD" w:rsidRDefault="00675C20" w:rsidP="00307BDD">
      <w:r w:rsidRPr="00307BDD">
        <w:t>Groundwater is also a significant consideration due to potential flooding of excavations, instability of open trenches and long-term durability risks to below-ground concrete.</w:t>
      </w:r>
    </w:p>
    <w:p w14:paraId="09C8E379" w14:textId="70DB6192" w:rsidR="00F022D1" w:rsidRDefault="00675C20" w:rsidP="00047F09">
      <w:r w:rsidRPr="00307BDD">
        <w:t>These issues should be prioritised during the detailed site investigation to ensure the development can proceed safely and efficiently.</w:t>
      </w:r>
    </w:p>
    <w:p w14:paraId="627FBB2A" w14:textId="03BA823B" w:rsidR="00F022D1" w:rsidRDefault="00F022D1" w:rsidP="00F022D1">
      <w:pPr>
        <w:pStyle w:val="Heading1"/>
        <w:numPr>
          <w:ilvl w:val="0"/>
          <w:numId w:val="1"/>
        </w:numPr>
      </w:pPr>
      <w:bookmarkStart w:id="8" w:name="_Toc228473587"/>
      <w:r>
        <w:lastRenderedPageBreak/>
        <w:t>Regulations and authorities</w:t>
      </w:r>
      <w:bookmarkEnd w:id="8"/>
    </w:p>
    <w:p w14:paraId="465293E6" w14:textId="77777777" w:rsidR="00011F78" w:rsidRPr="00011F78" w:rsidRDefault="00011F78" w:rsidP="0084049D">
      <w:r w:rsidRPr="00011F78">
        <w:t>The proposed site investigation and foundation design should be undertaken in accordance with relevant legislation, Building Regulations and recognised industry standards. Compliance with these documents will help ensure that the development is structurally safe, environmentally responsible and suitable for its intended use.</w:t>
      </w:r>
    </w:p>
    <w:p w14:paraId="6900C248" w14:textId="77777777" w:rsidR="00011F78" w:rsidRPr="00011F78" w:rsidRDefault="00011F78" w:rsidP="0084049D">
      <w:r w:rsidRPr="00011F78">
        <w:t xml:space="preserve">A key statutory requirement is </w:t>
      </w:r>
      <w:r w:rsidRPr="00EF5572">
        <w:t>Approved Document A of</w:t>
      </w:r>
      <w:r w:rsidRPr="00011F78">
        <w:t xml:space="preserve"> the Building Regulations, which relates to structural safety. This requires buildings to safely transfer imposed loads to the ground without excessive movement, settlement or instability (HM Government, 2013). As such, adequate ground investigation is essential before foundation design is finalised.</w:t>
      </w:r>
    </w:p>
    <w:p w14:paraId="5D2A3B4A" w14:textId="77777777" w:rsidR="00011F78" w:rsidRPr="00011F78" w:rsidRDefault="00011F78" w:rsidP="0084049D">
      <w:r w:rsidRPr="00011F78">
        <w:t xml:space="preserve">Ground investigation works should also </w:t>
      </w:r>
      <w:r w:rsidRPr="00EF5572">
        <w:t>follow BS 5930:2015 Code of Practice for Ground Investigations, published by the British Standards Institution. This standard provides guidance on planning, supervising and reporting site investigations. In addition, geotechnical design should comply with Eurocode 7 (BS EN 1997), which sets out principles for the safe design of foundations and earth-retaining</w:t>
      </w:r>
      <w:r w:rsidRPr="00011F78">
        <w:t xml:space="preserve"> structures (British Standards Institution, 2015).</w:t>
      </w:r>
    </w:p>
    <w:p w14:paraId="38317EBE" w14:textId="77777777" w:rsidR="00011F78" w:rsidRPr="00011F78" w:rsidRDefault="00011F78" w:rsidP="0084049D">
      <w:r w:rsidRPr="00011F78">
        <w:t>Environmental matters, particularly land contamination and groundwater protection, should be considered in accordance with current guidance issued by the Environment Agency and Natural Resources Wales. This is particularly relevant given the industrial history and waterfront setting of the site.</w:t>
      </w:r>
    </w:p>
    <w:p w14:paraId="5DD81856" w14:textId="77777777" w:rsidR="00011F78" w:rsidRPr="00011F78" w:rsidRDefault="00011F78" w:rsidP="0084049D">
      <w:r w:rsidRPr="00011F78">
        <w:t>At a local level, consultation should be undertaken with the City and County of Swansea, which is responsible for planning control and building regulation enforcement within the area. Planning approval, drainage matters and local policy compliance are likely to be required before development can proceed.</w:t>
      </w:r>
    </w:p>
    <w:p w14:paraId="462A88DD" w14:textId="77777777" w:rsidR="00011F78" w:rsidRPr="00011F78" w:rsidRDefault="00011F78" w:rsidP="0084049D">
      <w:r w:rsidRPr="00011F78">
        <w:t>Relevant contacts include:</w:t>
      </w:r>
    </w:p>
    <w:p w14:paraId="68D15628" w14:textId="77777777" w:rsidR="00011F78" w:rsidRPr="00011F78" w:rsidRDefault="00011F78" w:rsidP="0084049D">
      <w:r w:rsidRPr="00011F78">
        <w:t>City and County of Swansea</w:t>
      </w:r>
      <w:r w:rsidRPr="00011F78">
        <w:br/>
        <w:t>Website: Swansea.gov.uk</w:t>
      </w:r>
      <w:r w:rsidRPr="00011F78">
        <w:br/>
        <w:t xml:space="preserve">Tel: 01792 636000 </w:t>
      </w:r>
    </w:p>
    <w:p w14:paraId="41E32E7F" w14:textId="77777777" w:rsidR="00011F78" w:rsidRPr="00011F78" w:rsidRDefault="00011F78" w:rsidP="0084049D">
      <w:r w:rsidRPr="00011F78">
        <w:t>Natural Resources Wales</w:t>
      </w:r>
      <w:r w:rsidRPr="00011F78">
        <w:br/>
        <w:t xml:space="preserve">Website: </w:t>
      </w:r>
      <w:proofErr w:type="spellStart"/>
      <w:proofErr w:type="gramStart"/>
      <w:r w:rsidRPr="00011F78">
        <w:t>naturalresources.wales</w:t>
      </w:r>
      <w:proofErr w:type="spellEnd"/>
      <w:proofErr w:type="gramEnd"/>
      <w:r w:rsidRPr="00011F78">
        <w:br/>
        <w:t xml:space="preserve">Tel: 0300 065 3000 </w:t>
      </w:r>
    </w:p>
    <w:p w14:paraId="437BA28A" w14:textId="77777777" w:rsidR="00011F78" w:rsidRPr="00011F78" w:rsidRDefault="00011F78" w:rsidP="0084049D">
      <w:r w:rsidRPr="00011F78">
        <w:t>Environment Agency</w:t>
      </w:r>
      <w:r w:rsidRPr="00011F78">
        <w:br/>
        <w:t xml:space="preserve">Website: gov.uk/environment-agency </w:t>
      </w:r>
    </w:p>
    <w:p w14:paraId="617F71F6" w14:textId="3314A50B" w:rsidR="00011F78" w:rsidRDefault="00011F78" w:rsidP="0084049D">
      <w:r w:rsidRPr="00011F78">
        <w:t>By following these requirements and engaging with the relevant authorities at an early stage, project risks can be reduced and approvals progressed more efficiently.</w:t>
      </w:r>
    </w:p>
    <w:p w14:paraId="4D4207A1" w14:textId="374AFE5D" w:rsidR="00F022D1" w:rsidRDefault="00F022D1" w:rsidP="00F022D1">
      <w:pPr>
        <w:pStyle w:val="Heading1"/>
        <w:numPr>
          <w:ilvl w:val="0"/>
          <w:numId w:val="1"/>
        </w:numPr>
      </w:pPr>
      <w:bookmarkStart w:id="9" w:name="_Toc228473588"/>
      <w:r>
        <w:lastRenderedPageBreak/>
        <w:t>Foundation recommendation</w:t>
      </w:r>
      <w:bookmarkEnd w:id="9"/>
    </w:p>
    <w:p w14:paraId="7806C834" w14:textId="77777777" w:rsidR="00A04F5F" w:rsidRPr="00A04F5F" w:rsidRDefault="00A04F5F" w:rsidP="00A04F5F">
      <w:r w:rsidRPr="00A04F5F">
        <w:t>Based on the historical desktop study and anticipated ground conditions, a piled foundation system is considered the most suitable solution for the proposed Swansea foreshore development. The site is likely to contain variable made ground associated with historical reclamation and former dockland use. Such materials are often unsuitable for shallow foundations due to inconsistent bearing capacity and an increased risk of differential settlement (Craig, 2012).</w:t>
      </w:r>
    </w:p>
    <w:p w14:paraId="373B6395" w14:textId="77777777" w:rsidR="00A04F5F" w:rsidRPr="00A04F5F" w:rsidRDefault="00A04F5F" w:rsidP="00A04F5F">
      <w:r w:rsidRPr="00A04F5F">
        <w:t>Piled foundations transfer structural loads through weaker near-surface soils into deeper, more competent strata. This makes them particularly appropriate for waterfront or reclaimed sites where superficial deposits may be compressible or unreliable. Given the proposed scale of the building, including commercial ground floor use and upper-floor accommodation, a robust foundation solution is required to control movement and maintain long-term structural performance.</w:t>
      </w:r>
    </w:p>
    <w:p w14:paraId="7C682C28" w14:textId="4E2D5B43" w:rsidR="00A04F5F" w:rsidRDefault="00A04F5F" w:rsidP="00A04F5F">
      <w:r w:rsidRPr="00A04F5F">
        <w:t>Continuous Flight Auger (CFA) piles are considered a suitable option for this site. CFA piles generate lower levels of noise and vibration than driven piles, making them advantageous where construction is taking place close to existing buildings such as County Hall and the Marriott Hotel. They can also be installed efficiently in a range of ground conditions.</w:t>
      </w:r>
    </w:p>
    <w:p w14:paraId="09C8918E" w14:textId="3D13011E" w:rsidR="0031539E" w:rsidRDefault="00E12667" w:rsidP="00A04F5F">
      <w:r>
        <w:rPr>
          <w:noProof/>
        </w:rPr>
        <mc:AlternateContent>
          <mc:Choice Requires="wps">
            <w:drawing>
              <wp:anchor distT="45720" distB="45720" distL="114300" distR="114300" simplePos="0" relativeHeight="251677696" behindDoc="0" locked="0" layoutInCell="1" allowOverlap="1" wp14:anchorId="4904D969" wp14:editId="35E57C16">
                <wp:simplePos x="0" y="0"/>
                <wp:positionH relativeFrom="column">
                  <wp:posOffset>2035517</wp:posOffset>
                </wp:positionH>
                <wp:positionV relativeFrom="paragraph">
                  <wp:posOffset>1782592</wp:posOffset>
                </wp:positionV>
                <wp:extent cx="2360930" cy="1404620"/>
                <wp:effectExtent l="0" t="0" r="0" b="0"/>
                <wp:wrapSquare wrapText="bothSides"/>
                <wp:docPr id="9415460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096BFF55" w14:textId="278EE35A" w:rsidR="007B4287" w:rsidRPr="00E12667" w:rsidRDefault="00E12667">
                            <w:pPr>
                              <w:rPr>
                                <w:sz w:val="16"/>
                                <w:szCs w:val="16"/>
                              </w:rPr>
                            </w:pPr>
                            <w:r w:rsidRPr="00E12667">
                              <w:rPr>
                                <w:sz w:val="16"/>
                                <w:szCs w:val="16"/>
                              </w:rPr>
                              <w:t>Figure 4: Typical Continuous Flight Auger (CFA) piled foundation system suitable for weak ground and high groundwater conditions (adapted from Keller Group, 2026).</w:t>
                            </w:r>
                          </w:p>
                          <w:p w14:paraId="7756B3D1" w14:textId="2EA58289" w:rsidR="005C7146" w:rsidRDefault="005C7146"/>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904D969" id="_x0000_s1032" type="#_x0000_t202" style="position:absolute;margin-left:160.3pt;margin-top:140.35pt;width:185.9pt;height:110.6pt;z-index:25167769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edEBEwIAAP4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" stroked="f">
                <v:textbox style="mso-fit-shape-to-text:t">
                  <w:txbxContent>
                    <w:p w14:paraId="096BFF55" w14:textId="278EE35A" w:rsidR="007B4287" w:rsidRPr="00E12667" w:rsidRDefault="00E12667">
                      <w:pPr>
                        <w:rPr>
                          <w:sz w:val="16"/>
                          <w:szCs w:val="16"/>
                        </w:rPr>
                      </w:pPr>
                      <w:r w:rsidRPr="00E12667">
                        <w:rPr>
                          <w:sz w:val="16"/>
                          <w:szCs w:val="16"/>
                        </w:rPr>
                        <w:t>Figure 4: Typical Continuous Flight Auger (CFA) piled foundation system suitable for weak ground and high groundwater conditions (adapted from Keller Group, 2026).</w:t>
                      </w:r>
                    </w:p>
                    <w:p w14:paraId="7756B3D1" w14:textId="2EA58289" w:rsidR="005C7146" w:rsidRDefault="005C7146"/>
                  </w:txbxContent>
                </v:textbox>
                <w10:wrap type="square"/>
              </v:shape>
            </w:pict>
          </mc:Fallback>
        </mc:AlternateContent>
      </w:r>
      <w:r w:rsidR="0031539E">
        <w:rPr>
          <w:noProof/>
        </w:rPr>
        <w:drawing>
          <wp:inline distT="0" distB="0" distL="0" distR="0" wp14:anchorId="2EF2157A" wp14:editId="3DBA766B">
            <wp:extent cx="1828800" cy="2436675"/>
            <wp:effectExtent l="0" t="0" r="0" b="1905"/>
            <wp:docPr id="1047647044" name="Picture 10" descr="Bohrpfähle CFA | Keller Grundbau Gmb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Bohrpfähle CFA | Keller Grundbau GmbH"/>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31075" cy="2439707"/>
                    </a:xfrm>
                    <a:prstGeom prst="rect">
                      <a:avLst/>
                    </a:prstGeom>
                    <a:noFill/>
                    <a:ln>
                      <a:noFill/>
                    </a:ln>
                  </pic:spPr>
                </pic:pic>
              </a:graphicData>
            </a:graphic>
          </wp:inline>
        </w:drawing>
      </w:r>
    </w:p>
    <w:p w14:paraId="4526ADCB" w14:textId="77777777" w:rsidR="007B4287" w:rsidRDefault="007B4287" w:rsidP="00A04F5F"/>
    <w:p w14:paraId="47D1B4B5" w14:textId="77777777" w:rsidR="00E12667" w:rsidRDefault="00E12667" w:rsidP="00A04F5F"/>
    <w:p w14:paraId="23E5A456" w14:textId="530E7006" w:rsidR="009E42DB" w:rsidRPr="00A04F5F" w:rsidRDefault="009E42DB" w:rsidP="00A04F5F">
      <w:r w:rsidRPr="009E42DB">
        <w:t>Although piled foundations may involve higher initial installation costs than shallow foundations, they often provide better long-term value on difficult ground by reducing the risk of settlement-related defects, remedial works and programme delays. For a commercial development</w:t>
      </w:r>
      <w:r w:rsidR="00E12667">
        <w:t>,</w:t>
      </w:r>
      <w:r w:rsidRPr="009E42DB">
        <w:t xml:space="preserve"> where operational disruption could be costly, foundation reliability is an important consideration.</w:t>
      </w:r>
    </w:p>
    <w:p w14:paraId="4373035A" w14:textId="7D86E109" w:rsidR="00A04F5F" w:rsidRPr="00A04F5F" w:rsidRDefault="00A04F5F" w:rsidP="00A04F5F">
      <w:r w:rsidRPr="00A04F5F">
        <w:lastRenderedPageBreak/>
        <w:t>The site’s coastal location also suggests that groundwater levels may be shallow and influenced by tidal conditions. Piled foundations are beneficial in these circumstances as they reduce the extent of deep open excavations compared with some shallow foundation methods. Concrete used below ground should be specified to resist sulphate or saline attack where identified</w:t>
      </w:r>
      <w:r w:rsidR="00A32D67">
        <w:t>,</w:t>
      </w:r>
      <w:r w:rsidRPr="00A04F5F">
        <w:t xml:space="preserve"> during site investigation (British Standards Institution, 2015).</w:t>
      </w:r>
    </w:p>
    <w:p w14:paraId="2E54613F" w14:textId="77777777" w:rsidR="00A04F5F" w:rsidRPr="00A04F5F" w:rsidRDefault="00A04F5F" w:rsidP="00A04F5F">
      <w:r w:rsidRPr="00A04F5F">
        <w:t>Alternative solutions such as strip foundations or pad foundations are not considered ideal due to the probable variability of made ground. Raft foundations could be considered if substantial ground improvement was undertaken; however, this may increase cost and construction complexity.</w:t>
      </w:r>
    </w:p>
    <w:p w14:paraId="370BFF93" w14:textId="735B20EF" w:rsidR="00F022D1" w:rsidRDefault="00A04F5F" w:rsidP="00F022D1">
      <w:r w:rsidRPr="00A04F5F">
        <w:t>Overall, a piled foundation system is considered the most reliable and practical option for the proposed development, as it addresses the key risks of weak made ground, settlement and groundwater while providing suitable support for the scale of the structure.</w:t>
      </w:r>
    </w:p>
    <w:p w14:paraId="3542B950" w14:textId="0AFE1E51" w:rsidR="00F022D1" w:rsidRDefault="00F022D1" w:rsidP="00F022D1">
      <w:pPr>
        <w:pStyle w:val="Heading1"/>
        <w:numPr>
          <w:ilvl w:val="0"/>
          <w:numId w:val="1"/>
        </w:numPr>
      </w:pPr>
      <w:bookmarkStart w:id="10" w:name="_Toc228473589"/>
      <w:r>
        <w:t>Conclusion</w:t>
      </w:r>
      <w:bookmarkEnd w:id="10"/>
    </w:p>
    <w:p w14:paraId="38E5ED0D" w14:textId="77777777" w:rsidR="00E14BDB" w:rsidRPr="00E14BDB" w:rsidRDefault="00E14BDB" w:rsidP="0082234A">
      <w:r w:rsidRPr="00E14BDB">
        <w:t>This report has undertaken a preliminary site investigation study for the proposed mixed-use development on Swansea foreshore. The desktop study identified a significant industrial and maritime history, indicating the likely presence of made ground, potential contamination and shallow groundwater conditions.</w:t>
      </w:r>
    </w:p>
    <w:p w14:paraId="67C3D7EC" w14:textId="77777777" w:rsidR="00E14BDB" w:rsidRPr="00E14BDB" w:rsidRDefault="00E14BDB" w:rsidP="0082234A">
      <w:r w:rsidRPr="00E14BDB">
        <w:t>To address these risks, a detailed site investigation has been recommended including intrusive ground investigation, contamination testing, groundwater monitoring and geotechnical analysis. These works are necessary to reduce uncertainty and provide reliable data for safe design and construction.</w:t>
      </w:r>
    </w:p>
    <w:p w14:paraId="5F3F6E85" w14:textId="77777777" w:rsidR="00E14BDB" w:rsidRPr="00E14BDB" w:rsidRDefault="00E14BDB" w:rsidP="0082234A">
      <w:r w:rsidRPr="00E14BDB">
        <w:t>Relevant Building Regulations, British Standards and consultation with statutory bodies such as the City and County of Swansea and Natural Resources Wales should also form part of the development process.</w:t>
      </w:r>
    </w:p>
    <w:p w14:paraId="1F7FD2D7" w14:textId="77777777" w:rsidR="00E14BDB" w:rsidRPr="00E14BDB" w:rsidRDefault="00E14BDB" w:rsidP="0082234A">
      <w:r w:rsidRPr="00E14BDB">
        <w:t>Based on the likely site conditions and proposed building loads, a piled foundation system is considered the most suitable solution. This approach would provide reliable support by transferring loads to competent strata while reducing settlement risk.</w:t>
      </w:r>
    </w:p>
    <w:p w14:paraId="05C83283" w14:textId="77777777" w:rsidR="00E14BDB" w:rsidRPr="00E14BDB" w:rsidRDefault="00E14BDB" w:rsidP="0082234A">
      <w:r w:rsidRPr="00E14BDB">
        <w:t>Overall, although the site presents typical challenges associated with reclaimed waterfront land, these can be effectively managed through appropriate investigation, design and early coordination with relevant authorities.</w:t>
      </w:r>
    </w:p>
    <w:p w14:paraId="7C337585" w14:textId="77777777" w:rsidR="00E14BDB" w:rsidRPr="00F022D1" w:rsidRDefault="00E14BDB" w:rsidP="00F022D1"/>
    <w:p w14:paraId="0DD274DB" w14:textId="77777777" w:rsidR="00F022D1" w:rsidRPr="00F022D1" w:rsidRDefault="00F022D1" w:rsidP="00F022D1"/>
    <w:p w14:paraId="3F28C6FF" w14:textId="77777777" w:rsidR="00F022D1" w:rsidRPr="00F022D1" w:rsidRDefault="00F022D1" w:rsidP="00F022D1"/>
    <w:p w14:paraId="003F59A5" w14:textId="3032971A" w:rsidR="008C4746" w:rsidRDefault="008C4746" w:rsidP="008A2D98">
      <w:pPr>
        <w:pStyle w:val="Heading1"/>
      </w:pPr>
      <w:bookmarkStart w:id="11" w:name="_Toc228473590"/>
      <w:r>
        <w:lastRenderedPageBreak/>
        <w:t>Reference</w:t>
      </w:r>
      <w:r w:rsidR="008A2D98">
        <w:t xml:space="preserve"> List</w:t>
      </w:r>
      <w:bookmarkEnd w:id="11"/>
    </w:p>
    <w:p w14:paraId="591FBB0F" w14:textId="77777777" w:rsidR="00321D10" w:rsidRPr="00321D10" w:rsidRDefault="00321D10" w:rsidP="00321D10">
      <w:r w:rsidRPr="00321D10">
        <w:t xml:space="preserve">British Geological Survey (2023) </w:t>
      </w:r>
      <w:proofErr w:type="spellStart"/>
      <w:r w:rsidRPr="00321D10">
        <w:rPr>
          <w:i/>
          <w:iCs/>
        </w:rPr>
        <w:t>GeoIndex</w:t>
      </w:r>
      <w:proofErr w:type="spellEnd"/>
      <w:r w:rsidRPr="00321D10">
        <w:rPr>
          <w:i/>
          <w:iCs/>
        </w:rPr>
        <w:t xml:space="preserve"> Onshore</w:t>
      </w:r>
      <w:r w:rsidRPr="00321D10">
        <w:t xml:space="preserve">. Available at: </w:t>
      </w:r>
      <w:hyperlink r:id="rId12" w:tgtFrame="_new" w:history="1">
        <w:r w:rsidRPr="00321D10">
          <w:rPr>
            <w:rStyle w:val="Hyperlink"/>
          </w:rPr>
          <w:t>https://www.bgs.ac.uk/map-viewers/geoindex-onshore/</w:t>
        </w:r>
      </w:hyperlink>
      <w:r w:rsidRPr="00321D10">
        <w:t xml:space="preserve"> (Accessed: 25 April 2026).</w:t>
      </w:r>
    </w:p>
    <w:p w14:paraId="31582656" w14:textId="77777777" w:rsidR="00321D10" w:rsidRPr="00321D10" w:rsidRDefault="00321D10" w:rsidP="00321D10">
      <w:r w:rsidRPr="00321D10">
        <w:t xml:space="preserve">British Standards Institution (2015) </w:t>
      </w:r>
      <w:r w:rsidRPr="00321D10">
        <w:rPr>
          <w:i/>
          <w:iCs/>
        </w:rPr>
        <w:t>BS 5930:2015 Code of practice for ground investigations</w:t>
      </w:r>
      <w:r w:rsidRPr="00321D10">
        <w:t>. London: BSI.</w:t>
      </w:r>
    </w:p>
    <w:p w14:paraId="1DC37CB3" w14:textId="77777777" w:rsidR="00321D10" w:rsidRPr="00321D10" w:rsidRDefault="00321D10" w:rsidP="00321D10">
      <w:r w:rsidRPr="00321D10">
        <w:t xml:space="preserve">British Standards Institution (2004+A1:2013) </w:t>
      </w:r>
      <w:r w:rsidRPr="00321D10">
        <w:rPr>
          <w:i/>
          <w:iCs/>
        </w:rPr>
        <w:t>BS EN 1997-1 Eurocode 7: Geotechnical design – General rules</w:t>
      </w:r>
      <w:r w:rsidRPr="00321D10">
        <w:t>. London: BSI.</w:t>
      </w:r>
    </w:p>
    <w:p w14:paraId="6F938F21" w14:textId="77777777" w:rsidR="00321D10" w:rsidRPr="00321D10" w:rsidRDefault="00321D10" w:rsidP="00321D10">
      <w:r w:rsidRPr="00321D10">
        <w:t xml:space="preserve">Craig, R.F. (2012) </w:t>
      </w:r>
      <w:r w:rsidRPr="00321D10">
        <w:rPr>
          <w:i/>
          <w:iCs/>
        </w:rPr>
        <w:t>Craig’s Soil Mechanics</w:t>
      </w:r>
      <w:r w:rsidRPr="00321D10">
        <w:t xml:space="preserve">. 8th </w:t>
      </w:r>
      <w:proofErr w:type="spellStart"/>
      <w:r w:rsidRPr="00321D10">
        <w:t>edn</w:t>
      </w:r>
      <w:proofErr w:type="spellEnd"/>
      <w:r w:rsidRPr="00321D10">
        <w:t>. London: Spon Press.</w:t>
      </w:r>
    </w:p>
    <w:p w14:paraId="0AE6D65C" w14:textId="77777777" w:rsidR="00321D10" w:rsidRPr="00321D10" w:rsidRDefault="00321D10" w:rsidP="00321D10">
      <w:r w:rsidRPr="00321D10">
        <w:t xml:space="preserve">Environment Agency (2019) </w:t>
      </w:r>
      <w:r w:rsidRPr="00321D10">
        <w:rPr>
          <w:i/>
          <w:iCs/>
        </w:rPr>
        <w:t>Land contamination risk management (LCRM)</w:t>
      </w:r>
      <w:r w:rsidRPr="00321D10">
        <w:t xml:space="preserve">. Available at: </w:t>
      </w:r>
      <w:hyperlink r:id="rId13" w:tgtFrame="_new" w:history="1">
        <w:r w:rsidRPr="00321D10">
          <w:rPr>
            <w:rStyle w:val="Hyperlink"/>
          </w:rPr>
          <w:t>https://www.gov.uk/government/publications/land-contamination-risk-management-lcrm</w:t>
        </w:r>
      </w:hyperlink>
      <w:r w:rsidRPr="00321D10">
        <w:t xml:space="preserve"> (Accessed: 25 April 2026).</w:t>
      </w:r>
    </w:p>
    <w:p w14:paraId="54BA3427" w14:textId="77777777" w:rsidR="00321D10" w:rsidRPr="00321D10" w:rsidRDefault="00321D10" w:rsidP="00321D10">
      <w:r w:rsidRPr="00321D10">
        <w:t xml:space="preserve">HM Government (2013) </w:t>
      </w:r>
      <w:r w:rsidRPr="00321D10">
        <w:rPr>
          <w:i/>
          <w:iCs/>
        </w:rPr>
        <w:t>Approved Document A: Structure</w:t>
      </w:r>
      <w:r w:rsidRPr="00321D10">
        <w:t xml:space="preserve">. Available at: </w:t>
      </w:r>
      <w:hyperlink r:id="rId14" w:tgtFrame="_new" w:history="1">
        <w:r w:rsidRPr="00321D10">
          <w:rPr>
            <w:rStyle w:val="Hyperlink"/>
          </w:rPr>
          <w:t>https://www.gov.uk/government/publications/structure-approved-document-a</w:t>
        </w:r>
      </w:hyperlink>
      <w:r w:rsidRPr="00321D10">
        <w:t xml:space="preserve"> (Accessed: 25 April 2026).</w:t>
      </w:r>
    </w:p>
    <w:p w14:paraId="066FA6DF" w14:textId="77777777" w:rsidR="00321D10" w:rsidRPr="00321D10" w:rsidRDefault="00321D10" w:rsidP="00321D10">
      <w:r w:rsidRPr="00321D10">
        <w:t xml:space="preserve">Keller Group (2026) </w:t>
      </w:r>
      <w:r w:rsidRPr="00321D10">
        <w:rPr>
          <w:i/>
          <w:iCs/>
        </w:rPr>
        <w:t>CFA piles</w:t>
      </w:r>
      <w:r w:rsidRPr="00321D10">
        <w:t xml:space="preserve">. Available at: </w:t>
      </w:r>
      <w:hyperlink r:id="rId15" w:tgtFrame="_new" w:history="1">
        <w:r w:rsidRPr="00321D10">
          <w:rPr>
            <w:rStyle w:val="Hyperlink"/>
          </w:rPr>
          <w:t>https://www.keller.co.uk/expertise/techniques/cfa-piles</w:t>
        </w:r>
      </w:hyperlink>
      <w:r w:rsidRPr="00321D10">
        <w:t xml:space="preserve"> (Accessed: 25 April 2026).</w:t>
      </w:r>
    </w:p>
    <w:p w14:paraId="04615F4E" w14:textId="77777777" w:rsidR="00321D10" w:rsidRPr="00321D10" w:rsidRDefault="00321D10" w:rsidP="00321D10">
      <w:r w:rsidRPr="00321D10">
        <w:t xml:space="preserve">Ordnance Survey (1870) </w:t>
      </w:r>
      <w:r w:rsidRPr="00321D10">
        <w:rPr>
          <w:i/>
          <w:iCs/>
        </w:rPr>
        <w:t>Historic mapping of Swansea docklands via National Library of Scotland</w:t>
      </w:r>
      <w:r w:rsidRPr="00321D10">
        <w:t xml:space="preserve">. Available at: </w:t>
      </w:r>
      <w:hyperlink r:id="rId16" w:tgtFrame="_new" w:history="1">
        <w:r w:rsidRPr="00321D10">
          <w:rPr>
            <w:rStyle w:val="Hyperlink"/>
          </w:rPr>
          <w:t>https://maps.nls.uk/geo/explore/</w:t>
        </w:r>
      </w:hyperlink>
      <w:r w:rsidRPr="00321D10">
        <w:t xml:space="preserve"> (Accessed: 25 April 2026).</w:t>
      </w:r>
    </w:p>
    <w:p w14:paraId="2691DFD8" w14:textId="77777777" w:rsidR="00321D10" w:rsidRPr="00321D10" w:rsidRDefault="00321D10" w:rsidP="00321D10">
      <w:r w:rsidRPr="00321D10">
        <w:t xml:space="preserve">Natural Resources Wales (2026) </w:t>
      </w:r>
      <w:r w:rsidRPr="00321D10">
        <w:rPr>
          <w:i/>
          <w:iCs/>
        </w:rPr>
        <w:t>Permits and permissions guidance</w:t>
      </w:r>
      <w:r w:rsidRPr="00321D10">
        <w:t xml:space="preserve">. Available at: </w:t>
      </w:r>
      <w:hyperlink r:id="rId17" w:tgtFrame="_new" w:history="1">
        <w:r w:rsidRPr="00321D10">
          <w:rPr>
            <w:rStyle w:val="Hyperlink"/>
          </w:rPr>
          <w:t>https://naturalresources.wales/permits-and-permissions/</w:t>
        </w:r>
      </w:hyperlink>
      <w:r w:rsidRPr="00321D10">
        <w:t xml:space="preserve"> (Accessed: 25 April 2026).</w:t>
      </w:r>
    </w:p>
    <w:p w14:paraId="45453743" w14:textId="77777777" w:rsidR="00321D10" w:rsidRPr="00321D10" w:rsidRDefault="00321D10" w:rsidP="00321D10">
      <w:r w:rsidRPr="00321D10">
        <w:t xml:space="preserve">City and County of Swansea (2022) </w:t>
      </w:r>
      <w:r w:rsidRPr="00321D10">
        <w:rPr>
          <w:i/>
          <w:iCs/>
        </w:rPr>
        <w:t>Planning and regeneration services</w:t>
      </w:r>
      <w:r w:rsidRPr="00321D10">
        <w:t xml:space="preserve">. Available at: </w:t>
      </w:r>
      <w:hyperlink r:id="rId18" w:tgtFrame="_new" w:history="1">
        <w:r w:rsidRPr="00321D10">
          <w:rPr>
            <w:rStyle w:val="Hyperlink"/>
          </w:rPr>
          <w:t>https://www.swansea.gov.uk/planning</w:t>
        </w:r>
      </w:hyperlink>
      <w:r w:rsidRPr="00321D10">
        <w:t xml:space="preserve"> (Accessed: 25 April 2026).</w:t>
      </w:r>
    </w:p>
    <w:p w14:paraId="098DC806" w14:textId="77777777" w:rsidR="00F022D1" w:rsidRPr="00F022D1" w:rsidRDefault="00F022D1" w:rsidP="00F022D1"/>
    <w:p w14:paraId="7793298E" w14:textId="77777777" w:rsidR="00F022D1" w:rsidRPr="00F022D1" w:rsidRDefault="00F022D1" w:rsidP="00F022D1"/>
    <w:p w14:paraId="7B25CC8E" w14:textId="77777777" w:rsidR="00F022D1" w:rsidRPr="00F022D1" w:rsidRDefault="00F022D1" w:rsidP="00F022D1"/>
    <w:sectPr w:rsidR="00F022D1" w:rsidRPr="00F022D1" w:rsidSect="006950A5">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5A97AA" w14:textId="77777777" w:rsidR="00875A9C" w:rsidRDefault="00875A9C" w:rsidP="006950A5">
      <w:pPr>
        <w:spacing w:after="0" w:line="240" w:lineRule="auto"/>
      </w:pPr>
      <w:r>
        <w:separator/>
      </w:r>
    </w:p>
  </w:endnote>
  <w:endnote w:type="continuationSeparator" w:id="0">
    <w:p w14:paraId="192635FA" w14:textId="77777777" w:rsidR="00875A9C" w:rsidRDefault="00875A9C" w:rsidP="006950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4067672"/>
      <w:docPartObj>
        <w:docPartGallery w:val="Page Numbers (Bottom of Page)"/>
        <w:docPartUnique/>
      </w:docPartObj>
    </w:sdtPr>
    <w:sdtEndPr/>
    <w:sdtContent>
      <w:p w14:paraId="18CC4E89" w14:textId="648833F4" w:rsidR="006950A5" w:rsidRDefault="006950A5">
        <w:pPr>
          <w:pStyle w:val="Footer"/>
          <w:jc w:val="right"/>
        </w:pPr>
        <w:r>
          <w:fldChar w:fldCharType="begin"/>
        </w:r>
        <w:r>
          <w:instrText>PAGE   \* MERGEFORMAT</w:instrText>
        </w:r>
        <w:r>
          <w:fldChar w:fldCharType="separate"/>
        </w:r>
        <w:r>
          <w:t>2</w:t>
        </w:r>
        <w:r>
          <w:fldChar w:fldCharType="end"/>
        </w:r>
      </w:p>
    </w:sdtContent>
  </w:sdt>
  <w:p w14:paraId="2A8C43B2" w14:textId="77777777" w:rsidR="006950A5" w:rsidRDefault="006950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0CAD7E" w14:textId="77777777" w:rsidR="00875A9C" w:rsidRDefault="00875A9C" w:rsidP="006950A5">
      <w:pPr>
        <w:spacing w:after="0" w:line="240" w:lineRule="auto"/>
      </w:pPr>
      <w:r>
        <w:separator/>
      </w:r>
    </w:p>
  </w:footnote>
  <w:footnote w:type="continuationSeparator" w:id="0">
    <w:p w14:paraId="75B52A36" w14:textId="77777777" w:rsidR="00875A9C" w:rsidRDefault="00875A9C" w:rsidP="006950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E4ACC"/>
    <w:multiLevelType w:val="multilevel"/>
    <w:tmpl w:val="2CB68CC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 w15:restartNumberingAfterBreak="0">
    <w:nsid w:val="406D445D"/>
    <w:multiLevelType w:val="multilevel"/>
    <w:tmpl w:val="F326A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B93960"/>
    <w:multiLevelType w:val="multilevel"/>
    <w:tmpl w:val="9A44C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8035861">
    <w:abstractNumId w:val="0"/>
  </w:num>
  <w:num w:numId="2" w16cid:durableId="1866361742">
    <w:abstractNumId w:val="1"/>
  </w:num>
  <w:num w:numId="3" w16cid:durableId="11725982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0A5"/>
    <w:rsid w:val="00001E01"/>
    <w:rsid w:val="00011F78"/>
    <w:rsid w:val="00047F09"/>
    <w:rsid w:val="0005274C"/>
    <w:rsid w:val="000D3499"/>
    <w:rsid w:val="00106F4A"/>
    <w:rsid w:val="00171B2D"/>
    <w:rsid w:val="001876EC"/>
    <w:rsid w:val="001D41A9"/>
    <w:rsid w:val="00226EB7"/>
    <w:rsid w:val="002B23E6"/>
    <w:rsid w:val="002F55C5"/>
    <w:rsid w:val="00307BDD"/>
    <w:rsid w:val="0031539E"/>
    <w:rsid w:val="00321D10"/>
    <w:rsid w:val="003475B7"/>
    <w:rsid w:val="00362432"/>
    <w:rsid w:val="00384D52"/>
    <w:rsid w:val="003A7324"/>
    <w:rsid w:val="00465994"/>
    <w:rsid w:val="005C7146"/>
    <w:rsid w:val="005D00B7"/>
    <w:rsid w:val="0061277D"/>
    <w:rsid w:val="00675C20"/>
    <w:rsid w:val="006950A5"/>
    <w:rsid w:val="006F417D"/>
    <w:rsid w:val="006F6E4F"/>
    <w:rsid w:val="007057FC"/>
    <w:rsid w:val="00787A4E"/>
    <w:rsid w:val="007B4287"/>
    <w:rsid w:val="007B7796"/>
    <w:rsid w:val="0082234A"/>
    <w:rsid w:val="0084049D"/>
    <w:rsid w:val="00875A9C"/>
    <w:rsid w:val="008A2D98"/>
    <w:rsid w:val="008B7091"/>
    <w:rsid w:val="008C4746"/>
    <w:rsid w:val="0099450B"/>
    <w:rsid w:val="009E42DB"/>
    <w:rsid w:val="009F39F7"/>
    <w:rsid w:val="00A04F5F"/>
    <w:rsid w:val="00A32D67"/>
    <w:rsid w:val="00A60B19"/>
    <w:rsid w:val="00AE0E15"/>
    <w:rsid w:val="00B406C6"/>
    <w:rsid w:val="00B511F8"/>
    <w:rsid w:val="00B8138E"/>
    <w:rsid w:val="00C55902"/>
    <w:rsid w:val="00C704A7"/>
    <w:rsid w:val="00C71EBA"/>
    <w:rsid w:val="00CB1475"/>
    <w:rsid w:val="00D90EC3"/>
    <w:rsid w:val="00DA4B7D"/>
    <w:rsid w:val="00DD2247"/>
    <w:rsid w:val="00DD3CCB"/>
    <w:rsid w:val="00DE1963"/>
    <w:rsid w:val="00E12667"/>
    <w:rsid w:val="00E14BDB"/>
    <w:rsid w:val="00E71687"/>
    <w:rsid w:val="00ED234C"/>
    <w:rsid w:val="00ED34B4"/>
    <w:rsid w:val="00EF5572"/>
    <w:rsid w:val="00F022D1"/>
    <w:rsid w:val="00F12E02"/>
    <w:rsid w:val="00F61843"/>
    <w:rsid w:val="00FF29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97A21"/>
  <w15:chartTrackingRefBased/>
  <w15:docId w15:val="{4B9DF6BE-B6D7-4393-8097-3252DAC83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50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50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50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50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50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50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50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50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50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0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950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50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50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50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50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50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50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50A5"/>
    <w:rPr>
      <w:rFonts w:eastAsiaTheme="majorEastAsia" w:cstheme="majorBidi"/>
      <w:color w:val="272727" w:themeColor="text1" w:themeTint="D8"/>
    </w:rPr>
  </w:style>
  <w:style w:type="paragraph" w:styleId="Title">
    <w:name w:val="Title"/>
    <w:basedOn w:val="Normal"/>
    <w:next w:val="Normal"/>
    <w:link w:val="TitleChar"/>
    <w:uiPriority w:val="10"/>
    <w:qFormat/>
    <w:rsid w:val="006950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50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50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50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50A5"/>
    <w:pPr>
      <w:spacing w:before="160"/>
      <w:jc w:val="center"/>
    </w:pPr>
    <w:rPr>
      <w:i/>
      <w:iCs/>
      <w:color w:val="404040" w:themeColor="text1" w:themeTint="BF"/>
    </w:rPr>
  </w:style>
  <w:style w:type="character" w:customStyle="1" w:styleId="QuoteChar">
    <w:name w:val="Quote Char"/>
    <w:basedOn w:val="DefaultParagraphFont"/>
    <w:link w:val="Quote"/>
    <w:uiPriority w:val="29"/>
    <w:rsid w:val="006950A5"/>
    <w:rPr>
      <w:i/>
      <w:iCs/>
      <w:color w:val="404040" w:themeColor="text1" w:themeTint="BF"/>
    </w:rPr>
  </w:style>
  <w:style w:type="paragraph" w:styleId="ListParagraph">
    <w:name w:val="List Paragraph"/>
    <w:basedOn w:val="Normal"/>
    <w:uiPriority w:val="34"/>
    <w:qFormat/>
    <w:rsid w:val="006950A5"/>
    <w:pPr>
      <w:ind w:left="720"/>
      <w:contextualSpacing/>
    </w:pPr>
  </w:style>
  <w:style w:type="character" w:styleId="IntenseEmphasis">
    <w:name w:val="Intense Emphasis"/>
    <w:basedOn w:val="DefaultParagraphFont"/>
    <w:uiPriority w:val="21"/>
    <w:qFormat/>
    <w:rsid w:val="006950A5"/>
    <w:rPr>
      <w:i/>
      <w:iCs/>
      <w:color w:val="0F4761" w:themeColor="accent1" w:themeShade="BF"/>
    </w:rPr>
  </w:style>
  <w:style w:type="paragraph" w:styleId="IntenseQuote">
    <w:name w:val="Intense Quote"/>
    <w:basedOn w:val="Normal"/>
    <w:next w:val="Normal"/>
    <w:link w:val="IntenseQuoteChar"/>
    <w:uiPriority w:val="30"/>
    <w:qFormat/>
    <w:rsid w:val="006950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50A5"/>
    <w:rPr>
      <w:i/>
      <w:iCs/>
      <w:color w:val="0F4761" w:themeColor="accent1" w:themeShade="BF"/>
    </w:rPr>
  </w:style>
  <w:style w:type="character" w:styleId="IntenseReference">
    <w:name w:val="Intense Reference"/>
    <w:basedOn w:val="DefaultParagraphFont"/>
    <w:uiPriority w:val="32"/>
    <w:qFormat/>
    <w:rsid w:val="006950A5"/>
    <w:rPr>
      <w:b/>
      <w:bCs/>
      <w:smallCaps/>
      <w:color w:val="0F4761" w:themeColor="accent1" w:themeShade="BF"/>
      <w:spacing w:val="5"/>
    </w:rPr>
  </w:style>
  <w:style w:type="paragraph" w:styleId="NoSpacing">
    <w:name w:val="No Spacing"/>
    <w:link w:val="NoSpacingChar"/>
    <w:uiPriority w:val="1"/>
    <w:qFormat/>
    <w:rsid w:val="006950A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6950A5"/>
    <w:rPr>
      <w:rFonts w:eastAsiaTheme="minorEastAsia"/>
      <w:kern w:val="0"/>
      <w:sz w:val="22"/>
      <w:szCs w:val="22"/>
      <w:lang w:eastAsia="en-GB"/>
      <w14:ligatures w14:val="none"/>
    </w:rPr>
  </w:style>
  <w:style w:type="paragraph" w:styleId="Header">
    <w:name w:val="header"/>
    <w:basedOn w:val="Normal"/>
    <w:link w:val="HeaderChar"/>
    <w:uiPriority w:val="99"/>
    <w:unhideWhenUsed/>
    <w:rsid w:val="006950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50A5"/>
  </w:style>
  <w:style w:type="paragraph" w:styleId="Footer">
    <w:name w:val="footer"/>
    <w:basedOn w:val="Normal"/>
    <w:link w:val="FooterChar"/>
    <w:uiPriority w:val="99"/>
    <w:unhideWhenUsed/>
    <w:rsid w:val="006950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50A5"/>
  </w:style>
  <w:style w:type="paragraph" w:styleId="NormalWeb">
    <w:name w:val="Normal (Web)"/>
    <w:basedOn w:val="Normal"/>
    <w:uiPriority w:val="99"/>
    <w:semiHidden/>
    <w:unhideWhenUsed/>
    <w:rsid w:val="00F022D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F022D1"/>
    <w:rPr>
      <w:color w:val="467886" w:themeColor="hyperlink"/>
      <w:u w:val="single"/>
    </w:rPr>
  </w:style>
  <w:style w:type="character" w:styleId="UnresolvedMention">
    <w:name w:val="Unresolved Mention"/>
    <w:basedOn w:val="DefaultParagraphFont"/>
    <w:uiPriority w:val="99"/>
    <w:semiHidden/>
    <w:unhideWhenUsed/>
    <w:rsid w:val="00F022D1"/>
    <w:rPr>
      <w:color w:val="605E5C"/>
      <w:shd w:val="clear" w:color="auto" w:fill="E1DFDD"/>
    </w:rPr>
  </w:style>
  <w:style w:type="paragraph" w:styleId="TOCHeading">
    <w:name w:val="TOC Heading"/>
    <w:basedOn w:val="Heading1"/>
    <w:next w:val="Normal"/>
    <w:uiPriority w:val="39"/>
    <w:unhideWhenUsed/>
    <w:qFormat/>
    <w:rsid w:val="00F022D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022D1"/>
    <w:pPr>
      <w:spacing w:after="100"/>
    </w:pPr>
  </w:style>
  <w:style w:type="paragraph" w:styleId="TOC2">
    <w:name w:val="toc 2"/>
    <w:basedOn w:val="Normal"/>
    <w:next w:val="Normal"/>
    <w:autoRedefine/>
    <w:uiPriority w:val="39"/>
    <w:unhideWhenUsed/>
    <w:rsid w:val="00F022D1"/>
    <w:pPr>
      <w:spacing w:after="100"/>
      <w:ind w:left="240"/>
    </w:pPr>
  </w:style>
  <w:style w:type="character" w:styleId="Strong">
    <w:name w:val="Strong"/>
    <w:basedOn w:val="DefaultParagraphFont"/>
    <w:uiPriority w:val="22"/>
    <w:qFormat/>
    <w:rsid w:val="003A7324"/>
    <w:rPr>
      <w:b/>
      <w:bCs/>
    </w:rPr>
  </w:style>
  <w:style w:type="character" w:styleId="FollowedHyperlink">
    <w:name w:val="FollowedHyperlink"/>
    <w:basedOn w:val="DefaultParagraphFont"/>
    <w:uiPriority w:val="99"/>
    <w:semiHidden/>
    <w:unhideWhenUsed/>
    <w:rsid w:val="00321D1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ov.uk/government/publications/land-contamination-risk-management-lcrm?utm_source=chatgpt.com" TargetMode="External"/><Relationship Id="rId18" Type="http://schemas.openxmlformats.org/officeDocument/2006/relationships/hyperlink" Target="https://www.swansea.gov.uk/planning"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bgs.ac.uk/map-viewers/geoindex-onshore/?utm_source=chatgpt.com" TargetMode="External"/><Relationship Id="rId17" Type="http://schemas.openxmlformats.org/officeDocument/2006/relationships/hyperlink" Target="https://naturalresources.wales/permits-and-permissions/" TargetMode="External"/><Relationship Id="rId2" Type="http://schemas.openxmlformats.org/officeDocument/2006/relationships/numbering" Target="numbering.xml"/><Relationship Id="rId16" Type="http://schemas.openxmlformats.org/officeDocument/2006/relationships/hyperlink" Target="https://maps.nls.uk/geo/explor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keller.co.uk/expertise/techniques/cfa-piles?utm_source=chatgpt.com" TargetMode="Externa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gov.uk/government/publications/structure-approved-document-a?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B040BB-8058-410E-8251-9A9718E396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1992</TotalTime>
  <Pages>10</Pages>
  <Words>2475</Words>
  <Characters>14111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Site Investigation Case study.</dc:title>
  <dc:subject>Ben Davies (2521920)</dc:subject>
  <dc:creator>Ben Davies</dc:creator>
  <cp:keywords/>
  <dc:description/>
  <cp:lastModifiedBy>Ben Davies</cp:lastModifiedBy>
  <cp:revision>57</cp:revision>
  <dcterms:created xsi:type="dcterms:W3CDTF">2026-04-14T11:16:00Z</dcterms:created>
  <dcterms:modified xsi:type="dcterms:W3CDTF">2026-04-30T20:34:00Z</dcterms:modified>
  <cp:category>ACBA4022 - Fundamentals of Construction Technology</cp:category>
</cp:coreProperties>
</file>