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5C6FDB5" w14:textId="3A6D0259" w:rsidR="00AC447D" w:rsidRDefault="00AC447D" w:rsidP="00AC447D">
      <w:pPr>
        <w:ind w:left="626" w:right="625"/>
        <w:jc w:val="center"/>
        <w:rPr>
          <w:b/>
        </w:rPr>
      </w:pPr>
      <w:r>
        <w:rPr>
          <w:b/>
        </w:rPr>
        <w:t>BMHP5019_BIRM</w:t>
      </w:r>
      <w:r>
        <w:rPr>
          <w:b/>
          <w:spacing w:val="-2"/>
        </w:rPr>
        <w:t xml:space="preserve"> </w:t>
      </w:r>
      <w:r>
        <w:rPr>
          <w:b/>
        </w:rPr>
        <w:t>–</w:t>
      </w:r>
      <w:r>
        <w:rPr>
          <w:b/>
          <w:spacing w:val="-8"/>
        </w:rPr>
        <w:t xml:space="preserve"> </w:t>
      </w:r>
      <w:r>
        <w:rPr>
          <w:b/>
        </w:rPr>
        <w:t>Introduction</w:t>
      </w:r>
      <w:r>
        <w:rPr>
          <w:b/>
          <w:spacing w:val="-7"/>
        </w:rPr>
        <w:t xml:space="preserve"> </w:t>
      </w:r>
      <w:r>
        <w:rPr>
          <w:b/>
        </w:rPr>
        <w:t>to</w:t>
      </w:r>
      <w:r>
        <w:rPr>
          <w:b/>
          <w:spacing w:val="-6"/>
        </w:rPr>
        <w:t xml:space="preserve"> </w:t>
      </w:r>
      <w:r>
        <w:rPr>
          <w:b/>
        </w:rPr>
        <w:t>Independent</w:t>
      </w:r>
      <w:r>
        <w:rPr>
          <w:b/>
          <w:spacing w:val="-3"/>
        </w:rPr>
        <w:t xml:space="preserve"> </w:t>
      </w:r>
      <w:r>
        <w:rPr>
          <w:b/>
        </w:rPr>
        <w:t>Research</w:t>
      </w:r>
      <w:r>
        <w:rPr>
          <w:b/>
          <w:spacing w:val="-6"/>
        </w:rPr>
        <w:t xml:space="preserve"> </w:t>
      </w:r>
      <w:r>
        <w:rPr>
          <w:b/>
        </w:rPr>
        <w:t>Skills Component 2</w:t>
      </w:r>
    </w:p>
    <w:p w14:paraId="3BA4DE67" w14:textId="77777777" w:rsidR="00AC447D" w:rsidRDefault="00AC447D" w:rsidP="00AC447D">
      <w:pPr>
        <w:pStyle w:val="BodyText"/>
        <w:spacing w:line="360" w:lineRule="auto"/>
        <w:jc w:val="center"/>
        <w:rPr>
          <w:rFonts w:ascii="Arial"/>
          <w:b/>
        </w:rPr>
      </w:pPr>
    </w:p>
    <w:p w14:paraId="3EF4DDF3" w14:textId="77777777" w:rsidR="00AC447D" w:rsidRDefault="00AC447D" w:rsidP="00AC447D">
      <w:pPr>
        <w:pStyle w:val="BodyText"/>
        <w:spacing w:line="360" w:lineRule="auto"/>
        <w:jc w:val="center"/>
        <w:rPr>
          <w:rFonts w:ascii="Arial"/>
          <w:b/>
        </w:rPr>
      </w:pPr>
    </w:p>
    <w:p w14:paraId="52F38686" w14:textId="77777777" w:rsidR="00AC447D" w:rsidRDefault="00AC447D" w:rsidP="00AC447D">
      <w:pPr>
        <w:pStyle w:val="BodyText"/>
        <w:spacing w:line="360" w:lineRule="auto"/>
        <w:jc w:val="center"/>
        <w:rPr>
          <w:rFonts w:ascii="Arial"/>
          <w:b/>
        </w:rPr>
      </w:pPr>
    </w:p>
    <w:p w14:paraId="637C94F3" w14:textId="77777777" w:rsidR="00AC447D" w:rsidRDefault="00AC447D" w:rsidP="00AC447D">
      <w:pPr>
        <w:pStyle w:val="BodyText"/>
        <w:spacing w:before="96" w:line="360" w:lineRule="auto"/>
        <w:jc w:val="center"/>
        <w:rPr>
          <w:rFonts w:ascii="Arial"/>
          <w:b/>
        </w:rPr>
      </w:pPr>
    </w:p>
    <w:p w14:paraId="3D6B190D" w14:textId="19EE93C8" w:rsidR="00AC447D" w:rsidRDefault="00AC447D" w:rsidP="00AC447D">
      <w:pPr>
        <w:ind w:left="627" w:right="625"/>
        <w:jc w:val="center"/>
        <w:rPr>
          <w:b/>
        </w:rPr>
      </w:pPr>
      <w:r>
        <w:rPr>
          <w:b/>
        </w:rPr>
        <w:t>Student</w:t>
      </w:r>
      <w:r>
        <w:rPr>
          <w:b/>
          <w:spacing w:val="-3"/>
        </w:rPr>
        <w:t xml:space="preserve"> </w:t>
      </w:r>
      <w:r>
        <w:rPr>
          <w:b/>
          <w:spacing w:val="-2"/>
        </w:rPr>
        <w:t>Name:</w:t>
      </w:r>
      <w:r w:rsidR="00B33118">
        <w:rPr>
          <w:b/>
          <w:spacing w:val="-2"/>
        </w:rPr>
        <w:t xml:space="preserve"> Nabila Nazam</w:t>
      </w:r>
    </w:p>
    <w:p w14:paraId="50ACDB58" w14:textId="68F995CD" w:rsidR="00AC447D" w:rsidRDefault="00AC447D" w:rsidP="00AC447D">
      <w:pPr>
        <w:spacing w:before="199"/>
        <w:ind w:left="4" w:right="4"/>
        <w:jc w:val="center"/>
        <w:rPr>
          <w:b/>
        </w:rPr>
      </w:pPr>
      <w:r>
        <w:rPr>
          <w:b/>
        </w:rPr>
        <w:t>Student</w:t>
      </w:r>
      <w:r>
        <w:rPr>
          <w:b/>
          <w:spacing w:val="-3"/>
        </w:rPr>
        <w:t xml:space="preserve"> </w:t>
      </w:r>
      <w:r>
        <w:rPr>
          <w:b/>
          <w:spacing w:val="-2"/>
        </w:rPr>
        <w:t>Number:</w:t>
      </w:r>
      <w:r w:rsidR="00B33118">
        <w:rPr>
          <w:b/>
          <w:spacing w:val="-2"/>
        </w:rPr>
        <w:t xml:space="preserve"> 2324644</w:t>
      </w:r>
    </w:p>
    <w:p w14:paraId="12678DB9" w14:textId="77777777" w:rsidR="00AC447D" w:rsidRDefault="00AC447D" w:rsidP="00AC447D">
      <w:pPr>
        <w:pStyle w:val="BodyText"/>
        <w:spacing w:line="360" w:lineRule="auto"/>
        <w:jc w:val="center"/>
        <w:rPr>
          <w:rFonts w:ascii="Arial"/>
          <w:b/>
        </w:rPr>
      </w:pPr>
    </w:p>
    <w:p w14:paraId="29B4A203" w14:textId="77777777" w:rsidR="00AC447D" w:rsidRDefault="00AC447D" w:rsidP="00AC447D">
      <w:pPr>
        <w:pStyle w:val="BodyText"/>
        <w:spacing w:line="360" w:lineRule="auto"/>
        <w:jc w:val="center"/>
        <w:rPr>
          <w:rFonts w:ascii="Arial"/>
          <w:b/>
        </w:rPr>
      </w:pPr>
    </w:p>
    <w:p w14:paraId="11B82296" w14:textId="77777777" w:rsidR="00AC447D" w:rsidRDefault="00AC447D" w:rsidP="00AC447D">
      <w:pPr>
        <w:pStyle w:val="BodyText"/>
        <w:spacing w:line="360" w:lineRule="auto"/>
        <w:jc w:val="center"/>
        <w:rPr>
          <w:rFonts w:ascii="Arial"/>
          <w:b/>
        </w:rPr>
      </w:pPr>
    </w:p>
    <w:p w14:paraId="601391A2" w14:textId="77777777" w:rsidR="00AC447D" w:rsidRDefault="00AC447D" w:rsidP="00AC447D">
      <w:pPr>
        <w:pStyle w:val="BodyText"/>
        <w:spacing w:line="360" w:lineRule="auto"/>
        <w:jc w:val="center"/>
        <w:rPr>
          <w:rFonts w:ascii="Arial"/>
          <w:b/>
        </w:rPr>
      </w:pPr>
    </w:p>
    <w:p w14:paraId="69C6D615" w14:textId="77777777" w:rsidR="00AC447D" w:rsidRDefault="00AC447D" w:rsidP="00AC447D">
      <w:pPr>
        <w:pStyle w:val="BodyText"/>
        <w:spacing w:line="360" w:lineRule="auto"/>
        <w:jc w:val="center"/>
        <w:rPr>
          <w:rFonts w:ascii="Arial"/>
          <w:b/>
        </w:rPr>
      </w:pPr>
    </w:p>
    <w:p w14:paraId="0C0FC27E" w14:textId="77777777" w:rsidR="00AC447D" w:rsidRDefault="00AC447D" w:rsidP="00AC447D">
      <w:pPr>
        <w:pStyle w:val="BodyText"/>
        <w:spacing w:line="360" w:lineRule="auto"/>
        <w:jc w:val="center"/>
        <w:rPr>
          <w:rFonts w:ascii="Arial"/>
          <w:b/>
        </w:rPr>
      </w:pPr>
    </w:p>
    <w:p w14:paraId="53A50D9A" w14:textId="77777777" w:rsidR="00AC447D" w:rsidRDefault="00AC447D" w:rsidP="00AC447D">
      <w:pPr>
        <w:pStyle w:val="BodyText"/>
        <w:spacing w:before="242" w:line="360" w:lineRule="auto"/>
        <w:jc w:val="center"/>
        <w:rPr>
          <w:rFonts w:ascii="Arial"/>
          <w:b/>
        </w:rPr>
      </w:pPr>
    </w:p>
    <w:p w14:paraId="7E079EC3" w14:textId="77777777" w:rsidR="00AC447D" w:rsidRDefault="00AC447D" w:rsidP="00AC447D">
      <w:pPr>
        <w:ind w:left="4"/>
        <w:jc w:val="center"/>
        <w:rPr>
          <w:b/>
        </w:rPr>
      </w:pPr>
      <w:r>
        <w:rPr>
          <w:b/>
          <w:spacing w:val="-2"/>
          <w:u w:val="single"/>
        </w:rPr>
        <w:t>Title</w:t>
      </w:r>
    </w:p>
    <w:p w14:paraId="0562AC88" w14:textId="77777777" w:rsidR="00AC447D" w:rsidRPr="00FB6E5E" w:rsidRDefault="00AC447D" w:rsidP="00AC447D">
      <w:pPr>
        <w:pStyle w:val="BodyText"/>
        <w:spacing w:line="360" w:lineRule="auto"/>
        <w:jc w:val="center"/>
        <w:rPr>
          <w:b/>
        </w:rPr>
        <w:sectPr w:rsidR="00AC447D" w:rsidRPr="00FB6E5E" w:rsidSect="00AC447D">
          <w:pgSz w:w="11910" w:h="16840"/>
          <w:pgMar w:top="1920" w:right="1417" w:bottom="280" w:left="1417" w:header="720" w:footer="720" w:gutter="0"/>
          <w:cols w:space="720"/>
        </w:sectPr>
      </w:pPr>
      <w:r w:rsidRPr="00FB6E5E">
        <w:rPr>
          <w:b/>
        </w:rPr>
        <w:t>A Scoping Review of Digital Health Technologies in Improving Patient Care: Identifying Themes Using Aveyard’s Simplified Thematic Analysis</w:t>
      </w:r>
    </w:p>
    <w:sdt>
      <w:sdtPr>
        <w:rPr>
          <w:rFonts w:ascii="Arial" w:eastAsiaTheme="minorHAnsi" w:hAnsi="Arial" w:cstheme="minorBidi"/>
          <w:color w:val="auto"/>
          <w:kern w:val="2"/>
          <w:sz w:val="24"/>
          <w:szCs w:val="24"/>
          <w14:ligatures w14:val="standardContextual"/>
        </w:rPr>
        <w:id w:val="-2146563979"/>
        <w:docPartObj>
          <w:docPartGallery w:val="Table of Contents"/>
          <w:docPartUnique/>
        </w:docPartObj>
      </w:sdtPr>
      <w:sdtEndPr>
        <w:rPr>
          <w:b/>
          <w:bCs/>
          <w:noProof/>
        </w:rPr>
      </w:sdtEndPr>
      <w:sdtContent>
        <w:p w14:paraId="716DA5EA" w14:textId="0AE64C3F" w:rsidR="00AC447D" w:rsidRDefault="00AC447D">
          <w:pPr>
            <w:pStyle w:val="TOCHeading"/>
          </w:pPr>
          <w:r>
            <w:t>Table of Contents</w:t>
          </w:r>
        </w:p>
        <w:p w14:paraId="1FEF54EC" w14:textId="5B5F40D2" w:rsidR="00FA7BFE" w:rsidRDefault="00AC447D">
          <w:pPr>
            <w:pStyle w:val="TOC1"/>
            <w:tabs>
              <w:tab w:val="right" w:leader="dot" w:pos="9350"/>
            </w:tabs>
            <w:rPr>
              <w:rFonts w:asciiTheme="minorHAnsi" w:eastAsiaTheme="minorEastAsia" w:hAnsiTheme="minorHAnsi"/>
              <w:noProof/>
            </w:rPr>
          </w:pPr>
          <w:r>
            <w:fldChar w:fldCharType="begin"/>
          </w:r>
          <w:r>
            <w:instrText xml:space="preserve"> TOC \o "1-3" \h \z \u </w:instrText>
          </w:r>
          <w:r>
            <w:fldChar w:fldCharType="separate"/>
          </w:r>
          <w:hyperlink w:anchor="_Toc224164692" w:history="1">
            <w:r w:rsidR="00FA7BFE" w:rsidRPr="00140246">
              <w:rPr>
                <w:rStyle w:val="Hyperlink"/>
                <w:noProof/>
              </w:rPr>
              <w:t>Introduction</w:t>
            </w:r>
            <w:r w:rsidR="00FA7BFE">
              <w:rPr>
                <w:noProof/>
                <w:webHidden/>
              </w:rPr>
              <w:tab/>
            </w:r>
            <w:r w:rsidR="00FA7BFE">
              <w:rPr>
                <w:noProof/>
                <w:webHidden/>
              </w:rPr>
              <w:fldChar w:fldCharType="begin"/>
            </w:r>
            <w:r w:rsidR="00FA7BFE">
              <w:rPr>
                <w:noProof/>
                <w:webHidden/>
              </w:rPr>
              <w:instrText xml:space="preserve"> PAGEREF _Toc224164692 \h </w:instrText>
            </w:r>
            <w:r w:rsidR="00FA7BFE">
              <w:rPr>
                <w:noProof/>
                <w:webHidden/>
              </w:rPr>
            </w:r>
            <w:r w:rsidR="00FA7BFE">
              <w:rPr>
                <w:noProof/>
                <w:webHidden/>
              </w:rPr>
              <w:fldChar w:fldCharType="separate"/>
            </w:r>
            <w:r w:rsidR="00FA7BFE">
              <w:rPr>
                <w:noProof/>
                <w:webHidden/>
              </w:rPr>
              <w:t>3</w:t>
            </w:r>
            <w:r w:rsidR="00FA7BFE">
              <w:rPr>
                <w:noProof/>
                <w:webHidden/>
              </w:rPr>
              <w:fldChar w:fldCharType="end"/>
            </w:r>
          </w:hyperlink>
        </w:p>
        <w:p w14:paraId="3B99B4D5" w14:textId="5DBA1529" w:rsidR="00FA7BFE" w:rsidRDefault="00FA7BFE">
          <w:pPr>
            <w:pStyle w:val="TOC2"/>
            <w:tabs>
              <w:tab w:val="right" w:leader="dot" w:pos="9350"/>
            </w:tabs>
            <w:rPr>
              <w:rFonts w:asciiTheme="minorHAnsi" w:eastAsiaTheme="minorEastAsia" w:hAnsiTheme="minorHAnsi"/>
              <w:noProof/>
            </w:rPr>
          </w:pPr>
          <w:hyperlink w:anchor="_Toc224164693" w:history="1">
            <w:r w:rsidRPr="00140246">
              <w:rPr>
                <w:rStyle w:val="Hyperlink"/>
                <w:noProof/>
              </w:rPr>
              <w:t>Review Question</w:t>
            </w:r>
            <w:r>
              <w:rPr>
                <w:noProof/>
                <w:webHidden/>
              </w:rPr>
              <w:tab/>
            </w:r>
            <w:r>
              <w:rPr>
                <w:noProof/>
                <w:webHidden/>
              </w:rPr>
              <w:fldChar w:fldCharType="begin"/>
            </w:r>
            <w:r>
              <w:rPr>
                <w:noProof/>
                <w:webHidden/>
              </w:rPr>
              <w:instrText xml:space="preserve"> PAGEREF _Toc224164693 \h </w:instrText>
            </w:r>
            <w:r>
              <w:rPr>
                <w:noProof/>
                <w:webHidden/>
              </w:rPr>
            </w:r>
            <w:r>
              <w:rPr>
                <w:noProof/>
                <w:webHidden/>
              </w:rPr>
              <w:fldChar w:fldCharType="separate"/>
            </w:r>
            <w:r>
              <w:rPr>
                <w:noProof/>
                <w:webHidden/>
              </w:rPr>
              <w:t>3</w:t>
            </w:r>
            <w:r>
              <w:rPr>
                <w:noProof/>
                <w:webHidden/>
              </w:rPr>
              <w:fldChar w:fldCharType="end"/>
            </w:r>
          </w:hyperlink>
        </w:p>
        <w:p w14:paraId="12BB13B7" w14:textId="67A0B27B" w:rsidR="00FA7BFE" w:rsidRDefault="00FA7BFE">
          <w:pPr>
            <w:pStyle w:val="TOC2"/>
            <w:tabs>
              <w:tab w:val="right" w:leader="dot" w:pos="9350"/>
            </w:tabs>
            <w:rPr>
              <w:rFonts w:asciiTheme="minorHAnsi" w:eastAsiaTheme="minorEastAsia" w:hAnsiTheme="minorHAnsi"/>
              <w:noProof/>
            </w:rPr>
          </w:pPr>
          <w:hyperlink w:anchor="_Toc224164694" w:history="1">
            <w:r w:rsidRPr="00140246">
              <w:rPr>
                <w:rStyle w:val="Hyperlink"/>
                <w:noProof/>
              </w:rPr>
              <w:t>Objectives</w:t>
            </w:r>
            <w:r>
              <w:rPr>
                <w:noProof/>
                <w:webHidden/>
              </w:rPr>
              <w:tab/>
            </w:r>
            <w:r>
              <w:rPr>
                <w:noProof/>
                <w:webHidden/>
              </w:rPr>
              <w:fldChar w:fldCharType="begin"/>
            </w:r>
            <w:r>
              <w:rPr>
                <w:noProof/>
                <w:webHidden/>
              </w:rPr>
              <w:instrText xml:space="preserve"> PAGEREF _Toc224164694 \h </w:instrText>
            </w:r>
            <w:r>
              <w:rPr>
                <w:noProof/>
                <w:webHidden/>
              </w:rPr>
            </w:r>
            <w:r>
              <w:rPr>
                <w:noProof/>
                <w:webHidden/>
              </w:rPr>
              <w:fldChar w:fldCharType="separate"/>
            </w:r>
            <w:r>
              <w:rPr>
                <w:noProof/>
                <w:webHidden/>
              </w:rPr>
              <w:t>4</w:t>
            </w:r>
            <w:r>
              <w:rPr>
                <w:noProof/>
                <w:webHidden/>
              </w:rPr>
              <w:fldChar w:fldCharType="end"/>
            </w:r>
          </w:hyperlink>
        </w:p>
        <w:p w14:paraId="2DF02022" w14:textId="6E4450FB" w:rsidR="00FA7BFE" w:rsidRDefault="00FA7BFE">
          <w:pPr>
            <w:pStyle w:val="TOC1"/>
            <w:tabs>
              <w:tab w:val="right" w:leader="dot" w:pos="9350"/>
            </w:tabs>
            <w:rPr>
              <w:rFonts w:asciiTheme="minorHAnsi" w:eastAsiaTheme="minorEastAsia" w:hAnsiTheme="minorHAnsi"/>
              <w:noProof/>
            </w:rPr>
          </w:pPr>
          <w:hyperlink w:anchor="_Toc224164695" w:history="1">
            <w:r w:rsidRPr="00140246">
              <w:rPr>
                <w:rStyle w:val="Hyperlink"/>
                <w:noProof/>
              </w:rPr>
              <w:t>Background</w:t>
            </w:r>
            <w:r>
              <w:rPr>
                <w:noProof/>
                <w:webHidden/>
              </w:rPr>
              <w:tab/>
            </w:r>
            <w:r>
              <w:rPr>
                <w:noProof/>
                <w:webHidden/>
              </w:rPr>
              <w:fldChar w:fldCharType="begin"/>
            </w:r>
            <w:r>
              <w:rPr>
                <w:noProof/>
                <w:webHidden/>
              </w:rPr>
              <w:instrText xml:space="preserve"> PAGEREF _Toc224164695 \h </w:instrText>
            </w:r>
            <w:r>
              <w:rPr>
                <w:noProof/>
                <w:webHidden/>
              </w:rPr>
            </w:r>
            <w:r>
              <w:rPr>
                <w:noProof/>
                <w:webHidden/>
              </w:rPr>
              <w:fldChar w:fldCharType="separate"/>
            </w:r>
            <w:r>
              <w:rPr>
                <w:noProof/>
                <w:webHidden/>
              </w:rPr>
              <w:t>4</w:t>
            </w:r>
            <w:r>
              <w:rPr>
                <w:noProof/>
                <w:webHidden/>
              </w:rPr>
              <w:fldChar w:fldCharType="end"/>
            </w:r>
          </w:hyperlink>
        </w:p>
        <w:p w14:paraId="700D8B38" w14:textId="2EC52BA6" w:rsidR="00FA7BFE" w:rsidRDefault="00FA7BFE">
          <w:pPr>
            <w:pStyle w:val="TOC1"/>
            <w:tabs>
              <w:tab w:val="right" w:leader="dot" w:pos="9350"/>
            </w:tabs>
            <w:rPr>
              <w:rFonts w:asciiTheme="minorHAnsi" w:eastAsiaTheme="minorEastAsia" w:hAnsiTheme="minorHAnsi"/>
              <w:noProof/>
            </w:rPr>
          </w:pPr>
          <w:hyperlink w:anchor="_Toc224164696" w:history="1">
            <w:r w:rsidRPr="00140246">
              <w:rPr>
                <w:rStyle w:val="Hyperlink"/>
                <w:noProof/>
              </w:rPr>
              <w:t>Methods</w:t>
            </w:r>
            <w:r>
              <w:rPr>
                <w:noProof/>
                <w:webHidden/>
              </w:rPr>
              <w:tab/>
            </w:r>
            <w:r>
              <w:rPr>
                <w:noProof/>
                <w:webHidden/>
              </w:rPr>
              <w:fldChar w:fldCharType="begin"/>
            </w:r>
            <w:r>
              <w:rPr>
                <w:noProof/>
                <w:webHidden/>
              </w:rPr>
              <w:instrText xml:space="preserve"> PAGEREF _Toc224164696 \h </w:instrText>
            </w:r>
            <w:r>
              <w:rPr>
                <w:noProof/>
                <w:webHidden/>
              </w:rPr>
            </w:r>
            <w:r>
              <w:rPr>
                <w:noProof/>
                <w:webHidden/>
              </w:rPr>
              <w:fldChar w:fldCharType="separate"/>
            </w:r>
            <w:r>
              <w:rPr>
                <w:noProof/>
                <w:webHidden/>
              </w:rPr>
              <w:t>5</w:t>
            </w:r>
            <w:r>
              <w:rPr>
                <w:noProof/>
                <w:webHidden/>
              </w:rPr>
              <w:fldChar w:fldCharType="end"/>
            </w:r>
          </w:hyperlink>
        </w:p>
        <w:p w14:paraId="52A2DF80" w14:textId="6EFC5D1A" w:rsidR="00FA7BFE" w:rsidRDefault="00FA7BFE">
          <w:pPr>
            <w:pStyle w:val="TOC2"/>
            <w:tabs>
              <w:tab w:val="right" w:leader="dot" w:pos="9350"/>
            </w:tabs>
            <w:rPr>
              <w:rFonts w:asciiTheme="minorHAnsi" w:eastAsiaTheme="minorEastAsia" w:hAnsiTheme="minorHAnsi"/>
              <w:noProof/>
            </w:rPr>
          </w:pPr>
          <w:hyperlink w:anchor="_Toc224164697" w:history="1">
            <w:r w:rsidRPr="00140246">
              <w:rPr>
                <w:rStyle w:val="Hyperlink"/>
                <w:noProof/>
              </w:rPr>
              <w:t>Data collection</w:t>
            </w:r>
            <w:r>
              <w:rPr>
                <w:noProof/>
                <w:webHidden/>
              </w:rPr>
              <w:tab/>
            </w:r>
            <w:r>
              <w:rPr>
                <w:noProof/>
                <w:webHidden/>
              </w:rPr>
              <w:fldChar w:fldCharType="begin"/>
            </w:r>
            <w:r>
              <w:rPr>
                <w:noProof/>
                <w:webHidden/>
              </w:rPr>
              <w:instrText xml:space="preserve"> PAGEREF _Toc224164697 \h </w:instrText>
            </w:r>
            <w:r>
              <w:rPr>
                <w:noProof/>
                <w:webHidden/>
              </w:rPr>
            </w:r>
            <w:r>
              <w:rPr>
                <w:noProof/>
                <w:webHidden/>
              </w:rPr>
              <w:fldChar w:fldCharType="separate"/>
            </w:r>
            <w:r>
              <w:rPr>
                <w:noProof/>
                <w:webHidden/>
              </w:rPr>
              <w:t>6</w:t>
            </w:r>
            <w:r>
              <w:rPr>
                <w:noProof/>
                <w:webHidden/>
              </w:rPr>
              <w:fldChar w:fldCharType="end"/>
            </w:r>
          </w:hyperlink>
        </w:p>
        <w:p w14:paraId="4D650A97" w14:textId="4AC44016" w:rsidR="00FA7BFE" w:rsidRDefault="00FA7BFE">
          <w:pPr>
            <w:pStyle w:val="TOC2"/>
            <w:tabs>
              <w:tab w:val="right" w:leader="dot" w:pos="9350"/>
            </w:tabs>
            <w:rPr>
              <w:rFonts w:asciiTheme="minorHAnsi" w:eastAsiaTheme="minorEastAsia" w:hAnsiTheme="minorHAnsi"/>
              <w:noProof/>
            </w:rPr>
          </w:pPr>
          <w:hyperlink w:anchor="_Toc224164698" w:history="1">
            <w:r w:rsidRPr="00140246">
              <w:rPr>
                <w:rStyle w:val="Hyperlink"/>
                <w:noProof/>
              </w:rPr>
              <w:t>Data analysis</w:t>
            </w:r>
            <w:r>
              <w:rPr>
                <w:noProof/>
                <w:webHidden/>
              </w:rPr>
              <w:tab/>
            </w:r>
            <w:r>
              <w:rPr>
                <w:noProof/>
                <w:webHidden/>
              </w:rPr>
              <w:fldChar w:fldCharType="begin"/>
            </w:r>
            <w:r>
              <w:rPr>
                <w:noProof/>
                <w:webHidden/>
              </w:rPr>
              <w:instrText xml:space="preserve"> PAGEREF _Toc224164698 \h </w:instrText>
            </w:r>
            <w:r>
              <w:rPr>
                <w:noProof/>
                <w:webHidden/>
              </w:rPr>
            </w:r>
            <w:r>
              <w:rPr>
                <w:noProof/>
                <w:webHidden/>
              </w:rPr>
              <w:fldChar w:fldCharType="separate"/>
            </w:r>
            <w:r>
              <w:rPr>
                <w:noProof/>
                <w:webHidden/>
              </w:rPr>
              <w:t>6</w:t>
            </w:r>
            <w:r>
              <w:rPr>
                <w:noProof/>
                <w:webHidden/>
              </w:rPr>
              <w:fldChar w:fldCharType="end"/>
            </w:r>
          </w:hyperlink>
        </w:p>
        <w:p w14:paraId="38541B92" w14:textId="2F5F7136" w:rsidR="00FA7BFE" w:rsidRDefault="00FA7BFE">
          <w:pPr>
            <w:pStyle w:val="TOC1"/>
            <w:tabs>
              <w:tab w:val="right" w:leader="dot" w:pos="9350"/>
            </w:tabs>
            <w:rPr>
              <w:rFonts w:asciiTheme="minorHAnsi" w:eastAsiaTheme="minorEastAsia" w:hAnsiTheme="minorHAnsi"/>
              <w:noProof/>
            </w:rPr>
          </w:pPr>
          <w:hyperlink w:anchor="_Toc224164699" w:history="1">
            <w:r w:rsidRPr="00140246">
              <w:rPr>
                <w:rStyle w:val="Hyperlink"/>
                <w:noProof/>
              </w:rPr>
              <w:t>Findings</w:t>
            </w:r>
            <w:r>
              <w:rPr>
                <w:noProof/>
                <w:webHidden/>
              </w:rPr>
              <w:tab/>
            </w:r>
            <w:r>
              <w:rPr>
                <w:noProof/>
                <w:webHidden/>
              </w:rPr>
              <w:fldChar w:fldCharType="begin"/>
            </w:r>
            <w:r>
              <w:rPr>
                <w:noProof/>
                <w:webHidden/>
              </w:rPr>
              <w:instrText xml:space="preserve"> PAGEREF _Toc224164699 \h </w:instrText>
            </w:r>
            <w:r>
              <w:rPr>
                <w:noProof/>
                <w:webHidden/>
              </w:rPr>
            </w:r>
            <w:r>
              <w:rPr>
                <w:noProof/>
                <w:webHidden/>
              </w:rPr>
              <w:fldChar w:fldCharType="separate"/>
            </w:r>
            <w:r>
              <w:rPr>
                <w:noProof/>
                <w:webHidden/>
              </w:rPr>
              <w:t>7</w:t>
            </w:r>
            <w:r>
              <w:rPr>
                <w:noProof/>
                <w:webHidden/>
              </w:rPr>
              <w:fldChar w:fldCharType="end"/>
            </w:r>
          </w:hyperlink>
        </w:p>
        <w:p w14:paraId="0DB28C47" w14:textId="050D7DFB" w:rsidR="00FA7BFE" w:rsidRDefault="00FA7BFE">
          <w:pPr>
            <w:pStyle w:val="TOC1"/>
            <w:tabs>
              <w:tab w:val="right" w:leader="dot" w:pos="9350"/>
            </w:tabs>
            <w:rPr>
              <w:rFonts w:asciiTheme="minorHAnsi" w:eastAsiaTheme="minorEastAsia" w:hAnsiTheme="minorHAnsi"/>
              <w:noProof/>
            </w:rPr>
          </w:pPr>
          <w:hyperlink w:anchor="_Toc224164700" w:history="1">
            <w:r w:rsidRPr="00140246">
              <w:rPr>
                <w:rStyle w:val="Hyperlink"/>
                <w:noProof/>
              </w:rPr>
              <w:t>Discussion</w:t>
            </w:r>
            <w:r>
              <w:rPr>
                <w:noProof/>
                <w:webHidden/>
              </w:rPr>
              <w:tab/>
            </w:r>
            <w:r>
              <w:rPr>
                <w:noProof/>
                <w:webHidden/>
              </w:rPr>
              <w:fldChar w:fldCharType="begin"/>
            </w:r>
            <w:r>
              <w:rPr>
                <w:noProof/>
                <w:webHidden/>
              </w:rPr>
              <w:instrText xml:space="preserve"> PAGEREF _Toc224164700 \h </w:instrText>
            </w:r>
            <w:r>
              <w:rPr>
                <w:noProof/>
                <w:webHidden/>
              </w:rPr>
            </w:r>
            <w:r>
              <w:rPr>
                <w:noProof/>
                <w:webHidden/>
              </w:rPr>
              <w:fldChar w:fldCharType="separate"/>
            </w:r>
            <w:r>
              <w:rPr>
                <w:noProof/>
                <w:webHidden/>
              </w:rPr>
              <w:t>8</w:t>
            </w:r>
            <w:r>
              <w:rPr>
                <w:noProof/>
                <w:webHidden/>
              </w:rPr>
              <w:fldChar w:fldCharType="end"/>
            </w:r>
          </w:hyperlink>
        </w:p>
        <w:p w14:paraId="15BC4A46" w14:textId="251ECF34" w:rsidR="00FA7BFE" w:rsidRDefault="00FA7BFE">
          <w:pPr>
            <w:pStyle w:val="TOC2"/>
            <w:tabs>
              <w:tab w:val="right" w:leader="dot" w:pos="9350"/>
            </w:tabs>
            <w:rPr>
              <w:rFonts w:asciiTheme="minorHAnsi" w:eastAsiaTheme="minorEastAsia" w:hAnsiTheme="minorHAnsi"/>
              <w:noProof/>
            </w:rPr>
          </w:pPr>
          <w:hyperlink w:anchor="_Toc224164701" w:history="1">
            <w:r w:rsidRPr="00140246">
              <w:rPr>
                <w:rStyle w:val="Hyperlink"/>
                <w:noProof/>
              </w:rPr>
              <w:t>Theme 1: Access and continuity of care</w:t>
            </w:r>
            <w:r>
              <w:rPr>
                <w:noProof/>
                <w:webHidden/>
              </w:rPr>
              <w:tab/>
            </w:r>
            <w:r>
              <w:rPr>
                <w:noProof/>
                <w:webHidden/>
              </w:rPr>
              <w:fldChar w:fldCharType="begin"/>
            </w:r>
            <w:r>
              <w:rPr>
                <w:noProof/>
                <w:webHidden/>
              </w:rPr>
              <w:instrText xml:space="preserve"> PAGEREF _Toc224164701 \h </w:instrText>
            </w:r>
            <w:r>
              <w:rPr>
                <w:noProof/>
                <w:webHidden/>
              </w:rPr>
            </w:r>
            <w:r>
              <w:rPr>
                <w:noProof/>
                <w:webHidden/>
              </w:rPr>
              <w:fldChar w:fldCharType="separate"/>
            </w:r>
            <w:r>
              <w:rPr>
                <w:noProof/>
                <w:webHidden/>
              </w:rPr>
              <w:t>8</w:t>
            </w:r>
            <w:r>
              <w:rPr>
                <w:noProof/>
                <w:webHidden/>
              </w:rPr>
              <w:fldChar w:fldCharType="end"/>
            </w:r>
          </w:hyperlink>
        </w:p>
        <w:p w14:paraId="737A2808" w14:textId="56D5F4AC" w:rsidR="00FA7BFE" w:rsidRDefault="00FA7BFE">
          <w:pPr>
            <w:pStyle w:val="TOC2"/>
            <w:tabs>
              <w:tab w:val="right" w:leader="dot" w:pos="9350"/>
            </w:tabs>
            <w:rPr>
              <w:rFonts w:asciiTheme="minorHAnsi" w:eastAsiaTheme="minorEastAsia" w:hAnsiTheme="minorHAnsi"/>
              <w:noProof/>
            </w:rPr>
          </w:pPr>
          <w:hyperlink w:anchor="_Toc224164702" w:history="1">
            <w:r w:rsidRPr="00140246">
              <w:rPr>
                <w:rStyle w:val="Hyperlink"/>
                <w:noProof/>
              </w:rPr>
              <w:t>Theme 2: Clinical quality and treatment optimisation</w:t>
            </w:r>
            <w:r>
              <w:rPr>
                <w:noProof/>
                <w:webHidden/>
              </w:rPr>
              <w:tab/>
            </w:r>
            <w:r>
              <w:rPr>
                <w:noProof/>
                <w:webHidden/>
              </w:rPr>
              <w:fldChar w:fldCharType="begin"/>
            </w:r>
            <w:r>
              <w:rPr>
                <w:noProof/>
                <w:webHidden/>
              </w:rPr>
              <w:instrText xml:space="preserve"> PAGEREF _Toc224164702 \h </w:instrText>
            </w:r>
            <w:r>
              <w:rPr>
                <w:noProof/>
                <w:webHidden/>
              </w:rPr>
            </w:r>
            <w:r>
              <w:rPr>
                <w:noProof/>
                <w:webHidden/>
              </w:rPr>
              <w:fldChar w:fldCharType="separate"/>
            </w:r>
            <w:r>
              <w:rPr>
                <w:noProof/>
                <w:webHidden/>
              </w:rPr>
              <w:t>9</w:t>
            </w:r>
            <w:r>
              <w:rPr>
                <w:noProof/>
                <w:webHidden/>
              </w:rPr>
              <w:fldChar w:fldCharType="end"/>
            </w:r>
          </w:hyperlink>
        </w:p>
        <w:p w14:paraId="305EBB7C" w14:textId="67128702" w:rsidR="00FA7BFE" w:rsidRDefault="00FA7BFE">
          <w:pPr>
            <w:pStyle w:val="TOC2"/>
            <w:tabs>
              <w:tab w:val="right" w:leader="dot" w:pos="9350"/>
            </w:tabs>
            <w:rPr>
              <w:rFonts w:asciiTheme="minorHAnsi" w:eastAsiaTheme="minorEastAsia" w:hAnsiTheme="minorHAnsi"/>
              <w:noProof/>
            </w:rPr>
          </w:pPr>
          <w:hyperlink w:anchor="_Toc224164703" w:history="1">
            <w:r w:rsidRPr="00140246">
              <w:rPr>
                <w:rStyle w:val="Hyperlink"/>
                <w:noProof/>
              </w:rPr>
              <w:t>Theme 3: Patient engagement and usability</w:t>
            </w:r>
            <w:r>
              <w:rPr>
                <w:noProof/>
                <w:webHidden/>
              </w:rPr>
              <w:tab/>
            </w:r>
            <w:r>
              <w:rPr>
                <w:noProof/>
                <w:webHidden/>
              </w:rPr>
              <w:fldChar w:fldCharType="begin"/>
            </w:r>
            <w:r>
              <w:rPr>
                <w:noProof/>
                <w:webHidden/>
              </w:rPr>
              <w:instrText xml:space="preserve"> PAGEREF _Toc224164703 \h </w:instrText>
            </w:r>
            <w:r>
              <w:rPr>
                <w:noProof/>
                <w:webHidden/>
              </w:rPr>
            </w:r>
            <w:r>
              <w:rPr>
                <w:noProof/>
                <w:webHidden/>
              </w:rPr>
              <w:fldChar w:fldCharType="separate"/>
            </w:r>
            <w:r>
              <w:rPr>
                <w:noProof/>
                <w:webHidden/>
              </w:rPr>
              <w:t>10</w:t>
            </w:r>
            <w:r>
              <w:rPr>
                <w:noProof/>
                <w:webHidden/>
              </w:rPr>
              <w:fldChar w:fldCharType="end"/>
            </w:r>
          </w:hyperlink>
        </w:p>
        <w:p w14:paraId="3D4B5233" w14:textId="3759D2A0" w:rsidR="00FA7BFE" w:rsidRDefault="00FA7BFE">
          <w:pPr>
            <w:pStyle w:val="TOC2"/>
            <w:tabs>
              <w:tab w:val="right" w:leader="dot" w:pos="9350"/>
            </w:tabs>
            <w:rPr>
              <w:rFonts w:asciiTheme="minorHAnsi" w:eastAsiaTheme="minorEastAsia" w:hAnsiTheme="minorHAnsi"/>
              <w:noProof/>
            </w:rPr>
          </w:pPr>
          <w:hyperlink w:anchor="_Toc224164704" w:history="1">
            <w:r w:rsidRPr="00140246">
              <w:rPr>
                <w:rStyle w:val="Hyperlink"/>
                <w:noProof/>
              </w:rPr>
              <w:t>Overall implications</w:t>
            </w:r>
            <w:r>
              <w:rPr>
                <w:noProof/>
                <w:webHidden/>
              </w:rPr>
              <w:tab/>
            </w:r>
            <w:r>
              <w:rPr>
                <w:noProof/>
                <w:webHidden/>
              </w:rPr>
              <w:fldChar w:fldCharType="begin"/>
            </w:r>
            <w:r>
              <w:rPr>
                <w:noProof/>
                <w:webHidden/>
              </w:rPr>
              <w:instrText xml:space="preserve"> PAGEREF _Toc224164704 \h </w:instrText>
            </w:r>
            <w:r>
              <w:rPr>
                <w:noProof/>
                <w:webHidden/>
              </w:rPr>
            </w:r>
            <w:r>
              <w:rPr>
                <w:noProof/>
                <w:webHidden/>
              </w:rPr>
              <w:fldChar w:fldCharType="separate"/>
            </w:r>
            <w:r>
              <w:rPr>
                <w:noProof/>
                <w:webHidden/>
              </w:rPr>
              <w:t>11</w:t>
            </w:r>
            <w:r>
              <w:rPr>
                <w:noProof/>
                <w:webHidden/>
              </w:rPr>
              <w:fldChar w:fldCharType="end"/>
            </w:r>
          </w:hyperlink>
        </w:p>
        <w:p w14:paraId="0D9D3351" w14:textId="5F04C5F9" w:rsidR="00FA7BFE" w:rsidRDefault="00FA7BFE">
          <w:pPr>
            <w:pStyle w:val="TOC1"/>
            <w:tabs>
              <w:tab w:val="right" w:leader="dot" w:pos="9350"/>
            </w:tabs>
            <w:rPr>
              <w:rFonts w:asciiTheme="minorHAnsi" w:eastAsiaTheme="minorEastAsia" w:hAnsiTheme="minorHAnsi"/>
              <w:noProof/>
            </w:rPr>
          </w:pPr>
          <w:hyperlink w:anchor="_Toc224164705" w:history="1">
            <w:r w:rsidRPr="00140246">
              <w:rPr>
                <w:rStyle w:val="Hyperlink"/>
                <w:noProof/>
              </w:rPr>
              <w:t>Conclusion and Recommendations</w:t>
            </w:r>
            <w:r>
              <w:rPr>
                <w:noProof/>
                <w:webHidden/>
              </w:rPr>
              <w:tab/>
            </w:r>
            <w:r>
              <w:rPr>
                <w:noProof/>
                <w:webHidden/>
              </w:rPr>
              <w:fldChar w:fldCharType="begin"/>
            </w:r>
            <w:r>
              <w:rPr>
                <w:noProof/>
                <w:webHidden/>
              </w:rPr>
              <w:instrText xml:space="preserve"> PAGEREF _Toc224164705 \h </w:instrText>
            </w:r>
            <w:r>
              <w:rPr>
                <w:noProof/>
                <w:webHidden/>
              </w:rPr>
            </w:r>
            <w:r>
              <w:rPr>
                <w:noProof/>
                <w:webHidden/>
              </w:rPr>
              <w:fldChar w:fldCharType="separate"/>
            </w:r>
            <w:r>
              <w:rPr>
                <w:noProof/>
                <w:webHidden/>
              </w:rPr>
              <w:t>12</w:t>
            </w:r>
            <w:r>
              <w:rPr>
                <w:noProof/>
                <w:webHidden/>
              </w:rPr>
              <w:fldChar w:fldCharType="end"/>
            </w:r>
          </w:hyperlink>
        </w:p>
        <w:p w14:paraId="62C65429" w14:textId="0EADEB62" w:rsidR="00FA7BFE" w:rsidRDefault="00FA7BFE">
          <w:pPr>
            <w:pStyle w:val="TOC1"/>
            <w:tabs>
              <w:tab w:val="right" w:leader="dot" w:pos="9350"/>
            </w:tabs>
            <w:rPr>
              <w:rFonts w:asciiTheme="minorHAnsi" w:eastAsiaTheme="minorEastAsia" w:hAnsiTheme="minorHAnsi"/>
              <w:noProof/>
            </w:rPr>
          </w:pPr>
          <w:hyperlink w:anchor="_Toc224164706" w:history="1">
            <w:r w:rsidRPr="00140246">
              <w:rPr>
                <w:rStyle w:val="Hyperlink"/>
                <w:noProof/>
              </w:rPr>
              <w:t>Reference list</w:t>
            </w:r>
            <w:r>
              <w:rPr>
                <w:noProof/>
                <w:webHidden/>
              </w:rPr>
              <w:tab/>
            </w:r>
            <w:r>
              <w:rPr>
                <w:noProof/>
                <w:webHidden/>
              </w:rPr>
              <w:fldChar w:fldCharType="begin"/>
            </w:r>
            <w:r>
              <w:rPr>
                <w:noProof/>
                <w:webHidden/>
              </w:rPr>
              <w:instrText xml:space="preserve"> PAGEREF _Toc224164706 \h </w:instrText>
            </w:r>
            <w:r>
              <w:rPr>
                <w:noProof/>
                <w:webHidden/>
              </w:rPr>
            </w:r>
            <w:r>
              <w:rPr>
                <w:noProof/>
                <w:webHidden/>
              </w:rPr>
              <w:fldChar w:fldCharType="separate"/>
            </w:r>
            <w:r>
              <w:rPr>
                <w:noProof/>
                <w:webHidden/>
              </w:rPr>
              <w:t>13</w:t>
            </w:r>
            <w:r>
              <w:rPr>
                <w:noProof/>
                <w:webHidden/>
              </w:rPr>
              <w:fldChar w:fldCharType="end"/>
            </w:r>
          </w:hyperlink>
        </w:p>
        <w:p w14:paraId="1682F45A" w14:textId="6D978966" w:rsidR="00AC447D" w:rsidRDefault="00AC447D">
          <w:r>
            <w:rPr>
              <w:b/>
              <w:bCs/>
              <w:noProof/>
            </w:rPr>
            <w:fldChar w:fldCharType="end"/>
          </w:r>
        </w:p>
      </w:sdtContent>
    </w:sdt>
    <w:p w14:paraId="174A2613" w14:textId="77777777" w:rsidR="00AC447D" w:rsidRDefault="00AC447D" w:rsidP="00AC447D"/>
    <w:p w14:paraId="553251F8" w14:textId="77777777" w:rsidR="00AC447D" w:rsidRDefault="00AC447D">
      <w:pPr>
        <w:spacing w:line="278" w:lineRule="auto"/>
        <w:jc w:val="left"/>
        <w:rPr>
          <w:rFonts w:eastAsiaTheme="majorEastAsia" w:cstheme="majorBidi"/>
          <w:b/>
          <w:caps/>
          <w:szCs w:val="40"/>
        </w:rPr>
      </w:pPr>
      <w:r>
        <w:br w:type="page"/>
      </w:r>
    </w:p>
    <w:p w14:paraId="203B742C" w14:textId="58A536C0" w:rsidR="00AC447D" w:rsidRPr="00AC447D" w:rsidRDefault="00AC447D" w:rsidP="00AC447D">
      <w:pPr>
        <w:pStyle w:val="Heading1"/>
      </w:pPr>
      <w:bookmarkStart w:id="0" w:name="_Toc224164692"/>
      <w:r w:rsidRPr="00AC447D">
        <w:lastRenderedPageBreak/>
        <w:t>Introduction</w:t>
      </w:r>
      <w:bookmarkEnd w:id="0"/>
    </w:p>
    <w:p w14:paraId="5EAE4C26" w14:textId="77777777" w:rsidR="00FA7BFE" w:rsidRDefault="00AC447D" w:rsidP="00FA7BFE">
      <w:r w:rsidRPr="00AC447D">
        <w:t xml:space="preserve">Digital health technologies are used to support the delivery, </w:t>
      </w:r>
      <w:proofErr w:type="spellStart"/>
      <w:r w:rsidRPr="00AC447D">
        <w:t>organisation</w:t>
      </w:r>
      <w:proofErr w:type="spellEnd"/>
      <w:r w:rsidRPr="00AC447D">
        <w:t xml:space="preserve"> and experience of healthcare services. </w:t>
      </w:r>
      <w:r w:rsidR="00FA7BFE">
        <w:t>Digital health may be considered as the adoption of digital devices like telehealth, electronic health records, remote monitoring and mobile health apps to enhance health outcomes and health system efficiency (World Health Organization, 2021). The technologies are commonly associated with more extensive healthcare objectives like enhanced access to services, enhanced continuity of care and patient-</w:t>
      </w:r>
      <w:proofErr w:type="spellStart"/>
      <w:r w:rsidR="00FA7BFE">
        <w:t>centred</w:t>
      </w:r>
      <w:proofErr w:type="spellEnd"/>
      <w:r w:rsidR="00FA7BFE">
        <w:t xml:space="preserve"> practice. The concept of patient care can be described as the prevention, treatment, and management of disease and the preservation of physical and emotional health in the form of relationships between the healthcare professional and the patient. Patient care is thus a priority policy in the contemporary health systems. Indicatively, plans on digital transformation in England focus on technological application to provide safer, faster and more </w:t>
      </w:r>
      <w:proofErr w:type="spellStart"/>
      <w:r w:rsidR="00FA7BFE">
        <w:t>personalised</w:t>
      </w:r>
      <w:proofErr w:type="spellEnd"/>
      <w:r w:rsidR="00FA7BFE">
        <w:t xml:space="preserve"> care services (Department of Health and Social Care, 2022).</w:t>
      </w:r>
    </w:p>
    <w:p w14:paraId="7593A616" w14:textId="5FAC2AA4" w:rsidR="00FA7BFE" w:rsidRPr="00AC447D" w:rsidRDefault="00FA7BFE" w:rsidP="00FA7BFE">
      <w:r>
        <w:t>Although the use of digital tools rapidly grows, the question of the effectiveness of these technologies to support patient care in various clinical settings remains unclear. It has been proposed that digital health can help in the treatment management, monitoring and communication although some studies raise issues regarding the usability, equity, data protection and clinical effectiveness. This heterogeneity suggests that it is necessary to map the existing research evidence to be aware of the major patterns and knowledge gaps of the literature. The scoping literature review is thus suitable since it facilitates the detection of key themes and areas of consensus and gap areas that need additional research. Through investigation of existing peer-reviewed studies, this review endeavors to present a systematic insight on the role of digital health technologies in improving patient care and additional research or policy formulation that may be required.</w:t>
      </w:r>
    </w:p>
    <w:p w14:paraId="46DE3ECE" w14:textId="77777777" w:rsidR="00AC447D" w:rsidRPr="00AC447D" w:rsidRDefault="00AC447D" w:rsidP="00AC447D">
      <w:pPr>
        <w:pStyle w:val="Heading2"/>
      </w:pPr>
      <w:bookmarkStart w:id="1" w:name="_Toc224164693"/>
      <w:r w:rsidRPr="00AC447D">
        <w:t>Review Question</w:t>
      </w:r>
      <w:bookmarkEnd w:id="1"/>
    </w:p>
    <w:p w14:paraId="571C3FCC" w14:textId="5AFC15CB" w:rsidR="00AC447D" w:rsidRPr="00AC447D" w:rsidRDefault="00AC447D" w:rsidP="00AC447D">
      <w:r w:rsidRPr="00AC447D">
        <w:t>Which are the main themes and gaps in evidence of the use of digital health technologies to enhance patient care as defined by the current peer-reviewed literature?</w:t>
      </w:r>
    </w:p>
    <w:p w14:paraId="71C86294" w14:textId="77777777" w:rsidR="00AC447D" w:rsidRPr="00AC447D" w:rsidRDefault="00AC447D" w:rsidP="00AC447D">
      <w:pPr>
        <w:pStyle w:val="Heading2"/>
      </w:pPr>
      <w:bookmarkStart w:id="2" w:name="_Toc224164694"/>
      <w:r w:rsidRPr="00AC447D">
        <w:lastRenderedPageBreak/>
        <w:t>Objectives</w:t>
      </w:r>
      <w:bookmarkEnd w:id="2"/>
    </w:p>
    <w:p w14:paraId="7F6D6582" w14:textId="77777777" w:rsidR="00AC447D" w:rsidRDefault="00AC447D" w:rsidP="00AC447D">
      <w:pPr>
        <w:pStyle w:val="ListParagraph"/>
        <w:numPr>
          <w:ilvl w:val="0"/>
          <w:numId w:val="3"/>
        </w:numPr>
      </w:pPr>
      <w:r w:rsidRPr="00AC447D">
        <w:t>To find and rank important themes in the literature on the use and effect of digital health technologies.</w:t>
      </w:r>
    </w:p>
    <w:p w14:paraId="19B32BD1" w14:textId="0E0A00A9" w:rsidR="00AC447D" w:rsidRDefault="00AC447D" w:rsidP="00AC447D">
      <w:pPr>
        <w:pStyle w:val="ListParagraph"/>
        <w:numPr>
          <w:ilvl w:val="0"/>
          <w:numId w:val="3"/>
        </w:numPr>
      </w:pPr>
      <w:r w:rsidRPr="00AC447D">
        <w:t>To identify unmet evidence, especially regarding the quality of methodology and ethical aspects.</w:t>
      </w:r>
    </w:p>
    <w:p w14:paraId="2F7AB011" w14:textId="3D87B18C" w:rsidR="00AC447D" w:rsidRPr="00AC447D" w:rsidRDefault="00AC447D" w:rsidP="00AC447D">
      <w:pPr>
        <w:pStyle w:val="ListParagraph"/>
        <w:numPr>
          <w:ilvl w:val="0"/>
          <w:numId w:val="3"/>
        </w:numPr>
      </w:pPr>
      <w:r w:rsidRPr="00AC447D">
        <w:t>To offer some insight into the practical use and suggestions to use in healthcare settings.</w:t>
      </w:r>
    </w:p>
    <w:p w14:paraId="0AC18A2F" w14:textId="419A03DD" w:rsidR="00AF25C0" w:rsidRPr="00AF25C0" w:rsidRDefault="00AF25C0" w:rsidP="00AC447D">
      <w:pPr>
        <w:pStyle w:val="Heading1"/>
      </w:pPr>
      <w:bookmarkStart w:id="3" w:name="_Toc224164695"/>
      <w:r w:rsidRPr="00AF25C0">
        <w:t>Background</w:t>
      </w:r>
      <w:bookmarkEnd w:id="3"/>
    </w:p>
    <w:p w14:paraId="13E7F5F9" w14:textId="77777777" w:rsidR="00FA7BFE" w:rsidRDefault="00FA7BFE" w:rsidP="00FA7BFE">
      <w:r>
        <w:t>The definition of digital health offered by the World Health Organization covers the application of digital technologies to enhance health and health-care, and, however, clarifies that technology must serve health-system objectives, not be a goal itself (World Health Organization, 2021). This aspect is significant to the current review as it is not merely the distribution of digital instruments, but their provision of patient care. Similar trend may be observed in the 10 Year Health Plan for England, where a significant transformation between the analogue and the digital world has been outlined as part of wider health sector change (UK Government, 2025).</w:t>
      </w:r>
    </w:p>
    <w:p w14:paraId="44D41844" w14:textId="77777777" w:rsidR="00FA7BFE" w:rsidRDefault="00FA7BFE" w:rsidP="00FA7BFE">
      <w:r>
        <w:t xml:space="preserve">This change of policy is also significantly associated with the increase in the demand of care that transcends the traditional hospital environment. According to A plan for digital health and social care, the Department of Health and Social Care states that services would become more </w:t>
      </w:r>
      <w:proofErr w:type="spellStart"/>
      <w:r>
        <w:t>personalised</w:t>
      </w:r>
      <w:proofErr w:type="spellEnd"/>
      <w:r>
        <w:t xml:space="preserve">, efficient and connected by using digital systems in a better way (Department of Health and Social Care, 2022a). One of the services that reflect this ambition in NHS practice is virtual wards, in which patients can monitor themselves and receive treatment at home, but with clinical supervision by professionals (NHS England, 2024). The previously mentioned NHS England guide on the virtual wards is also evidence that remote monitoring should be used to help in timely detecting deterioration and prompt clinical response, which is directly connected with patient care improvement in that remote monitoring is supposed to minimize unnecessary harm and enable patients to stay in their natural setting (NHS England, 2021). Altogether, the policies mentioned above imply that the digital health is not only used to </w:t>
      </w:r>
      <w:proofErr w:type="spellStart"/>
      <w:r>
        <w:t>modernise</w:t>
      </w:r>
      <w:proofErr w:type="spellEnd"/>
      <w:r>
        <w:t xml:space="preserve"> the systems, but enhance continuity, convenience and safety in daily care.</w:t>
      </w:r>
    </w:p>
    <w:p w14:paraId="17B3B522" w14:textId="77777777" w:rsidR="00FA7BFE" w:rsidRDefault="00FA7BFE" w:rsidP="00FA7BFE">
      <w:r>
        <w:lastRenderedPageBreak/>
        <w:t>Nonetheless, the official advice also demonstrates that not every digital technology can be handled in a similar manner. According to NICE, Evidence Standards Framework of Digital Health Technologies, different levels of evidence needed can be determined by the role and risk of the technology as a simple administrative app does not have the same implications to patient care when compared to a monitoring tool or a decision-support system (NICE, 2022). This is a key argument since it refocuses on clinical value, as opposed to novelty. This issue is also present in the MHRA guidance on software and artificial intelligence as a medical device, according to which some digital products are subject to regulation since they directly affect diagnosis, monitoring or treatment and, as a result, may have a direct impact on the safety of patients (Medicines and Healthcare products Regulatory Agency, 2025). These two sources are closely connected since both indicate that digital health could only benefit patients care in case its use and regulation are evidence-based and it is applied to the purposes that are clinically safe.</w:t>
      </w:r>
    </w:p>
    <w:p w14:paraId="15600A0E" w14:textId="64389751" w:rsidR="00FA7BFE" w:rsidRPr="00AF25C0" w:rsidRDefault="00FA7BFE" w:rsidP="00FA7BFE">
      <w:r>
        <w:t xml:space="preserve">The other important problem is the issue of data. Digital health relies on the gathering, dissemination and utilization of data on patients, and advancement in care is strongly linked with the quality of data systems functioning. The government strategy on Data saves lives shows the use of health data as a priority to enhance care and provide planning services and innovation and emphasizes that the use of data should be trusted, transparent and secure (Department of Health and Social Care, 2022b). This is directly related to legal safeguards by the Data Protection Act 2018 which categorizes health information as sensitive data that needs extra security protection (HM Government, 2018). The guidance on ICO further elaborates that </w:t>
      </w:r>
      <w:proofErr w:type="spellStart"/>
      <w:r>
        <w:t>organisations</w:t>
      </w:r>
      <w:proofErr w:type="spellEnd"/>
      <w:r>
        <w:t xml:space="preserve"> that handle health data should find a legitimate purpose and fulfil the requirements of special category data (Information Commissioner’s Office, 2026). The correlation between these sources is significant since digital health cannot aid in enhancing patient care without the trust of the patient and the professionals in privacy and confidentiality. Confidence in data utilization is not detached to care quality, though; it falls under the conditions that enable the functional operation of digital care.</w:t>
      </w:r>
    </w:p>
    <w:p w14:paraId="11B84889" w14:textId="3E2F471B" w:rsidR="00677FE4" w:rsidRPr="00AC447D" w:rsidRDefault="00677FE4" w:rsidP="00AC447D">
      <w:pPr>
        <w:pStyle w:val="Heading1"/>
      </w:pPr>
      <w:bookmarkStart w:id="4" w:name="_Toc224164696"/>
      <w:r w:rsidRPr="00677FE4">
        <w:lastRenderedPageBreak/>
        <w:t>Methods</w:t>
      </w:r>
      <w:bookmarkEnd w:id="4"/>
    </w:p>
    <w:p w14:paraId="4AE18C05" w14:textId="55C80E58" w:rsidR="00FA7BFE" w:rsidRPr="00677FE4" w:rsidRDefault="00FA7BFE" w:rsidP="00677FE4">
      <w:r w:rsidRPr="00FA7BFE">
        <w:t>The current research applied a scoping review technique to understand the use of digital health technologies to enhance patient care. The scoping review was appropriate as the topic is wide and encompasses various classes of technologies, patient groups and clinical setting. In this method, the current research is mapped, and repeated themes are identified and gaps in the evidence are indicated instead of quantifying the impact of a particular intervention (Arksey and O’Malley, 2005). Another theory used to conduct the review was the simplified thematic approach used by Aveyard, which advocates the grouping of findings into distinct themes to address the research question (Aveyard and Bradbury-Jones, 2019).</w:t>
      </w:r>
    </w:p>
    <w:p w14:paraId="162D3DC2" w14:textId="77777777" w:rsidR="00677FE4" w:rsidRPr="00677FE4" w:rsidRDefault="00677FE4" w:rsidP="00AC447D">
      <w:pPr>
        <w:pStyle w:val="Heading2"/>
      </w:pPr>
      <w:bookmarkStart w:id="5" w:name="_Toc224164697"/>
      <w:r w:rsidRPr="00677FE4">
        <w:t xml:space="preserve">Data </w:t>
      </w:r>
      <w:r w:rsidRPr="00AC447D">
        <w:t>collection</w:t>
      </w:r>
      <w:bookmarkEnd w:id="5"/>
    </w:p>
    <w:p w14:paraId="60A6EAD4" w14:textId="715657E8" w:rsidR="00677FE4" w:rsidRPr="00677FE4" w:rsidRDefault="00FA7BFE" w:rsidP="00677FE4">
      <w:r w:rsidRPr="00FA7BFE">
        <w:t>The search of the literature was done in PubMed, which is one of the most popular biomedical databases that offer access to peer-reviewed health research. Though the offer gave a time frame of the search of the past 10 years, the final studies included were the most recent primary researches over this period.</w:t>
      </w:r>
      <w:r>
        <w:t xml:space="preserve"> </w:t>
      </w:r>
      <w:r w:rsidR="00677FE4" w:rsidRPr="00677FE4">
        <w:t>The search used combinations of key terms such as “digital health,” telehealth, telemedicine, “remote patient monitoring,” “patient portal,” “electronic health record,” “patient care,” and “health outcomes.” Boolean operators were used to combine these terms and narrow the results to relevant studies.</w:t>
      </w:r>
    </w:p>
    <w:p w14:paraId="0EE4A537" w14:textId="4EB57385" w:rsidR="00AC447D" w:rsidRDefault="00AC447D" w:rsidP="00AC447D">
      <w:pPr>
        <w:pStyle w:val="Caption"/>
        <w:keepNext/>
        <w:jc w:val="center"/>
      </w:pPr>
      <w:r>
        <w:t xml:space="preserve">Table </w:t>
      </w:r>
      <w:fldSimple w:instr=" SEQ Table \* ARABIC ">
        <w:r>
          <w:rPr>
            <w:noProof/>
          </w:rPr>
          <w:t>1</w:t>
        </w:r>
      </w:fldSimple>
      <w:r>
        <w:t>: Inclusion and Exclusion Criteria</w:t>
      </w:r>
    </w:p>
    <w:tbl>
      <w:tblPr>
        <w:tblStyle w:val="TableGrid"/>
        <w:tblW w:w="5000" w:type="pct"/>
        <w:tblLook w:val="04A0" w:firstRow="1" w:lastRow="0" w:firstColumn="1" w:lastColumn="0" w:noHBand="0" w:noVBand="1"/>
      </w:tblPr>
      <w:tblGrid>
        <w:gridCol w:w="4589"/>
        <w:gridCol w:w="4761"/>
      </w:tblGrid>
      <w:tr w:rsidR="00677FE4" w:rsidRPr="006E49F6" w14:paraId="32CF980B" w14:textId="77777777" w:rsidTr="00AC447D">
        <w:trPr>
          <w:trHeight w:val="300"/>
        </w:trPr>
        <w:tc>
          <w:tcPr>
            <w:tcW w:w="2454" w:type="pct"/>
            <w:noWrap/>
            <w:hideMark/>
          </w:tcPr>
          <w:p w14:paraId="520ABBDE" w14:textId="77777777" w:rsidR="00677FE4" w:rsidRPr="006E49F6" w:rsidRDefault="00677FE4" w:rsidP="006E49F6">
            <w:pPr>
              <w:spacing w:line="276" w:lineRule="auto"/>
              <w:jc w:val="center"/>
              <w:rPr>
                <w:b/>
                <w:bCs/>
                <w:sz w:val="22"/>
                <w:szCs w:val="22"/>
              </w:rPr>
            </w:pPr>
            <w:r w:rsidRPr="006E49F6">
              <w:rPr>
                <w:b/>
                <w:bCs/>
                <w:sz w:val="22"/>
                <w:szCs w:val="22"/>
              </w:rPr>
              <w:t>Inclusion criteria</w:t>
            </w:r>
          </w:p>
        </w:tc>
        <w:tc>
          <w:tcPr>
            <w:tcW w:w="2546" w:type="pct"/>
            <w:noWrap/>
            <w:hideMark/>
          </w:tcPr>
          <w:p w14:paraId="00D6282B" w14:textId="77777777" w:rsidR="00677FE4" w:rsidRPr="006E49F6" w:rsidRDefault="00677FE4" w:rsidP="006E49F6">
            <w:pPr>
              <w:spacing w:line="276" w:lineRule="auto"/>
              <w:jc w:val="center"/>
              <w:rPr>
                <w:b/>
                <w:bCs/>
                <w:sz w:val="22"/>
                <w:szCs w:val="22"/>
              </w:rPr>
            </w:pPr>
            <w:r w:rsidRPr="006E49F6">
              <w:rPr>
                <w:b/>
                <w:bCs/>
                <w:sz w:val="22"/>
                <w:szCs w:val="22"/>
              </w:rPr>
              <w:t>Exclusion criteria</w:t>
            </w:r>
          </w:p>
        </w:tc>
      </w:tr>
      <w:tr w:rsidR="00677FE4" w:rsidRPr="006E49F6" w14:paraId="4E075839" w14:textId="77777777" w:rsidTr="00AC447D">
        <w:trPr>
          <w:trHeight w:val="300"/>
        </w:trPr>
        <w:tc>
          <w:tcPr>
            <w:tcW w:w="2454" w:type="pct"/>
            <w:noWrap/>
            <w:hideMark/>
          </w:tcPr>
          <w:p w14:paraId="6108AE18" w14:textId="77777777" w:rsidR="00677FE4" w:rsidRPr="006E49F6" w:rsidRDefault="00677FE4" w:rsidP="006E49F6">
            <w:pPr>
              <w:spacing w:line="276" w:lineRule="auto"/>
              <w:rPr>
                <w:sz w:val="22"/>
                <w:szCs w:val="22"/>
              </w:rPr>
            </w:pPr>
            <w:r w:rsidRPr="006E49F6">
              <w:rPr>
                <w:sz w:val="22"/>
                <w:szCs w:val="22"/>
              </w:rPr>
              <w:t>Peer-reviewed primary studies</w:t>
            </w:r>
          </w:p>
        </w:tc>
        <w:tc>
          <w:tcPr>
            <w:tcW w:w="2546" w:type="pct"/>
            <w:noWrap/>
            <w:hideMark/>
          </w:tcPr>
          <w:p w14:paraId="250BBABB" w14:textId="77777777" w:rsidR="00677FE4" w:rsidRPr="006E49F6" w:rsidRDefault="00677FE4" w:rsidP="006E49F6">
            <w:pPr>
              <w:spacing w:line="276" w:lineRule="auto"/>
              <w:rPr>
                <w:sz w:val="22"/>
                <w:szCs w:val="22"/>
              </w:rPr>
            </w:pPr>
            <w:r w:rsidRPr="006E49F6">
              <w:rPr>
                <w:sz w:val="22"/>
                <w:szCs w:val="22"/>
              </w:rPr>
              <w:t>Reviews, editorials, protocols</w:t>
            </w:r>
          </w:p>
        </w:tc>
      </w:tr>
      <w:tr w:rsidR="00677FE4" w:rsidRPr="006E49F6" w14:paraId="56C04F53" w14:textId="77777777" w:rsidTr="00AC447D">
        <w:trPr>
          <w:trHeight w:val="300"/>
        </w:trPr>
        <w:tc>
          <w:tcPr>
            <w:tcW w:w="2454" w:type="pct"/>
            <w:noWrap/>
            <w:hideMark/>
          </w:tcPr>
          <w:p w14:paraId="0AD056B5" w14:textId="77777777" w:rsidR="00677FE4" w:rsidRPr="006E49F6" w:rsidRDefault="00677FE4" w:rsidP="006E49F6">
            <w:pPr>
              <w:spacing w:line="276" w:lineRule="auto"/>
              <w:rPr>
                <w:sz w:val="22"/>
                <w:szCs w:val="22"/>
              </w:rPr>
            </w:pPr>
            <w:r w:rsidRPr="006E49F6">
              <w:rPr>
                <w:sz w:val="22"/>
                <w:szCs w:val="22"/>
              </w:rPr>
              <w:t>Published within the last 10 years</w:t>
            </w:r>
          </w:p>
        </w:tc>
        <w:tc>
          <w:tcPr>
            <w:tcW w:w="2546" w:type="pct"/>
            <w:noWrap/>
            <w:hideMark/>
          </w:tcPr>
          <w:p w14:paraId="759B029E" w14:textId="77777777" w:rsidR="00677FE4" w:rsidRPr="006E49F6" w:rsidRDefault="00677FE4" w:rsidP="006E49F6">
            <w:pPr>
              <w:spacing w:line="276" w:lineRule="auto"/>
              <w:rPr>
                <w:sz w:val="22"/>
                <w:szCs w:val="22"/>
              </w:rPr>
            </w:pPr>
            <w:r w:rsidRPr="006E49F6">
              <w:rPr>
                <w:sz w:val="22"/>
                <w:szCs w:val="22"/>
              </w:rPr>
              <w:t>Studies outside the timeframe</w:t>
            </w:r>
          </w:p>
        </w:tc>
      </w:tr>
      <w:tr w:rsidR="00677FE4" w:rsidRPr="006E49F6" w14:paraId="367E79CE" w14:textId="77777777" w:rsidTr="00AC447D">
        <w:trPr>
          <w:trHeight w:val="300"/>
        </w:trPr>
        <w:tc>
          <w:tcPr>
            <w:tcW w:w="2454" w:type="pct"/>
            <w:noWrap/>
            <w:hideMark/>
          </w:tcPr>
          <w:p w14:paraId="2AAFFA98" w14:textId="77777777" w:rsidR="00677FE4" w:rsidRPr="006E49F6" w:rsidRDefault="00677FE4" w:rsidP="006E49F6">
            <w:pPr>
              <w:spacing w:line="276" w:lineRule="auto"/>
              <w:rPr>
                <w:sz w:val="22"/>
                <w:szCs w:val="22"/>
              </w:rPr>
            </w:pPr>
            <w:r w:rsidRPr="006E49F6">
              <w:rPr>
                <w:sz w:val="22"/>
                <w:szCs w:val="22"/>
              </w:rPr>
              <w:t>English language</w:t>
            </w:r>
          </w:p>
        </w:tc>
        <w:tc>
          <w:tcPr>
            <w:tcW w:w="2546" w:type="pct"/>
            <w:noWrap/>
            <w:hideMark/>
          </w:tcPr>
          <w:p w14:paraId="3C2D7216" w14:textId="77777777" w:rsidR="00677FE4" w:rsidRPr="006E49F6" w:rsidRDefault="00677FE4" w:rsidP="006E49F6">
            <w:pPr>
              <w:spacing w:line="276" w:lineRule="auto"/>
              <w:rPr>
                <w:sz w:val="22"/>
                <w:szCs w:val="22"/>
              </w:rPr>
            </w:pPr>
            <w:r w:rsidRPr="006E49F6">
              <w:rPr>
                <w:sz w:val="22"/>
                <w:szCs w:val="22"/>
              </w:rPr>
              <w:t>Non-English articles</w:t>
            </w:r>
          </w:p>
        </w:tc>
      </w:tr>
      <w:tr w:rsidR="00677FE4" w:rsidRPr="006E49F6" w14:paraId="05EF5727" w14:textId="77777777" w:rsidTr="00AC447D">
        <w:trPr>
          <w:trHeight w:val="300"/>
        </w:trPr>
        <w:tc>
          <w:tcPr>
            <w:tcW w:w="2454" w:type="pct"/>
            <w:noWrap/>
            <w:hideMark/>
          </w:tcPr>
          <w:p w14:paraId="2D139613" w14:textId="77777777" w:rsidR="00677FE4" w:rsidRPr="006E49F6" w:rsidRDefault="00677FE4" w:rsidP="006E49F6">
            <w:pPr>
              <w:spacing w:line="276" w:lineRule="auto"/>
              <w:rPr>
                <w:sz w:val="22"/>
                <w:szCs w:val="22"/>
              </w:rPr>
            </w:pPr>
            <w:r w:rsidRPr="006E49F6">
              <w:rPr>
                <w:sz w:val="22"/>
                <w:szCs w:val="22"/>
              </w:rPr>
              <w:t>Focus on digital health in patient care</w:t>
            </w:r>
          </w:p>
        </w:tc>
        <w:tc>
          <w:tcPr>
            <w:tcW w:w="2546" w:type="pct"/>
            <w:noWrap/>
            <w:hideMark/>
          </w:tcPr>
          <w:p w14:paraId="63712041" w14:textId="77777777" w:rsidR="00677FE4" w:rsidRPr="006E49F6" w:rsidRDefault="00677FE4" w:rsidP="006E49F6">
            <w:pPr>
              <w:spacing w:line="276" w:lineRule="auto"/>
              <w:rPr>
                <w:sz w:val="22"/>
                <w:szCs w:val="22"/>
              </w:rPr>
            </w:pPr>
            <w:r w:rsidRPr="006E49F6">
              <w:rPr>
                <w:sz w:val="22"/>
                <w:szCs w:val="22"/>
              </w:rPr>
              <w:t>Studies without patient-care outcomes</w:t>
            </w:r>
          </w:p>
        </w:tc>
      </w:tr>
    </w:tbl>
    <w:p w14:paraId="2075840D" w14:textId="77777777" w:rsidR="00677FE4" w:rsidRDefault="00677FE4" w:rsidP="00677FE4">
      <w:pPr>
        <w:rPr>
          <w:b/>
          <w:bCs/>
        </w:rPr>
      </w:pPr>
    </w:p>
    <w:p w14:paraId="31F0DF56" w14:textId="7EC29AAA" w:rsidR="00FA7BFE" w:rsidRPr="00677FE4" w:rsidRDefault="00FA7BFE" w:rsidP="00677FE4">
      <w:r w:rsidRPr="00FA7BFE">
        <w:t>The quality of the studies was regarded in terms of assessing the reputation of journals, appropriateness of the research design and the publication history of the authors in the digital health research. This was useful in assuring that only valid and pertinent studies were incorporated.</w:t>
      </w:r>
    </w:p>
    <w:p w14:paraId="29722959" w14:textId="77777777" w:rsidR="00677FE4" w:rsidRPr="00AC447D" w:rsidRDefault="00677FE4" w:rsidP="00AC447D">
      <w:pPr>
        <w:pStyle w:val="Heading2"/>
      </w:pPr>
      <w:bookmarkStart w:id="6" w:name="_Toc224164698"/>
      <w:r w:rsidRPr="00677FE4">
        <w:lastRenderedPageBreak/>
        <w:t>Data analysis</w:t>
      </w:r>
      <w:bookmarkEnd w:id="6"/>
    </w:p>
    <w:p w14:paraId="44CCE311" w14:textId="43BB1A30" w:rsidR="00FA7BFE" w:rsidRDefault="00FA7BFE" w:rsidP="00677FE4">
      <w:r w:rsidRPr="00FA7BFE">
        <w:t xml:space="preserve">The thematic analysis was employed to </w:t>
      </w:r>
      <w:proofErr w:type="spellStart"/>
      <w:r w:rsidRPr="00FA7BFE">
        <w:t>analyse</w:t>
      </w:r>
      <w:proofErr w:type="spellEnd"/>
      <w:r w:rsidRPr="00FA7BFE">
        <w:t xml:space="preserve"> studies included using the simplified method of Aveyard. Every study was reread a number of times in order to determine common trends in results. Similar concepts were clustered in a bid to come up with major themes that presented how digital health technologies affect patient care. This procedure led to the development of three major themes upon which the findings section of the review was organized.</w:t>
      </w:r>
    </w:p>
    <w:p w14:paraId="5895133F" w14:textId="4045D4A8" w:rsidR="00677FE4" w:rsidRDefault="00677FE4" w:rsidP="00AC447D">
      <w:pPr>
        <w:pStyle w:val="Heading1"/>
      </w:pPr>
      <w:bookmarkStart w:id="7" w:name="_Toc224164699"/>
      <w:r w:rsidRPr="00AC447D">
        <w:t>Findings</w:t>
      </w:r>
      <w:bookmarkEnd w:id="7"/>
    </w:p>
    <w:p w14:paraId="3D980C41" w14:textId="77777777" w:rsidR="00FA7BFE" w:rsidRDefault="00FA7BFE" w:rsidP="00FA7BFE">
      <w:r>
        <w:t>The scoping review incorporated five recent primary researches on the impact of digital health technologies on patient care in various clinical settings. In general, evidence indicates that the use of digital tools was primarily aimed at enhancing follow-up, treatment management, remote consultation and monitoring patients.</w:t>
      </w:r>
    </w:p>
    <w:p w14:paraId="21379D2C" w14:textId="0D1AE538" w:rsidR="00FA7BFE" w:rsidRDefault="00FA7BFE" w:rsidP="00FA7BFE">
      <w:r>
        <w:t xml:space="preserve">Cho et al. (2024) presented a quasi-experimental study that was a nationwide study to investigate the use of telehealth among hypertension and diabetes patients. The researchers concluded that telehealth was related to enhanced outpatient attendance and better medication ownership and prescribing trends. A </w:t>
      </w:r>
      <w:proofErr w:type="spellStart"/>
      <w:r>
        <w:t>randomised</w:t>
      </w:r>
      <w:proofErr w:type="spellEnd"/>
      <w:r>
        <w:t xml:space="preserve"> crossover study by Verma et al. (2023) on the topic of telemedicine in rural primary care found that there is a reasonable concordance in diagnoses and treatments between a remote and a face-to-face consultation, especially in chronic conditions, such as hypertension and diabetes. Man et al. (2024) reviewed the digital consults in heart-failure care using a </w:t>
      </w:r>
      <w:proofErr w:type="spellStart"/>
      <w:r>
        <w:t>multicentre</w:t>
      </w:r>
      <w:proofErr w:type="spellEnd"/>
      <w:r>
        <w:t xml:space="preserve"> </w:t>
      </w:r>
      <w:proofErr w:type="spellStart"/>
      <w:r>
        <w:t>randomised</w:t>
      </w:r>
      <w:proofErr w:type="spellEnd"/>
      <w:r>
        <w:t xml:space="preserve"> controlled trial. They found that intervention enhanced guideline-based medical treatment when patient-generated data and decision-support summaries were incorporated in the clinical workflow. In their study, Wathne et al. (2024) employed qualitative approaches to investigate the topic of nurse-assisted remote monitoring following hospital discharge and discovered that patient acceptability and usability were based on continuing professional engagement and support. Wiley et al. (2024) also reviewed electronic health-record data and found the results more timely updates of clinical information among patients who used a patient-portal than among those who did not.</w:t>
      </w:r>
    </w:p>
    <w:p w14:paraId="4591530A" w14:textId="59ACE620" w:rsidR="00AC447D" w:rsidRDefault="00AC447D" w:rsidP="00AC447D">
      <w:pPr>
        <w:pStyle w:val="Caption"/>
        <w:keepNext/>
        <w:jc w:val="center"/>
      </w:pPr>
      <w:r>
        <w:lastRenderedPageBreak/>
        <w:t xml:space="preserve">Table </w:t>
      </w:r>
      <w:fldSimple w:instr=" SEQ Table \* ARABIC ">
        <w:r>
          <w:rPr>
            <w:noProof/>
          </w:rPr>
          <w:t>2</w:t>
        </w:r>
      </w:fldSimple>
      <w:r>
        <w:t>: Thematic Analysis Table</w:t>
      </w:r>
    </w:p>
    <w:tbl>
      <w:tblPr>
        <w:tblStyle w:val="TableGrid"/>
        <w:tblW w:w="0" w:type="auto"/>
        <w:tblLook w:val="04A0" w:firstRow="1" w:lastRow="0" w:firstColumn="1" w:lastColumn="0" w:noHBand="0" w:noVBand="1"/>
      </w:tblPr>
      <w:tblGrid>
        <w:gridCol w:w="954"/>
        <w:gridCol w:w="2327"/>
        <w:gridCol w:w="4392"/>
        <w:gridCol w:w="1677"/>
      </w:tblGrid>
      <w:tr w:rsidR="00677FE4" w:rsidRPr="006E49F6" w14:paraId="6785F228" w14:textId="77777777" w:rsidTr="00677FE4">
        <w:trPr>
          <w:trHeight w:val="300"/>
        </w:trPr>
        <w:tc>
          <w:tcPr>
            <w:tcW w:w="835" w:type="dxa"/>
            <w:noWrap/>
            <w:hideMark/>
          </w:tcPr>
          <w:p w14:paraId="642D5CF3" w14:textId="77777777" w:rsidR="00677FE4" w:rsidRPr="006E49F6" w:rsidRDefault="00677FE4" w:rsidP="006E49F6">
            <w:pPr>
              <w:spacing w:line="276" w:lineRule="auto"/>
              <w:rPr>
                <w:b/>
                <w:bCs/>
                <w:sz w:val="22"/>
                <w:szCs w:val="22"/>
              </w:rPr>
            </w:pPr>
            <w:r w:rsidRPr="006E49F6">
              <w:rPr>
                <w:b/>
                <w:bCs/>
                <w:sz w:val="22"/>
                <w:szCs w:val="22"/>
              </w:rPr>
              <w:t>Study</w:t>
            </w:r>
          </w:p>
        </w:tc>
        <w:tc>
          <w:tcPr>
            <w:tcW w:w="2362" w:type="dxa"/>
            <w:noWrap/>
            <w:hideMark/>
          </w:tcPr>
          <w:p w14:paraId="3B53CFE3" w14:textId="77777777" w:rsidR="00677FE4" w:rsidRPr="006E49F6" w:rsidRDefault="00677FE4" w:rsidP="006E49F6">
            <w:pPr>
              <w:spacing w:line="276" w:lineRule="auto"/>
              <w:rPr>
                <w:b/>
                <w:bCs/>
                <w:sz w:val="22"/>
                <w:szCs w:val="22"/>
              </w:rPr>
            </w:pPr>
            <w:r w:rsidRPr="006E49F6">
              <w:rPr>
                <w:b/>
                <w:bCs/>
                <w:sz w:val="22"/>
                <w:szCs w:val="22"/>
              </w:rPr>
              <w:t>Design</w:t>
            </w:r>
          </w:p>
        </w:tc>
        <w:tc>
          <w:tcPr>
            <w:tcW w:w="4462" w:type="dxa"/>
            <w:noWrap/>
            <w:hideMark/>
          </w:tcPr>
          <w:p w14:paraId="195B09BD" w14:textId="77777777" w:rsidR="00677FE4" w:rsidRPr="006E49F6" w:rsidRDefault="00677FE4" w:rsidP="006E49F6">
            <w:pPr>
              <w:spacing w:line="276" w:lineRule="auto"/>
              <w:rPr>
                <w:b/>
                <w:bCs/>
                <w:sz w:val="22"/>
                <w:szCs w:val="22"/>
              </w:rPr>
            </w:pPr>
            <w:r w:rsidRPr="006E49F6">
              <w:rPr>
                <w:b/>
                <w:bCs/>
                <w:sz w:val="22"/>
                <w:szCs w:val="22"/>
              </w:rPr>
              <w:t>Key finding</w:t>
            </w:r>
          </w:p>
        </w:tc>
        <w:tc>
          <w:tcPr>
            <w:tcW w:w="1701" w:type="dxa"/>
            <w:noWrap/>
            <w:hideMark/>
          </w:tcPr>
          <w:p w14:paraId="54915C12" w14:textId="77777777" w:rsidR="00677FE4" w:rsidRPr="006E49F6" w:rsidRDefault="00677FE4" w:rsidP="006E49F6">
            <w:pPr>
              <w:spacing w:line="276" w:lineRule="auto"/>
              <w:rPr>
                <w:b/>
                <w:bCs/>
                <w:sz w:val="22"/>
                <w:szCs w:val="22"/>
              </w:rPr>
            </w:pPr>
            <w:r w:rsidRPr="006E49F6">
              <w:rPr>
                <w:b/>
                <w:bCs/>
                <w:sz w:val="22"/>
                <w:szCs w:val="22"/>
              </w:rPr>
              <w:t>Theme</w:t>
            </w:r>
          </w:p>
        </w:tc>
      </w:tr>
      <w:tr w:rsidR="00677FE4" w:rsidRPr="006E49F6" w14:paraId="10935172" w14:textId="77777777" w:rsidTr="00677FE4">
        <w:trPr>
          <w:trHeight w:val="300"/>
        </w:trPr>
        <w:tc>
          <w:tcPr>
            <w:tcW w:w="835" w:type="dxa"/>
            <w:noWrap/>
            <w:hideMark/>
          </w:tcPr>
          <w:p w14:paraId="18A7DDA6" w14:textId="77777777" w:rsidR="00677FE4" w:rsidRPr="006E49F6" w:rsidRDefault="00677FE4" w:rsidP="006E49F6">
            <w:pPr>
              <w:spacing w:line="276" w:lineRule="auto"/>
              <w:rPr>
                <w:sz w:val="22"/>
                <w:szCs w:val="22"/>
              </w:rPr>
            </w:pPr>
            <w:r w:rsidRPr="006E49F6">
              <w:rPr>
                <w:sz w:val="22"/>
                <w:szCs w:val="22"/>
              </w:rPr>
              <w:t xml:space="preserve">Man </w:t>
            </w:r>
            <w:r w:rsidRPr="006E49F6">
              <w:rPr>
                <w:i/>
                <w:iCs/>
                <w:sz w:val="22"/>
                <w:szCs w:val="22"/>
              </w:rPr>
              <w:t>et al</w:t>
            </w:r>
            <w:r w:rsidRPr="006E49F6">
              <w:rPr>
                <w:sz w:val="22"/>
                <w:szCs w:val="22"/>
              </w:rPr>
              <w:t>. (2024)</w:t>
            </w:r>
          </w:p>
        </w:tc>
        <w:tc>
          <w:tcPr>
            <w:tcW w:w="2362" w:type="dxa"/>
            <w:noWrap/>
            <w:hideMark/>
          </w:tcPr>
          <w:p w14:paraId="7AEED91B" w14:textId="77777777" w:rsidR="00677FE4" w:rsidRPr="006E49F6" w:rsidRDefault="00677FE4" w:rsidP="006E49F6">
            <w:pPr>
              <w:spacing w:line="276" w:lineRule="auto"/>
              <w:rPr>
                <w:sz w:val="22"/>
                <w:szCs w:val="22"/>
              </w:rPr>
            </w:pPr>
            <w:proofErr w:type="spellStart"/>
            <w:r w:rsidRPr="006E49F6">
              <w:rPr>
                <w:sz w:val="22"/>
                <w:szCs w:val="22"/>
              </w:rPr>
              <w:t>Multicentre</w:t>
            </w:r>
            <w:proofErr w:type="spellEnd"/>
            <w:r w:rsidRPr="006E49F6">
              <w:rPr>
                <w:sz w:val="22"/>
                <w:szCs w:val="22"/>
              </w:rPr>
              <w:t xml:space="preserve"> RCT, 150 heart failure patients</w:t>
            </w:r>
          </w:p>
        </w:tc>
        <w:tc>
          <w:tcPr>
            <w:tcW w:w="4462" w:type="dxa"/>
            <w:noWrap/>
            <w:hideMark/>
          </w:tcPr>
          <w:p w14:paraId="380BDCAA" w14:textId="77777777" w:rsidR="00677FE4" w:rsidRPr="006E49F6" w:rsidRDefault="00677FE4" w:rsidP="006E49F6">
            <w:pPr>
              <w:spacing w:line="276" w:lineRule="auto"/>
              <w:rPr>
                <w:sz w:val="22"/>
                <w:szCs w:val="22"/>
              </w:rPr>
            </w:pPr>
            <w:r w:rsidRPr="006E49F6">
              <w:rPr>
                <w:sz w:val="22"/>
                <w:szCs w:val="22"/>
              </w:rPr>
              <w:t>Digital consults improved guideline-directed medical therapy over 12 weeks compared with usual care</w:t>
            </w:r>
          </w:p>
        </w:tc>
        <w:tc>
          <w:tcPr>
            <w:tcW w:w="1701" w:type="dxa"/>
            <w:noWrap/>
            <w:hideMark/>
          </w:tcPr>
          <w:p w14:paraId="3A1D4957" w14:textId="77777777" w:rsidR="00677FE4" w:rsidRPr="006E49F6" w:rsidRDefault="00677FE4" w:rsidP="006E49F6">
            <w:pPr>
              <w:spacing w:line="276" w:lineRule="auto"/>
              <w:rPr>
                <w:sz w:val="22"/>
                <w:szCs w:val="22"/>
              </w:rPr>
            </w:pPr>
            <w:r w:rsidRPr="006E49F6">
              <w:rPr>
                <w:sz w:val="22"/>
                <w:szCs w:val="22"/>
              </w:rPr>
              <w:t xml:space="preserve">Clinical quality and treatment </w:t>
            </w:r>
            <w:proofErr w:type="spellStart"/>
            <w:r w:rsidRPr="006E49F6">
              <w:rPr>
                <w:sz w:val="22"/>
                <w:szCs w:val="22"/>
              </w:rPr>
              <w:t>optimisation</w:t>
            </w:r>
            <w:proofErr w:type="spellEnd"/>
          </w:p>
        </w:tc>
      </w:tr>
      <w:tr w:rsidR="00677FE4" w:rsidRPr="006E49F6" w14:paraId="6FEDF60C" w14:textId="77777777" w:rsidTr="00677FE4">
        <w:trPr>
          <w:trHeight w:val="300"/>
        </w:trPr>
        <w:tc>
          <w:tcPr>
            <w:tcW w:w="835" w:type="dxa"/>
            <w:noWrap/>
            <w:hideMark/>
          </w:tcPr>
          <w:p w14:paraId="7EA836C9" w14:textId="77777777" w:rsidR="00677FE4" w:rsidRPr="006E49F6" w:rsidRDefault="00677FE4" w:rsidP="006E49F6">
            <w:pPr>
              <w:spacing w:line="276" w:lineRule="auto"/>
              <w:rPr>
                <w:sz w:val="22"/>
                <w:szCs w:val="22"/>
              </w:rPr>
            </w:pPr>
            <w:r w:rsidRPr="006E49F6">
              <w:rPr>
                <w:sz w:val="22"/>
                <w:szCs w:val="22"/>
              </w:rPr>
              <w:t xml:space="preserve">Cho </w:t>
            </w:r>
            <w:r w:rsidRPr="006E49F6">
              <w:rPr>
                <w:i/>
                <w:iCs/>
                <w:sz w:val="22"/>
                <w:szCs w:val="22"/>
              </w:rPr>
              <w:t>et al</w:t>
            </w:r>
            <w:r w:rsidRPr="006E49F6">
              <w:rPr>
                <w:sz w:val="22"/>
                <w:szCs w:val="22"/>
              </w:rPr>
              <w:t>. (2024)</w:t>
            </w:r>
          </w:p>
        </w:tc>
        <w:tc>
          <w:tcPr>
            <w:tcW w:w="2362" w:type="dxa"/>
            <w:noWrap/>
            <w:hideMark/>
          </w:tcPr>
          <w:p w14:paraId="164ABBF3" w14:textId="77777777" w:rsidR="00677FE4" w:rsidRPr="006E49F6" w:rsidRDefault="00677FE4" w:rsidP="006E49F6">
            <w:pPr>
              <w:spacing w:line="276" w:lineRule="auto"/>
              <w:rPr>
                <w:sz w:val="22"/>
                <w:szCs w:val="22"/>
              </w:rPr>
            </w:pPr>
            <w:r w:rsidRPr="006E49F6">
              <w:rPr>
                <w:sz w:val="22"/>
                <w:szCs w:val="22"/>
              </w:rPr>
              <w:t>Nationwide difference-in-difference study using claims data</w:t>
            </w:r>
          </w:p>
        </w:tc>
        <w:tc>
          <w:tcPr>
            <w:tcW w:w="4462" w:type="dxa"/>
            <w:noWrap/>
            <w:hideMark/>
          </w:tcPr>
          <w:p w14:paraId="4C1927BA" w14:textId="77777777" w:rsidR="00677FE4" w:rsidRPr="006E49F6" w:rsidRDefault="00677FE4" w:rsidP="006E49F6">
            <w:pPr>
              <w:spacing w:line="276" w:lineRule="auto"/>
              <w:rPr>
                <w:sz w:val="22"/>
                <w:szCs w:val="22"/>
              </w:rPr>
            </w:pPr>
            <w:r w:rsidRPr="006E49F6">
              <w:rPr>
                <w:sz w:val="22"/>
                <w:szCs w:val="22"/>
              </w:rPr>
              <w:t>Telehealth was linked with more outpatient use, better medication possession, and more appropriate prescribing</w:t>
            </w:r>
          </w:p>
        </w:tc>
        <w:tc>
          <w:tcPr>
            <w:tcW w:w="1701" w:type="dxa"/>
            <w:noWrap/>
            <w:hideMark/>
          </w:tcPr>
          <w:p w14:paraId="7C15EB39" w14:textId="77777777" w:rsidR="00677FE4" w:rsidRPr="006E49F6" w:rsidRDefault="00677FE4" w:rsidP="006E49F6">
            <w:pPr>
              <w:spacing w:line="276" w:lineRule="auto"/>
              <w:rPr>
                <w:sz w:val="22"/>
                <w:szCs w:val="22"/>
              </w:rPr>
            </w:pPr>
            <w:r w:rsidRPr="006E49F6">
              <w:rPr>
                <w:sz w:val="22"/>
                <w:szCs w:val="22"/>
              </w:rPr>
              <w:t>Access and continuity of care</w:t>
            </w:r>
          </w:p>
        </w:tc>
      </w:tr>
      <w:tr w:rsidR="00677FE4" w:rsidRPr="006E49F6" w14:paraId="34661C21" w14:textId="77777777" w:rsidTr="00677FE4">
        <w:trPr>
          <w:trHeight w:val="300"/>
        </w:trPr>
        <w:tc>
          <w:tcPr>
            <w:tcW w:w="835" w:type="dxa"/>
            <w:noWrap/>
            <w:hideMark/>
          </w:tcPr>
          <w:p w14:paraId="17050C71" w14:textId="77777777" w:rsidR="00677FE4" w:rsidRPr="006E49F6" w:rsidRDefault="00677FE4" w:rsidP="006E49F6">
            <w:pPr>
              <w:spacing w:line="276" w:lineRule="auto"/>
              <w:rPr>
                <w:sz w:val="22"/>
                <w:szCs w:val="22"/>
              </w:rPr>
            </w:pPr>
            <w:r w:rsidRPr="006E49F6">
              <w:rPr>
                <w:sz w:val="22"/>
                <w:szCs w:val="22"/>
              </w:rPr>
              <w:t xml:space="preserve">Verma </w:t>
            </w:r>
            <w:r w:rsidRPr="006E49F6">
              <w:rPr>
                <w:i/>
                <w:iCs/>
                <w:sz w:val="22"/>
                <w:szCs w:val="22"/>
              </w:rPr>
              <w:t>et al</w:t>
            </w:r>
            <w:r w:rsidRPr="006E49F6">
              <w:rPr>
                <w:sz w:val="22"/>
                <w:szCs w:val="22"/>
              </w:rPr>
              <w:t>. (2023)</w:t>
            </w:r>
          </w:p>
        </w:tc>
        <w:tc>
          <w:tcPr>
            <w:tcW w:w="2362" w:type="dxa"/>
            <w:noWrap/>
            <w:hideMark/>
          </w:tcPr>
          <w:p w14:paraId="37BB1C0D" w14:textId="77777777" w:rsidR="00677FE4" w:rsidRPr="006E49F6" w:rsidRDefault="00677FE4" w:rsidP="006E49F6">
            <w:pPr>
              <w:spacing w:line="276" w:lineRule="auto"/>
              <w:rPr>
                <w:sz w:val="22"/>
                <w:szCs w:val="22"/>
              </w:rPr>
            </w:pPr>
            <w:proofErr w:type="spellStart"/>
            <w:r w:rsidRPr="006E49F6">
              <w:rPr>
                <w:sz w:val="22"/>
                <w:szCs w:val="22"/>
              </w:rPr>
              <w:t>Randomised</w:t>
            </w:r>
            <w:proofErr w:type="spellEnd"/>
            <w:r w:rsidRPr="006E49F6">
              <w:rPr>
                <w:sz w:val="22"/>
                <w:szCs w:val="22"/>
              </w:rPr>
              <w:t xml:space="preserve"> crossover trial, 104 rural primary care patients</w:t>
            </w:r>
          </w:p>
        </w:tc>
        <w:tc>
          <w:tcPr>
            <w:tcW w:w="4462" w:type="dxa"/>
            <w:noWrap/>
            <w:hideMark/>
          </w:tcPr>
          <w:p w14:paraId="202FDFC3" w14:textId="77777777" w:rsidR="00677FE4" w:rsidRPr="006E49F6" w:rsidRDefault="00677FE4" w:rsidP="006E49F6">
            <w:pPr>
              <w:spacing w:line="276" w:lineRule="auto"/>
              <w:rPr>
                <w:sz w:val="22"/>
                <w:szCs w:val="22"/>
              </w:rPr>
            </w:pPr>
            <w:r w:rsidRPr="006E49F6">
              <w:rPr>
                <w:sz w:val="22"/>
                <w:szCs w:val="22"/>
              </w:rPr>
              <w:t>Telemedicine showed 74% diagnostic concordance and 79.8% treatment-plan concordance with face-to-face care</w:t>
            </w:r>
          </w:p>
        </w:tc>
        <w:tc>
          <w:tcPr>
            <w:tcW w:w="1701" w:type="dxa"/>
            <w:noWrap/>
            <w:hideMark/>
          </w:tcPr>
          <w:p w14:paraId="67A808CA" w14:textId="77777777" w:rsidR="00677FE4" w:rsidRPr="006E49F6" w:rsidRDefault="00677FE4" w:rsidP="006E49F6">
            <w:pPr>
              <w:spacing w:line="276" w:lineRule="auto"/>
              <w:rPr>
                <w:sz w:val="22"/>
                <w:szCs w:val="22"/>
              </w:rPr>
            </w:pPr>
            <w:r w:rsidRPr="006E49F6">
              <w:rPr>
                <w:sz w:val="22"/>
                <w:szCs w:val="22"/>
              </w:rPr>
              <w:t>Access and continuity of care</w:t>
            </w:r>
          </w:p>
        </w:tc>
      </w:tr>
      <w:tr w:rsidR="00677FE4" w:rsidRPr="006E49F6" w14:paraId="16524B8B" w14:textId="77777777" w:rsidTr="00677FE4">
        <w:trPr>
          <w:trHeight w:val="300"/>
        </w:trPr>
        <w:tc>
          <w:tcPr>
            <w:tcW w:w="835" w:type="dxa"/>
            <w:noWrap/>
            <w:hideMark/>
          </w:tcPr>
          <w:p w14:paraId="4C51E34C" w14:textId="77777777" w:rsidR="00677FE4" w:rsidRPr="006E49F6" w:rsidRDefault="00677FE4" w:rsidP="006E49F6">
            <w:pPr>
              <w:spacing w:line="276" w:lineRule="auto"/>
              <w:rPr>
                <w:sz w:val="22"/>
                <w:szCs w:val="22"/>
              </w:rPr>
            </w:pPr>
            <w:r w:rsidRPr="006E49F6">
              <w:rPr>
                <w:sz w:val="22"/>
                <w:szCs w:val="22"/>
              </w:rPr>
              <w:t xml:space="preserve">Wathne </w:t>
            </w:r>
            <w:r w:rsidRPr="006E49F6">
              <w:rPr>
                <w:i/>
                <w:iCs/>
                <w:sz w:val="22"/>
                <w:szCs w:val="22"/>
              </w:rPr>
              <w:t>et al</w:t>
            </w:r>
            <w:r w:rsidRPr="006E49F6">
              <w:rPr>
                <w:sz w:val="22"/>
                <w:szCs w:val="22"/>
              </w:rPr>
              <w:t>. (2024)</w:t>
            </w:r>
          </w:p>
        </w:tc>
        <w:tc>
          <w:tcPr>
            <w:tcW w:w="2362" w:type="dxa"/>
            <w:noWrap/>
            <w:hideMark/>
          </w:tcPr>
          <w:p w14:paraId="7C89B51F" w14:textId="77777777" w:rsidR="00677FE4" w:rsidRPr="006E49F6" w:rsidRDefault="00677FE4" w:rsidP="006E49F6">
            <w:pPr>
              <w:spacing w:line="276" w:lineRule="auto"/>
              <w:rPr>
                <w:sz w:val="22"/>
                <w:szCs w:val="22"/>
              </w:rPr>
            </w:pPr>
            <w:r w:rsidRPr="006E49F6">
              <w:rPr>
                <w:sz w:val="22"/>
                <w:szCs w:val="22"/>
              </w:rPr>
              <w:t>Qualitative study with observation and interviews</w:t>
            </w:r>
          </w:p>
        </w:tc>
        <w:tc>
          <w:tcPr>
            <w:tcW w:w="4462" w:type="dxa"/>
            <w:noWrap/>
            <w:hideMark/>
          </w:tcPr>
          <w:p w14:paraId="49F65049" w14:textId="77777777" w:rsidR="00677FE4" w:rsidRPr="006E49F6" w:rsidRDefault="00677FE4" w:rsidP="006E49F6">
            <w:pPr>
              <w:spacing w:line="276" w:lineRule="auto"/>
              <w:rPr>
                <w:sz w:val="22"/>
                <w:szCs w:val="22"/>
              </w:rPr>
            </w:pPr>
            <w:r w:rsidRPr="006E49F6">
              <w:rPr>
                <w:sz w:val="22"/>
                <w:szCs w:val="22"/>
              </w:rPr>
              <w:t>Acceptability and usability depended strongly on interaction between patients and nurse navigators</w:t>
            </w:r>
          </w:p>
        </w:tc>
        <w:tc>
          <w:tcPr>
            <w:tcW w:w="1701" w:type="dxa"/>
            <w:noWrap/>
            <w:hideMark/>
          </w:tcPr>
          <w:p w14:paraId="0972DB43" w14:textId="77777777" w:rsidR="00677FE4" w:rsidRPr="006E49F6" w:rsidRDefault="00677FE4" w:rsidP="006E49F6">
            <w:pPr>
              <w:spacing w:line="276" w:lineRule="auto"/>
              <w:rPr>
                <w:sz w:val="22"/>
                <w:szCs w:val="22"/>
              </w:rPr>
            </w:pPr>
            <w:r w:rsidRPr="006E49F6">
              <w:rPr>
                <w:sz w:val="22"/>
                <w:szCs w:val="22"/>
              </w:rPr>
              <w:t>Patient engagement and usable care</w:t>
            </w:r>
          </w:p>
        </w:tc>
      </w:tr>
      <w:tr w:rsidR="00677FE4" w:rsidRPr="006E49F6" w14:paraId="703A1D3B" w14:textId="77777777" w:rsidTr="00677FE4">
        <w:trPr>
          <w:trHeight w:val="300"/>
        </w:trPr>
        <w:tc>
          <w:tcPr>
            <w:tcW w:w="835" w:type="dxa"/>
            <w:noWrap/>
            <w:hideMark/>
          </w:tcPr>
          <w:p w14:paraId="6E28E1CB" w14:textId="77777777" w:rsidR="00677FE4" w:rsidRPr="006E49F6" w:rsidRDefault="00677FE4" w:rsidP="006E49F6">
            <w:pPr>
              <w:spacing w:line="276" w:lineRule="auto"/>
              <w:rPr>
                <w:sz w:val="22"/>
                <w:szCs w:val="22"/>
              </w:rPr>
            </w:pPr>
            <w:r w:rsidRPr="006E49F6">
              <w:rPr>
                <w:sz w:val="22"/>
                <w:szCs w:val="22"/>
              </w:rPr>
              <w:t xml:space="preserve">Wiley </w:t>
            </w:r>
            <w:r w:rsidRPr="006E49F6">
              <w:rPr>
                <w:i/>
                <w:iCs/>
                <w:sz w:val="22"/>
                <w:szCs w:val="22"/>
              </w:rPr>
              <w:t>et al</w:t>
            </w:r>
            <w:r w:rsidRPr="006E49F6">
              <w:rPr>
                <w:sz w:val="22"/>
                <w:szCs w:val="22"/>
              </w:rPr>
              <w:t>. (2024)</w:t>
            </w:r>
          </w:p>
        </w:tc>
        <w:tc>
          <w:tcPr>
            <w:tcW w:w="2362" w:type="dxa"/>
            <w:noWrap/>
            <w:hideMark/>
          </w:tcPr>
          <w:p w14:paraId="316B21D5" w14:textId="77777777" w:rsidR="00677FE4" w:rsidRPr="006E49F6" w:rsidRDefault="00677FE4" w:rsidP="006E49F6">
            <w:pPr>
              <w:spacing w:line="276" w:lineRule="auto"/>
              <w:rPr>
                <w:sz w:val="22"/>
                <w:szCs w:val="22"/>
              </w:rPr>
            </w:pPr>
            <w:r w:rsidRPr="006E49F6">
              <w:rPr>
                <w:sz w:val="22"/>
                <w:szCs w:val="22"/>
              </w:rPr>
              <w:t>Observational EHR study in type 2 diabetes</w:t>
            </w:r>
          </w:p>
        </w:tc>
        <w:tc>
          <w:tcPr>
            <w:tcW w:w="4462" w:type="dxa"/>
            <w:noWrap/>
            <w:hideMark/>
          </w:tcPr>
          <w:p w14:paraId="75FDB03B" w14:textId="77777777" w:rsidR="00677FE4" w:rsidRPr="006E49F6" w:rsidRDefault="00677FE4" w:rsidP="006E49F6">
            <w:pPr>
              <w:spacing w:line="276" w:lineRule="auto"/>
              <w:rPr>
                <w:sz w:val="22"/>
                <w:szCs w:val="22"/>
              </w:rPr>
            </w:pPr>
            <w:r w:rsidRPr="006E49F6">
              <w:rPr>
                <w:sz w:val="22"/>
                <w:szCs w:val="22"/>
              </w:rPr>
              <w:t xml:space="preserve">Portal use was associated with </w:t>
            </w:r>
            <w:proofErr w:type="gramStart"/>
            <w:r w:rsidRPr="006E49F6">
              <w:rPr>
                <w:sz w:val="22"/>
                <w:szCs w:val="22"/>
              </w:rPr>
              <w:t>more timely</w:t>
            </w:r>
            <w:proofErr w:type="gramEnd"/>
            <w:r w:rsidRPr="006E49F6">
              <w:rPr>
                <w:sz w:val="22"/>
                <w:szCs w:val="22"/>
              </w:rPr>
              <w:t xml:space="preserve"> EHR updates</w:t>
            </w:r>
          </w:p>
        </w:tc>
        <w:tc>
          <w:tcPr>
            <w:tcW w:w="1701" w:type="dxa"/>
            <w:noWrap/>
            <w:hideMark/>
          </w:tcPr>
          <w:p w14:paraId="205ECF0E" w14:textId="77777777" w:rsidR="00677FE4" w:rsidRPr="006E49F6" w:rsidRDefault="00677FE4" w:rsidP="006E49F6">
            <w:pPr>
              <w:spacing w:line="276" w:lineRule="auto"/>
              <w:rPr>
                <w:sz w:val="22"/>
                <w:szCs w:val="22"/>
              </w:rPr>
            </w:pPr>
            <w:r w:rsidRPr="006E49F6">
              <w:rPr>
                <w:sz w:val="22"/>
                <w:szCs w:val="22"/>
              </w:rPr>
              <w:t>Patient engagement and usable care</w:t>
            </w:r>
          </w:p>
        </w:tc>
      </w:tr>
    </w:tbl>
    <w:p w14:paraId="0DAED773" w14:textId="77777777" w:rsidR="00677FE4" w:rsidRDefault="00677FE4" w:rsidP="00677FE4">
      <w:pPr>
        <w:rPr>
          <w:b/>
          <w:bCs/>
        </w:rPr>
      </w:pPr>
    </w:p>
    <w:p w14:paraId="03B2E56C" w14:textId="6A104834" w:rsidR="00677FE4" w:rsidRPr="00AC447D" w:rsidRDefault="00677FE4" w:rsidP="00AC447D">
      <w:pPr>
        <w:pStyle w:val="Heading1"/>
      </w:pPr>
      <w:bookmarkStart w:id="8" w:name="_Toc224164700"/>
      <w:r w:rsidRPr="00677FE4">
        <w:t>Discussion</w:t>
      </w:r>
      <w:bookmarkEnd w:id="8"/>
    </w:p>
    <w:p w14:paraId="1503BFBB" w14:textId="7FC2A211" w:rsidR="00FA7BFE" w:rsidRPr="00677FE4" w:rsidRDefault="00677FE4" w:rsidP="00677FE4">
      <w:r w:rsidRPr="00677FE4">
        <w:t xml:space="preserve">The findings suggest that digital health improves care through three interconnected pathways: improving access and continuity of care, enhancing clinical quality and treatment </w:t>
      </w:r>
      <w:proofErr w:type="spellStart"/>
      <w:r w:rsidRPr="00677FE4">
        <w:t>optimisation</w:t>
      </w:r>
      <w:proofErr w:type="spellEnd"/>
      <w:r w:rsidRPr="00677FE4">
        <w:t xml:space="preserve">, and strengthening patient engagement through usable and supported systems. </w:t>
      </w:r>
      <w:r w:rsidR="00FA7BFE">
        <w:t>However</w:t>
      </w:r>
      <w:r w:rsidR="00FA7BFE" w:rsidRPr="00FA7BFE">
        <w:t xml:space="preserve">, these findings are discussed in a way that indicates that digital health does not necessarily enhance patient care. Rather, the usefulness of digital technologies will rely on the context, design, implementation processes, and patient and professional engagement. Thus, patient care enhancement with the help of digital health should be perceived as a conditional effect that is influenced by </w:t>
      </w:r>
      <w:proofErr w:type="spellStart"/>
      <w:r w:rsidR="00FA7BFE" w:rsidRPr="00FA7BFE">
        <w:t>organisational</w:t>
      </w:r>
      <w:proofErr w:type="spellEnd"/>
      <w:r w:rsidR="00FA7BFE" w:rsidRPr="00FA7BFE">
        <w:t xml:space="preserve">, clinical and </w:t>
      </w:r>
      <w:proofErr w:type="spellStart"/>
      <w:r w:rsidR="00FA7BFE" w:rsidRPr="00FA7BFE">
        <w:t>behavioural</w:t>
      </w:r>
      <w:proofErr w:type="spellEnd"/>
      <w:r w:rsidR="00FA7BFE" w:rsidRPr="00FA7BFE">
        <w:t xml:space="preserve"> factors, but not as a definite technological impact (WHO, 2021).</w:t>
      </w:r>
    </w:p>
    <w:p w14:paraId="13968058" w14:textId="77777777" w:rsidR="00677FE4" w:rsidRPr="00677FE4" w:rsidRDefault="00677FE4" w:rsidP="00677FE4">
      <w:pPr>
        <w:pStyle w:val="Heading2"/>
      </w:pPr>
      <w:bookmarkStart w:id="9" w:name="_Toc224164701"/>
      <w:r w:rsidRPr="00677FE4">
        <w:t>Theme 1: Access and continuity of care</w:t>
      </w:r>
      <w:bookmarkEnd w:id="9"/>
    </w:p>
    <w:p w14:paraId="00CE4961" w14:textId="77777777" w:rsidR="00FA7BFE" w:rsidRDefault="00FA7BFE" w:rsidP="00FA7BFE">
      <w:r>
        <w:t xml:space="preserve">Among the most stable implications of the evidence, it is possible to identify the fact that digital health technologies can enhance patient care by enhancing access to health </w:t>
      </w:r>
      <w:r>
        <w:lastRenderedPageBreak/>
        <w:t xml:space="preserve">services and facilitating continuity between care pathways. Cho et al. (2024) give solid evidence on this interpretation at the level of the population. Their quasi-experimental study across the country showed that the </w:t>
      </w:r>
      <w:proofErr w:type="spellStart"/>
      <w:r>
        <w:t>utilisation</w:t>
      </w:r>
      <w:proofErr w:type="spellEnd"/>
      <w:r>
        <w:t xml:space="preserve"> of telehealth was concerned with higher outpatient attendance in hypertension and diabetes patients and a lowered number of </w:t>
      </w:r>
      <w:proofErr w:type="spellStart"/>
      <w:r>
        <w:t>hospitalisation</w:t>
      </w:r>
      <w:proofErr w:type="spellEnd"/>
      <w:r>
        <w:t xml:space="preserve"> and emergency hospital visits among hypertension patients. It implies that the digital consultations can help facilitate early intervention and continuous observation, which are crucial aspects of quality chronic disease care. In terms of patient-care, it will mean that digital health technologies are able to prevent care gaps since they keep patients and providers in touch with each other regularly.</w:t>
      </w:r>
    </w:p>
    <w:p w14:paraId="04E1CB3C" w14:textId="77777777" w:rsidR="00FA7BFE" w:rsidRDefault="00FA7BFE" w:rsidP="00FA7BFE">
      <w:r>
        <w:t xml:space="preserve">The results of Verma et al. (2023), however, add a qualification to it. Their </w:t>
      </w:r>
      <w:proofErr w:type="spellStart"/>
      <w:r>
        <w:t>randomised</w:t>
      </w:r>
      <w:proofErr w:type="spellEnd"/>
      <w:r>
        <w:t xml:space="preserve"> crossover trial indicated that there were acceptable rates of diagnostic and treatment concordance between telemedicine and face-to-face consultations, however, this was different among the clinical conditions. There was increased concordance in structured chronic disorders like hypertension and diabetes and decreased agreement in cardiology and non-specific presentations of symptoms. This analogy points to the fact that increased accessibility due to telemedicine does not necessarily imply the same quality of treatment in any clinical case. That is why, even though digital technologies may help maintain continuity, their applicability to clinical practice may be determined by the complexity and nature of the condition under management.</w:t>
      </w:r>
    </w:p>
    <w:p w14:paraId="1D4510F4" w14:textId="653E6ABA" w:rsidR="00FA7BFE" w:rsidRPr="00677FE4" w:rsidRDefault="00FA7BFE" w:rsidP="00FA7BFE">
      <w:r>
        <w:t xml:space="preserve">Wathne et al. (2024) build upon this theme by showing the significance of continuity, not just access. In their qualitative results, they demonstrate that remote patient monitoring allows patients to feel the connection to the professionals and sense of security during the transition between the hospital and home. This implies that continuity must not be viewed at the </w:t>
      </w:r>
      <w:proofErr w:type="spellStart"/>
      <w:r>
        <w:t>organisational</w:t>
      </w:r>
      <w:proofErr w:type="spellEnd"/>
      <w:r>
        <w:t xml:space="preserve"> level only, but also at the relational level. Digital interventions that establish long-term communication and support can enhance patient confidence and interest at such vulnerable stages as post-discharge rehabilitation. Collectively, these studies suggest that digital health can enhance patient care in the best scenario where it is able to alleviate fragmentation in healthcare delivery, timely follow-up and coordinated care across settings.</w:t>
      </w:r>
    </w:p>
    <w:p w14:paraId="654137DF" w14:textId="77777777" w:rsidR="00677FE4" w:rsidRPr="00677FE4" w:rsidRDefault="00677FE4" w:rsidP="00677FE4">
      <w:pPr>
        <w:pStyle w:val="Heading2"/>
      </w:pPr>
      <w:bookmarkStart w:id="10" w:name="_Toc224164702"/>
      <w:r w:rsidRPr="00677FE4">
        <w:lastRenderedPageBreak/>
        <w:t xml:space="preserve">Theme 2: Clinical quality and treatment </w:t>
      </w:r>
      <w:proofErr w:type="spellStart"/>
      <w:r w:rsidRPr="00677FE4">
        <w:t>optimisation</w:t>
      </w:r>
      <w:bookmarkEnd w:id="10"/>
      <w:proofErr w:type="spellEnd"/>
    </w:p>
    <w:p w14:paraId="0167C185" w14:textId="77777777" w:rsidR="00FA7BFE" w:rsidRDefault="00FA7BFE" w:rsidP="00FA7BFE">
      <w:r>
        <w:t xml:space="preserve">The other important theme that is clear as a result of the review is the influence of digital health technologies on clinical decision-making and treatment management. The best evidence in this respect is the study by Man et al. (2024) who conducted a </w:t>
      </w:r>
      <w:proofErr w:type="spellStart"/>
      <w:r>
        <w:t>multicentre</w:t>
      </w:r>
      <w:proofErr w:type="spellEnd"/>
      <w:r>
        <w:t xml:space="preserve"> </w:t>
      </w:r>
      <w:proofErr w:type="spellStart"/>
      <w:r>
        <w:t>randomised</w:t>
      </w:r>
      <w:proofErr w:type="spellEnd"/>
      <w:r>
        <w:t xml:space="preserve"> controlled trial that studied the effects of digital consults in heart failure care. Their intervention enhanced guideline-based medical therapy by incorporating data self-reported by patients, remote monitoring and structured decision support into clinical practices. This observation indicates that digital health technologies have the potential to enhance patient care by actively facilitating evidence-based care and not just by remote communication.</w:t>
      </w:r>
    </w:p>
    <w:p w14:paraId="0477AFCF" w14:textId="77777777" w:rsidR="00FA7BFE" w:rsidRDefault="00FA7BFE" w:rsidP="00FA7BFE">
      <w:r>
        <w:t xml:space="preserve">Cho et al. (2024) also support this explanation by showing the change in medication possession and the more suitable pattern of prescribing in users of telehealth. Though the measurement of clinical outcome was not done in the long term of the study, the enhancement of prescribing quality is a significant sign of improved treatment continuity and disease control. Comparing these findings with those of Man et al., it can be concluded that digital health technologies have a chance to enhance patient care on various stages of the health system. Within the specialist conditions, digital tools can be used to </w:t>
      </w:r>
      <w:proofErr w:type="spellStart"/>
      <w:r>
        <w:t>maximise</w:t>
      </w:r>
      <w:proofErr w:type="spellEnd"/>
      <w:r>
        <w:t xml:space="preserve"> complex treatment, whereas in the general primary care conditions they can be used to facilitate uniform medication management.</w:t>
      </w:r>
    </w:p>
    <w:p w14:paraId="3056D41B" w14:textId="7EA05D48" w:rsidR="00FA7BFE" w:rsidRPr="00677FE4" w:rsidRDefault="00FA7BFE" w:rsidP="00FA7BFE">
      <w:r>
        <w:t xml:space="preserve">Verma et al. (2023) once again offer a valuable refutation of that by demonstrating that the effectiveness of digital consultation is dependent on clinical conditions. Their results suggest that the digital health technologies can be the most useful in the cases of the conditions that can be characterized by the means of the structured monitoring, quantifiable indicators and the predetermined treatment courses. This helps in the argument that digital transformation in healthcare is not to be done across the board but to be strategically focused. Policy and service-wise, this would imply that digital health interventions ought to be </w:t>
      </w:r>
      <w:proofErr w:type="spellStart"/>
      <w:r>
        <w:t>prioritised</w:t>
      </w:r>
      <w:proofErr w:type="spellEnd"/>
      <w:r>
        <w:t xml:space="preserve"> in those areas where they would demonstrate a clear improvement in clinical quality and safety, not implemented merely to bring about technological innovation.</w:t>
      </w:r>
    </w:p>
    <w:p w14:paraId="4BDA123B" w14:textId="77777777" w:rsidR="00677FE4" w:rsidRPr="00677FE4" w:rsidRDefault="00677FE4" w:rsidP="00677FE4">
      <w:pPr>
        <w:pStyle w:val="Heading2"/>
      </w:pPr>
      <w:bookmarkStart w:id="11" w:name="_Toc224164703"/>
      <w:r w:rsidRPr="00677FE4">
        <w:lastRenderedPageBreak/>
        <w:t>Theme 3: Patient engagement and usability</w:t>
      </w:r>
      <w:bookmarkEnd w:id="11"/>
    </w:p>
    <w:p w14:paraId="3213B92A" w14:textId="77777777" w:rsidR="00FA7BFE" w:rsidRDefault="00FA7BFE" w:rsidP="00FA7BFE">
      <w:r>
        <w:t>The third theme emphasizes the role of a patient engagement in realizing significant impact on patient care using the digital health. According to Wathne et al. (2024), usability and professional assistance are fundamental to the success of the implementation of remote monitoring. Their idea of digital social interaction implies that patients are more inclined to use digital technologies in case they are guided and assured by medical practitioners. The finding is especially significant since it contradicts the assumption of the automatic conversion of technological availability into better care. Instead, digital health interventions seem to work best when integrated in supportive care relationships.</w:t>
      </w:r>
    </w:p>
    <w:p w14:paraId="39B36171" w14:textId="77777777" w:rsidR="00FA7BFE" w:rsidRDefault="00FA7BFE" w:rsidP="00FA7BFE">
      <w:r>
        <w:t>Wiley et al. (2024) add to the current body of knowledge by showing that the active use of patient portals was linked to a better timeliness of data on electronic health records within the diabetes care. The implication of this finding suggests that the interaction with patients can be used to strengthen the informational formulation of clinical decisions. The early and precise information can mitigate the delays in treatment modulation and enhance the collaboration between the healthcare professionals. Even though the study does not directly measure the patient outcomes, it identifies a very critical process in which digital engagement can support the quality of care indirectly.</w:t>
      </w:r>
    </w:p>
    <w:p w14:paraId="2CFDF345" w14:textId="31ADF615" w:rsidR="00FA7BFE" w:rsidRPr="00677FE4" w:rsidRDefault="00FA7BFE" w:rsidP="00FA7BFE">
      <w:r>
        <w:t>When such findings are taken into account with the intervention, which Man et al. (2024) tested, a logical pattern is observed. Digital health technologies are best applied to care under a scenario where there is patient involvement in the clinical decision-making. Monitoring of homes, symptoms reporting, and interactions provided through the portal can facilitate communication and assist in creating more responsive treatment. Its benefits however, require that patients have confidence in using digital tools. This brings more general concerns around the topic of digital literacy, access, and inclusion. Digital transformation-friendly health systems should thus be able to ensure that technological innovation would not introduce new obstacles to care among disadvantaged groups.</w:t>
      </w:r>
    </w:p>
    <w:p w14:paraId="3BF47539" w14:textId="77777777" w:rsidR="00677FE4" w:rsidRPr="00677FE4" w:rsidRDefault="00677FE4" w:rsidP="00677FE4">
      <w:pPr>
        <w:pStyle w:val="Heading2"/>
      </w:pPr>
      <w:bookmarkStart w:id="12" w:name="_Toc224164704"/>
      <w:r w:rsidRPr="00677FE4">
        <w:t>Overall implications</w:t>
      </w:r>
      <w:bookmarkEnd w:id="12"/>
    </w:p>
    <w:p w14:paraId="46E339F6" w14:textId="12F5BCD8" w:rsidR="00FA7BFE" w:rsidRDefault="00FA7BFE" w:rsidP="00677FE4">
      <w:r>
        <w:t>T</w:t>
      </w:r>
      <w:r w:rsidRPr="00FA7BFE">
        <w:t xml:space="preserve">he discussion indicates that digital health technologies can enhance patient care in case they are implemented into clinical processes and aimed at the relevant conditions and with the efficient interaction between the patients and professionals. The best indicators </w:t>
      </w:r>
      <w:r w:rsidRPr="00FA7BFE">
        <w:lastRenderedPageBreak/>
        <w:t>involve the management of chronic disease, transitional care and systemic treatment. The advantages of digital interventions, on the contrary, seem to be less evident in complicated diagnostic situations or when analyzing the situation with limited patient involvement. This implies that the implementation of the digital health is to happen in a strategic and not a unified fashion in the healthcare services. Another point of the review is the necessity to consider the problem of digital health interventions comprehensively with regard to patient-</w:t>
      </w:r>
      <w:proofErr w:type="spellStart"/>
      <w:r w:rsidRPr="00FA7BFE">
        <w:t>centred</w:t>
      </w:r>
      <w:proofErr w:type="spellEnd"/>
      <w:r w:rsidRPr="00FA7BFE">
        <w:t xml:space="preserve"> outcomes and not technological adoption. Digital transformation policies tend to focus on efficiency and innovation, although it is clear that the real worth of digital health relates to its capacity to enhance continuity, support treatment management and patient involvement. The future research must thus be on the </w:t>
      </w:r>
      <w:proofErr w:type="gramStart"/>
      <w:r w:rsidRPr="00FA7BFE">
        <w:t>long term</w:t>
      </w:r>
      <w:proofErr w:type="gramEnd"/>
      <w:r w:rsidRPr="00FA7BFE">
        <w:t xml:space="preserve"> clinical outcomes and equity implications as well as the </w:t>
      </w:r>
      <w:proofErr w:type="spellStart"/>
      <w:r w:rsidRPr="00FA7BFE">
        <w:t>organisational</w:t>
      </w:r>
      <w:proofErr w:type="spellEnd"/>
      <w:r w:rsidRPr="00FA7BFE">
        <w:t xml:space="preserve"> factors that determine the success of implementation. To sum up, digital health technologies can have a tremendous impact on the care of patients, yet this potential is fulfilled only when the technologies can be used and when they are evidence-based and consistent with the actual clinical requirements. Digital health does not just imply the implementation of new tools to improve patient care. It involves a meticulous adoption of technology in healthcare systems, customer experience, and continuous assessment of the clinical efficiency.</w:t>
      </w:r>
    </w:p>
    <w:p w14:paraId="141F80CB" w14:textId="77777777" w:rsidR="00AC447D" w:rsidRPr="00AC447D" w:rsidRDefault="00AC447D" w:rsidP="00AC447D">
      <w:pPr>
        <w:pStyle w:val="Heading1"/>
      </w:pPr>
      <w:bookmarkStart w:id="13" w:name="_Toc224164705"/>
      <w:r w:rsidRPr="00AC447D">
        <w:t>Conclusion and Recommendations</w:t>
      </w:r>
      <w:bookmarkEnd w:id="13"/>
    </w:p>
    <w:p w14:paraId="082E449D" w14:textId="77777777" w:rsidR="00FA7BFE" w:rsidRDefault="00FA7BFE" w:rsidP="00FA7BFE">
      <w:r>
        <w:t xml:space="preserve">This scoping review demonstrates that the role of digital health technologies in patient care improvement is significant but conditional. It was found that access to services can be enhanced by using digital tools, facilitating treatment </w:t>
      </w:r>
      <w:proofErr w:type="spellStart"/>
      <w:r>
        <w:t>optimisation</w:t>
      </w:r>
      <w:proofErr w:type="spellEnd"/>
      <w:r>
        <w:t xml:space="preserve"> and improving patient engagement in cases when the latter are established in the context of the clinical workflow and professional interaction. Some of the most significant advantages are seen in chronic disease care, remote care and transitional care, where organized follow-up and on-time data exchange enhance service continuity and responsiveness. Nonetheless, the analysis also demonstrates that the improvement of results is not always associated with the use of digital technologies. They must be effective based on the usability, clinical suitability and </w:t>
      </w:r>
      <w:proofErr w:type="spellStart"/>
      <w:r>
        <w:t>organisational</w:t>
      </w:r>
      <w:proofErr w:type="spellEnd"/>
      <w:r>
        <w:t xml:space="preserve"> preparedness as well as patient trust in using digital systems. In general, to enhance patient care with the help of digital health, it is important to plan improvements instead of adopting technologies.</w:t>
      </w:r>
    </w:p>
    <w:p w14:paraId="114616B5" w14:textId="720AFEFE" w:rsidR="00AC447D" w:rsidRPr="00677FE4" w:rsidRDefault="00FA7BFE" w:rsidP="00FA7BFE">
      <w:r>
        <w:lastRenderedPageBreak/>
        <w:t xml:space="preserve">Further studies will be required in terms of the long-term clinical outcomes and the comparative effectiveness of various digital interventions in various patient groups and clinical settings. More high-quality researches on ethical issues, including digital exclusion, data privacy and patient safety, are also required. The policy makers must promote inclusive digital policies that can enhance digital literacy and even access digital enabled care equally. Practically, the focus of healthcare </w:t>
      </w:r>
      <w:proofErr w:type="spellStart"/>
      <w:r>
        <w:t>organisations</w:t>
      </w:r>
      <w:proofErr w:type="spellEnd"/>
      <w:r>
        <w:t xml:space="preserve"> must be on the training of professionals and patients to increase confidence levels in using digital devices. Evidence-based, explicit directions on clinical application, data management and appraisal procedures can be used to make sure that digital health innovations can play a significant role in safe, effective and patient-</w:t>
      </w:r>
      <w:proofErr w:type="spellStart"/>
      <w:r>
        <w:t>centred</w:t>
      </w:r>
      <w:proofErr w:type="spellEnd"/>
      <w:r>
        <w:t xml:space="preserve"> care delivery.</w:t>
      </w:r>
    </w:p>
    <w:p w14:paraId="7A2909CB" w14:textId="77777777" w:rsidR="00677FE4" w:rsidRDefault="00677FE4" w:rsidP="00573E57"/>
    <w:p w14:paraId="2A4DE883" w14:textId="77777777" w:rsidR="00FA7BFE" w:rsidRDefault="00FA7BFE">
      <w:pPr>
        <w:spacing w:line="278" w:lineRule="auto"/>
        <w:jc w:val="left"/>
        <w:rPr>
          <w:rFonts w:eastAsiaTheme="majorEastAsia" w:cstheme="majorBidi"/>
          <w:b/>
          <w:caps/>
          <w:szCs w:val="40"/>
        </w:rPr>
      </w:pPr>
      <w:bookmarkStart w:id="14" w:name="_Toc224164706"/>
      <w:r>
        <w:br w:type="page"/>
      </w:r>
    </w:p>
    <w:p w14:paraId="4C25BEA2" w14:textId="39C088D3" w:rsidR="00573E57" w:rsidRPr="00573E57" w:rsidRDefault="00573E57" w:rsidP="00677FE4">
      <w:pPr>
        <w:pStyle w:val="Heading1"/>
      </w:pPr>
      <w:r w:rsidRPr="00573E57">
        <w:lastRenderedPageBreak/>
        <w:t xml:space="preserve">Reference </w:t>
      </w:r>
      <w:bookmarkEnd w:id="14"/>
    </w:p>
    <w:p w14:paraId="19572C24" w14:textId="77777777" w:rsidR="00FA7BFE" w:rsidRPr="00677FE4" w:rsidRDefault="00FA7BFE" w:rsidP="00AC447D">
      <w:r w:rsidRPr="00677FE4">
        <w:t xml:space="preserve">Arksey, H. and O’Malley, L. (2005) ‘Scoping studies: towards a methodological framework’, </w:t>
      </w:r>
      <w:r w:rsidRPr="00677FE4">
        <w:rPr>
          <w:i/>
          <w:iCs/>
        </w:rPr>
        <w:t>International Journal of Social Research Methodology</w:t>
      </w:r>
      <w:r w:rsidRPr="00677FE4">
        <w:t xml:space="preserve">, 8(1), pp. 19–32. </w:t>
      </w:r>
      <w:hyperlink r:id="rId6" w:tgtFrame="_new" w:history="1">
        <w:r w:rsidRPr="00677FE4">
          <w:rPr>
            <w:rStyle w:val="Hyperlink"/>
          </w:rPr>
          <w:t>https://doi.org/10.1080/1364557032000119616</w:t>
        </w:r>
      </w:hyperlink>
    </w:p>
    <w:p w14:paraId="40451C59" w14:textId="77777777" w:rsidR="00FA7BFE" w:rsidRPr="00677FE4" w:rsidRDefault="00FA7BFE" w:rsidP="00AC447D">
      <w:r w:rsidRPr="00677FE4">
        <w:t xml:space="preserve">Aveyard, H. and Bradbury-Jones, C. (2019) ‘An analysis of current practices in undertaking literature reviews in nursing’, </w:t>
      </w:r>
      <w:r w:rsidRPr="00677FE4">
        <w:rPr>
          <w:i/>
          <w:iCs/>
        </w:rPr>
        <w:t>BMC Medical Research Methodology</w:t>
      </w:r>
      <w:r w:rsidRPr="00677FE4">
        <w:t xml:space="preserve">, 19, 105. </w:t>
      </w:r>
      <w:hyperlink r:id="rId7" w:tgtFrame="_new" w:history="1">
        <w:r w:rsidRPr="00677FE4">
          <w:rPr>
            <w:rStyle w:val="Hyperlink"/>
          </w:rPr>
          <w:t>https://doi.org/10.1186/s12874-019-0751-7</w:t>
        </w:r>
      </w:hyperlink>
    </w:p>
    <w:p w14:paraId="365D4FCF" w14:textId="77777777" w:rsidR="00FA7BFE" w:rsidRPr="00573E57" w:rsidRDefault="00FA7BFE" w:rsidP="00573E57">
      <w:r w:rsidRPr="00573E57">
        <w:t xml:space="preserve">Cho, M., Kim, W., Kim, M., Ye, R., Hwang, Y., Lee, D.W. and Shin, J. (2024) ‘The effect of telehealth on patterns of health care utilization and medication prescription in patients with diabetes or hypertension during COVID-19: A nationwide study’, </w:t>
      </w:r>
      <w:r w:rsidRPr="00573E57">
        <w:rPr>
          <w:i/>
          <w:iCs/>
        </w:rPr>
        <w:t>Telemedicine and e-Health</w:t>
      </w:r>
      <w:r w:rsidRPr="00573E57">
        <w:t xml:space="preserve">, 30(5), pp. 1297–1305. </w:t>
      </w:r>
      <w:proofErr w:type="spellStart"/>
      <w:r w:rsidRPr="00573E57">
        <w:t>doi</w:t>
      </w:r>
      <w:proofErr w:type="spellEnd"/>
      <w:r w:rsidRPr="00573E57">
        <w:t>: 10.1089/tmj.2023.0466.</w:t>
      </w:r>
    </w:p>
    <w:p w14:paraId="34CB8AFF" w14:textId="77777777" w:rsidR="00FA7BFE" w:rsidRPr="00AF25C0" w:rsidRDefault="00FA7BFE" w:rsidP="00AC447D">
      <w:r w:rsidRPr="00AF25C0">
        <w:t xml:space="preserve">Department of Health and Social Care (2022a) </w:t>
      </w:r>
      <w:r w:rsidRPr="00AF25C0">
        <w:rPr>
          <w:i/>
          <w:iCs/>
        </w:rPr>
        <w:t>A plan for digital health and social care</w:t>
      </w:r>
      <w:r w:rsidRPr="00AF25C0">
        <w:t xml:space="preserve">. Available at: </w:t>
      </w:r>
      <w:hyperlink r:id="rId8" w:history="1">
        <w:r w:rsidRPr="00130FBC">
          <w:rPr>
            <w:rStyle w:val="Hyperlink"/>
          </w:rPr>
          <w:t>https://www.gov.uk/government/publications/a-plan-for-digital-health-and-social-care/a-plan-for-digital-health-and-social-care</w:t>
        </w:r>
      </w:hyperlink>
      <w:r>
        <w:t xml:space="preserve"> </w:t>
      </w:r>
      <w:r w:rsidRPr="00AF25C0">
        <w:t xml:space="preserve">(Accessed: </w:t>
      </w:r>
      <w:r>
        <w:t>2</w:t>
      </w:r>
      <w:r w:rsidRPr="00AF25C0">
        <w:t xml:space="preserve"> March 2026).</w:t>
      </w:r>
    </w:p>
    <w:p w14:paraId="7FA02775" w14:textId="77777777" w:rsidR="00FA7BFE" w:rsidRPr="00AF25C0" w:rsidRDefault="00FA7BFE" w:rsidP="00AC447D">
      <w:r w:rsidRPr="00AF25C0">
        <w:t xml:space="preserve">Department of Health and Social Care (2022b) </w:t>
      </w:r>
      <w:r w:rsidRPr="00AF25C0">
        <w:rPr>
          <w:i/>
          <w:iCs/>
        </w:rPr>
        <w:t>Data saves lives: reshaping health and social care with data</w:t>
      </w:r>
      <w:r w:rsidRPr="00AF25C0">
        <w:t xml:space="preserve">. Available at: </w:t>
      </w:r>
      <w:hyperlink r:id="rId9" w:history="1">
        <w:r w:rsidRPr="00130FBC">
          <w:rPr>
            <w:rStyle w:val="Hyperlink"/>
          </w:rPr>
          <w:t>https://www.gov.uk/government/publications/data-saves-lives-reshaping-health-and-social-care-with-data/data-saves-lives-reshaping-health-and-social-care-with-data</w:t>
        </w:r>
      </w:hyperlink>
      <w:r>
        <w:t xml:space="preserve"> </w:t>
      </w:r>
      <w:r w:rsidRPr="00AF25C0">
        <w:t xml:space="preserve">(Accessed: </w:t>
      </w:r>
      <w:r>
        <w:t>1</w:t>
      </w:r>
      <w:r w:rsidRPr="00AF25C0">
        <w:t xml:space="preserve"> March 2026).</w:t>
      </w:r>
    </w:p>
    <w:p w14:paraId="3E16B701" w14:textId="77777777" w:rsidR="00FA7BFE" w:rsidRPr="00AF25C0" w:rsidRDefault="00FA7BFE" w:rsidP="00AC447D">
      <w:r w:rsidRPr="00AF25C0">
        <w:t xml:space="preserve">HM Government (2018) </w:t>
      </w:r>
      <w:r w:rsidRPr="00AF25C0">
        <w:rPr>
          <w:i/>
          <w:iCs/>
        </w:rPr>
        <w:t>Data Protection Act 2018</w:t>
      </w:r>
      <w:r w:rsidRPr="00AF25C0">
        <w:t xml:space="preserve">. Available at: </w:t>
      </w:r>
      <w:hyperlink r:id="rId10" w:history="1">
        <w:r w:rsidRPr="00130FBC">
          <w:rPr>
            <w:rStyle w:val="Hyperlink"/>
          </w:rPr>
          <w:t>https://www.legislation.gov.uk/ukpga/2018/12/contents</w:t>
        </w:r>
      </w:hyperlink>
      <w:r>
        <w:t xml:space="preserve"> </w:t>
      </w:r>
      <w:r w:rsidRPr="00AF25C0">
        <w:t>(Accessed: 11 March 2026).</w:t>
      </w:r>
    </w:p>
    <w:p w14:paraId="087772D0" w14:textId="77777777" w:rsidR="00FA7BFE" w:rsidRPr="00AF25C0" w:rsidRDefault="00FA7BFE" w:rsidP="00AC447D">
      <w:r w:rsidRPr="00AF25C0">
        <w:t xml:space="preserve">Information Commissioner’s Office (2026) </w:t>
      </w:r>
      <w:r w:rsidRPr="00AF25C0">
        <w:rPr>
          <w:i/>
          <w:iCs/>
        </w:rPr>
        <w:t>What are the conditions for processing special category data?</w:t>
      </w:r>
      <w:r w:rsidRPr="00AF25C0">
        <w:t xml:space="preserve"> Available at: </w:t>
      </w:r>
      <w:hyperlink r:id="rId11" w:history="1">
        <w:r w:rsidRPr="00130FBC">
          <w:rPr>
            <w:rStyle w:val="Hyperlink"/>
          </w:rPr>
          <w:t>https://ico.org.uk/for-organisations/uk-gdpr-guidance-and-resources/lawful-basis/special-category-data/what-are-the-conditions-for-processing/</w:t>
        </w:r>
      </w:hyperlink>
      <w:r>
        <w:t xml:space="preserve"> </w:t>
      </w:r>
      <w:r w:rsidRPr="00FA7BFE">
        <w:t xml:space="preserve"> </w:t>
      </w:r>
      <w:r w:rsidRPr="00AF25C0">
        <w:t>(Accessed: 11 March 2026).</w:t>
      </w:r>
    </w:p>
    <w:p w14:paraId="697C5A0B" w14:textId="77777777" w:rsidR="00FA7BFE" w:rsidRPr="00573E57" w:rsidRDefault="00FA7BFE" w:rsidP="00573E57">
      <w:r w:rsidRPr="00573E57">
        <w:t xml:space="preserve">Man, J.P., Koole, M.A.C., Meregalli, P.G., Handoko, M.L., Stienen, S., de Lange, F.J. </w:t>
      </w:r>
      <w:r w:rsidRPr="00573E57">
        <w:rPr>
          <w:i/>
          <w:iCs/>
        </w:rPr>
        <w:t>et al.</w:t>
      </w:r>
      <w:r w:rsidRPr="00573E57">
        <w:t xml:space="preserve"> (2024) ‘Digital consults in heart failure care: a randomized controlled trial’, </w:t>
      </w:r>
      <w:r w:rsidRPr="00573E57">
        <w:rPr>
          <w:i/>
          <w:iCs/>
        </w:rPr>
        <w:t>Nature Medicine</w:t>
      </w:r>
      <w:r w:rsidRPr="00573E57">
        <w:t>, 30(10), pp. 2907–2913. doi:10.1038/s41591-024-03238-</w:t>
      </w:r>
      <w:r>
        <w:t xml:space="preserve">6  </w:t>
      </w:r>
    </w:p>
    <w:p w14:paraId="629758F2" w14:textId="77777777" w:rsidR="00FA7BFE" w:rsidRPr="00AF25C0" w:rsidRDefault="00FA7BFE" w:rsidP="00AC447D">
      <w:r w:rsidRPr="00AF25C0">
        <w:lastRenderedPageBreak/>
        <w:t xml:space="preserve">Medicines and Healthcare products Regulatory Agency (2025) </w:t>
      </w:r>
      <w:r w:rsidRPr="00AF25C0">
        <w:rPr>
          <w:i/>
          <w:iCs/>
        </w:rPr>
        <w:t>Software and artificial intelligence (AI) as a medical device</w:t>
      </w:r>
      <w:r w:rsidRPr="00AF25C0">
        <w:t xml:space="preserve">. Available at: </w:t>
      </w:r>
      <w:hyperlink r:id="rId12" w:history="1">
        <w:r w:rsidRPr="00130FBC">
          <w:rPr>
            <w:rStyle w:val="Hyperlink"/>
          </w:rPr>
          <w:t>https://www.gov.uk/government/publications/software-and-artificial-intelligence-ai-as-a-medical-device/software-and-artificial-intelligence-ai-as-a-medical-device</w:t>
        </w:r>
      </w:hyperlink>
      <w:r>
        <w:t xml:space="preserve"> </w:t>
      </w:r>
      <w:r w:rsidRPr="00AF25C0">
        <w:t>(Accessed: 11 March 2026).</w:t>
      </w:r>
    </w:p>
    <w:p w14:paraId="633C2CE7" w14:textId="77777777" w:rsidR="00FA7BFE" w:rsidRPr="00AF25C0" w:rsidRDefault="00FA7BFE" w:rsidP="00AC447D">
      <w:r w:rsidRPr="00AF25C0">
        <w:t xml:space="preserve">NHS England (2021) </w:t>
      </w:r>
      <w:r w:rsidRPr="00AF25C0">
        <w:rPr>
          <w:i/>
          <w:iCs/>
        </w:rPr>
        <w:t>A guide to setting up technology-enabled virtual wards</w:t>
      </w:r>
      <w:r w:rsidRPr="00AF25C0">
        <w:t xml:space="preserve">. Available at: </w:t>
      </w:r>
      <w:hyperlink r:id="rId13" w:history="1">
        <w:r w:rsidRPr="00130FBC">
          <w:rPr>
            <w:rStyle w:val="Hyperlink"/>
          </w:rPr>
          <w:t>https://www.england.nhs.uk/long-read/a-guide-to-setting-up-technology-enabled-virtual-wards/</w:t>
        </w:r>
      </w:hyperlink>
      <w:r>
        <w:t xml:space="preserve"> </w:t>
      </w:r>
      <w:r w:rsidRPr="00AF25C0">
        <w:t xml:space="preserve">(Accessed: </w:t>
      </w:r>
      <w:r>
        <w:t>5</w:t>
      </w:r>
      <w:r w:rsidRPr="00AF25C0">
        <w:t xml:space="preserve"> March 2026).</w:t>
      </w:r>
    </w:p>
    <w:p w14:paraId="169396D4" w14:textId="77777777" w:rsidR="00FA7BFE" w:rsidRPr="00AF25C0" w:rsidRDefault="00FA7BFE" w:rsidP="00AC447D">
      <w:r w:rsidRPr="00AF25C0">
        <w:t xml:space="preserve">NHS England (2023a) </w:t>
      </w:r>
      <w:r w:rsidRPr="00AF25C0">
        <w:rPr>
          <w:i/>
          <w:iCs/>
        </w:rPr>
        <w:t>Inclusive digital healthcare: a framework for NHS action on digital inclusion</w:t>
      </w:r>
      <w:r w:rsidRPr="00AF25C0">
        <w:t xml:space="preserve">. Available at: </w:t>
      </w:r>
      <w:hyperlink r:id="rId14" w:history="1">
        <w:r w:rsidRPr="00130FBC">
          <w:rPr>
            <w:rStyle w:val="Hyperlink"/>
          </w:rPr>
          <w:t>https://www.england.nhs.uk/long-read/inclusive-digital-healthcare-a-framework-for-nhs-action-on-digital-inclusion/</w:t>
        </w:r>
      </w:hyperlink>
      <w:r>
        <w:t xml:space="preserve"> </w:t>
      </w:r>
      <w:r w:rsidRPr="00AF25C0">
        <w:t>(Accessed: 11 March 2026).</w:t>
      </w:r>
    </w:p>
    <w:p w14:paraId="370DEEA0" w14:textId="77777777" w:rsidR="00FA7BFE" w:rsidRPr="00AF25C0" w:rsidRDefault="00FA7BFE" w:rsidP="00AC447D">
      <w:r w:rsidRPr="00AF25C0">
        <w:t xml:space="preserve">NHS England (2023b) </w:t>
      </w:r>
      <w:r w:rsidRPr="00AF25C0">
        <w:rPr>
          <w:i/>
          <w:iCs/>
        </w:rPr>
        <w:t>NHS Long Term Workforce Plan</w:t>
      </w:r>
      <w:r w:rsidRPr="00AF25C0">
        <w:t xml:space="preserve">. Available at: </w:t>
      </w:r>
      <w:hyperlink r:id="rId15" w:history="1">
        <w:r w:rsidRPr="00130FBC">
          <w:rPr>
            <w:rStyle w:val="Hyperlink"/>
          </w:rPr>
          <w:t>https://www.england.nhs.uk/publication/nhs-long-term-workforce-plan/</w:t>
        </w:r>
      </w:hyperlink>
      <w:r>
        <w:t xml:space="preserve"> </w:t>
      </w:r>
      <w:r w:rsidRPr="00AF25C0">
        <w:t xml:space="preserve">(Accessed: </w:t>
      </w:r>
      <w:r>
        <w:t>7</w:t>
      </w:r>
      <w:r w:rsidRPr="00AF25C0">
        <w:t xml:space="preserve"> March 2026).</w:t>
      </w:r>
    </w:p>
    <w:p w14:paraId="2C883F07" w14:textId="77777777" w:rsidR="00FA7BFE" w:rsidRPr="00AF25C0" w:rsidRDefault="00FA7BFE" w:rsidP="00AC447D">
      <w:r w:rsidRPr="00AF25C0">
        <w:t xml:space="preserve">NHS England (2024) </w:t>
      </w:r>
      <w:r w:rsidRPr="00AF25C0">
        <w:rPr>
          <w:i/>
          <w:iCs/>
        </w:rPr>
        <w:t>Virtual wards operational framework</w:t>
      </w:r>
      <w:r w:rsidRPr="00AF25C0">
        <w:t xml:space="preserve">. Available at: </w:t>
      </w:r>
      <w:hyperlink r:id="rId16" w:history="1">
        <w:r w:rsidRPr="00130FBC">
          <w:rPr>
            <w:rStyle w:val="Hyperlink"/>
          </w:rPr>
          <w:t>https://www.england.nhs.uk/long-read/virtual-wards-operational-framework/</w:t>
        </w:r>
      </w:hyperlink>
      <w:r>
        <w:t xml:space="preserve"> </w:t>
      </w:r>
      <w:r w:rsidRPr="00AF25C0">
        <w:t>(Accessed: 11 March 2026).</w:t>
      </w:r>
    </w:p>
    <w:p w14:paraId="01E6AD4A" w14:textId="77777777" w:rsidR="00FA7BFE" w:rsidRPr="00AF25C0" w:rsidRDefault="00FA7BFE" w:rsidP="00AC447D">
      <w:r w:rsidRPr="00AF25C0">
        <w:t xml:space="preserve">NHS England (2025) </w:t>
      </w:r>
      <w:r w:rsidRPr="00AF25C0">
        <w:rPr>
          <w:i/>
          <w:iCs/>
        </w:rPr>
        <w:t>Digital skills for patients</w:t>
      </w:r>
      <w:r w:rsidRPr="00AF25C0">
        <w:t xml:space="preserve">. Available at: </w:t>
      </w:r>
      <w:hyperlink r:id="rId17" w:history="1">
        <w:r w:rsidRPr="00130FBC">
          <w:rPr>
            <w:rStyle w:val="Hyperlink"/>
          </w:rPr>
          <w:t>https://www.england.nhs.uk/long-read/digital-skills-for-patients/</w:t>
        </w:r>
      </w:hyperlink>
      <w:r>
        <w:t xml:space="preserve"> </w:t>
      </w:r>
      <w:r w:rsidRPr="00AF25C0">
        <w:t xml:space="preserve">(Accessed: </w:t>
      </w:r>
      <w:r>
        <w:t>6</w:t>
      </w:r>
      <w:r w:rsidRPr="00AF25C0">
        <w:t xml:space="preserve"> March 2026).</w:t>
      </w:r>
    </w:p>
    <w:p w14:paraId="099296C6" w14:textId="77777777" w:rsidR="00FA7BFE" w:rsidRPr="00AF25C0" w:rsidRDefault="00FA7BFE" w:rsidP="00AC447D">
      <w:r w:rsidRPr="00AF25C0">
        <w:t xml:space="preserve">NICE (2022) </w:t>
      </w:r>
      <w:r w:rsidRPr="00AF25C0">
        <w:rPr>
          <w:i/>
          <w:iCs/>
        </w:rPr>
        <w:t>Evidence standards framework for digital health technologies</w:t>
      </w:r>
      <w:r w:rsidRPr="00AF25C0">
        <w:t xml:space="preserve">. Available at: </w:t>
      </w:r>
      <w:hyperlink r:id="rId18" w:history="1">
        <w:r w:rsidRPr="00130FBC">
          <w:rPr>
            <w:rStyle w:val="Hyperlink"/>
          </w:rPr>
          <w:t>https://www.nice.org.uk/what-nice-does/digital-health/evidence-standards-framework-esf-for-digital-health-technologies</w:t>
        </w:r>
      </w:hyperlink>
      <w:r>
        <w:t xml:space="preserve"> </w:t>
      </w:r>
      <w:r w:rsidRPr="00FA7BFE">
        <w:t>(</w:t>
      </w:r>
      <w:r w:rsidRPr="00AF25C0">
        <w:t xml:space="preserve">Accessed: </w:t>
      </w:r>
      <w:r>
        <w:t>5</w:t>
      </w:r>
      <w:r w:rsidRPr="00AF25C0">
        <w:t xml:space="preserve"> March 2026).</w:t>
      </w:r>
    </w:p>
    <w:p w14:paraId="57AEE7D2" w14:textId="77777777" w:rsidR="00FA7BFE" w:rsidRPr="00AF25C0" w:rsidRDefault="00FA7BFE" w:rsidP="00AC447D">
      <w:r w:rsidRPr="00AF25C0">
        <w:t xml:space="preserve">UK Government (2025) </w:t>
      </w:r>
      <w:r w:rsidRPr="00AF25C0">
        <w:rPr>
          <w:i/>
          <w:iCs/>
        </w:rPr>
        <w:t>10 Year Health Plan for England: fit for the future</w:t>
      </w:r>
      <w:r w:rsidRPr="00AF25C0">
        <w:t xml:space="preserve">. Available at: </w:t>
      </w:r>
      <w:hyperlink r:id="rId19" w:history="1">
        <w:r w:rsidRPr="00130FBC">
          <w:rPr>
            <w:rStyle w:val="Hyperlink"/>
          </w:rPr>
          <w:t>https://www.gov.uk/government/publications/10-year-health-plan-for-england-fit-for-the-future</w:t>
        </w:r>
      </w:hyperlink>
      <w:r>
        <w:t xml:space="preserve"> </w:t>
      </w:r>
      <w:r w:rsidRPr="00AF25C0">
        <w:t xml:space="preserve">(Accessed: </w:t>
      </w:r>
      <w:r>
        <w:t>2</w:t>
      </w:r>
      <w:r w:rsidRPr="00AF25C0">
        <w:t xml:space="preserve"> March 2026).</w:t>
      </w:r>
    </w:p>
    <w:p w14:paraId="6C005578" w14:textId="77777777" w:rsidR="00FA7BFE" w:rsidRPr="00573E57" w:rsidRDefault="00FA7BFE" w:rsidP="00573E57">
      <w:r w:rsidRPr="00573E57">
        <w:t xml:space="preserve">Verma, N., Buch, B., </w:t>
      </w:r>
      <w:proofErr w:type="spellStart"/>
      <w:r w:rsidRPr="00573E57">
        <w:t>Taralekar</w:t>
      </w:r>
      <w:proofErr w:type="spellEnd"/>
      <w:r w:rsidRPr="00573E57">
        <w:t xml:space="preserve">, R. and Acharya, S. (2023) ‘Diagnostic concordance of telemedicine as compared with face-to-face care in primary health care clinics in rural </w:t>
      </w:r>
      <w:r w:rsidRPr="00573E57">
        <w:lastRenderedPageBreak/>
        <w:t xml:space="preserve">India: Randomized crossover trial’, </w:t>
      </w:r>
      <w:r w:rsidRPr="00573E57">
        <w:rPr>
          <w:i/>
          <w:iCs/>
        </w:rPr>
        <w:t>JMIR Formative Research</w:t>
      </w:r>
      <w:r w:rsidRPr="00573E57">
        <w:t xml:space="preserve">, 7, e42775. </w:t>
      </w:r>
      <w:proofErr w:type="spellStart"/>
      <w:r w:rsidRPr="00573E57">
        <w:t>doi</w:t>
      </w:r>
      <w:proofErr w:type="spellEnd"/>
      <w:r w:rsidRPr="00573E57">
        <w:t>: 10.2196/42775.</w:t>
      </w:r>
    </w:p>
    <w:p w14:paraId="63DBC69E" w14:textId="77777777" w:rsidR="00FA7BFE" w:rsidRPr="00573E57" w:rsidRDefault="00FA7BFE" w:rsidP="00573E57">
      <w:r w:rsidRPr="00573E57">
        <w:t xml:space="preserve">Wathne, H., May, C., Morken, I.M., Storm, M. and Husebø, A.M.L. (2024) ‘Acceptability and usability of a nurse-assisted remote patient monitoring intervention for the post-hospital follow-up of patients with long-term illness: A qualitative study’, </w:t>
      </w:r>
      <w:r w:rsidRPr="00573E57">
        <w:rPr>
          <w:i/>
          <w:iCs/>
        </w:rPr>
        <w:t>International Journal of Nursing Studies Advances</w:t>
      </w:r>
      <w:r w:rsidRPr="00573E57">
        <w:t xml:space="preserve">, 7, 100229. </w:t>
      </w:r>
      <w:proofErr w:type="spellStart"/>
      <w:r w:rsidRPr="00573E57">
        <w:t>doi</w:t>
      </w:r>
      <w:proofErr w:type="spellEnd"/>
      <w:r w:rsidRPr="00573E57">
        <w:t>: 10.1016/j.ijnsa.2024.100229.</w:t>
      </w:r>
    </w:p>
    <w:p w14:paraId="015F7624" w14:textId="77777777" w:rsidR="00FA7BFE" w:rsidRPr="00573E57" w:rsidRDefault="00FA7BFE" w:rsidP="00573E57">
      <w:r w:rsidRPr="00573E57">
        <w:t xml:space="preserve">WHO (2021) </w:t>
      </w:r>
      <w:r w:rsidRPr="00573E57">
        <w:rPr>
          <w:i/>
          <w:iCs/>
        </w:rPr>
        <w:t>Global strategy on digital health 2020–2025</w:t>
      </w:r>
      <w:r w:rsidRPr="00573E57">
        <w:t>. Geneva: World Health Organization.</w:t>
      </w:r>
    </w:p>
    <w:p w14:paraId="4643F548" w14:textId="77777777" w:rsidR="00FA7BFE" w:rsidRDefault="00FA7BFE" w:rsidP="00573E57">
      <w:r w:rsidRPr="00573E57">
        <w:t xml:space="preserve">Wiley, K., Blackburn, J., Mendonca, E., </w:t>
      </w:r>
      <w:proofErr w:type="spellStart"/>
      <w:r w:rsidRPr="00573E57">
        <w:t>Menachemi</w:t>
      </w:r>
      <w:proofErr w:type="spellEnd"/>
      <w:r w:rsidRPr="00573E57">
        <w:t xml:space="preserve">, N., De Groot, M. and Vest, J.R. (2024) ‘Associations between patient portal use and electronic health record (EHR) data timeliness in type 2 diabetes mellitus care’, </w:t>
      </w:r>
      <w:r w:rsidRPr="00573E57">
        <w:rPr>
          <w:i/>
          <w:iCs/>
        </w:rPr>
        <w:t>Journal of Diabetes &amp; Metabolic Disorders</w:t>
      </w:r>
      <w:r w:rsidRPr="00573E57">
        <w:t xml:space="preserve">, 23(2), pp. 2073–2080. </w:t>
      </w:r>
      <w:proofErr w:type="spellStart"/>
      <w:r w:rsidRPr="00573E57">
        <w:t>doi</w:t>
      </w:r>
      <w:proofErr w:type="spellEnd"/>
      <w:r w:rsidRPr="00573E57">
        <w:t>: 10.1007/s40200-024-01468-6.</w:t>
      </w:r>
    </w:p>
    <w:p w14:paraId="38259975" w14:textId="77777777" w:rsidR="00FA7BFE" w:rsidRPr="00AF25C0" w:rsidRDefault="00FA7BFE" w:rsidP="00AC447D">
      <w:r w:rsidRPr="00AF25C0">
        <w:t xml:space="preserve">World Health Organization (2021) </w:t>
      </w:r>
      <w:r w:rsidRPr="00AF25C0">
        <w:rPr>
          <w:i/>
          <w:iCs/>
        </w:rPr>
        <w:t>Global strategy on digital health 2020–2025</w:t>
      </w:r>
      <w:r w:rsidRPr="00AF25C0">
        <w:t xml:space="preserve">. Available at: </w:t>
      </w:r>
      <w:hyperlink r:id="rId20" w:history="1">
        <w:r w:rsidRPr="00130FBC">
          <w:rPr>
            <w:rStyle w:val="Hyperlink"/>
          </w:rPr>
          <w:t>https://www.who.int/publications/i/item/9789240020924</w:t>
        </w:r>
      </w:hyperlink>
      <w:r>
        <w:t xml:space="preserve"> </w:t>
      </w:r>
      <w:r w:rsidRPr="00AF25C0">
        <w:t xml:space="preserve">(Accessed: </w:t>
      </w:r>
      <w:r>
        <w:t xml:space="preserve">1 </w:t>
      </w:r>
      <w:r w:rsidRPr="00AF25C0">
        <w:t>March 2026).</w:t>
      </w:r>
    </w:p>
    <w:p w14:paraId="3F3A3946" w14:textId="77777777" w:rsidR="00AC447D" w:rsidRPr="00573E57" w:rsidRDefault="00AC447D" w:rsidP="00573E57"/>
    <w:p w14:paraId="7331C925" w14:textId="77777777" w:rsidR="00011124" w:rsidRPr="00573E57" w:rsidRDefault="00011124" w:rsidP="00573E57"/>
    <w:sectPr w:rsidR="00011124" w:rsidRPr="00573E57">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200247B" w:usb2="00000009" w:usb3="00000000" w:csb0="000001FF" w:csb1="00000000"/>
  </w:font>
  <w:font w:name="Arial MT">
    <w:altName w:val="Arial"/>
    <w:charset w:val="01"/>
    <w:family w:val="swiss"/>
    <w:pitch w:val="variable"/>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3711374"/>
    <w:multiLevelType w:val="hybridMultilevel"/>
    <w:tmpl w:val="1228D5AE"/>
    <w:lvl w:ilvl="0" w:tplc="1F8A5CC4">
      <w:numFmt w:val="bullet"/>
      <w:lvlText w:val="•"/>
      <w:lvlJc w:val="left"/>
      <w:pPr>
        <w:ind w:left="360" w:hanging="360"/>
      </w:pPr>
      <w:rPr>
        <w:rFonts w:ascii="Arial" w:eastAsiaTheme="minorHAnsi" w:hAnsi="Arial" w:cs="Aria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1" w15:restartNumberingAfterBreak="0">
    <w:nsid w:val="445B1EF4"/>
    <w:multiLevelType w:val="hybridMultilevel"/>
    <w:tmpl w:val="4C20FF2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78B633D2"/>
    <w:multiLevelType w:val="hybridMultilevel"/>
    <w:tmpl w:val="33E07AFE"/>
    <w:lvl w:ilvl="0" w:tplc="1F8A5CC4">
      <w:numFmt w:val="bullet"/>
      <w:lvlText w:val="•"/>
      <w:lvlJc w:val="left"/>
      <w:pPr>
        <w:ind w:left="720" w:hanging="360"/>
      </w:pPr>
      <w:rPr>
        <w:rFonts w:ascii="Arial" w:eastAsiaTheme="minorHAnsi" w:hAnsi="Arial" w:cs="Aria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743725430">
    <w:abstractNumId w:val="1"/>
  </w:num>
  <w:num w:numId="2" w16cid:durableId="1905943325">
    <w:abstractNumId w:val="2"/>
  </w:num>
  <w:num w:numId="3" w16cid:durableId="145617544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11124"/>
    <w:rsid w:val="00011124"/>
    <w:rsid w:val="0011285D"/>
    <w:rsid w:val="00226537"/>
    <w:rsid w:val="003863E3"/>
    <w:rsid w:val="00573E57"/>
    <w:rsid w:val="00677FE4"/>
    <w:rsid w:val="006D01CD"/>
    <w:rsid w:val="006E49F6"/>
    <w:rsid w:val="00742070"/>
    <w:rsid w:val="008815D0"/>
    <w:rsid w:val="00887C8C"/>
    <w:rsid w:val="00A0277F"/>
    <w:rsid w:val="00A96F22"/>
    <w:rsid w:val="00AC447D"/>
    <w:rsid w:val="00AD7B23"/>
    <w:rsid w:val="00AF25C0"/>
    <w:rsid w:val="00B33118"/>
    <w:rsid w:val="00C61749"/>
    <w:rsid w:val="00CC0DC0"/>
    <w:rsid w:val="00FA7BFE"/>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516C7C9"/>
  <w15:chartTrackingRefBased/>
  <w15:docId w15:val="{6547CCE2-4D1A-4F98-96A9-8C3545C77BB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US"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87C8C"/>
    <w:pPr>
      <w:spacing w:line="360" w:lineRule="auto"/>
      <w:jc w:val="both"/>
    </w:pPr>
    <w:rPr>
      <w:rFonts w:ascii="Arial" w:hAnsi="Arial"/>
    </w:rPr>
  </w:style>
  <w:style w:type="paragraph" w:styleId="Heading1">
    <w:name w:val="heading 1"/>
    <w:basedOn w:val="Normal"/>
    <w:next w:val="Normal"/>
    <w:link w:val="Heading1Char"/>
    <w:uiPriority w:val="9"/>
    <w:qFormat/>
    <w:rsid w:val="00CC0DC0"/>
    <w:pPr>
      <w:keepNext/>
      <w:keepLines/>
      <w:spacing w:before="360" w:after="80"/>
      <w:jc w:val="left"/>
      <w:outlineLvl w:val="0"/>
    </w:pPr>
    <w:rPr>
      <w:rFonts w:eastAsiaTheme="majorEastAsia" w:cstheme="majorBidi"/>
      <w:b/>
      <w:caps/>
      <w:szCs w:val="40"/>
    </w:rPr>
  </w:style>
  <w:style w:type="paragraph" w:styleId="Heading2">
    <w:name w:val="heading 2"/>
    <w:basedOn w:val="Normal"/>
    <w:next w:val="Normal"/>
    <w:link w:val="Heading2Char"/>
    <w:uiPriority w:val="9"/>
    <w:unhideWhenUsed/>
    <w:qFormat/>
    <w:rsid w:val="00887C8C"/>
    <w:pPr>
      <w:keepNext/>
      <w:keepLines/>
      <w:spacing w:before="40" w:after="0"/>
      <w:outlineLvl w:val="1"/>
    </w:pPr>
    <w:rPr>
      <w:rFonts w:eastAsiaTheme="majorEastAsia" w:cstheme="majorBidi"/>
      <w:b/>
      <w:szCs w:val="32"/>
    </w:rPr>
  </w:style>
  <w:style w:type="paragraph" w:styleId="Heading3">
    <w:name w:val="heading 3"/>
    <w:basedOn w:val="Normal"/>
    <w:next w:val="Normal"/>
    <w:link w:val="Heading3Char"/>
    <w:uiPriority w:val="9"/>
    <w:unhideWhenUsed/>
    <w:qFormat/>
    <w:rsid w:val="00AD7B23"/>
    <w:pPr>
      <w:keepNext/>
      <w:keepLines/>
      <w:spacing w:before="160" w:after="80"/>
      <w:outlineLvl w:val="2"/>
    </w:pPr>
    <w:rPr>
      <w:rFonts w:eastAsiaTheme="majorEastAsia" w:cstheme="majorBidi"/>
      <w:i/>
      <w:szCs w:val="28"/>
    </w:rPr>
  </w:style>
  <w:style w:type="paragraph" w:styleId="Heading4">
    <w:name w:val="heading 4"/>
    <w:basedOn w:val="Normal"/>
    <w:next w:val="Normal"/>
    <w:link w:val="Heading4Char"/>
    <w:uiPriority w:val="9"/>
    <w:semiHidden/>
    <w:unhideWhenUsed/>
    <w:qFormat/>
    <w:rsid w:val="00011124"/>
    <w:pPr>
      <w:keepNext/>
      <w:keepLines/>
      <w:spacing w:before="80" w:after="40"/>
      <w:outlineLvl w:val="3"/>
    </w:pPr>
    <w:rPr>
      <w:rFonts w:asciiTheme="minorHAnsi" w:eastAsiaTheme="majorEastAsia" w:hAnsiTheme="min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011124"/>
    <w:pPr>
      <w:keepNext/>
      <w:keepLines/>
      <w:spacing w:before="80" w:after="40"/>
      <w:outlineLvl w:val="4"/>
    </w:pPr>
    <w:rPr>
      <w:rFonts w:asciiTheme="minorHAnsi" w:eastAsiaTheme="majorEastAsia" w:hAnsiTheme="minorHAnsi" w:cstheme="majorBidi"/>
      <w:color w:val="2F5496" w:themeColor="accent1" w:themeShade="BF"/>
    </w:rPr>
  </w:style>
  <w:style w:type="paragraph" w:styleId="Heading6">
    <w:name w:val="heading 6"/>
    <w:basedOn w:val="Normal"/>
    <w:next w:val="Normal"/>
    <w:link w:val="Heading6Char"/>
    <w:uiPriority w:val="9"/>
    <w:semiHidden/>
    <w:unhideWhenUsed/>
    <w:qFormat/>
    <w:rsid w:val="00011124"/>
    <w:pPr>
      <w:keepNext/>
      <w:keepLines/>
      <w:spacing w:before="40" w:after="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011124"/>
    <w:pPr>
      <w:keepNext/>
      <w:keepLines/>
      <w:spacing w:before="40" w:after="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011124"/>
    <w:pPr>
      <w:keepNext/>
      <w:keepLines/>
      <w:spacing w:after="0"/>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011124"/>
    <w:pPr>
      <w:keepNext/>
      <w:keepLines/>
      <w:spacing w:after="0"/>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C0DC0"/>
    <w:rPr>
      <w:rFonts w:ascii="Arial" w:eastAsiaTheme="majorEastAsia" w:hAnsi="Arial" w:cstheme="majorBidi"/>
      <w:b/>
      <w:caps/>
      <w:szCs w:val="40"/>
    </w:rPr>
  </w:style>
  <w:style w:type="character" w:customStyle="1" w:styleId="Heading2Char">
    <w:name w:val="Heading 2 Char"/>
    <w:basedOn w:val="DefaultParagraphFont"/>
    <w:link w:val="Heading2"/>
    <w:uiPriority w:val="9"/>
    <w:rsid w:val="00887C8C"/>
    <w:rPr>
      <w:rFonts w:ascii="Arial" w:eastAsiaTheme="majorEastAsia" w:hAnsi="Arial" w:cstheme="majorBidi"/>
      <w:b/>
      <w:szCs w:val="32"/>
    </w:rPr>
  </w:style>
  <w:style w:type="character" w:customStyle="1" w:styleId="Heading3Char">
    <w:name w:val="Heading 3 Char"/>
    <w:basedOn w:val="DefaultParagraphFont"/>
    <w:link w:val="Heading3"/>
    <w:uiPriority w:val="9"/>
    <w:rsid w:val="00AD7B23"/>
    <w:rPr>
      <w:rFonts w:ascii="Arial" w:eastAsiaTheme="majorEastAsia" w:hAnsi="Arial" w:cstheme="majorBidi"/>
      <w:i/>
      <w:szCs w:val="28"/>
    </w:rPr>
  </w:style>
  <w:style w:type="character" w:customStyle="1" w:styleId="Heading4Char">
    <w:name w:val="Heading 4 Char"/>
    <w:basedOn w:val="DefaultParagraphFont"/>
    <w:link w:val="Heading4"/>
    <w:uiPriority w:val="9"/>
    <w:semiHidden/>
    <w:rsid w:val="00011124"/>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011124"/>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011124"/>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11124"/>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11124"/>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11124"/>
    <w:rPr>
      <w:rFonts w:eastAsiaTheme="majorEastAsia" w:cstheme="majorBidi"/>
      <w:color w:val="272727" w:themeColor="text1" w:themeTint="D8"/>
    </w:rPr>
  </w:style>
  <w:style w:type="paragraph" w:styleId="Title">
    <w:name w:val="Title"/>
    <w:basedOn w:val="Normal"/>
    <w:next w:val="Normal"/>
    <w:link w:val="TitleChar"/>
    <w:uiPriority w:val="10"/>
    <w:qFormat/>
    <w:rsid w:val="00011124"/>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11124"/>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11124"/>
    <w:pPr>
      <w:numPr>
        <w:ilvl w:val="1"/>
      </w:numPr>
    </w:pPr>
    <w:rPr>
      <w:rFonts w:asciiTheme="minorHAnsi" w:eastAsiaTheme="majorEastAsia"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11124"/>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11124"/>
    <w:pPr>
      <w:spacing w:before="160"/>
      <w:jc w:val="center"/>
    </w:pPr>
    <w:rPr>
      <w:i/>
      <w:iCs/>
      <w:color w:val="404040" w:themeColor="text1" w:themeTint="BF"/>
    </w:rPr>
  </w:style>
  <w:style w:type="character" w:customStyle="1" w:styleId="QuoteChar">
    <w:name w:val="Quote Char"/>
    <w:basedOn w:val="DefaultParagraphFont"/>
    <w:link w:val="Quote"/>
    <w:uiPriority w:val="29"/>
    <w:rsid w:val="00011124"/>
    <w:rPr>
      <w:rFonts w:ascii="Arial" w:hAnsi="Arial"/>
      <w:i/>
      <w:iCs/>
      <w:color w:val="404040" w:themeColor="text1" w:themeTint="BF"/>
    </w:rPr>
  </w:style>
  <w:style w:type="paragraph" w:styleId="ListParagraph">
    <w:name w:val="List Paragraph"/>
    <w:basedOn w:val="Normal"/>
    <w:uiPriority w:val="34"/>
    <w:qFormat/>
    <w:rsid w:val="00011124"/>
    <w:pPr>
      <w:ind w:left="720"/>
      <w:contextualSpacing/>
    </w:pPr>
  </w:style>
  <w:style w:type="character" w:styleId="IntenseEmphasis">
    <w:name w:val="Intense Emphasis"/>
    <w:basedOn w:val="DefaultParagraphFont"/>
    <w:uiPriority w:val="21"/>
    <w:qFormat/>
    <w:rsid w:val="00011124"/>
    <w:rPr>
      <w:i/>
      <w:iCs/>
      <w:color w:val="2F5496" w:themeColor="accent1" w:themeShade="BF"/>
    </w:rPr>
  </w:style>
  <w:style w:type="paragraph" w:styleId="IntenseQuote">
    <w:name w:val="Intense Quote"/>
    <w:basedOn w:val="Normal"/>
    <w:next w:val="Normal"/>
    <w:link w:val="IntenseQuoteChar"/>
    <w:uiPriority w:val="30"/>
    <w:qFormat/>
    <w:rsid w:val="00011124"/>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011124"/>
    <w:rPr>
      <w:rFonts w:ascii="Arial" w:hAnsi="Arial"/>
      <w:i/>
      <w:iCs/>
      <w:color w:val="2F5496" w:themeColor="accent1" w:themeShade="BF"/>
    </w:rPr>
  </w:style>
  <w:style w:type="character" w:styleId="IntenseReference">
    <w:name w:val="Intense Reference"/>
    <w:basedOn w:val="DefaultParagraphFont"/>
    <w:uiPriority w:val="32"/>
    <w:qFormat/>
    <w:rsid w:val="00011124"/>
    <w:rPr>
      <w:b/>
      <w:bCs/>
      <w:smallCaps/>
      <w:color w:val="2F5496" w:themeColor="accent1" w:themeShade="BF"/>
      <w:spacing w:val="5"/>
    </w:rPr>
  </w:style>
  <w:style w:type="table" w:styleId="TableGrid">
    <w:name w:val="Table Grid"/>
    <w:basedOn w:val="TableNormal"/>
    <w:uiPriority w:val="39"/>
    <w:rsid w:val="00677FE4"/>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677FE4"/>
    <w:rPr>
      <w:color w:val="0563C1" w:themeColor="hyperlink"/>
      <w:u w:val="single"/>
    </w:rPr>
  </w:style>
  <w:style w:type="character" w:styleId="UnresolvedMention">
    <w:name w:val="Unresolved Mention"/>
    <w:basedOn w:val="DefaultParagraphFont"/>
    <w:uiPriority w:val="99"/>
    <w:semiHidden/>
    <w:unhideWhenUsed/>
    <w:rsid w:val="00677FE4"/>
    <w:rPr>
      <w:color w:val="605E5C"/>
      <w:shd w:val="clear" w:color="auto" w:fill="E1DFDD"/>
    </w:rPr>
  </w:style>
  <w:style w:type="paragraph" w:styleId="BodyText">
    <w:name w:val="Body Text"/>
    <w:basedOn w:val="Normal"/>
    <w:link w:val="BodyTextChar"/>
    <w:uiPriority w:val="1"/>
    <w:qFormat/>
    <w:rsid w:val="00AC447D"/>
    <w:pPr>
      <w:widowControl w:val="0"/>
      <w:autoSpaceDE w:val="0"/>
      <w:autoSpaceDN w:val="0"/>
      <w:spacing w:after="0" w:line="240" w:lineRule="auto"/>
      <w:jc w:val="left"/>
    </w:pPr>
    <w:rPr>
      <w:rFonts w:ascii="Arial MT" w:eastAsia="Arial MT" w:hAnsi="Arial MT" w:cs="Arial MT"/>
      <w:kern w:val="0"/>
      <w:sz w:val="22"/>
      <w:szCs w:val="22"/>
      <w14:ligatures w14:val="none"/>
    </w:rPr>
  </w:style>
  <w:style w:type="character" w:customStyle="1" w:styleId="BodyTextChar">
    <w:name w:val="Body Text Char"/>
    <w:basedOn w:val="DefaultParagraphFont"/>
    <w:link w:val="BodyText"/>
    <w:uiPriority w:val="1"/>
    <w:rsid w:val="00AC447D"/>
    <w:rPr>
      <w:rFonts w:ascii="Arial MT" w:eastAsia="Arial MT" w:hAnsi="Arial MT" w:cs="Arial MT"/>
      <w:kern w:val="0"/>
      <w:sz w:val="22"/>
      <w:szCs w:val="22"/>
      <w14:ligatures w14:val="none"/>
    </w:rPr>
  </w:style>
  <w:style w:type="paragraph" w:styleId="TOCHeading">
    <w:name w:val="TOC Heading"/>
    <w:basedOn w:val="Heading1"/>
    <w:next w:val="Normal"/>
    <w:uiPriority w:val="39"/>
    <w:unhideWhenUsed/>
    <w:qFormat/>
    <w:rsid w:val="00AC447D"/>
    <w:pPr>
      <w:spacing w:before="240" w:after="0" w:line="259" w:lineRule="auto"/>
      <w:outlineLvl w:val="9"/>
    </w:pPr>
    <w:rPr>
      <w:rFonts w:asciiTheme="majorHAnsi" w:hAnsiTheme="majorHAnsi"/>
      <w:b w:val="0"/>
      <w:caps w:val="0"/>
      <w:color w:val="2F5496" w:themeColor="accent1" w:themeShade="BF"/>
      <w:kern w:val="0"/>
      <w:sz w:val="32"/>
      <w:szCs w:val="32"/>
      <w14:ligatures w14:val="none"/>
    </w:rPr>
  </w:style>
  <w:style w:type="paragraph" w:styleId="TOC1">
    <w:name w:val="toc 1"/>
    <w:basedOn w:val="Normal"/>
    <w:next w:val="Normal"/>
    <w:autoRedefine/>
    <w:uiPriority w:val="39"/>
    <w:unhideWhenUsed/>
    <w:rsid w:val="00AC447D"/>
    <w:pPr>
      <w:spacing w:after="100"/>
    </w:pPr>
  </w:style>
  <w:style w:type="paragraph" w:styleId="TOC2">
    <w:name w:val="toc 2"/>
    <w:basedOn w:val="Normal"/>
    <w:next w:val="Normal"/>
    <w:autoRedefine/>
    <w:uiPriority w:val="39"/>
    <w:unhideWhenUsed/>
    <w:rsid w:val="00AC447D"/>
    <w:pPr>
      <w:spacing w:after="100"/>
      <w:ind w:left="240"/>
    </w:pPr>
  </w:style>
  <w:style w:type="paragraph" w:styleId="Caption">
    <w:name w:val="caption"/>
    <w:basedOn w:val="Normal"/>
    <w:next w:val="Normal"/>
    <w:uiPriority w:val="35"/>
    <w:unhideWhenUsed/>
    <w:qFormat/>
    <w:rsid w:val="00AC447D"/>
    <w:pPr>
      <w:spacing w:after="200" w:line="240" w:lineRule="auto"/>
    </w:pPr>
    <w:rPr>
      <w:i/>
      <w:iCs/>
      <w:color w:val="44546A" w:themeColor="text2"/>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gov.uk/government/publications/a-plan-for-digital-health-and-social-care/a-plan-for-digital-health-and-social-care" TargetMode="External"/><Relationship Id="rId13" Type="http://schemas.openxmlformats.org/officeDocument/2006/relationships/hyperlink" Target="https://www.england.nhs.uk/long-read/a-guide-to-setting-up-technology-enabled-virtual-wards/" TargetMode="External"/><Relationship Id="rId18" Type="http://schemas.openxmlformats.org/officeDocument/2006/relationships/hyperlink" Target="https://www.nice.org.uk/what-nice-does/digital-health/evidence-standards-framework-esf-for-digital-health-technologies" TargetMode="External"/><Relationship Id="rId3" Type="http://schemas.openxmlformats.org/officeDocument/2006/relationships/styles" Target="styles.xml"/><Relationship Id="rId21" Type="http://schemas.openxmlformats.org/officeDocument/2006/relationships/fontTable" Target="fontTable.xml"/><Relationship Id="rId7" Type="http://schemas.openxmlformats.org/officeDocument/2006/relationships/hyperlink" Target="https://doi.org/10.1186/s12874-019-0751-7" TargetMode="External"/><Relationship Id="rId12" Type="http://schemas.openxmlformats.org/officeDocument/2006/relationships/hyperlink" Target="https://www.gov.uk/government/publications/software-and-artificial-intelligence-ai-as-a-medical-device/software-and-artificial-intelligence-ai-as-a-medical-device" TargetMode="External"/><Relationship Id="rId17" Type="http://schemas.openxmlformats.org/officeDocument/2006/relationships/hyperlink" Target="https://www.england.nhs.uk/long-read/digital-skills-for-patients/" TargetMode="External"/><Relationship Id="rId2" Type="http://schemas.openxmlformats.org/officeDocument/2006/relationships/numbering" Target="numbering.xml"/><Relationship Id="rId16" Type="http://schemas.openxmlformats.org/officeDocument/2006/relationships/hyperlink" Target="https://www.england.nhs.uk/long-read/virtual-wards-operational-framework/" TargetMode="External"/><Relationship Id="rId20" Type="http://schemas.openxmlformats.org/officeDocument/2006/relationships/hyperlink" Target="https://www.who.int/publications/i/item/9789240020924" TargetMode="External"/><Relationship Id="rId1" Type="http://schemas.openxmlformats.org/officeDocument/2006/relationships/customXml" Target="../customXml/item1.xml"/><Relationship Id="rId6" Type="http://schemas.openxmlformats.org/officeDocument/2006/relationships/hyperlink" Target="https://doi.org/10.1080/1364557032000119616" TargetMode="External"/><Relationship Id="rId11" Type="http://schemas.openxmlformats.org/officeDocument/2006/relationships/hyperlink" Target="https://ico.org.uk/for-organisations/uk-gdpr-guidance-and-resources/lawful-basis/special-category-data/what-are-the-conditions-for-processing/" TargetMode="External"/><Relationship Id="rId5" Type="http://schemas.openxmlformats.org/officeDocument/2006/relationships/webSettings" Target="webSettings.xml"/><Relationship Id="rId15" Type="http://schemas.openxmlformats.org/officeDocument/2006/relationships/hyperlink" Target="https://www.england.nhs.uk/publication/nhs-long-term-workforce-plan/" TargetMode="External"/><Relationship Id="rId10" Type="http://schemas.openxmlformats.org/officeDocument/2006/relationships/hyperlink" Target="https://www.legislation.gov.uk/ukpga/2018/12/contents" TargetMode="External"/><Relationship Id="rId19" Type="http://schemas.openxmlformats.org/officeDocument/2006/relationships/hyperlink" Target="https://www.gov.uk/government/publications/10-year-health-plan-for-england-fit-for-the-future" TargetMode="External"/><Relationship Id="rId4" Type="http://schemas.openxmlformats.org/officeDocument/2006/relationships/settings" Target="settings.xml"/><Relationship Id="rId9" Type="http://schemas.openxmlformats.org/officeDocument/2006/relationships/hyperlink" Target="https://www.gov.uk/government/publications/data-saves-lives-reshaping-health-and-social-care-with-data/data-saves-lives-reshaping-health-and-social-care-with-data" TargetMode="External"/><Relationship Id="rId14" Type="http://schemas.openxmlformats.org/officeDocument/2006/relationships/hyperlink" Target="https://www.england.nhs.uk/long-read/inclusive-digital-healthcare-a-framework-for-nhs-action-on-digital-inclusion/" TargetMode="External"/><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CE44373-A371-47FA-83E1-B0759F3EF77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16</Pages>
  <Words>4765</Words>
  <Characters>27167</Characters>
  <Application>Microsoft Office Word</Application>
  <DocSecurity>0</DocSecurity>
  <Lines>226</Lines>
  <Paragraphs>63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31869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Nabila Nazam (2324644)</cp:lastModifiedBy>
  <cp:revision>2</cp:revision>
  <dcterms:created xsi:type="dcterms:W3CDTF">2026-03-17T17:07:00Z</dcterms:created>
  <dcterms:modified xsi:type="dcterms:W3CDTF">2026-03-17T17:07:00Z</dcterms:modified>
</cp:coreProperties>
</file>