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914306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75341">
              <w:rPr>
                <w:rFonts w:ascii="Times New Roman" w:hAnsi="Times New Roman" w:cs="Times New Roman"/>
                <w:b/>
                <w:color w:val="auto"/>
                <w:sz w:val="48"/>
              </w:rPr>
              <w:t>Anais Rebecca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5BB899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75341">
              <w:rPr>
                <w:rFonts w:ascii="Times New Roman" w:hAnsi="Times New Roman" w:cs="Times New Roman"/>
                <w:b/>
                <w:color w:val="auto"/>
                <w:sz w:val="48"/>
              </w:rPr>
              <w:t xml:space="preserve"> armandrebecca@outlook.com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60EFF0B"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85B16EC" w14:textId="7B6DAC2F" w:rsidR="00D218F6" w:rsidRPr="00D218F6" w:rsidRDefault="00D218F6" w:rsidP="005D3F07">
            <w:pPr>
              <w:overflowPunct/>
              <w:autoSpaceDE/>
              <w:autoSpaceDN/>
              <w:adjustRightInd/>
              <w:ind w:right="-957"/>
              <w:textAlignment w:val="auto"/>
              <w:rPr>
                <w:rFonts w:ascii="Times New Roman" w:hAnsi="Times New Roman" w:cs="Times New Roman"/>
                <w:b/>
                <w:color w:val="auto"/>
                <w:sz w:val="72"/>
                <w:szCs w:val="28"/>
              </w:rPr>
            </w:pPr>
            <w:r w:rsidRPr="00D218F6">
              <w:rPr>
                <w:rFonts w:ascii="Segoe UI" w:hAnsi="Segoe UI" w:cs="Segoe UI"/>
                <w:color w:val="1D1D1D"/>
                <w:sz w:val="28"/>
                <w:szCs w:val="28"/>
                <w:shd w:val="clear" w:color="auto" w:fill="FFFFFF"/>
              </w:rPr>
              <w:t>2025531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9741AA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D218F6">
              <w:rPr>
                <w:rFonts w:ascii="Times New Roman" w:hAnsi="Times New Roman" w:cs="Times New Roman"/>
                <w:b/>
                <w:color w:val="auto"/>
                <w:sz w:val="48"/>
              </w:rPr>
              <w:t xml:space="preserve"> </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t>
      </w:r>
      <w:proofErr w:type="gramStart"/>
      <w:r w:rsidR="005F64AA">
        <w:rPr>
          <w:b/>
          <w:sz w:val="28"/>
          <w:szCs w:val="28"/>
        </w:rPr>
        <w:t>work</w:t>
      </w:r>
      <w:proofErr w:type="gramEnd"/>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0167098A" w14:textId="451A8192" w:rsidR="009D3DB2" w:rsidRDefault="009D3DB2" w:rsidP="009D3DB2">
            <w:pPr>
              <w:spacing w:after="160" w:line="259" w:lineRule="auto"/>
              <w:rPr>
                <w:rFonts w:asciiTheme="minorHAnsi" w:hAnsiTheme="minorHAnsi" w:cstheme="minorHAnsi"/>
                <w:sz w:val="24"/>
                <w:szCs w:val="24"/>
                <w:lang w:val="cy-GB"/>
              </w:rPr>
            </w:pPr>
          </w:p>
          <w:p w14:paraId="2E831AC9" w14:textId="77777777" w:rsidR="009D3DB2" w:rsidRDefault="009D3DB2" w:rsidP="009D3DB2">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24E98AEB" w14:textId="77777777" w:rsidR="009D3DB2" w:rsidRPr="009D3DB2" w:rsidRDefault="009D3DB2" w:rsidP="009D3DB2">
            <w:pPr>
              <w:spacing w:after="160" w:line="259" w:lineRule="auto"/>
              <w:rPr>
                <w:rFonts w:asciiTheme="minorHAnsi" w:hAnsiTheme="minorHAnsi" w:cstheme="minorHAnsi"/>
                <w:sz w:val="24"/>
                <w:szCs w:val="24"/>
                <w:lang w:val="cy-GB"/>
              </w:rPr>
            </w:pPr>
          </w:p>
          <w:p w14:paraId="68E5A389" w14:textId="77777777" w:rsidR="009D3DB2" w:rsidRPr="009D3DB2" w:rsidRDefault="009D3DB2" w:rsidP="009D3DB2">
            <w:pPr>
              <w:spacing w:after="160" w:line="259" w:lineRule="auto"/>
              <w:rPr>
                <w:rFonts w:asciiTheme="minorHAnsi" w:hAnsiTheme="minorHAnsi" w:cstheme="minorHAnsi"/>
                <w:sz w:val="24"/>
                <w:szCs w:val="24"/>
                <w:lang w:val="cy-GB"/>
              </w:rPr>
            </w:pPr>
            <w:proofErr w:type="spellStart"/>
            <w:r w:rsidRPr="009D3DB2">
              <w:rPr>
                <w:rFonts w:asciiTheme="minorHAnsi" w:hAnsiTheme="minorHAnsi" w:cstheme="minorHAnsi"/>
                <w:sz w:val="24"/>
                <w:szCs w:val="24"/>
                <w:lang w:val="cy-GB"/>
              </w:rPr>
              <w:t>In</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this</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task</w:t>
            </w:r>
            <w:proofErr w:type="spellEnd"/>
            <w:r w:rsidRPr="009D3DB2">
              <w:rPr>
                <w:rFonts w:asciiTheme="minorHAnsi" w:hAnsiTheme="minorHAnsi" w:cstheme="minorHAnsi"/>
                <w:sz w:val="24"/>
                <w:szCs w:val="24"/>
                <w:lang w:val="cy-GB"/>
              </w:rPr>
              <w:t xml:space="preserve"> I </w:t>
            </w:r>
            <w:proofErr w:type="spellStart"/>
            <w:r w:rsidRPr="009D3DB2">
              <w:rPr>
                <w:rFonts w:asciiTheme="minorHAnsi" w:hAnsiTheme="minorHAnsi" w:cstheme="minorHAnsi"/>
                <w:sz w:val="24"/>
                <w:szCs w:val="24"/>
                <w:lang w:val="cy-GB"/>
              </w:rPr>
              <w:t>will</w:t>
            </w:r>
            <w:proofErr w:type="spellEnd"/>
            <w:r w:rsidRPr="009D3DB2">
              <w:rPr>
                <w:rFonts w:asciiTheme="minorHAnsi" w:hAnsiTheme="minorHAnsi" w:cstheme="minorHAnsi"/>
                <w:sz w:val="24"/>
                <w:szCs w:val="24"/>
                <w:lang w:val="cy-GB"/>
              </w:rPr>
              <w:t xml:space="preserve"> be </w:t>
            </w:r>
            <w:proofErr w:type="spellStart"/>
            <w:r w:rsidRPr="009D3DB2">
              <w:rPr>
                <w:rFonts w:asciiTheme="minorHAnsi" w:hAnsiTheme="minorHAnsi" w:cstheme="minorHAnsi"/>
                <w:sz w:val="24"/>
                <w:szCs w:val="24"/>
                <w:lang w:val="cy-GB"/>
              </w:rPr>
              <w:t>looking</w:t>
            </w:r>
            <w:proofErr w:type="spellEnd"/>
            <w:r w:rsidRPr="009D3DB2">
              <w:rPr>
                <w:rFonts w:asciiTheme="minorHAnsi" w:hAnsiTheme="minorHAnsi" w:cstheme="minorHAnsi"/>
                <w:sz w:val="24"/>
                <w:szCs w:val="24"/>
                <w:lang w:val="cy-GB"/>
              </w:rPr>
              <w:t xml:space="preserve"> at the </w:t>
            </w:r>
            <w:proofErr w:type="spellStart"/>
            <w:r w:rsidRPr="009D3DB2">
              <w:rPr>
                <w:rFonts w:asciiTheme="minorHAnsi" w:hAnsiTheme="minorHAnsi" w:cstheme="minorHAnsi"/>
                <w:sz w:val="24"/>
                <w:szCs w:val="24"/>
                <w:lang w:val="cy-GB"/>
              </w:rPr>
              <w:t>relevant</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legislation</w:t>
            </w:r>
            <w:proofErr w:type="spellEnd"/>
            <w:r w:rsidRPr="009D3DB2">
              <w:rPr>
                <w:rFonts w:asciiTheme="minorHAnsi" w:hAnsiTheme="minorHAnsi" w:cstheme="minorHAnsi"/>
                <w:sz w:val="24"/>
                <w:szCs w:val="24"/>
                <w:lang w:val="cy-GB"/>
              </w:rPr>
              <w:t xml:space="preserve">, National, </w:t>
            </w:r>
            <w:proofErr w:type="spellStart"/>
            <w:r w:rsidRPr="009D3DB2">
              <w:rPr>
                <w:rFonts w:asciiTheme="minorHAnsi" w:hAnsiTheme="minorHAnsi" w:cstheme="minorHAnsi"/>
                <w:sz w:val="24"/>
                <w:szCs w:val="24"/>
                <w:lang w:val="cy-GB"/>
              </w:rPr>
              <w:t>local</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and</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organisational</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policy</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and</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procedures</w:t>
            </w:r>
            <w:proofErr w:type="spellEnd"/>
            <w:r w:rsidRPr="009D3DB2">
              <w:rPr>
                <w:rFonts w:asciiTheme="minorHAnsi" w:hAnsiTheme="minorHAnsi" w:cstheme="minorHAnsi"/>
                <w:sz w:val="24"/>
                <w:szCs w:val="24"/>
                <w:lang w:val="cy-GB"/>
              </w:rPr>
              <w:t xml:space="preserve"> </w:t>
            </w:r>
            <w:proofErr w:type="spellStart"/>
            <w:r w:rsidRPr="009D3DB2">
              <w:rPr>
                <w:rFonts w:asciiTheme="minorHAnsi" w:hAnsiTheme="minorHAnsi" w:cstheme="minorHAnsi"/>
                <w:sz w:val="24"/>
                <w:szCs w:val="24"/>
                <w:lang w:val="cy-GB"/>
              </w:rPr>
              <w:t>concerning</w:t>
            </w:r>
            <w:proofErr w:type="spellEnd"/>
            <w:r w:rsidRPr="009D3DB2">
              <w:rPr>
                <w:rFonts w:asciiTheme="minorHAnsi" w:hAnsiTheme="minorHAnsi" w:cstheme="minorHAnsi"/>
                <w:sz w:val="24"/>
                <w:szCs w:val="24"/>
                <w:lang w:val="cy-GB"/>
              </w:rPr>
              <w:t xml:space="preserve"> Safeguarding </w:t>
            </w:r>
            <w:proofErr w:type="spellStart"/>
            <w:r w:rsidRPr="009D3DB2">
              <w:rPr>
                <w:rFonts w:asciiTheme="minorHAnsi" w:hAnsiTheme="minorHAnsi" w:cstheme="minorHAnsi"/>
                <w:sz w:val="24"/>
                <w:szCs w:val="24"/>
                <w:lang w:val="cy-GB"/>
              </w:rPr>
              <w:t>adults</w:t>
            </w:r>
            <w:proofErr w:type="spellEnd"/>
            <w:r w:rsidRPr="009D3DB2">
              <w:rPr>
                <w:rFonts w:asciiTheme="minorHAnsi" w:hAnsiTheme="minorHAnsi" w:cstheme="minorHAnsi"/>
                <w:sz w:val="24"/>
                <w:szCs w:val="24"/>
                <w:lang w:val="cy-GB"/>
              </w:rPr>
              <w:t xml:space="preserve"> as </w:t>
            </w:r>
            <w:proofErr w:type="spellStart"/>
            <w:r w:rsidRPr="009D3DB2">
              <w:rPr>
                <w:rFonts w:asciiTheme="minorHAnsi" w:hAnsiTheme="minorHAnsi" w:cstheme="minorHAnsi"/>
                <w:sz w:val="24"/>
                <w:szCs w:val="24"/>
                <w:lang w:val="cy-GB"/>
              </w:rPr>
              <w:t>this</w:t>
            </w:r>
            <w:proofErr w:type="spellEnd"/>
            <w:r w:rsidRPr="009D3DB2">
              <w:rPr>
                <w:rFonts w:asciiTheme="minorHAnsi" w:hAnsiTheme="minorHAnsi" w:cstheme="minorHAnsi"/>
                <w:sz w:val="24"/>
                <w:szCs w:val="24"/>
                <w:lang w:val="cy-GB"/>
              </w:rPr>
              <w:t xml:space="preserve"> is not </w:t>
            </w:r>
            <w:proofErr w:type="spellStart"/>
            <w:r w:rsidRPr="009D3DB2">
              <w:rPr>
                <w:rFonts w:asciiTheme="minorHAnsi" w:hAnsiTheme="minorHAnsi" w:cstheme="minorHAnsi"/>
                <w:sz w:val="24"/>
                <w:szCs w:val="24"/>
                <w:lang w:val="cy-GB"/>
              </w:rPr>
              <w:t>my</w:t>
            </w:r>
            <w:proofErr w:type="spellEnd"/>
            <w:r w:rsidRPr="009D3DB2">
              <w:rPr>
                <w:rFonts w:asciiTheme="minorHAnsi" w:hAnsiTheme="minorHAnsi" w:cstheme="minorHAnsi"/>
                <w:sz w:val="24"/>
                <w:szCs w:val="24"/>
                <w:lang w:val="cy-GB"/>
              </w:rPr>
              <w:t xml:space="preserve"> main </w:t>
            </w:r>
            <w:proofErr w:type="spellStart"/>
            <w:r w:rsidRPr="009D3DB2">
              <w:rPr>
                <w:rFonts w:asciiTheme="minorHAnsi" w:hAnsiTheme="minorHAnsi" w:cstheme="minorHAnsi"/>
                <w:sz w:val="24"/>
                <w:szCs w:val="24"/>
                <w:lang w:val="cy-GB"/>
              </w:rPr>
              <w:t>area</w:t>
            </w:r>
            <w:proofErr w:type="spellEnd"/>
            <w:r w:rsidRPr="009D3DB2">
              <w:rPr>
                <w:rFonts w:asciiTheme="minorHAnsi" w:hAnsiTheme="minorHAnsi" w:cstheme="minorHAnsi"/>
                <w:sz w:val="24"/>
                <w:szCs w:val="24"/>
                <w:lang w:val="cy-GB"/>
              </w:rPr>
              <w:t xml:space="preserve"> of </w:t>
            </w:r>
            <w:proofErr w:type="spellStart"/>
            <w:r w:rsidRPr="009D3DB2">
              <w:rPr>
                <w:rFonts w:asciiTheme="minorHAnsi" w:hAnsiTheme="minorHAnsi" w:cstheme="minorHAnsi"/>
                <w:sz w:val="24"/>
                <w:szCs w:val="24"/>
                <w:lang w:val="cy-GB"/>
              </w:rPr>
              <w:t>work</w:t>
            </w:r>
            <w:proofErr w:type="spellEnd"/>
            <w:r w:rsidRPr="009D3DB2">
              <w:rPr>
                <w:rFonts w:asciiTheme="minorHAnsi" w:hAnsiTheme="minorHAnsi" w:cstheme="minorHAnsi"/>
                <w:sz w:val="24"/>
                <w:szCs w:val="24"/>
                <w:lang w:val="cy-GB"/>
              </w:rPr>
              <w:t>.</w:t>
            </w:r>
          </w:p>
          <w:p w14:paraId="4CBFA5A6" w14:textId="77777777" w:rsidR="009D3DB2" w:rsidRPr="009D3DB2" w:rsidRDefault="009D3DB2" w:rsidP="009D3DB2">
            <w:pPr>
              <w:spacing w:after="160" w:line="259" w:lineRule="auto"/>
              <w:rPr>
                <w:rFonts w:asciiTheme="minorHAnsi" w:hAnsiTheme="minorHAnsi" w:cstheme="minorHAnsi"/>
                <w:sz w:val="24"/>
                <w:szCs w:val="24"/>
              </w:rPr>
            </w:pPr>
            <w:r w:rsidRPr="009D3DB2">
              <w:rPr>
                <w:rFonts w:asciiTheme="minorHAnsi" w:hAnsiTheme="minorHAnsi" w:cstheme="minorHAnsi"/>
                <w:sz w:val="24"/>
                <w:szCs w:val="24"/>
              </w:rPr>
              <w:t xml:space="preserve">The statutory guidance in Wales for safeguarding adults comes from the Social Services and Well-being (Wales) Act (2014). This legislation provides the framework and responsibilities for reviewing and improving adult protection procedures and their polices in Wales (Welsh, Government, 2014). This provides professionals with a framework to protect adults at risk in need of safeguarding and what options are available to them to protect adults that need protection from harm. </w:t>
            </w:r>
            <w:r w:rsidRPr="009D3DB2">
              <w:rPr>
                <w:rFonts w:asciiTheme="minorHAnsi" w:hAnsiTheme="minorHAnsi" w:cstheme="minorHAnsi"/>
                <w:sz w:val="24"/>
                <w:szCs w:val="24"/>
              </w:rPr>
              <w:br/>
              <w:t>The Social Services and Wellbeing (Wales) Act 2014 defines an adult at risk as a person who is experiencing or at risk of experiencing abuse or neglect.  The Local authority requires to safeguard them from abuse or harm and if an adult is in need of safeguarding from harm then the local authority may apply for an adult protection and support order.</w:t>
            </w:r>
            <w:r w:rsidRPr="009D3DB2">
              <w:rPr>
                <w:rFonts w:asciiTheme="minorHAnsi" w:hAnsiTheme="minorHAnsi" w:cstheme="minorHAnsi"/>
                <w:sz w:val="24"/>
                <w:szCs w:val="24"/>
              </w:rPr>
              <w:br/>
              <w:t>This order allows the local authority access to be able to speak to the individual in a private setting without the perpetrator being present, it also allows the local authority to ensure that the individual is making a decision of their own free will and has the mental capacity to do so.</w:t>
            </w:r>
            <w:r w:rsidRPr="009D3DB2">
              <w:rPr>
                <w:rFonts w:asciiTheme="minorHAnsi" w:hAnsiTheme="minorHAnsi" w:cstheme="minorHAnsi"/>
                <w:sz w:val="24"/>
                <w:szCs w:val="24"/>
              </w:rPr>
              <w:br/>
              <w:t>There are five main components of what is classed as abuse against an adult and these are; sexual, financial, emotional, psychological and physical. These types of abuse can be self-inflicted for example self-neglect, or this can be abuse inflicted by another adult for example domestic violence (Social Care Institute for Excellence, 2015).</w:t>
            </w:r>
            <w:r w:rsidRPr="009D3DB2">
              <w:rPr>
                <w:rFonts w:asciiTheme="minorHAnsi" w:hAnsiTheme="minorHAnsi" w:cstheme="minorHAnsi"/>
                <w:sz w:val="24"/>
                <w:szCs w:val="24"/>
              </w:rPr>
              <w:br/>
              <w:t xml:space="preserve">If an adult is at risk of abuse or ham from information gathered, then the Social Services and Well-being (Wales) Act places a duty on professionals to make enquiries. </w:t>
            </w:r>
            <w:r w:rsidRPr="009D3DB2">
              <w:rPr>
                <w:rFonts w:asciiTheme="minorHAnsi" w:hAnsiTheme="minorHAnsi" w:cstheme="minorHAnsi"/>
                <w:sz w:val="24"/>
                <w:szCs w:val="24"/>
              </w:rPr>
              <w:br/>
              <w:t xml:space="preserve">Professionals would need to follow the guidelines set out by the Wales Safeguarding Procedures to </w:t>
            </w:r>
            <w:r w:rsidRPr="009D3DB2">
              <w:rPr>
                <w:rFonts w:asciiTheme="minorHAnsi" w:hAnsiTheme="minorHAnsi" w:cstheme="minorHAnsi"/>
                <w:sz w:val="24"/>
                <w:szCs w:val="24"/>
              </w:rPr>
              <w:lastRenderedPageBreak/>
              <w:t>ensure that the adult is seen, spoken to and safeguarded from harm (Wales Safeguarding Procedures Project Board, 2019).</w:t>
            </w:r>
          </w:p>
          <w:p w14:paraId="6F429F4D" w14:textId="77777777" w:rsidR="009D3DB2" w:rsidRPr="009D3DB2" w:rsidRDefault="009D3DB2" w:rsidP="009D3DB2">
            <w:pPr>
              <w:rPr>
                <w:rFonts w:asciiTheme="minorHAnsi" w:hAnsiTheme="minorHAnsi" w:cstheme="minorHAnsi"/>
                <w:color w:val="auto"/>
                <w:sz w:val="24"/>
                <w:szCs w:val="24"/>
              </w:rPr>
            </w:pPr>
            <w:r w:rsidRPr="009D3DB2">
              <w:rPr>
                <w:rFonts w:asciiTheme="minorHAnsi" w:hAnsiTheme="minorHAnsi" w:cstheme="minorHAnsi"/>
                <w:sz w:val="24"/>
                <w:szCs w:val="24"/>
              </w:rPr>
              <w:t>When safeguarding adults’ practitioners also need to consider their mental capacity (The Mental Capacity Act 2005). The main purpose of the Mental Capacity Act is to promote and safeguard decision making within a legal framework. This is in order to empower individuals to make decisions for themselves wherever possible, and by protecting people who lack capacity by providing a flexible framework.</w:t>
            </w:r>
            <w:r w:rsidRPr="009D3DB2">
              <w:rPr>
                <w:rFonts w:asciiTheme="minorHAnsi" w:hAnsiTheme="minorHAnsi" w:cstheme="minorHAnsi"/>
                <w:sz w:val="24"/>
                <w:szCs w:val="24"/>
              </w:rPr>
              <w:br/>
              <w:t>‘There are five principles in the Mental Capacity Act; to assume the person has capacity unless proven otherwise, to not treat the individual as incapable of making a decision because their decision may seem unwise, always do things or take decisions for people without capacity in their best interest and before doing something to an individual or making a decision on their behalf, consider whether the outcome could be achieved I a less restrictive way’ (Social Care Wales, 2023).</w:t>
            </w:r>
          </w:p>
          <w:p w14:paraId="6D8CB8AF" w14:textId="77777777" w:rsidR="00FC0334" w:rsidRPr="009D3DB2" w:rsidRDefault="00FC0334" w:rsidP="00FF7EBB">
            <w:pPr>
              <w:jc w:val="both"/>
              <w:rPr>
                <w:rFonts w:asciiTheme="minorHAnsi" w:hAnsiTheme="minorHAnsi" w:cstheme="minorHAnsi"/>
                <w:sz w:val="24"/>
                <w:szCs w:val="24"/>
              </w:rPr>
            </w:pPr>
          </w:p>
          <w:p w14:paraId="4A95F4DB" w14:textId="77777777" w:rsidR="00FC0334" w:rsidRDefault="00FC0334" w:rsidP="00FF7EBB">
            <w:pPr>
              <w:jc w:val="both"/>
              <w:rPr>
                <w:sz w:val="24"/>
                <w:szCs w:val="24"/>
              </w:rPr>
            </w:pPr>
          </w:p>
          <w:p w14:paraId="03BD6D93" w14:textId="0AD179A1" w:rsidR="007A628F" w:rsidRPr="009D3DB2" w:rsidRDefault="009D3DB2" w:rsidP="009D3DB2">
            <w:pPr>
              <w:jc w:val="both"/>
              <w:rPr>
                <w:bCs/>
                <w:sz w:val="24"/>
                <w:szCs w:val="24"/>
              </w:rPr>
            </w:pPr>
            <w:r w:rsidRPr="009D3DB2">
              <w:rPr>
                <w:bCs/>
                <w:sz w:val="24"/>
                <w:szCs w:val="24"/>
              </w:rPr>
              <w:t xml:space="preserve">Word Count: </w:t>
            </w:r>
            <w:r w:rsidR="003361B9">
              <w:rPr>
                <w:bCs/>
                <w:sz w:val="24"/>
                <w:szCs w:val="24"/>
              </w:rPr>
              <w:t>468</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proofErr w:type="gramStart"/>
            <w:r w:rsidRPr="006108C9">
              <w:rPr>
                <w:sz w:val="24"/>
                <w:szCs w:val="24"/>
              </w:rPr>
              <w:t>work</w:t>
            </w:r>
            <w:proofErr w:type="gramEnd"/>
          </w:p>
          <w:p w14:paraId="4CABE426" w14:textId="77777777" w:rsidR="00FC0334" w:rsidRDefault="00FC0334" w:rsidP="00FC0334">
            <w:pPr>
              <w:jc w:val="both"/>
              <w:rPr>
                <w:sz w:val="24"/>
                <w:szCs w:val="24"/>
              </w:rPr>
            </w:pPr>
          </w:p>
          <w:p w14:paraId="6BA3DD84" w14:textId="5DF85A12"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1BA45469" w14:textId="0A46FAE4" w:rsidR="00C408F5" w:rsidRDefault="00C408F5" w:rsidP="00FC0334">
            <w:pPr>
              <w:jc w:val="both"/>
              <w:rPr>
                <w:i/>
                <w:sz w:val="24"/>
                <w:szCs w:val="24"/>
              </w:rPr>
            </w:pPr>
          </w:p>
          <w:p w14:paraId="04D7E2E2" w14:textId="77777777" w:rsidR="0088061C" w:rsidRPr="0088061C" w:rsidRDefault="0088061C" w:rsidP="0088061C">
            <w:pPr>
              <w:rPr>
                <w:rFonts w:asciiTheme="minorHAnsi" w:hAnsiTheme="minorHAnsi" w:cstheme="minorHAnsi"/>
                <w:sz w:val="24"/>
                <w:szCs w:val="24"/>
              </w:rPr>
            </w:pPr>
            <w:r w:rsidRPr="0088061C">
              <w:rPr>
                <w:rFonts w:asciiTheme="minorHAnsi" w:hAnsiTheme="minorHAnsi" w:cstheme="minorHAnsi"/>
                <w:sz w:val="24"/>
                <w:szCs w:val="24"/>
              </w:rPr>
              <w:t>In this task I will be reflecting between Safeguarding in adults and children social work practice.</w:t>
            </w:r>
          </w:p>
          <w:p w14:paraId="69279FE3" w14:textId="77777777" w:rsidR="0088061C" w:rsidRPr="0088061C" w:rsidRDefault="0088061C" w:rsidP="0088061C">
            <w:pPr>
              <w:rPr>
                <w:rFonts w:asciiTheme="minorHAnsi" w:hAnsiTheme="minorHAnsi" w:cstheme="minorHAnsi"/>
                <w:sz w:val="24"/>
                <w:szCs w:val="24"/>
              </w:rPr>
            </w:pPr>
          </w:p>
          <w:p w14:paraId="302DB29D" w14:textId="77777777" w:rsidR="0088061C" w:rsidRPr="0088061C" w:rsidRDefault="0088061C" w:rsidP="0088061C">
            <w:pPr>
              <w:rPr>
                <w:rFonts w:asciiTheme="minorHAnsi" w:hAnsiTheme="minorHAnsi" w:cstheme="minorHAnsi"/>
                <w:sz w:val="24"/>
                <w:szCs w:val="24"/>
              </w:rPr>
            </w:pPr>
            <w:r w:rsidRPr="0088061C">
              <w:rPr>
                <w:rFonts w:asciiTheme="minorHAnsi" w:hAnsiTheme="minorHAnsi" w:cstheme="minorHAnsi"/>
                <w:sz w:val="24"/>
                <w:szCs w:val="24"/>
              </w:rPr>
              <w:t>There are many differences and similarities within the two areas for example children and adults have different needs and different responsibilities in order to keep themselves safe.</w:t>
            </w:r>
            <w:r w:rsidRPr="0088061C">
              <w:rPr>
                <w:rFonts w:asciiTheme="minorHAnsi" w:hAnsiTheme="minorHAnsi" w:cstheme="minorHAnsi"/>
                <w:sz w:val="24"/>
                <w:szCs w:val="24"/>
              </w:rPr>
              <w:br/>
              <w:t>The differences are in regard to capacity, choice and consent.</w:t>
            </w:r>
          </w:p>
          <w:p w14:paraId="642A0122" w14:textId="77777777" w:rsidR="0088061C" w:rsidRPr="0088061C" w:rsidRDefault="0088061C" w:rsidP="0088061C">
            <w:pPr>
              <w:rPr>
                <w:rFonts w:asciiTheme="minorHAnsi" w:hAnsiTheme="minorHAnsi" w:cstheme="minorHAnsi"/>
                <w:sz w:val="24"/>
                <w:szCs w:val="24"/>
              </w:rPr>
            </w:pPr>
            <w:r w:rsidRPr="0088061C">
              <w:rPr>
                <w:rFonts w:asciiTheme="minorHAnsi" w:hAnsiTheme="minorHAnsi" w:cstheme="minorHAnsi"/>
                <w:sz w:val="24"/>
                <w:szCs w:val="24"/>
              </w:rPr>
              <w:t xml:space="preserve">A similarity between the safeguarding adults and children are that the processes and procedures. For example, the voice of both the child and the adult are vitally important when it comes to safeguarding and assessing risk (Wales Safeguarding Procedures, 2019). </w:t>
            </w:r>
          </w:p>
          <w:p w14:paraId="3A7A55DC" w14:textId="77777777" w:rsidR="0088061C" w:rsidRPr="0088061C" w:rsidRDefault="0088061C" w:rsidP="0088061C">
            <w:pPr>
              <w:rPr>
                <w:rFonts w:asciiTheme="minorHAnsi" w:hAnsiTheme="minorHAnsi" w:cstheme="minorHAnsi"/>
                <w:sz w:val="24"/>
                <w:szCs w:val="24"/>
              </w:rPr>
            </w:pPr>
            <w:r w:rsidRPr="0088061C">
              <w:rPr>
                <w:rFonts w:asciiTheme="minorHAnsi" w:hAnsiTheme="minorHAnsi" w:cstheme="minorHAnsi"/>
                <w:sz w:val="24"/>
                <w:szCs w:val="24"/>
              </w:rPr>
              <w:t>As social workers we need to ensure that the child and adult feel empowered during assessment and that we listen to their wishes and feelings. This demonstrates person centred practice and ensures that the individual is at the centre of their care and support, these are fundamentals in social work practice.</w:t>
            </w:r>
          </w:p>
          <w:p w14:paraId="023CB0F7" w14:textId="77777777" w:rsidR="0088061C" w:rsidRPr="0088061C" w:rsidRDefault="0088061C" w:rsidP="0088061C">
            <w:pPr>
              <w:rPr>
                <w:rFonts w:asciiTheme="minorHAnsi" w:hAnsiTheme="minorHAnsi" w:cstheme="minorHAnsi"/>
                <w:sz w:val="24"/>
                <w:szCs w:val="24"/>
              </w:rPr>
            </w:pPr>
          </w:p>
          <w:p w14:paraId="6D5DB79D" w14:textId="77777777" w:rsidR="0088061C" w:rsidRPr="0088061C" w:rsidRDefault="0088061C" w:rsidP="0088061C">
            <w:pPr>
              <w:rPr>
                <w:rFonts w:asciiTheme="minorHAnsi" w:hAnsiTheme="minorHAnsi" w:cstheme="minorHAnsi"/>
                <w:sz w:val="24"/>
                <w:szCs w:val="24"/>
              </w:rPr>
            </w:pPr>
            <w:r w:rsidRPr="0088061C">
              <w:rPr>
                <w:rFonts w:asciiTheme="minorHAnsi" w:hAnsiTheme="minorHAnsi" w:cstheme="minorHAnsi"/>
                <w:sz w:val="24"/>
                <w:szCs w:val="24"/>
              </w:rPr>
              <w:t xml:space="preserve">Children safeguarding procedures are black and white in comparison to adults due to adult’s abilities and their right to make unwise decisions, if the adult is deemed to have mental capacity. There are clearer protocols when it comes to assessing risk to a child for example, if a child is believed to be at risk of significant harm this will instigate child protection procedures. The Children Act 1989 gives the local authority and police power to initiate safeguarding procedures e.g., a Police protection order and Emergency protection order. This is where the local authority can legally move a child from their family home. </w:t>
            </w:r>
            <w:r w:rsidRPr="0088061C">
              <w:rPr>
                <w:rFonts w:asciiTheme="minorHAnsi" w:hAnsiTheme="minorHAnsi" w:cstheme="minorHAnsi"/>
                <w:sz w:val="24"/>
                <w:szCs w:val="24"/>
              </w:rPr>
              <w:br/>
            </w:r>
            <w:r w:rsidRPr="0088061C">
              <w:rPr>
                <w:rFonts w:asciiTheme="minorHAnsi" w:hAnsiTheme="minorHAnsi" w:cstheme="minorHAnsi"/>
                <w:sz w:val="24"/>
                <w:szCs w:val="24"/>
              </w:rPr>
              <w:lastRenderedPageBreak/>
              <w:t>If an adult has been assessed as lacking mental capacity, then the local authority has power to section the individual under the Mental Health Act (1983) in order to safeguard them from harm or risk of significant harm.</w:t>
            </w:r>
          </w:p>
          <w:p w14:paraId="3F59F19B" w14:textId="6598FB15" w:rsidR="0088061C" w:rsidRPr="0088061C" w:rsidRDefault="0088061C" w:rsidP="0088061C">
            <w:pPr>
              <w:rPr>
                <w:rFonts w:asciiTheme="minorHAnsi" w:hAnsiTheme="minorHAnsi" w:cstheme="minorHAnsi"/>
                <w:sz w:val="24"/>
                <w:szCs w:val="24"/>
              </w:rPr>
            </w:pPr>
            <w:r>
              <w:rPr>
                <w:rFonts w:asciiTheme="minorHAnsi" w:hAnsiTheme="minorHAnsi" w:cstheme="minorHAnsi"/>
                <w:sz w:val="24"/>
                <w:szCs w:val="24"/>
              </w:rPr>
              <w:t>H</w:t>
            </w:r>
            <w:r w:rsidRPr="0088061C">
              <w:rPr>
                <w:rFonts w:asciiTheme="minorHAnsi" w:hAnsiTheme="minorHAnsi" w:cstheme="minorHAnsi"/>
                <w:sz w:val="24"/>
                <w:szCs w:val="24"/>
              </w:rPr>
              <w:t>owever,</w:t>
            </w:r>
            <w:r w:rsidRPr="0088061C">
              <w:rPr>
                <w:rFonts w:asciiTheme="minorHAnsi" w:hAnsiTheme="minorHAnsi" w:cstheme="minorHAnsi"/>
                <w:sz w:val="24"/>
                <w:szCs w:val="24"/>
              </w:rPr>
              <w:t xml:space="preserve"> </w:t>
            </w:r>
            <w:r>
              <w:rPr>
                <w:rFonts w:asciiTheme="minorHAnsi" w:hAnsiTheme="minorHAnsi" w:cstheme="minorHAnsi"/>
                <w:sz w:val="24"/>
                <w:szCs w:val="24"/>
              </w:rPr>
              <w:t xml:space="preserve">if </w:t>
            </w:r>
            <w:r w:rsidRPr="0088061C">
              <w:rPr>
                <w:rFonts w:asciiTheme="minorHAnsi" w:hAnsiTheme="minorHAnsi" w:cstheme="minorHAnsi"/>
                <w:sz w:val="24"/>
                <w:szCs w:val="24"/>
              </w:rPr>
              <w:t xml:space="preserve">an adult is deemed to have mental </w:t>
            </w:r>
            <w:r w:rsidRPr="0088061C">
              <w:rPr>
                <w:rFonts w:asciiTheme="minorHAnsi" w:hAnsiTheme="minorHAnsi" w:cstheme="minorHAnsi"/>
                <w:sz w:val="24"/>
                <w:szCs w:val="24"/>
              </w:rPr>
              <w:t>capacity,</w:t>
            </w:r>
            <w:r w:rsidRPr="0088061C">
              <w:rPr>
                <w:rFonts w:asciiTheme="minorHAnsi" w:hAnsiTheme="minorHAnsi" w:cstheme="minorHAnsi"/>
                <w:sz w:val="24"/>
                <w:szCs w:val="24"/>
              </w:rPr>
              <w:t xml:space="preserve"> then they can state that they do not wish to receive a service and therefor the case would be closed.</w:t>
            </w:r>
          </w:p>
          <w:p w14:paraId="7896A38B" w14:textId="77777777" w:rsidR="0088061C" w:rsidRPr="0088061C" w:rsidRDefault="0088061C" w:rsidP="0088061C">
            <w:pPr>
              <w:rPr>
                <w:rFonts w:asciiTheme="minorHAnsi" w:hAnsiTheme="minorHAnsi" w:cstheme="minorHAnsi"/>
                <w:sz w:val="24"/>
                <w:szCs w:val="24"/>
              </w:rPr>
            </w:pPr>
          </w:p>
          <w:p w14:paraId="460CFC57" w14:textId="77777777" w:rsidR="0088061C" w:rsidRPr="0088061C" w:rsidRDefault="0088061C" w:rsidP="0088061C">
            <w:pPr>
              <w:rPr>
                <w:rFonts w:asciiTheme="minorHAnsi" w:hAnsiTheme="minorHAnsi" w:cstheme="minorHAnsi"/>
                <w:sz w:val="24"/>
                <w:szCs w:val="24"/>
              </w:rPr>
            </w:pPr>
            <w:r w:rsidRPr="0088061C">
              <w:rPr>
                <w:rFonts w:asciiTheme="minorHAnsi" w:hAnsiTheme="minorHAnsi" w:cstheme="minorHAnsi"/>
                <w:sz w:val="24"/>
                <w:szCs w:val="24"/>
              </w:rPr>
              <w:t xml:space="preserve">Legislation around children safeguarding is clear and has measurable outcomes, adults’ legislation is not as clear. There are set time scales and duties placed on social workers whereas in adults safeguarding does not have the same level of guidance. </w:t>
            </w:r>
          </w:p>
          <w:p w14:paraId="7B395E5C" w14:textId="77777777" w:rsidR="0088061C" w:rsidRPr="0088061C" w:rsidRDefault="0088061C" w:rsidP="0088061C">
            <w:pPr>
              <w:rPr>
                <w:rFonts w:asciiTheme="minorHAnsi" w:hAnsiTheme="minorHAnsi" w:cstheme="minorHAnsi"/>
                <w:sz w:val="24"/>
                <w:szCs w:val="24"/>
              </w:rPr>
            </w:pPr>
            <w:r w:rsidRPr="0088061C">
              <w:rPr>
                <w:rFonts w:asciiTheme="minorHAnsi" w:hAnsiTheme="minorHAnsi" w:cstheme="minorHAnsi"/>
                <w:sz w:val="24"/>
                <w:szCs w:val="24"/>
              </w:rPr>
              <w:t>Legislation around children safeguarding emphasises the duty on not only the local authority but also on public to report any reasonable cause to suspect if a child is at risk of abuse or neglect however this duty is not posed on the public regarding reporting of adults who are at risk of abuse.</w:t>
            </w:r>
          </w:p>
          <w:p w14:paraId="6013BFE3" w14:textId="70B5571B" w:rsidR="00C408F5" w:rsidRPr="0088061C" w:rsidRDefault="00C408F5" w:rsidP="00FC0334">
            <w:pPr>
              <w:jc w:val="both"/>
              <w:rPr>
                <w:iCs/>
                <w:sz w:val="24"/>
                <w:szCs w:val="24"/>
              </w:rPr>
            </w:pPr>
          </w:p>
          <w:p w14:paraId="77DB995F" w14:textId="6E7009FD" w:rsidR="00C408F5" w:rsidRPr="0088061C" w:rsidRDefault="0088061C" w:rsidP="00FC0334">
            <w:pPr>
              <w:jc w:val="both"/>
              <w:rPr>
                <w:iCs/>
                <w:sz w:val="24"/>
                <w:szCs w:val="24"/>
              </w:rPr>
            </w:pPr>
            <w:r w:rsidRPr="0088061C">
              <w:rPr>
                <w:iCs/>
                <w:sz w:val="24"/>
                <w:szCs w:val="24"/>
              </w:rPr>
              <w:t>Word Count: 407</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D9B46" w14:textId="77777777" w:rsidR="00DD04A5" w:rsidRDefault="00DD04A5">
      <w:r>
        <w:separator/>
      </w:r>
    </w:p>
  </w:endnote>
  <w:endnote w:type="continuationSeparator" w:id="0">
    <w:p w14:paraId="1FDC92AD" w14:textId="77777777" w:rsidR="00DD04A5" w:rsidRDefault="00DD0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9D069" w14:textId="77777777" w:rsidR="00DD04A5" w:rsidRDefault="00DD04A5">
      <w:r>
        <w:separator/>
      </w:r>
    </w:p>
  </w:footnote>
  <w:footnote w:type="continuationSeparator" w:id="0">
    <w:p w14:paraId="39802236" w14:textId="77777777" w:rsidR="00DD04A5" w:rsidRDefault="00DD0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61B9"/>
    <w:rsid w:val="0033771E"/>
    <w:rsid w:val="00337FEF"/>
    <w:rsid w:val="00354B6D"/>
    <w:rsid w:val="00355210"/>
    <w:rsid w:val="00355CFD"/>
    <w:rsid w:val="00365DF9"/>
    <w:rsid w:val="0037066E"/>
    <w:rsid w:val="00372DB4"/>
    <w:rsid w:val="00373A36"/>
    <w:rsid w:val="0037419E"/>
    <w:rsid w:val="00374401"/>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061C"/>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3DB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08F5"/>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07EF2"/>
    <w:rsid w:val="00D146AE"/>
    <w:rsid w:val="00D218F6"/>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4A5"/>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3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9D3DB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Anais Rebecca Roberts (OEDOLION)</cp:lastModifiedBy>
  <cp:revision>5</cp:revision>
  <cp:lastPrinted>2020-02-11T19:20:00Z</cp:lastPrinted>
  <dcterms:created xsi:type="dcterms:W3CDTF">2023-10-21T20:38:00Z</dcterms:created>
  <dcterms:modified xsi:type="dcterms:W3CDTF">2023-10-23T10:29:00Z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