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0E714" w14:textId="015660BD" w:rsidR="00D10599" w:rsidRDefault="00D10599">
      <w:pPr>
        <w:suppressAutoHyphens w:val="0"/>
        <w:rPr>
          <w:rFonts w:ascii="Aptos Display" w:eastAsia="Times New Roman" w:hAnsi="Aptos Display"/>
          <w:color w:val="0F4761"/>
          <w:kern w:val="0"/>
          <w:sz w:val="32"/>
          <w:szCs w:val="32"/>
          <w:lang w:eastAsia="en-GB"/>
        </w:rPr>
      </w:pPr>
      <w:r>
        <w:rPr>
          <w:rFonts w:ascii="Aptos Display" w:eastAsia="Times New Roman" w:hAnsi="Aptos Display"/>
          <w:noProof/>
          <w:color w:val="0F4761"/>
          <w:kern w:val="0"/>
          <w:sz w:val="32"/>
          <w:szCs w:val="32"/>
          <w:lang w:eastAsia="en-GB"/>
        </w:rPr>
        <w:drawing>
          <wp:anchor distT="0" distB="0" distL="114300" distR="114300" simplePos="0" relativeHeight="251659264" behindDoc="0" locked="0" layoutInCell="1" allowOverlap="1" wp14:anchorId="481B5B2E" wp14:editId="713AB463">
            <wp:simplePos x="0" y="0"/>
            <wp:positionH relativeFrom="margin">
              <wp:posOffset>-863600</wp:posOffset>
            </wp:positionH>
            <wp:positionV relativeFrom="paragraph">
              <wp:posOffset>0</wp:posOffset>
            </wp:positionV>
            <wp:extent cx="7505700" cy="9839960"/>
            <wp:effectExtent l="0" t="0" r="0" b="8890"/>
            <wp:wrapTopAndBottom/>
            <wp:docPr id="84705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9070" name="Picture 847059070"/>
                    <pic:cNvPicPr/>
                  </pic:nvPicPr>
                  <pic:blipFill>
                    <a:blip r:embed="rId7">
                      <a:extLst>
                        <a:ext uri="{28A0092B-C50C-407E-A947-70E740481C1C}">
                          <a14:useLocalDpi xmlns:a14="http://schemas.microsoft.com/office/drawing/2010/main" val="0"/>
                        </a:ext>
                      </a:extLst>
                    </a:blip>
                    <a:stretch>
                      <a:fillRect/>
                    </a:stretch>
                  </pic:blipFill>
                  <pic:spPr>
                    <a:xfrm>
                      <a:off x="0" y="0"/>
                      <a:ext cx="7505700" cy="983996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36709617" w14:textId="4B68AD45" w:rsidR="00B8387A" w:rsidRPr="00D10599" w:rsidRDefault="006D329E" w:rsidP="00D10599">
      <w:pPr>
        <w:suppressAutoHyphens w:val="0"/>
        <w:rPr>
          <w:rFonts w:ascii="Aptos Display" w:eastAsia="Times New Roman" w:hAnsi="Aptos Display"/>
          <w:color w:val="0F4761"/>
          <w:kern w:val="0"/>
          <w:sz w:val="32"/>
          <w:szCs w:val="32"/>
          <w:lang w:eastAsia="en-GB"/>
        </w:rPr>
      </w:pPr>
      <w:r>
        <w:lastRenderedPageBreak/>
        <w:t>Contents</w:t>
      </w:r>
    </w:p>
    <w:p w14:paraId="36709618" w14:textId="77777777" w:rsidR="00B8387A" w:rsidRDefault="006D329E">
      <w:pPr>
        <w:pStyle w:val="TOC1"/>
        <w:tabs>
          <w:tab w:val="right" w:leader="dot" w:pos="9016"/>
        </w:tabs>
      </w:pPr>
      <w:r>
        <w:rPr>
          <w:rFonts w:ascii="Aptos Display" w:eastAsia="Times New Roman" w:hAnsi="Aptos Display"/>
          <w:color w:val="0F4761"/>
          <w:kern w:val="0"/>
          <w:sz w:val="32"/>
          <w:szCs w:val="32"/>
          <w:lang w:eastAsia="en-GB"/>
        </w:rPr>
        <w:fldChar w:fldCharType="begin"/>
      </w:r>
      <w:r>
        <w:instrText xml:space="preserve"> TOC \o "1-3" \u \h </w:instrText>
      </w:r>
      <w:r>
        <w:rPr>
          <w:rFonts w:ascii="Aptos Display" w:eastAsia="Times New Roman" w:hAnsi="Aptos Display"/>
          <w:color w:val="0F4761"/>
          <w:kern w:val="0"/>
          <w:sz w:val="32"/>
          <w:szCs w:val="32"/>
          <w:lang w:eastAsia="en-GB"/>
        </w:rPr>
        <w:fldChar w:fldCharType="separate"/>
      </w:r>
      <w:hyperlink r:id="rId8" w:history="1">
        <w:r>
          <w:rPr>
            <w:rStyle w:val="Hyperlink"/>
          </w:rPr>
          <w:t>1. Introduction</w:t>
        </w:r>
        <w:r>
          <w:tab/>
          <w:t>2</w:t>
        </w:r>
      </w:hyperlink>
    </w:p>
    <w:p w14:paraId="36709619" w14:textId="77777777" w:rsidR="00B8387A" w:rsidRDefault="006D329E">
      <w:pPr>
        <w:pStyle w:val="TOC1"/>
        <w:tabs>
          <w:tab w:val="right" w:leader="dot" w:pos="9016"/>
        </w:tabs>
      </w:pPr>
      <w:hyperlink r:id="rId9" w:history="1">
        <w:r>
          <w:rPr>
            <w:rStyle w:val="Hyperlink"/>
          </w:rPr>
          <w:t>2. Deconstruction of the Problem</w:t>
        </w:r>
        <w:r>
          <w:tab/>
          <w:t>2</w:t>
        </w:r>
      </w:hyperlink>
    </w:p>
    <w:p w14:paraId="3670961A" w14:textId="77777777" w:rsidR="00B8387A" w:rsidRDefault="006D329E">
      <w:pPr>
        <w:pStyle w:val="TOC2"/>
        <w:tabs>
          <w:tab w:val="right" w:leader="dot" w:pos="9016"/>
        </w:tabs>
      </w:pPr>
      <w:hyperlink r:id="rId10" w:history="1">
        <w:r>
          <w:rPr>
            <w:rStyle w:val="Hyperlink"/>
          </w:rPr>
          <w:t>2.1 Key Variables</w:t>
        </w:r>
        <w:r>
          <w:tab/>
          <w:t>2</w:t>
        </w:r>
      </w:hyperlink>
    </w:p>
    <w:p w14:paraId="3670961B" w14:textId="77777777" w:rsidR="00B8387A" w:rsidRDefault="006D329E">
      <w:pPr>
        <w:pStyle w:val="TOC2"/>
        <w:tabs>
          <w:tab w:val="right" w:leader="dot" w:pos="9016"/>
        </w:tabs>
      </w:pPr>
      <w:hyperlink r:id="rId11" w:history="1">
        <w:r>
          <w:rPr>
            <w:rStyle w:val="Hyperlink"/>
          </w:rPr>
          <w:t>2.2 Requirements Analysis (MoSCoW Technique)</w:t>
        </w:r>
        <w:r>
          <w:tab/>
          <w:t>3</w:t>
        </w:r>
      </w:hyperlink>
    </w:p>
    <w:p w14:paraId="3670961C" w14:textId="77777777" w:rsidR="00B8387A" w:rsidRDefault="006D329E">
      <w:pPr>
        <w:pStyle w:val="TOC2"/>
        <w:tabs>
          <w:tab w:val="right" w:leader="dot" w:pos="9016"/>
        </w:tabs>
      </w:pPr>
      <w:hyperlink r:id="rId12" w:history="1">
        <w:r>
          <w:rPr>
            <w:rStyle w:val="Hyperlink"/>
          </w:rPr>
          <w:t>2.3 Constraints</w:t>
        </w:r>
        <w:r>
          <w:tab/>
          <w:t>3</w:t>
        </w:r>
      </w:hyperlink>
    </w:p>
    <w:p w14:paraId="3670961D" w14:textId="77777777" w:rsidR="00B8387A" w:rsidRDefault="006D329E">
      <w:pPr>
        <w:pStyle w:val="TOC1"/>
        <w:tabs>
          <w:tab w:val="right" w:leader="dot" w:pos="9016"/>
        </w:tabs>
      </w:pPr>
      <w:hyperlink r:id="rId13" w:history="1">
        <w:r>
          <w:rPr>
            <w:rStyle w:val="Hyperlink"/>
          </w:rPr>
          <w:t>3. Proposed Solution</w:t>
        </w:r>
        <w:r>
          <w:tab/>
          <w:t>3</w:t>
        </w:r>
      </w:hyperlink>
    </w:p>
    <w:p w14:paraId="3670961E" w14:textId="77777777" w:rsidR="00B8387A" w:rsidRDefault="006D329E">
      <w:pPr>
        <w:pStyle w:val="TOC2"/>
        <w:tabs>
          <w:tab w:val="right" w:leader="dot" w:pos="9016"/>
        </w:tabs>
      </w:pPr>
      <w:hyperlink r:id="rId14" w:history="1">
        <w:r>
          <w:rPr>
            <w:rStyle w:val="Hyperlink"/>
          </w:rPr>
          <w:t>3.1 The Flowchart Logic</w:t>
        </w:r>
        <w:r>
          <w:tab/>
          <w:t>4</w:t>
        </w:r>
      </w:hyperlink>
    </w:p>
    <w:p w14:paraId="3670961F" w14:textId="77777777" w:rsidR="00B8387A" w:rsidRDefault="006D329E">
      <w:pPr>
        <w:pStyle w:val="TOC2"/>
        <w:tabs>
          <w:tab w:val="right" w:leader="dot" w:pos="9016"/>
        </w:tabs>
      </w:pPr>
      <w:hyperlink r:id="rId15" w:history="1">
        <w:r>
          <w:rPr>
            <w:rStyle w:val="Hyperlink"/>
          </w:rPr>
          <w:t>3.2 Written Explanation of the Process</w:t>
        </w:r>
        <w:r>
          <w:tab/>
          <w:t>4</w:t>
        </w:r>
      </w:hyperlink>
    </w:p>
    <w:p w14:paraId="36709620" w14:textId="77777777" w:rsidR="00B8387A" w:rsidRDefault="006D329E">
      <w:pPr>
        <w:pStyle w:val="TOC1"/>
        <w:tabs>
          <w:tab w:val="right" w:leader="dot" w:pos="9016"/>
        </w:tabs>
      </w:pPr>
      <w:hyperlink r:id="rId16" w:history="1">
        <w:r>
          <w:rPr>
            <w:rStyle w:val="Hyperlink"/>
          </w:rPr>
          <w:t>4. Reflection and Justification</w:t>
        </w:r>
        <w:r>
          <w:tab/>
          <w:t>5</w:t>
        </w:r>
      </w:hyperlink>
    </w:p>
    <w:p w14:paraId="36709621" w14:textId="77777777" w:rsidR="00B8387A" w:rsidRDefault="006D329E">
      <w:pPr>
        <w:pStyle w:val="TOC2"/>
        <w:tabs>
          <w:tab w:val="right" w:leader="dot" w:pos="9016"/>
        </w:tabs>
      </w:pPr>
      <w:hyperlink r:id="rId17" w:history="1">
        <w:r>
          <w:rPr>
            <w:rStyle w:val="Hyperlink"/>
          </w:rPr>
          <w:t>4.1 Problem-Solving Techniques Used</w:t>
        </w:r>
        <w:r>
          <w:tab/>
          <w:t>5</w:t>
        </w:r>
      </w:hyperlink>
    </w:p>
    <w:p w14:paraId="36709622" w14:textId="77777777" w:rsidR="00B8387A" w:rsidRDefault="006D329E">
      <w:pPr>
        <w:pStyle w:val="TOC2"/>
        <w:tabs>
          <w:tab w:val="right" w:leader="dot" w:pos="9016"/>
        </w:tabs>
      </w:pPr>
      <w:hyperlink r:id="rId18" w:history="1">
        <w:r>
          <w:rPr>
            <w:rStyle w:val="Hyperlink"/>
          </w:rPr>
          <w:t>4.2 Justification</w:t>
        </w:r>
        <w:r>
          <w:tab/>
          <w:t>5</w:t>
        </w:r>
      </w:hyperlink>
    </w:p>
    <w:p w14:paraId="36709623" w14:textId="77777777" w:rsidR="00B8387A" w:rsidRDefault="006D329E">
      <w:pPr>
        <w:pStyle w:val="TOC2"/>
        <w:tabs>
          <w:tab w:val="right" w:leader="dot" w:pos="9016"/>
        </w:tabs>
      </w:pPr>
      <w:hyperlink r:id="rId19" w:history="1">
        <w:r>
          <w:rPr>
            <w:rStyle w:val="Hyperlink"/>
          </w:rPr>
          <w:t>4.3 Limitations and Assumptions</w:t>
        </w:r>
        <w:r>
          <w:tab/>
          <w:t>5</w:t>
        </w:r>
      </w:hyperlink>
    </w:p>
    <w:p w14:paraId="36709624" w14:textId="77777777" w:rsidR="00B8387A" w:rsidRDefault="006D329E">
      <w:pPr>
        <w:pStyle w:val="TOC1"/>
        <w:tabs>
          <w:tab w:val="right" w:leader="dot" w:pos="9016"/>
        </w:tabs>
      </w:pPr>
      <w:hyperlink r:id="rId20" w:history="1">
        <w:r>
          <w:rPr>
            <w:rStyle w:val="Hyperlink"/>
          </w:rPr>
          <w:t>5. Conclusion</w:t>
        </w:r>
        <w:r>
          <w:tab/>
          <w:t>5</w:t>
        </w:r>
      </w:hyperlink>
    </w:p>
    <w:p w14:paraId="36709625" w14:textId="77777777" w:rsidR="00B8387A" w:rsidRDefault="006D329E">
      <w:pPr>
        <w:pStyle w:val="TOC1"/>
        <w:tabs>
          <w:tab w:val="right" w:leader="dot" w:pos="9016"/>
        </w:tabs>
      </w:pPr>
      <w:hyperlink r:id="rId21" w:history="1">
        <w:r>
          <w:rPr>
            <w:rStyle w:val="Hyperlink"/>
          </w:rPr>
          <w:t>6. REFERENCES</w:t>
        </w:r>
        <w:r>
          <w:tab/>
          <w:t>6</w:t>
        </w:r>
      </w:hyperlink>
    </w:p>
    <w:p w14:paraId="36709626" w14:textId="77777777" w:rsidR="00B8387A" w:rsidRDefault="006D329E">
      <w:r>
        <w:fldChar w:fldCharType="end"/>
      </w:r>
    </w:p>
    <w:p w14:paraId="36709627" w14:textId="77777777" w:rsidR="00B8387A" w:rsidRDefault="00B8387A">
      <w:pPr>
        <w:pageBreakBefore/>
      </w:pPr>
    </w:p>
    <w:p w14:paraId="36709628" w14:textId="77777777" w:rsidR="00B8387A" w:rsidRDefault="006D329E">
      <w:pPr>
        <w:pStyle w:val="Heading1"/>
      </w:pPr>
      <w:bookmarkStart w:id="0" w:name="_Toc227206835"/>
      <w:r>
        <w:t>1. Introduction</w:t>
      </w:r>
      <w:bookmarkEnd w:id="0"/>
    </w:p>
    <w:p w14:paraId="36709629" w14:textId="77777777" w:rsidR="00B8387A" w:rsidRDefault="006D329E">
      <w:pPr>
        <w:jc w:val="both"/>
        <w:rPr>
          <w:rFonts w:ascii="Arial" w:hAnsi="Arial" w:cs="Arial"/>
        </w:rPr>
      </w:pPr>
      <w:r>
        <w:rPr>
          <w:rFonts w:ascii="Arial" w:hAnsi="Arial" w:cs="Arial"/>
        </w:rPr>
        <w:t xml:space="preserve">Efficient resource </w:t>
      </w:r>
      <w:r>
        <w:rPr>
          <w:rFonts w:ascii="Arial" w:hAnsi="Arial" w:cs="Arial"/>
        </w:rPr>
        <w:t>management is a cornerstone of operational success in educational institutions. A local college currently faces significant logistical challenges: classroom overcrowding, underutilisation of space, and excessive transit times for staff and students. These issues culminate in "scheduling conflicts and diminished pedagogical quality" [1]. This report aims to deconstruct these challenges and propose a structured, algorithmic solution grounded in systems thinking and abstract problem-solving.</w:t>
      </w:r>
    </w:p>
    <w:p w14:paraId="3670962A" w14:textId="77777777" w:rsidR="00B8387A" w:rsidRDefault="006D329E">
      <w:pPr>
        <w:pStyle w:val="Heading1"/>
      </w:pPr>
      <w:bookmarkStart w:id="1" w:name="_Toc227206836"/>
      <w:r>
        <w:t>2. Deconstruction of the Problem</w:t>
      </w:r>
      <w:bookmarkEnd w:id="1"/>
    </w:p>
    <w:p w14:paraId="3670962B" w14:textId="77777777" w:rsidR="00B8387A" w:rsidRDefault="006D329E">
      <w:pPr>
        <w:jc w:val="both"/>
        <w:rPr>
          <w:rFonts w:ascii="Arial" w:hAnsi="Arial" w:cs="Arial"/>
        </w:rPr>
      </w:pPr>
      <w:r>
        <w:rPr>
          <w:rFonts w:ascii="Arial" w:hAnsi="Arial" w:cs="Arial"/>
        </w:rPr>
        <w:t>To solve a complex problem, one must first break it down into manageable components—a process known as functional decomposition or subdividing [2].</w:t>
      </w:r>
    </w:p>
    <w:p w14:paraId="3670962C" w14:textId="77777777" w:rsidR="00B8387A" w:rsidRDefault="006D329E">
      <w:pPr>
        <w:pStyle w:val="Heading2"/>
      </w:pPr>
      <w:bookmarkStart w:id="2" w:name="_Toc227206837"/>
      <w:r>
        <w:t>2.1 Key Variables</w:t>
      </w:r>
      <w:bookmarkEnd w:id="2"/>
    </w:p>
    <w:p w14:paraId="3670962D" w14:textId="77777777" w:rsidR="00B8387A" w:rsidRDefault="006D329E">
      <w:pPr>
        <w:jc w:val="both"/>
        <w:rPr>
          <w:rFonts w:ascii="Arial" w:hAnsi="Arial" w:cs="Arial"/>
        </w:rPr>
      </w:pPr>
      <w:r>
        <w:rPr>
          <w:rFonts w:ascii="Arial" w:hAnsi="Arial" w:cs="Arial"/>
        </w:rPr>
        <w:t>The efficiency of classroom allocation depends on the interaction of several discrete variables:</w:t>
      </w:r>
    </w:p>
    <w:p w14:paraId="3670962E" w14:textId="77777777" w:rsidR="00B8387A" w:rsidRDefault="006D329E">
      <w:pPr>
        <w:numPr>
          <w:ilvl w:val="0"/>
          <w:numId w:val="1"/>
        </w:numPr>
        <w:jc w:val="both"/>
      </w:pPr>
      <w:r>
        <w:rPr>
          <w:rFonts w:ascii="Arial" w:hAnsi="Arial" w:cs="Arial"/>
          <w:b/>
          <w:bCs/>
        </w:rPr>
        <w:t>C (Classroom Capacity):</w:t>
      </w:r>
      <w:r>
        <w:rPr>
          <w:rFonts w:ascii="Arial" w:hAnsi="Arial" w:cs="Arial"/>
        </w:rPr>
        <w:t> The maximum number of students a room can legally and comfortably hold.</w:t>
      </w:r>
    </w:p>
    <w:p w14:paraId="3670962F" w14:textId="77777777" w:rsidR="00B8387A" w:rsidRDefault="006D329E">
      <w:pPr>
        <w:numPr>
          <w:ilvl w:val="0"/>
          <w:numId w:val="1"/>
        </w:numPr>
        <w:jc w:val="both"/>
      </w:pPr>
      <w:r>
        <w:rPr>
          <w:rFonts w:ascii="Arial" w:hAnsi="Arial" w:cs="Arial"/>
          <w:b/>
          <w:bCs/>
        </w:rPr>
        <w:t>S (Student Enrolment):</w:t>
      </w:r>
      <w:r>
        <w:rPr>
          <w:rFonts w:ascii="Arial" w:hAnsi="Arial" w:cs="Arial"/>
        </w:rPr>
        <w:t> The number of students registered for a specific module.</w:t>
      </w:r>
    </w:p>
    <w:p w14:paraId="36709630" w14:textId="77777777" w:rsidR="00B8387A" w:rsidRDefault="006D329E">
      <w:pPr>
        <w:numPr>
          <w:ilvl w:val="0"/>
          <w:numId w:val="1"/>
        </w:numPr>
        <w:jc w:val="both"/>
      </w:pPr>
      <w:r>
        <w:rPr>
          <w:rFonts w:ascii="Arial" w:hAnsi="Arial" w:cs="Arial"/>
          <w:b/>
          <w:bCs/>
        </w:rPr>
        <w:t>T (Time Slots):</w:t>
      </w:r>
      <w:r>
        <w:rPr>
          <w:rFonts w:ascii="Arial" w:hAnsi="Arial" w:cs="Arial"/>
        </w:rPr>
        <w:t> The temporal availability (e.g., 09:00–11:00).</w:t>
      </w:r>
    </w:p>
    <w:p w14:paraId="36709631" w14:textId="77777777" w:rsidR="00B8387A" w:rsidRDefault="006D329E">
      <w:pPr>
        <w:numPr>
          <w:ilvl w:val="0"/>
          <w:numId w:val="1"/>
        </w:numPr>
        <w:jc w:val="both"/>
      </w:pPr>
      <w:r>
        <w:rPr>
          <w:rFonts w:ascii="Arial" w:hAnsi="Arial" w:cs="Arial"/>
          <w:b/>
          <w:bCs/>
        </w:rPr>
        <w:t>L (Location/Proximity):</w:t>
      </w:r>
      <w:r>
        <w:rPr>
          <w:rFonts w:ascii="Arial" w:hAnsi="Arial" w:cs="Arial"/>
        </w:rPr>
        <w:t> The physical distance between Building A and Building B.</w:t>
      </w:r>
    </w:p>
    <w:p w14:paraId="36709632" w14:textId="77777777" w:rsidR="00B8387A" w:rsidRDefault="006D329E">
      <w:pPr>
        <w:numPr>
          <w:ilvl w:val="0"/>
          <w:numId w:val="1"/>
        </w:numPr>
        <w:jc w:val="both"/>
      </w:pPr>
      <w:r>
        <w:rPr>
          <w:rFonts w:ascii="Arial" w:hAnsi="Arial" w:cs="Arial"/>
          <w:b/>
          <w:bCs/>
        </w:rPr>
        <w:t>F (Facilities):</w:t>
      </w:r>
      <w:r>
        <w:rPr>
          <w:rFonts w:ascii="Arial" w:hAnsi="Arial" w:cs="Arial"/>
        </w:rPr>
        <w:t> Specific requirements such as laboratories, projectors, or specialized software.</w:t>
      </w:r>
    </w:p>
    <w:p w14:paraId="36709633" w14:textId="77777777" w:rsidR="00B8387A" w:rsidRDefault="00B8387A">
      <w:pPr>
        <w:pageBreakBefore/>
        <w:rPr>
          <w:rFonts w:ascii="Arial" w:hAnsi="Arial" w:cs="Arial"/>
          <w:b/>
          <w:bCs/>
        </w:rPr>
      </w:pPr>
    </w:p>
    <w:p w14:paraId="36709634" w14:textId="77777777" w:rsidR="00B8387A" w:rsidRDefault="006D329E">
      <w:pPr>
        <w:pStyle w:val="Heading2"/>
      </w:pPr>
      <w:bookmarkStart w:id="3" w:name="_Toc227206838"/>
      <w:r>
        <w:t>2.2 Requirements Analysis (</w:t>
      </w:r>
      <w:proofErr w:type="spellStart"/>
      <w:r>
        <w:t>MoSCoW</w:t>
      </w:r>
      <w:proofErr w:type="spellEnd"/>
      <w:r>
        <w:t xml:space="preserve"> Technique)</w:t>
      </w:r>
      <w:bookmarkEnd w:id="3"/>
    </w:p>
    <w:p w14:paraId="36709635" w14:textId="77777777" w:rsidR="00B8387A" w:rsidRDefault="006D329E">
      <w:pPr>
        <w:jc w:val="both"/>
        <w:rPr>
          <w:rFonts w:ascii="Arial" w:hAnsi="Arial" w:cs="Arial"/>
        </w:rPr>
      </w:pPr>
      <w:r>
        <w:rPr>
          <w:rFonts w:ascii="Arial" w:hAnsi="Arial" w:cs="Arial"/>
        </w:rPr>
        <w:t xml:space="preserve">The </w:t>
      </w:r>
      <w:proofErr w:type="spellStart"/>
      <w:r>
        <w:rPr>
          <w:rFonts w:ascii="Arial" w:hAnsi="Arial" w:cs="Arial"/>
        </w:rPr>
        <w:t>MoSCoW</w:t>
      </w:r>
      <w:proofErr w:type="spellEnd"/>
      <w:r>
        <w:rPr>
          <w:rFonts w:ascii="Arial" w:hAnsi="Arial" w:cs="Arial"/>
        </w:rPr>
        <w:t xml:space="preserve"> method is utilized here to prioritize the requirements of the new allocation system, ensuring that the most critical needs are met first [3].</w:t>
      </w:r>
    </w:p>
    <w:p w14:paraId="36709636" w14:textId="77777777" w:rsidR="00B8387A" w:rsidRDefault="00B8387A">
      <w:pPr>
        <w:jc w:val="both"/>
        <w:rPr>
          <w:rFonts w:ascii="Arial" w:hAnsi="Arial" w:cs="Arial"/>
        </w:rPr>
      </w:pPr>
    </w:p>
    <w:tbl>
      <w:tblPr>
        <w:tblW w:w="9016" w:type="dxa"/>
        <w:tblCellMar>
          <w:left w:w="10" w:type="dxa"/>
          <w:right w:w="10" w:type="dxa"/>
        </w:tblCellMar>
        <w:tblLook w:val="0000" w:firstRow="0" w:lastRow="0" w:firstColumn="0" w:lastColumn="0" w:noHBand="0" w:noVBand="0"/>
      </w:tblPr>
      <w:tblGrid>
        <w:gridCol w:w="1980"/>
        <w:gridCol w:w="7036"/>
      </w:tblGrid>
      <w:tr w:rsidR="00B8387A" w14:paraId="36709639" w14:textId="77777777">
        <w:tblPrEx>
          <w:tblCellMar>
            <w:top w:w="0" w:type="dxa"/>
            <w:bottom w:w="0" w:type="dxa"/>
          </w:tblCellMar>
        </w:tblPrEx>
        <w:tc>
          <w:tcPr>
            <w:tcW w:w="1980"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36709637" w14:textId="77777777" w:rsidR="00B8387A" w:rsidRDefault="006D329E">
            <w:pPr>
              <w:spacing w:after="0" w:line="240" w:lineRule="auto"/>
              <w:jc w:val="both"/>
              <w:rPr>
                <w:rFonts w:ascii="Arial" w:hAnsi="Arial" w:cs="Arial"/>
                <w:b/>
                <w:bCs/>
                <w:color w:val="FFFFFF"/>
              </w:rPr>
            </w:pPr>
            <w:r>
              <w:rPr>
                <w:rFonts w:ascii="Arial" w:hAnsi="Arial" w:cs="Arial"/>
                <w:b/>
                <w:bCs/>
                <w:color w:val="FFFFFF"/>
              </w:rPr>
              <w:t>Category</w:t>
            </w:r>
          </w:p>
        </w:tc>
        <w:tc>
          <w:tcPr>
            <w:tcW w:w="7036"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36709638" w14:textId="77777777" w:rsidR="00B8387A" w:rsidRDefault="006D329E">
            <w:pPr>
              <w:spacing w:after="0" w:line="240" w:lineRule="auto"/>
              <w:jc w:val="both"/>
            </w:pPr>
            <w:r>
              <w:rPr>
                <w:rFonts w:ascii="Arial" w:hAnsi="Arial" w:cs="Arial"/>
                <w:b/>
                <w:bCs/>
              </w:rPr>
              <w:t xml:space="preserve">                                       Requirements</w:t>
            </w:r>
          </w:p>
        </w:tc>
      </w:tr>
      <w:tr w:rsidR="00B8387A" w14:paraId="3670963D" w14:textId="77777777">
        <w:tblPrEx>
          <w:tblCellMar>
            <w:top w:w="0" w:type="dxa"/>
            <w:bottom w:w="0" w:type="dxa"/>
          </w:tblCellMar>
        </w:tblPrEx>
        <w:tc>
          <w:tcPr>
            <w:tcW w:w="1980"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3670963A" w14:textId="77777777" w:rsidR="00B8387A" w:rsidRDefault="006D329E">
            <w:pPr>
              <w:spacing w:after="0" w:line="240" w:lineRule="auto"/>
              <w:jc w:val="both"/>
              <w:rPr>
                <w:rFonts w:ascii="Arial" w:hAnsi="Arial" w:cs="Arial"/>
                <w:b/>
                <w:bCs/>
                <w:color w:val="FFFFFF"/>
              </w:rPr>
            </w:pPr>
            <w:r>
              <w:rPr>
                <w:rFonts w:ascii="Arial" w:hAnsi="Arial" w:cs="Arial"/>
                <w:b/>
                <w:bCs/>
                <w:color w:val="FFFFFF"/>
              </w:rPr>
              <w:t>Must have</w:t>
            </w:r>
          </w:p>
          <w:p w14:paraId="3670963B" w14:textId="77777777" w:rsidR="00B8387A" w:rsidRDefault="00B8387A">
            <w:pPr>
              <w:spacing w:after="0" w:line="240" w:lineRule="auto"/>
              <w:jc w:val="both"/>
              <w:rPr>
                <w:rFonts w:ascii="Arial" w:hAnsi="Arial" w:cs="Arial"/>
                <w:b/>
                <w:bCs/>
                <w:color w:val="FFFFFF"/>
              </w:rPr>
            </w:pPr>
          </w:p>
        </w:tc>
        <w:tc>
          <w:tcPr>
            <w:tcW w:w="7036" w:type="dxa"/>
            <w:tcBorders>
              <w:top w:val="single" w:sz="4" w:space="0" w:color="FFFFFF"/>
              <w:left w:val="single" w:sz="4" w:space="0" w:color="FFFFFF"/>
              <w:bottom w:val="single" w:sz="4" w:space="0" w:color="FFFFFF"/>
              <w:right w:val="single" w:sz="4" w:space="0" w:color="FFFFFF"/>
            </w:tcBorders>
            <w:shd w:val="clear" w:color="auto" w:fill="F2CEED"/>
            <w:tcMar>
              <w:top w:w="0" w:type="dxa"/>
              <w:left w:w="108" w:type="dxa"/>
              <w:bottom w:w="0" w:type="dxa"/>
              <w:right w:w="108" w:type="dxa"/>
            </w:tcMar>
          </w:tcPr>
          <w:p w14:paraId="3670963C" w14:textId="77777777" w:rsidR="00B8387A" w:rsidRDefault="006D329E">
            <w:pPr>
              <w:spacing w:after="0" w:line="240" w:lineRule="auto"/>
              <w:jc w:val="both"/>
              <w:rPr>
                <w:rFonts w:ascii="Arial" w:hAnsi="Arial" w:cs="Arial"/>
              </w:rPr>
            </w:pPr>
            <w:r>
              <w:rPr>
                <w:rFonts w:ascii="Arial" w:hAnsi="Arial" w:cs="Arial"/>
              </w:rPr>
              <w:t xml:space="preserve">Clash-free scheduling (no two classes in one </w:t>
            </w:r>
            <w:r>
              <w:rPr>
                <w:rFonts w:ascii="Arial" w:hAnsi="Arial" w:cs="Arial"/>
              </w:rPr>
              <w:t>room); (class size must not exceed capacity); Room assignments for every scheduled module.</w:t>
            </w:r>
          </w:p>
        </w:tc>
      </w:tr>
      <w:tr w:rsidR="00B8387A" w14:paraId="36709640" w14:textId="77777777">
        <w:tblPrEx>
          <w:tblCellMar>
            <w:top w:w="0" w:type="dxa"/>
            <w:bottom w:w="0" w:type="dxa"/>
          </w:tblCellMar>
        </w:tblPrEx>
        <w:tc>
          <w:tcPr>
            <w:tcW w:w="1980"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3670963E" w14:textId="77777777" w:rsidR="00B8387A" w:rsidRDefault="006D329E">
            <w:pPr>
              <w:spacing w:after="0" w:line="240" w:lineRule="auto"/>
              <w:jc w:val="both"/>
              <w:rPr>
                <w:rFonts w:ascii="Arial" w:hAnsi="Arial" w:cs="Arial"/>
                <w:b/>
                <w:bCs/>
                <w:color w:val="FFFFFF"/>
              </w:rPr>
            </w:pPr>
            <w:r>
              <w:rPr>
                <w:rFonts w:ascii="Arial" w:hAnsi="Arial" w:cs="Arial"/>
                <w:b/>
                <w:bCs/>
                <w:color w:val="FFFFFF"/>
              </w:rPr>
              <w:t>Should have</w:t>
            </w:r>
          </w:p>
        </w:tc>
        <w:tc>
          <w:tcPr>
            <w:tcW w:w="7036"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3670963F" w14:textId="77777777" w:rsidR="00B8387A" w:rsidRDefault="006D329E">
            <w:pPr>
              <w:spacing w:after="0" w:line="240" w:lineRule="auto"/>
              <w:jc w:val="both"/>
              <w:rPr>
                <w:rFonts w:ascii="Arial" w:hAnsi="Arial" w:cs="Arial"/>
              </w:rPr>
            </w:pPr>
            <w:r>
              <w:rPr>
                <w:rFonts w:ascii="Arial" w:hAnsi="Arial" w:cs="Arial"/>
              </w:rPr>
              <w:t>Proximity-based allocation (successive classes for a cohort should be in the same or adjacent buildings); 10-minute "buffer" between sessions.</w:t>
            </w:r>
          </w:p>
        </w:tc>
      </w:tr>
      <w:tr w:rsidR="00B8387A" w14:paraId="36709643" w14:textId="77777777">
        <w:tblPrEx>
          <w:tblCellMar>
            <w:top w:w="0" w:type="dxa"/>
            <w:bottom w:w="0" w:type="dxa"/>
          </w:tblCellMar>
        </w:tblPrEx>
        <w:tc>
          <w:tcPr>
            <w:tcW w:w="1980"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36709641" w14:textId="77777777" w:rsidR="00B8387A" w:rsidRDefault="006D329E">
            <w:pPr>
              <w:spacing w:after="0" w:line="240" w:lineRule="auto"/>
              <w:jc w:val="both"/>
              <w:rPr>
                <w:rFonts w:ascii="Arial" w:hAnsi="Arial" w:cs="Arial"/>
                <w:b/>
                <w:bCs/>
                <w:color w:val="FFFFFF"/>
              </w:rPr>
            </w:pPr>
            <w:r>
              <w:rPr>
                <w:rFonts w:ascii="Arial" w:hAnsi="Arial" w:cs="Arial"/>
                <w:b/>
                <w:bCs/>
                <w:color w:val="FFFFFF"/>
              </w:rPr>
              <w:t>Could have</w:t>
            </w:r>
          </w:p>
        </w:tc>
        <w:tc>
          <w:tcPr>
            <w:tcW w:w="7036" w:type="dxa"/>
            <w:tcBorders>
              <w:top w:val="single" w:sz="4" w:space="0" w:color="FFFFFF"/>
              <w:left w:val="single" w:sz="4" w:space="0" w:color="FFFFFF"/>
              <w:bottom w:val="single" w:sz="4" w:space="0" w:color="FFFFFF"/>
              <w:right w:val="single" w:sz="4" w:space="0" w:color="FFFFFF"/>
            </w:tcBorders>
            <w:shd w:val="clear" w:color="auto" w:fill="F2CEED"/>
            <w:tcMar>
              <w:top w:w="0" w:type="dxa"/>
              <w:left w:w="108" w:type="dxa"/>
              <w:bottom w:w="0" w:type="dxa"/>
              <w:right w:w="108" w:type="dxa"/>
            </w:tcMar>
          </w:tcPr>
          <w:p w14:paraId="36709642" w14:textId="77777777" w:rsidR="00B8387A" w:rsidRDefault="006D329E">
            <w:pPr>
              <w:spacing w:after="0" w:line="240" w:lineRule="auto"/>
              <w:jc w:val="both"/>
              <w:rPr>
                <w:rFonts w:ascii="Arial" w:hAnsi="Arial" w:cs="Arial"/>
              </w:rPr>
            </w:pPr>
            <w:r>
              <w:rPr>
                <w:rFonts w:ascii="Arial" w:hAnsi="Arial" w:cs="Arial"/>
              </w:rPr>
              <w:t>Preferences for specific rooms based on tutor requests; Automated notification system for room changes.</w:t>
            </w:r>
          </w:p>
        </w:tc>
      </w:tr>
      <w:tr w:rsidR="00B8387A" w14:paraId="36709646" w14:textId="77777777">
        <w:tblPrEx>
          <w:tblCellMar>
            <w:top w:w="0" w:type="dxa"/>
            <w:bottom w:w="0" w:type="dxa"/>
          </w:tblCellMar>
        </w:tblPrEx>
        <w:tc>
          <w:tcPr>
            <w:tcW w:w="1980"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36709644" w14:textId="77777777" w:rsidR="00B8387A" w:rsidRDefault="006D329E">
            <w:pPr>
              <w:spacing w:after="0" w:line="240" w:lineRule="auto"/>
              <w:jc w:val="both"/>
              <w:rPr>
                <w:rFonts w:ascii="Arial" w:hAnsi="Arial" w:cs="Arial"/>
                <w:b/>
                <w:bCs/>
                <w:color w:val="FFFFFF"/>
              </w:rPr>
            </w:pPr>
            <w:r>
              <w:rPr>
                <w:rFonts w:ascii="Arial" w:hAnsi="Arial" w:cs="Arial"/>
                <w:b/>
                <w:bCs/>
                <w:color w:val="FFFFFF"/>
              </w:rPr>
              <w:t>Won't have</w:t>
            </w:r>
          </w:p>
        </w:tc>
        <w:tc>
          <w:tcPr>
            <w:tcW w:w="7036"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36709645" w14:textId="77777777" w:rsidR="00B8387A" w:rsidRDefault="006D329E">
            <w:pPr>
              <w:spacing w:after="0" w:line="240" w:lineRule="auto"/>
              <w:jc w:val="both"/>
              <w:rPr>
                <w:rFonts w:ascii="Arial" w:hAnsi="Arial" w:cs="Arial"/>
              </w:rPr>
            </w:pPr>
            <w:r>
              <w:rPr>
                <w:rFonts w:ascii="Arial" w:hAnsi="Arial" w:cs="Arial"/>
              </w:rPr>
              <w:t>Real-time tracking of student movement; Physical expansion of the college buildings in this phase.</w:t>
            </w:r>
          </w:p>
        </w:tc>
      </w:tr>
    </w:tbl>
    <w:p w14:paraId="36709647" w14:textId="77777777" w:rsidR="00B8387A" w:rsidRDefault="00B8387A">
      <w:pPr>
        <w:jc w:val="both"/>
        <w:rPr>
          <w:rFonts w:ascii="Arial" w:hAnsi="Arial" w:cs="Arial"/>
        </w:rPr>
      </w:pPr>
    </w:p>
    <w:p w14:paraId="36709648" w14:textId="77777777" w:rsidR="00B8387A" w:rsidRDefault="00B8387A">
      <w:pPr>
        <w:jc w:val="both"/>
        <w:rPr>
          <w:rFonts w:ascii="Arial" w:hAnsi="Arial" w:cs="Arial"/>
        </w:rPr>
      </w:pPr>
    </w:p>
    <w:p w14:paraId="36709649" w14:textId="77777777" w:rsidR="00B8387A" w:rsidRDefault="006D329E">
      <w:pPr>
        <w:pStyle w:val="Heading2"/>
      </w:pPr>
      <w:bookmarkStart w:id="4" w:name="_Toc227206839"/>
      <w:r>
        <w:t>2.3 Constraints</w:t>
      </w:r>
      <w:bookmarkEnd w:id="4"/>
    </w:p>
    <w:p w14:paraId="3670964A" w14:textId="77777777" w:rsidR="00B8387A" w:rsidRDefault="006D329E">
      <w:pPr>
        <w:jc w:val="both"/>
        <w:rPr>
          <w:rFonts w:ascii="Arial" w:hAnsi="Arial" w:cs="Arial"/>
        </w:rPr>
      </w:pPr>
      <w:r>
        <w:rPr>
          <w:rFonts w:ascii="Arial" w:hAnsi="Arial" w:cs="Arial"/>
        </w:rPr>
        <w:t xml:space="preserve">The </w:t>
      </w:r>
      <w:r>
        <w:rPr>
          <w:rFonts w:ascii="Arial" w:hAnsi="Arial" w:cs="Arial"/>
        </w:rPr>
        <w:t>primary constraints include a finite number of rooms, fixed academic hours, and the geographical layout of the campus which dictates the minimum "commute time" between classes.</w:t>
      </w:r>
    </w:p>
    <w:p w14:paraId="3670964B" w14:textId="77777777" w:rsidR="00B8387A" w:rsidRDefault="006D329E">
      <w:pPr>
        <w:jc w:val="both"/>
      </w:pPr>
      <w:r>
        <w:rPr>
          <w:rFonts w:ascii="Arial" w:hAnsi="Arial" w:cs="Arial"/>
          <w:noProof/>
        </w:rPr>
        <mc:AlternateContent>
          <mc:Choice Requires="wps">
            <w:drawing>
              <wp:inline distT="0" distB="0" distL="0" distR="0" wp14:anchorId="36709617" wp14:editId="36709618">
                <wp:extent cx="0" cy="9528"/>
                <wp:effectExtent l="0" t="0" r="38100" b="28572"/>
                <wp:docPr id="909891123" name="Horizontal Line 19"/>
                <wp:cNvGraphicFramePr/>
                <a:graphic xmlns:a="http://schemas.openxmlformats.org/drawingml/2006/main">
                  <a:graphicData uri="http://schemas.microsoft.com/office/word/2010/wordprocessingShape">
                    <wps:wsp>
                      <wps:cNvSpPr/>
                      <wps:spPr>
                        <a:xfrm>
                          <a:off x="0" y="0"/>
                          <a:ext cx="0" cy="9528"/>
                        </a:xfrm>
                        <a:prstGeom prst="rect">
                          <a:avLst/>
                        </a:prstGeom>
                        <a:noFill/>
                        <a:ln w="9528" cap="flat">
                          <a:solidFill>
                            <a:srgbClr val="A0A0A0"/>
                          </a:solidFill>
                          <a:prstDash val="solid"/>
                          <a:miter/>
                        </a:ln>
                      </wps:spPr>
                      <wps:bodyPr lIns="0" tIns="0" rIns="0" bIns="0"/>
                    </wps:wsp>
                  </a:graphicData>
                </a:graphic>
              </wp:inline>
            </w:drawing>
          </mc:Choice>
          <mc:Fallback>
            <w:pict>
              <v:rect w14:anchorId="67B86699" id="Horizontal Line 19"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" filled="f" strokecolor="#a0a0a0" strokeweight=".26467mm">
                <v:textbox inset="0,0,0,0"/>
                <w10:anchorlock/>
              </v:rect>
            </w:pict>
          </mc:Fallback>
        </mc:AlternateContent>
      </w:r>
    </w:p>
    <w:p w14:paraId="3670964C" w14:textId="77777777" w:rsidR="00B8387A" w:rsidRDefault="006D329E">
      <w:pPr>
        <w:pStyle w:val="Heading1"/>
      </w:pPr>
      <w:bookmarkStart w:id="5" w:name="_Toc227206840"/>
      <w:r>
        <w:t>3. Proposed Solution</w:t>
      </w:r>
      <w:bookmarkEnd w:id="5"/>
    </w:p>
    <w:p w14:paraId="3670964D" w14:textId="77777777" w:rsidR="00B8387A" w:rsidRDefault="006D329E">
      <w:pPr>
        <w:jc w:val="both"/>
      </w:pPr>
      <w:r>
        <w:rPr>
          <w:rFonts w:ascii="Arial" w:hAnsi="Arial" w:cs="Arial"/>
        </w:rPr>
        <w:t>The proposed solution adopts a </w:t>
      </w:r>
      <w:r>
        <w:rPr>
          <w:rFonts w:ascii="Arial" w:hAnsi="Arial" w:cs="Arial"/>
          <w:b/>
          <w:bCs/>
        </w:rPr>
        <w:t>Heuristic Allocation Algorithm</w:t>
      </w:r>
      <w:r>
        <w:rPr>
          <w:rFonts w:ascii="Arial" w:hAnsi="Arial" w:cs="Arial"/>
        </w:rPr>
        <w:t>. Rather than a random assignment, this approach uses logic to optimize room usage based on the variables identified in Section 2.</w:t>
      </w:r>
    </w:p>
    <w:p w14:paraId="3670964E" w14:textId="77777777" w:rsidR="00B8387A" w:rsidRDefault="00B8387A">
      <w:pPr>
        <w:pageBreakBefore/>
        <w:rPr>
          <w:rFonts w:ascii="Arial" w:hAnsi="Arial" w:cs="Arial"/>
          <w:b/>
          <w:bCs/>
        </w:rPr>
      </w:pPr>
    </w:p>
    <w:p w14:paraId="3670964F" w14:textId="77777777" w:rsidR="00B8387A" w:rsidRDefault="006D329E">
      <w:pPr>
        <w:pStyle w:val="Heading2"/>
      </w:pPr>
      <w:bookmarkStart w:id="6" w:name="_Toc227206841"/>
      <w:r>
        <w:rPr>
          <w:noProof/>
        </w:rPr>
        <w:drawing>
          <wp:anchor distT="0" distB="0" distL="114300" distR="114300" simplePos="0" relativeHeight="251658240" behindDoc="0" locked="0" layoutInCell="1" allowOverlap="1" wp14:anchorId="36709619" wp14:editId="3670961A">
            <wp:simplePos x="0" y="0"/>
            <wp:positionH relativeFrom="margin">
              <wp:align>left</wp:align>
            </wp:positionH>
            <wp:positionV relativeFrom="paragraph">
              <wp:posOffset>571500</wp:posOffset>
            </wp:positionV>
            <wp:extent cx="5467353" cy="5105396"/>
            <wp:effectExtent l="0" t="0" r="0" b="4"/>
            <wp:wrapSquare wrapText="bothSides"/>
            <wp:docPr id="140147606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67353" cy="5105396"/>
                    </a:xfrm>
                    <a:prstGeom prst="rect">
                      <a:avLst/>
                    </a:prstGeom>
                    <a:noFill/>
                    <a:ln>
                      <a:noFill/>
                      <a:prstDash/>
                    </a:ln>
                  </pic:spPr>
                </pic:pic>
              </a:graphicData>
            </a:graphic>
          </wp:anchor>
        </w:drawing>
      </w:r>
      <w:r>
        <w:t>3.1 The Flowchart Logic</w:t>
      </w:r>
      <w:bookmarkStart w:id="7" w:name="_Toc227206842"/>
      <w:bookmarkEnd w:id="6"/>
    </w:p>
    <w:p w14:paraId="36709650" w14:textId="77777777" w:rsidR="00B8387A" w:rsidRDefault="006D329E">
      <w:pPr>
        <w:pStyle w:val="Heading2"/>
      </w:pPr>
      <w:r>
        <w:t>3.2 Written Explanation of the Process</w:t>
      </w:r>
      <w:bookmarkEnd w:id="7"/>
    </w:p>
    <w:p w14:paraId="36709651" w14:textId="77777777" w:rsidR="00B8387A" w:rsidRDefault="006D329E">
      <w:pPr>
        <w:jc w:val="both"/>
      </w:pPr>
      <w:r>
        <w:rPr>
          <w:rFonts w:ascii="Arial" w:hAnsi="Arial" w:cs="Arial"/>
        </w:rPr>
        <w:t>The solution employs </w:t>
      </w:r>
      <w:r>
        <w:rPr>
          <w:rFonts w:ascii="Arial" w:hAnsi="Arial" w:cs="Arial"/>
          <w:b/>
          <w:bCs/>
        </w:rPr>
        <w:t>Abstract Thinking</w:t>
      </w:r>
      <w:r>
        <w:rPr>
          <w:rFonts w:ascii="Arial" w:hAnsi="Arial" w:cs="Arial"/>
        </w:rPr>
        <w:t> by viewing the college not as a collection of bricks and mortar, but as a mathematical set of capacities and time-windows [4].</w:t>
      </w:r>
    </w:p>
    <w:p w14:paraId="36709652" w14:textId="77777777" w:rsidR="00B8387A" w:rsidRDefault="006D329E">
      <w:pPr>
        <w:numPr>
          <w:ilvl w:val="0"/>
          <w:numId w:val="2"/>
        </w:numPr>
        <w:jc w:val="both"/>
      </w:pPr>
      <w:r>
        <w:rPr>
          <w:rFonts w:ascii="Arial" w:hAnsi="Arial" w:cs="Arial"/>
          <w:b/>
          <w:bCs/>
        </w:rPr>
        <w:t>Optimising Usage:</w:t>
      </w:r>
      <w:r>
        <w:rPr>
          <w:rFonts w:ascii="Arial" w:hAnsi="Arial" w:cs="Arial"/>
        </w:rPr>
        <w:t> By sorting modules by size before allocation (Step 2), we prevent a 20-person seminar from occupying a 100-person lecture hall, which is a primary cause of overcrowding elsewhere. This is known as the "Best-Fit" approach in bin-packing theory [5].</w:t>
      </w:r>
    </w:p>
    <w:p w14:paraId="36709653" w14:textId="77777777" w:rsidR="00B8387A" w:rsidRDefault="006D329E">
      <w:pPr>
        <w:numPr>
          <w:ilvl w:val="0"/>
          <w:numId w:val="2"/>
        </w:numPr>
        <w:jc w:val="both"/>
      </w:pPr>
      <w:r>
        <w:rPr>
          <w:rFonts w:ascii="Arial" w:hAnsi="Arial" w:cs="Arial"/>
          <w:b/>
          <w:bCs/>
        </w:rPr>
        <w:t>Minimising Movement:</w:t>
      </w:r>
      <w:r>
        <w:rPr>
          <w:rFonts w:ascii="Arial" w:hAnsi="Arial" w:cs="Arial"/>
        </w:rPr>
        <w:t xml:space="preserve"> The algorithm prioritises "Building Clusters." If a group of students has a 9:00 AM class in Building Alpha, </w:t>
      </w:r>
      <w:r>
        <w:rPr>
          <w:rFonts w:ascii="Arial" w:hAnsi="Arial" w:cs="Arial"/>
        </w:rPr>
        <w:t>the algorithm searches for a 11:00 AM room within the same building or its immediate neighbour.</w:t>
      </w:r>
    </w:p>
    <w:p w14:paraId="36709654" w14:textId="77777777" w:rsidR="00B8387A" w:rsidRDefault="006D329E">
      <w:pPr>
        <w:numPr>
          <w:ilvl w:val="0"/>
          <w:numId w:val="2"/>
        </w:numPr>
        <w:jc w:val="both"/>
      </w:pPr>
      <w:r>
        <w:rPr>
          <w:rFonts w:ascii="Arial" w:hAnsi="Arial" w:cs="Arial"/>
          <w:b/>
          <w:bCs/>
        </w:rPr>
        <w:t>Avoiding Conflicts:</w:t>
      </w:r>
      <w:r>
        <w:rPr>
          <w:rFonts w:ascii="Arial" w:hAnsi="Arial" w:cs="Arial"/>
        </w:rPr>
        <w:t> The centralized database ensures that once a time-room variable (T, R) is assigned, it is locked, preventing scheduling overlaps.</w:t>
      </w:r>
    </w:p>
    <w:p w14:paraId="36709655" w14:textId="77777777" w:rsidR="00B8387A" w:rsidRDefault="006D329E">
      <w:pPr>
        <w:jc w:val="both"/>
      </w:pPr>
      <w:r>
        <w:rPr>
          <w:rFonts w:ascii="Arial" w:hAnsi="Arial" w:cs="Arial"/>
          <w:noProof/>
        </w:rPr>
        <w:lastRenderedPageBreak/>
        <mc:AlternateContent>
          <mc:Choice Requires="wps">
            <w:drawing>
              <wp:inline distT="0" distB="0" distL="0" distR="0" wp14:anchorId="3670961B" wp14:editId="3670961C">
                <wp:extent cx="0" cy="9528"/>
                <wp:effectExtent l="0" t="0" r="38100" b="28572"/>
                <wp:docPr id="906416281" name="Horizontal Line 20"/>
                <wp:cNvGraphicFramePr/>
                <a:graphic xmlns:a="http://schemas.openxmlformats.org/drawingml/2006/main">
                  <a:graphicData uri="http://schemas.microsoft.com/office/word/2010/wordprocessingShape">
                    <wps:wsp>
                      <wps:cNvSpPr/>
                      <wps:spPr>
                        <a:xfrm>
                          <a:off x="0" y="0"/>
                          <a:ext cx="0" cy="9528"/>
                        </a:xfrm>
                        <a:prstGeom prst="rect">
                          <a:avLst/>
                        </a:prstGeom>
                        <a:noFill/>
                        <a:ln w="9528" cap="flat">
                          <a:solidFill>
                            <a:srgbClr val="A0A0A0"/>
                          </a:solidFill>
                          <a:prstDash val="solid"/>
                          <a:miter/>
                        </a:ln>
                      </wps:spPr>
                      <wps:bodyPr lIns="0" tIns="0" rIns="0" bIns="0"/>
                    </wps:wsp>
                  </a:graphicData>
                </a:graphic>
              </wp:inline>
            </w:drawing>
          </mc:Choice>
          <mc:Fallback>
            <w:pict>
              <v:rect w14:anchorId="275AB1A1" id="Horizontal Line 20"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" filled="f" strokecolor="#a0a0a0" strokeweight=".26467mm">
                <v:textbox inset="0,0,0,0"/>
                <w10:anchorlock/>
              </v:rect>
            </w:pict>
          </mc:Fallback>
        </mc:AlternateContent>
      </w:r>
    </w:p>
    <w:p w14:paraId="36709656" w14:textId="77777777" w:rsidR="00B8387A" w:rsidRDefault="006D329E">
      <w:pPr>
        <w:pStyle w:val="Heading1"/>
      </w:pPr>
      <w:bookmarkStart w:id="8" w:name="_Toc227206843"/>
      <w:r>
        <w:t>4. Reflection and Justification</w:t>
      </w:r>
      <w:bookmarkEnd w:id="8"/>
    </w:p>
    <w:p w14:paraId="36709657" w14:textId="77777777" w:rsidR="00B8387A" w:rsidRDefault="006D329E">
      <w:pPr>
        <w:pStyle w:val="Heading2"/>
      </w:pPr>
      <w:bookmarkStart w:id="9" w:name="_Toc227206844"/>
      <w:r>
        <w:t>4.1 Problem-Solving Techniques Used</w:t>
      </w:r>
      <w:bookmarkEnd w:id="9"/>
    </w:p>
    <w:p w14:paraId="36709658" w14:textId="77777777" w:rsidR="00B8387A" w:rsidRDefault="006D329E">
      <w:pPr>
        <w:jc w:val="both"/>
      </w:pPr>
      <w:r>
        <w:rPr>
          <w:rFonts w:ascii="Arial" w:hAnsi="Arial" w:cs="Arial"/>
        </w:rPr>
        <w:t>The primary technique utilized was </w:t>
      </w:r>
      <w:r>
        <w:rPr>
          <w:rFonts w:ascii="Arial" w:hAnsi="Arial" w:cs="Arial"/>
          <w:b/>
          <w:bCs/>
        </w:rPr>
        <w:t>Computational Thinking</w:t>
      </w:r>
      <w:r>
        <w:rPr>
          <w:rFonts w:ascii="Arial" w:hAnsi="Arial" w:cs="Arial"/>
        </w:rPr>
        <w:t>, specifically </w:t>
      </w:r>
      <w:r>
        <w:rPr>
          <w:rFonts w:ascii="Arial" w:hAnsi="Arial" w:cs="Arial"/>
          <w:i/>
          <w:iCs/>
        </w:rPr>
        <w:t>Abstraction</w:t>
      </w:r>
      <w:r>
        <w:rPr>
          <w:rFonts w:ascii="Arial" w:hAnsi="Arial" w:cs="Arial"/>
        </w:rPr>
        <w:t> and </w:t>
      </w:r>
      <w:r>
        <w:rPr>
          <w:rFonts w:ascii="Arial" w:hAnsi="Arial" w:cs="Arial"/>
          <w:i/>
          <w:iCs/>
        </w:rPr>
        <w:t>Pattern Recognition</w:t>
      </w:r>
      <w:r>
        <w:rPr>
          <w:rFonts w:ascii="Arial" w:hAnsi="Arial" w:cs="Arial"/>
        </w:rPr>
        <w:t xml:space="preserve"> [6]. By ignoring the specific subjects being taught and focusing on the "data" of </w:t>
      </w:r>
      <w:r>
        <w:rPr>
          <w:rFonts w:ascii="Arial" w:hAnsi="Arial" w:cs="Arial"/>
        </w:rPr>
        <w:t>class sizes and room numbers, a generic solution was created that can be applied to any department.</w:t>
      </w:r>
    </w:p>
    <w:p w14:paraId="36709659" w14:textId="77777777" w:rsidR="00B8387A" w:rsidRDefault="006D329E">
      <w:pPr>
        <w:jc w:val="both"/>
      </w:pPr>
      <w:r>
        <w:rPr>
          <w:rFonts w:ascii="Arial" w:hAnsi="Arial" w:cs="Arial"/>
          <w:b/>
          <w:bCs/>
        </w:rPr>
        <w:t>Subdividing</w:t>
      </w:r>
      <w:r>
        <w:rPr>
          <w:rFonts w:ascii="Arial" w:hAnsi="Arial" w:cs="Arial"/>
        </w:rPr>
        <w:t> (or decomposition) was also critical. Managing a whole college's schedule is overwhelming; however, by breaking it into individual "constraints" (Capacity, Time, Location), the problem became a series of logic gates.</w:t>
      </w:r>
    </w:p>
    <w:p w14:paraId="3670965A" w14:textId="77777777" w:rsidR="00B8387A" w:rsidRDefault="006D329E">
      <w:pPr>
        <w:pStyle w:val="Heading2"/>
      </w:pPr>
      <w:bookmarkStart w:id="10" w:name="_Toc227206845"/>
      <w:r>
        <w:t>4.2 Justification</w:t>
      </w:r>
      <w:bookmarkEnd w:id="10"/>
    </w:p>
    <w:p w14:paraId="3670965B" w14:textId="77777777" w:rsidR="00B8387A" w:rsidRDefault="006D329E">
      <w:pPr>
        <w:jc w:val="both"/>
        <w:rPr>
          <w:rFonts w:ascii="Arial" w:hAnsi="Arial" w:cs="Arial"/>
        </w:rPr>
      </w:pPr>
      <w:r>
        <w:rPr>
          <w:rFonts w:ascii="Arial" w:hAnsi="Arial" w:cs="Arial"/>
        </w:rPr>
        <w:t>This approach is appropriate because it moves from a "reactive" model (solving clashes as they happen) to a "proactive" systems-thinking model [7]. According to Senge’s Systems Thinking theory, small changes in the rules of a system—such as the order in which we assign rooms—can lead to significant improvements in overall institutional efficiency [8].</w:t>
      </w:r>
    </w:p>
    <w:p w14:paraId="3670965C" w14:textId="77777777" w:rsidR="00B8387A" w:rsidRDefault="006D329E">
      <w:pPr>
        <w:pStyle w:val="Heading2"/>
      </w:pPr>
      <w:bookmarkStart w:id="11" w:name="_Toc227206846"/>
      <w:r>
        <w:t>4.3 Limitations and Assumptions</w:t>
      </w:r>
      <w:bookmarkEnd w:id="11"/>
    </w:p>
    <w:p w14:paraId="3670965D" w14:textId="77777777" w:rsidR="00B8387A" w:rsidRDefault="006D329E">
      <w:pPr>
        <w:numPr>
          <w:ilvl w:val="0"/>
          <w:numId w:val="3"/>
        </w:numPr>
        <w:jc w:val="both"/>
      </w:pPr>
      <w:r>
        <w:rPr>
          <w:rFonts w:ascii="Arial" w:hAnsi="Arial" w:cs="Arial"/>
          <w:b/>
          <w:bCs/>
        </w:rPr>
        <w:t>Assumptions:</w:t>
      </w:r>
      <w:r>
        <w:rPr>
          <w:rFonts w:ascii="Arial" w:hAnsi="Arial" w:cs="Arial"/>
        </w:rPr>
        <w:t> It is assumed that all rooms are "general purpose." If a class requires a specific Chemistry Lab, the algorithm’s flexibility is reduced.</w:t>
      </w:r>
    </w:p>
    <w:p w14:paraId="3670965E" w14:textId="77777777" w:rsidR="00B8387A" w:rsidRDefault="006D329E">
      <w:pPr>
        <w:numPr>
          <w:ilvl w:val="0"/>
          <w:numId w:val="3"/>
        </w:numPr>
        <w:jc w:val="both"/>
      </w:pPr>
      <w:r>
        <w:rPr>
          <w:rFonts w:ascii="Arial" w:hAnsi="Arial" w:cs="Arial"/>
          <w:b/>
          <w:bCs/>
        </w:rPr>
        <w:t>Limitations:</w:t>
      </w:r>
      <w:r>
        <w:rPr>
          <w:rFonts w:ascii="Arial" w:hAnsi="Arial" w:cs="Arial"/>
        </w:rPr>
        <w:t> The solution does not account for sudden changes, such as a room being out of order due to maintenance. Furthermore, the "proximity" check requires accurate mapping of the campus, which may be data-intensive to implement initially.</w:t>
      </w:r>
    </w:p>
    <w:p w14:paraId="3670965F" w14:textId="77777777" w:rsidR="00B8387A" w:rsidRDefault="006D329E">
      <w:pPr>
        <w:jc w:val="both"/>
      </w:pPr>
      <w:r>
        <w:rPr>
          <w:rFonts w:ascii="Arial" w:hAnsi="Arial" w:cs="Arial"/>
          <w:noProof/>
        </w:rPr>
        <mc:AlternateContent>
          <mc:Choice Requires="wps">
            <w:drawing>
              <wp:inline distT="0" distB="0" distL="0" distR="0" wp14:anchorId="3670961D" wp14:editId="3670961E">
                <wp:extent cx="0" cy="9528"/>
                <wp:effectExtent l="0" t="0" r="38100" b="28572"/>
                <wp:docPr id="638251819" name="Horizontal Line 21"/>
                <wp:cNvGraphicFramePr/>
                <a:graphic xmlns:a="http://schemas.openxmlformats.org/drawingml/2006/main">
                  <a:graphicData uri="http://schemas.microsoft.com/office/word/2010/wordprocessingShape">
                    <wps:wsp>
                      <wps:cNvSpPr/>
                      <wps:spPr>
                        <a:xfrm>
                          <a:off x="0" y="0"/>
                          <a:ext cx="0" cy="9528"/>
                        </a:xfrm>
                        <a:prstGeom prst="rect">
                          <a:avLst/>
                        </a:prstGeom>
                        <a:noFill/>
                        <a:ln w="9528" cap="flat">
                          <a:solidFill>
                            <a:srgbClr val="A0A0A0"/>
                          </a:solidFill>
                          <a:prstDash val="solid"/>
                          <a:miter/>
                        </a:ln>
                      </wps:spPr>
                      <wps:bodyPr lIns="0" tIns="0" rIns="0" bIns="0"/>
                    </wps:wsp>
                  </a:graphicData>
                </a:graphic>
              </wp:inline>
            </w:drawing>
          </mc:Choice>
          <mc:Fallback>
            <w:pict>
              <v:rect w14:anchorId="3C32FD28" id="Horizontal Line 21"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" filled="f" strokecolor="#a0a0a0" strokeweight=".26467mm">
                <v:textbox inset="0,0,0,0"/>
                <w10:anchorlock/>
              </v:rect>
            </w:pict>
          </mc:Fallback>
        </mc:AlternateContent>
      </w:r>
    </w:p>
    <w:p w14:paraId="36709660" w14:textId="77777777" w:rsidR="00B8387A" w:rsidRDefault="006D329E">
      <w:pPr>
        <w:pStyle w:val="Heading1"/>
      </w:pPr>
      <w:bookmarkStart w:id="12" w:name="_Toc227206847"/>
      <w:r>
        <w:t>5. Conclusion</w:t>
      </w:r>
      <w:bookmarkEnd w:id="12"/>
    </w:p>
    <w:p w14:paraId="36709661" w14:textId="77777777" w:rsidR="00B8387A" w:rsidRDefault="006D329E">
      <w:pPr>
        <w:jc w:val="both"/>
        <w:rPr>
          <w:rFonts w:ascii="Arial" w:hAnsi="Arial" w:cs="Arial"/>
        </w:rPr>
      </w:pPr>
      <w:r>
        <w:rPr>
          <w:rFonts w:ascii="Arial" w:hAnsi="Arial" w:cs="Arial"/>
        </w:rPr>
        <w:t xml:space="preserve">The difficulties faced by the college are not inherent to the space available, but rather to the logic of how that space is distributed. By deconstructing the problem into quantifiable variables and applying a structured </w:t>
      </w:r>
      <w:proofErr w:type="spellStart"/>
      <w:r>
        <w:rPr>
          <w:rFonts w:ascii="Arial" w:hAnsi="Arial" w:cs="Arial"/>
        </w:rPr>
        <w:t>MoSCoW</w:t>
      </w:r>
      <w:proofErr w:type="spellEnd"/>
      <w:r>
        <w:rPr>
          <w:rFonts w:ascii="Arial" w:hAnsi="Arial" w:cs="Arial"/>
        </w:rPr>
        <w:t>-based requirement set, a solution was developed that prioritizes both spatial efficiency and human transit time. Implementing this logical framework will result in a more streamlined, clash-free environment that enhances the educational experience for both staff and students.</w:t>
      </w:r>
    </w:p>
    <w:p w14:paraId="36709662" w14:textId="77777777" w:rsidR="00B8387A" w:rsidRDefault="006D329E">
      <w:pPr>
        <w:pStyle w:val="Heading1"/>
        <w:pageBreakBefore/>
      </w:pPr>
      <w:bookmarkStart w:id="13" w:name="_Toc227206848"/>
      <w:r>
        <w:lastRenderedPageBreak/>
        <w:t>6. REFERENCES</w:t>
      </w:r>
      <w:bookmarkEnd w:id="13"/>
    </w:p>
    <w:p w14:paraId="36709663" w14:textId="77777777" w:rsidR="00B8387A" w:rsidRDefault="00B8387A">
      <w:pPr>
        <w:rPr>
          <w:rFonts w:ascii="Arial" w:hAnsi="Arial" w:cs="Arial"/>
        </w:rPr>
      </w:pPr>
    </w:p>
    <w:p w14:paraId="36709664" w14:textId="77777777" w:rsidR="00B8387A" w:rsidRDefault="006D329E">
      <w:pPr>
        <w:rPr>
          <w:rFonts w:ascii="Arial" w:hAnsi="Arial" w:cs="Arial"/>
        </w:rPr>
      </w:pPr>
      <w:r>
        <w:rPr>
          <w:rFonts w:ascii="Arial" w:hAnsi="Arial" w:cs="Arial"/>
        </w:rPr>
        <w:t>References</w:t>
      </w:r>
    </w:p>
    <w:p w14:paraId="36709665" w14:textId="77777777" w:rsidR="00B8387A" w:rsidRDefault="006D329E">
      <w:pPr>
        <w:rPr>
          <w:rFonts w:ascii="Arial" w:hAnsi="Arial" w:cs="Arial"/>
        </w:rPr>
      </w:pPr>
      <w:r>
        <w:rPr>
          <w:rFonts w:ascii="Arial" w:hAnsi="Arial" w:cs="Arial"/>
        </w:rPr>
        <w:t>[1] J. Hill and K. Smith, "Visions of blended learning: Identifying the challenges and opportunities in shaping institutional approaches to blended learning in higher education," vol. 32, no. 3, pp.289–303, 2023,</w:t>
      </w:r>
    </w:p>
    <w:p w14:paraId="36709666" w14:textId="77777777" w:rsidR="00B8387A" w:rsidRDefault="006D329E">
      <w:r>
        <w:rPr>
          <w:rFonts w:ascii="Arial" w:hAnsi="Arial" w:cs="Arial"/>
        </w:rPr>
        <w:t>[2] R. K. Yin, </w:t>
      </w:r>
      <w:r>
        <w:rPr>
          <w:rFonts w:ascii="Arial" w:hAnsi="Arial" w:cs="Arial"/>
          <w:i/>
          <w:iCs/>
        </w:rPr>
        <w:t>Case study research and applications, </w:t>
      </w:r>
      <w:r>
        <w:rPr>
          <w:rFonts w:ascii="Arial" w:hAnsi="Arial" w:cs="Arial"/>
        </w:rPr>
        <w:t>Sage Thousand Oaks, CA, 2018.</w:t>
      </w:r>
    </w:p>
    <w:p w14:paraId="36709667" w14:textId="77777777" w:rsidR="00B8387A" w:rsidRDefault="006D329E">
      <w:r>
        <w:rPr>
          <w:rFonts w:ascii="Arial" w:hAnsi="Arial" w:cs="Arial"/>
        </w:rPr>
        <w:t xml:space="preserve">[3] D. Clegg and R. </w:t>
      </w:r>
      <w:proofErr w:type="spellStart"/>
      <w:proofErr w:type="gramStart"/>
      <w:r>
        <w:rPr>
          <w:rFonts w:ascii="Arial" w:hAnsi="Arial" w:cs="Arial"/>
        </w:rPr>
        <w:t>Barker,</w:t>
      </w:r>
      <w:r>
        <w:rPr>
          <w:rFonts w:ascii="Arial" w:hAnsi="Arial" w:cs="Arial"/>
          <w:i/>
          <w:iCs/>
        </w:rPr>
        <w:t>Case</w:t>
      </w:r>
      <w:proofErr w:type="spellEnd"/>
      <w:proofErr w:type="gramEnd"/>
      <w:r>
        <w:rPr>
          <w:rFonts w:ascii="Arial" w:hAnsi="Arial" w:cs="Arial"/>
          <w:i/>
          <w:iCs/>
        </w:rPr>
        <w:t xml:space="preserve"> method </w:t>
      </w:r>
      <w:proofErr w:type="gramStart"/>
      <w:r>
        <w:rPr>
          <w:rFonts w:ascii="Arial" w:hAnsi="Arial" w:cs="Arial"/>
          <w:i/>
          <w:iCs/>
        </w:rPr>
        <w:t>fast-track</w:t>
      </w:r>
      <w:proofErr w:type="gramEnd"/>
      <w:r>
        <w:rPr>
          <w:rFonts w:ascii="Arial" w:hAnsi="Arial" w:cs="Arial"/>
          <w:i/>
          <w:iCs/>
        </w:rPr>
        <w:t>: a RAD approach, </w:t>
      </w:r>
      <w:r>
        <w:rPr>
          <w:rFonts w:ascii="Arial" w:hAnsi="Arial" w:cs="Arial"/>
        </w:rPr>
        <w:t>Addison-Wesley Longman Publishing Co., Inc., 1994.</w:t>
      </w:r>
    </w:p>
    <w:p w14:paraId="36709668" w14:textId="77777777" w:rsidR="00B8387A" w:rsidRDefault="006D329E">
      <w:r>
        <w:rPr>
          <w:rFonts w:ascii="Arial" w:hAnsi="Arial" w:cs="Arial"/>
        </w:rPr>
        <w:t>[4] J. M. Wing, "Computational thinking," </w:t>
      </w:r>
      <w:r>
        <w:rPr>
          <w:rFonts w:ascii="Arial" w:hAnsi="Arial" w:cs="Arial"/>
          <w:i/>
          <w:iCs/>
        </w:rPr>
        <w:t>Commun ACM. </w:t>
      </w:r>
      <w:r>
        <w:rPr>
          <w:rFonts w:ascii="Arial" w:hAnsi="Arial" w:cs="Arial"/>
        </w:rPr>
        <w:t>vol. 49, no. 3, pp.33–35, 2006,</w:t>
      </w:r>
    </w:p>
    <w:p w14:paraId="36709669" w14:textId="77777777" w:rsidR="00B8387A" w:rsidRDefault="006D329E">
      <w:pPr>
        <w:rPr>
          <w:rFonts w:ascii="Arial" w:hAnsi="Arial" w:cs="Arial"/>
        </w:rPr>
      </w:pPr>
      <w:r>
        <w:rPr>
          <w:rFonts w:ascii="Arial" w:hAnsi="Arial" w:cs="Arial"/>
        </w:rPr>
        <w:t xml:space="preserve">[5] T. H. </w:t>
      </w:r>
      <w:proofErr w:type="spellStart"/>
      <w:r>
        <w:rPr>
          <w:rFonts w:ascii="Arial" w:hAnsi="Arial" w:cs="Arial"/>
        </w:rPr>
        <w:t>Cormen</w:t>
      </w:r>
      <w:proofErr w:type="spellEnd"/>
      <w:r>
        <w:rPr>
          <w:rFonts w:ascii="Arial" w:hAnsi="Arial" w:cs="Arial"/>
        </w:rPr>
        <w:t>, C. E. Leiserson, R. L. Rivest and C. Stein, "Introduction to algorithms. Cambridge, MA: MIT Press," 2009,</w:t>
      </w:r>
    </w:p>
    <w:p w14:paraId="3670966A" w14:textId="77777777" w:rsidR="00B8387A" w:rsidRDefault="006D329E">
      <w:r>
        <w:rPr>
          <w:rFonts w:ascii="Arial" w:hAnsi="Arial" w:cs="Arial"/>
        </w:rPr>
        <w:t>[6] K. Brennan and M. Resnick, "New frameworks for studying and assessing the development of computational thinking", </w:t>
      </w:r>
      <w:r>
        <w:rPr>
          <w:rFonts w:ascii="Arial" w:hAnsi="Arial" w:cs="Arial"/>
          <w:i/>
          <w:iCs/>
        </w:rPr>
        <w:t>Proceedings of the 2012 annual meeting of the American educational research association, Vancouver, Canada, </w:t>
      </w:r>
      <w:r>
        <w:rPr>
          <w:rFonts w:ascii="Arial" w:hAnsi="Arial" w:cs="Arial"/>
        </w:rPr>
        <w:t>pp. 25.</w:t>
      </w:r>
    </w:p>
    <w:p w14:paraId="3670966B" w14:textId="77777777" w:rsidR="00B8387A" w:rsidRDefault="006D329E">
      <w:r>
        <w:rPr>
          <w:rFonts w:ascii="Arial" w:hAnsi="Arial" w:cs="Arial"/>
        </w:rPr>
        <w:t>[7] D. Meadows, </w:t>
      </w:r>
      <w:r>
        <w:rPr>
          <w:rFonts w:ascii="Arial" w:hAnsi="Arial" w:cs="Arial"/>
          <w:i/>
          <w:iCs/>
        </w:rPr>
        <w:t>Thinking in systems: International bestseller, </w:t>
      </w:r>
      <w:proofErr w:type="spellStart"/>
      <w:r>
        <w:rPr>
          <w:rFonts w:ascii="Arial" w:hAnsi="Arial" w:cs="Arial"/>
        </w:rPr>
        <w:t>chelsea</w:t>
      </w:r>
      <w:proofErr w:type="spellEnd"/>
      <w:r>
        <w:rPr>
          <w:rFonts w:ascii="Arial" w:hAnsi="Arial" w:cs="Arial"/>
        </w:rPr>
        <w:t xml:space="preserve"> green publishing, 2008.</w:t>
      </w:r>
    </w:p>
    <w:p w14:paraId="3670966C" w14:textId="77777777" w:rsidR="00B8387A" w:rsidRDefault="006D329E">
      <w:r>
        <w:rPr>
          <w:rFonts w:ascii="Arial" w:hAnsi="Arial" w:cs="Arial"/>
        </w:rPr>
        <w:t>[8] P. M. Senge, </w:t>
      </w:r>
      <w:r>
        <w:rPr>
          <w:rFonts w:ascii="Arial" w:hAnsi="Arial" w:cs="Arial"/>
          <w:i/>
          <w:iCs/>
        </w:rPr>
        <w:t>The fifth discipline: The art and practice of the learning organization, </w:t>
      </w:r>
      <w:r>
        <w:rPr>
          <w:rFonts w:ascii="Arial" w:hAnsi="Arial" w:cs="Arial"/>
        </w:rPr>
        <w:t>Broadway Business, 2006.</w:t>
      </w:r>
    </w:p>
    <w:p w14:paraId="3670966D" w14:textId="77777777" w:rsidR="00B8387A" w:rsidRDefault="00B8387A">
      <w:pPr>
        <w:rPr>
          <w:rFonts w:ascii="Arial" w:hAnsi="Arial" w:cs="Arial"/>
        </w:rPr>
      </w:pPr>
    </w:p>
    <w:p w14:paraId="3670966E" w14:textId="77777777" w:rsidR="00B8387A" w:rsidRDefault="00B8387A">
      <w:pPr>
        <w:rPr>
          <w:rFonts w:ascii="Arial" w:hAnsi="Arial" w:cs="Arial"/>
        </w:rPr>
      </w:pPr>
    </w:p>
    <w:sectPr w:rsidR="00B8387A">
      <w:headerReference w:type="default" r:id="rId23"/>
      <w:footerReference w:type="default" r:id="rId2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816FA" w14:textId="77777777" w:rsidR="006D329E" w:rsidRDefault="006D329E">
      <w:pPr>
        <w:spacing w:after="0" w:line="240" w:lineRule="auto"/>
      </w:pPr>
      <w:r>
        <w:separator/>
      </w:r>
    </w:p>
  </w:endnote>
  <w:endnote w:type="continuationSeparator" w:id="0">
    <w:p w14:paraId="1B482209" w14:textId="77777777" w:rsidR="006D329E" w:rsidRDefault="006D3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962A" w14:textId="77777777" w:rsidR="006D329E" w:rsidRDefault="006D329E">
    <w:pPr>
      <w:pStyle w:val="Footer"/>
      <w:jc w:val="center"/>
    </w:pPr>
    <w:r>
      <w:fldChar w:fldCharType="begin"/>
    </w:r>
    <w:r>
      <w:instrText xml:space="preserve"> PAGE </w:instrText>
    </w:r>
    <w:r>
      <w:fldChar w:fldCharType="separate"/>
    </w:r>
    <w:r>
      <w:t>2</w:t>
    </w:r>
    <w:r>
      <w:fldChar w:fldCharType="end"/>
    </w:r>
  </w:p>
  <w:p w14:paraId="3670962B" w14:textId="77777777" w:rsidR="006D329E" w:rsidRDefault="006D3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9DADC" w14:textId="77777777" w:rsidR="006D329E" w:rsidRDefault="006D329E">
      <w:pPr>
        <w:spacing w:after="0" w:line="240" w:lineRule="auto"/>
      </w:pPr>
      <w:r>
        <w:rPr>
          <w:color w:val="000000"/>
        </w:rPr>
        <w:separator/>
      </w:r>
    </w:p>
  </w:footnote>
  <w:footnote w:type="continuationSeparator" w:id="0">
    <w:p w14:paraId="6885958E" w14:textId="77777777" w:rsidR="006D329E" w:rsidRDefault="006D3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9627" w14:textId="77777777" w:rsidR="006D329E" w:rsidRDefault="006D329E">
    <w:pPr>
      <w:pStyle w:val="Header"/>
    </w:pPr>
  </w:p>
  <w:p w14:paraId="36709628" w14:textId="77777777" w:rsidR="006D329E" w:rsidRDefault="006D3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2A68"/>
    <w:multiLevelType w:val="multilevel"/>
    <w:tmpl w:val="49886C8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85E688B"/>
    <w:multiLevelType w:val="multilevel"/>
    <w:tmpl w:val="E230D4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286D1E3D"/>
    <w:multiLevelType w:val="multilevel"/>
    <w:tmpl w:val="A82E95F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2097049928">
    <w:abstractNumId w:val="0"/>
  </w:num>
  <w:num w:numId="2" w16cid:durableId="1447118260">
    <w:abstractNumId w:val="2"/>
  </w:num>
  <w:num w:numId="3" w16cid:durableId="1256014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8387A"/>
    <w:rsid w:val="00121A00"/>
    <w:rsid w:val="006D329E"/>
    <w:rsid w:val="00B50C90"/>
    <w:rsid w:val="00B8387A"/>
    <w:rsid w:val="00D10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9617"/>
  <w15:docId w15:val="{9FBA1DE4-4134-44D6-9504-E104635C9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line="256" w:lineRule="auto"/>
    </w:pPr>
    <w:rPr>
      <w:kern w:val="0"/>
      <w:sz w:val="32"/>
      <w:szCs w:val="32"/>
      <w:lang w:eastAsia="en-GB"/>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227206835" TargetMode="External"/><Relationship Id="rId13" Type="http://schemas.openxmlformats.org/officeDocument/2006/relationships/hyperlink" Target="#_Toc227206840" TargetMode="External"/><Relationship Id="rId18" Type="http://schemas.openxmlformats.org/officeDocument/2006/relationships/hyperlink" Target="#_Toc22720684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_Toc227206848" TargetMode="External"/><Relationship Id="rId7" Type="http://schemas.openxmlformats.org/officeDocument/2006/relationships/image" Target="media/image1.png"/><Relationship Id="rId12" Type="http://schemas.openxmlformats.org/officeDocument/2006/relationships/hyperlink" Target="#_Toc227206839" TargetMode="External"/><Relationship Id="rId17" Type="http://schemas.openxmlformats.org/officeDocument/2006/relationships/hyperlink" Target="#_Toc22720684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_Toc227206843" TargetMode="External"/><Relationship Id="rId20" Type="http://schemas.openxmlformats.org/officeDocument/2006/relationships/hyperlink" Target="#_Toc2272068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227206838"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_Toc227206842" TargetMode="External"/><Relationship Id="rId23" Type="http://schemas.openxmlformats.org/officeDocument/2006/relationships/header" Target="header1.xml"/><Relationship Id="rId10" Type="http://schemas.openxmlformats.org/officeDocument/2006/relationships/hyperlink" Target="#_Toc227206837" TargetMode="External"/><Relationship Id="rId19" Type="http://schemas.openxmlformats.org/officeDocument/2006/relationships/hyperlink" Target="#_Toc227206846" TargetMode="External"/><Relationship Id="rId4" Type="http://schemas.openxmlformats.org/officeDocument/2006/relationships/webSettings" Target="webSettings.xml"/><Relationship Id="rId9" Type="http://schemas.openxmlformats.org/officeDocument/2006/relationships/hyperlink" Target="#_Toc227206836" TargetMode="External"/><Relationship Id="rId14" Type="http://schemas.openxmlformats.org/officeDocument/2006/relationships/hyperlink" Target="#_Toc227206841" TargetMode="External"/><Relationship Id="rId22"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1076</Words>
  <Characters>6137</Characters>
  <Application>Microsoft Office Word</Application>
  <DocSecurity>0</DocSecurity>
  <Lines>51</Lines>
  <Paragraphs>14</Paragraphs>
  <ScaleCrop>false</ScaleCrop>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Utpol Sinha</dc:creator>
  <dc:description/>
  <cp:lastModifiedBy>Babla kumar</cp:lastModifiedBy>
  <cp:revision>2</cp:revision>
  <dcterms:created xsi:type="dcterms:W3CDTF">2026-04-20T10:32:00Z</dcterms:created>
  <dcterms:modified xsi:type="dcterms:W3CDTF">2026-04-20T10:32:00Z</dcterms:modified>
</cp:coreProperties>
</file>