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F23" w:rsidRDefault="00494F23" w:rsidP="000F73A0">
      <w:pPr>
        <w:pStyle w:val="Heading1"/>
      </w:pPr>
    </w:p>
    <w:p w:rsidR="00494F23" w:rsidRPr="00F70B0F" w:rsidRDefault="00F70B0F" w:rsidP="00494F23">
      <w:pPr>
        <w:jc w:val="center"/>
        <w:rPr>
          <w:b/>
          <w:bCs/>
          <w:iCs/>
          <w:sz w:val="56"/>
          <w:szCs w:val="56"/>
          <w:u w:val="single"/>
          <w:shd w:val="clear" w:color="auto" w:fill="FFFFFF"/>
        </w:rPr>
      </w:pPr>
      <w:r w:rsidRPr="00F70B0F">
        <w:rPr>
          <w:b/>
          <w:bCs/>
          <w:iCs/>
          <w:sz w:val="56"/>
          <w:szCs w:val="56"/>
          <w:u w:val="single"/>
          <w:shd w:val="clear" w:color="auto" w:fill="FFFFFF"/>
        </w:rPr>
        <w:t>Accounting Management</w:t>
      </w:r>
    </w:p>
    <w:p w:rsidR="00AF69AB" w:rsidRDefault="00AF69AB"/>
    <w:p w:rsidR="00494F23" w:rsidRDefault="00494F23"/>
    <w:p w:rsidR="00494F23" w:rsidRDefault="00F70B0F">
      <w:r>
        <w:t xml:space="preserve">                                      </w:t>
      </w:r>
    </w:p>
    <w:p w:rsidR="00F70B0F" w:rsidRDefault="00F70B0F">
      <w:r>
        <w:t xml:space="preserve">                                              </w:t>
      </w:r>
    </w:p>
    <w:p w:rsidR="00F70B0F" w:rsidRDefault="00F70B0F"/>
    <w:p w:rsidR="00F70B0F" w:rsidRDefault="00F70B0F"/>
    <w:p w:rsidR="00F70B0F" w:rsidRDefault="00F70B0F">
      <w:r>
        <w:t xml:space="preserve">                                                    By Liliana Hirtan</w:t>
      </w:r>
    </w:p>
    <w:p w:rsidR="00F70B0F" w:rsidRDefault="00F70B0F">
      <w:r>
        <w:t xml:space="preserve">                                                    Student No.1811830</w:t>
      </w:r>
    </w:p>
    <w:p w:rsidR="00F70B0F" w:rsidRDefault="00F70B0F"/>
    <w:p w:rsidR="00F70B0F" w:rsidRDefault="00F70B0F"/>
    <w:p w:rsidR="00F70B0F" w:rsidRDefault="00F70B0F"/>
    <w:p w:rsidR="00F70B0F" w:rsidRDefault="00F70B0F"/>
    <w:p w:rsidR="00F70B0F" w:rsidRDefault="00F70B0F"/>
    <w:p w:rsidR="00F70B0F" w:rsidRDefault="00F70B0F"/>
    <w:p w:rsidR="00F70B0F" w:rsidRDefault="00F70B0F"/>
    <w:p w:rsidR="00F70B0F" w:rsidRDefault="00F70B0F">
      <w:r>
        <w:t xml:space="preserve">                                                                                                                  Lecturer: Winifred Soribe</w:t>
      </w:r>
    </w:p>
    <w:p w:rsidR="00494F23" w:rsidRDefault="00494F23"/>
    <w:p w:rsidR="00494F23" w:rsidRDefault="00494F23"/>
    <w:p w:rsidR="00494F23" w:rsidRDefault="00494F23"/>
    <w:p w:rsidR="00494F23" w:rsidRDefault="00494F23"/>
    <w:p w:rsidR="00494F23" w:rsidRDefault="00494F23"/>
    <w:p w:rsidR="00494F23" w:rsidRDefault="00494F23"/>
    <w:p w:rsidR="00494F23" w:rsidRDefault="00494F23"/>
    <w:p w:rsidR="00494F23" w:rsidRDefault="00494F23"/>
    <w:p w:rsidR="00494F23" w:rsidRDefault="00494F23"/>
    <w:p w:rsidR="00494F23" w:rsidRDefault="00494F23"/>
    <w:p w:rsidR="00494F23" w:rsidRDefault="00494F23"/>
    <w:sdt>
      <w:sdtPr>
        <w:id w:val="1834182159"/>
        <w:docPartObj>
          <w:docPartGallery w:val="Table of Contents"/>
          <w:docPartUnique/>
        </w:docPartObj>
      </w:sdtPr>
      <w:sdtEndPr>
        <w:rPr>
          <w:rFonts w:ascii="Times New Roman" w:eastAsia="Calibri" w:hAnsi="Times New Roman" w:cs="Times New Roman"/>
          <w:b w:val="0"/>
          <w:bCs w:val="0"/>
          <w:color w:val="000000"/>
          <w:sz w:val="24"/>
          <w:szCs w:val="22"/>
          <w:lang w:val="en-GB" w:eastAsia="ar-SA"/>
        </w:rPr>
      </w:sdtEndPr>
      <w:sdtContent>
        <w:p w:rsidR="009630F2" w:rsidRDefault="009630F2">
          <w:pPr>
            <w:pStyle w:val="TOCHeading"/>
            <w:rPr>
              <w:color w:val="000000" w:themeColor="text1"/>
            </w:rPr>
          </w:pPr>
          <w:r w:rsidRPr="009630F2">
            <w:rPr>
              <w:color w:val="000000" w:themeColor="text1"/>
            </w:rPr>
            <w:t>Contents</w:t>
          </w:r>
        </w:p>
        <w:p w:rsidR="009630F2" w:rsidRPr="009630F2" w:rsidRDefault="009630F2" w:rsidP="009630F2">
          <w:pPr>
            <w:rPr>
              <w:lang w:val="en-US" w:eastAsia="en-US"/>
            </w:rPr>
          </w:pPr>
        </w:p>
        <w:p w:rsidR="009630F2" w:rsidRDefault="009630F2">
          <w:pPr>
            <w:pStyle w:val="TOC1"/>
            <w:tabs>
              <w:tab w:val="right" w:leader="dot" w:pos="9350"/>
            </w:tabs>
            <w:rPr>
              <w:rFonts w:asciiTheme="minorHAnsi" w:eastAsiaTheme="minorEastAsia" w:hAnsiTheme="minorHAnsi" w:cstheme="minorBidi"/>
              <w:noProof/>
              <w:color w:val="auto"/>
              <w:sz w:val="22"/>
              <w:lang w:val="en-US" w:eastAsia="en-US"/>
            </w:rPr>
          </w:pPr>
          <w:r>
            <w:fldChar w:fldCharType="begin"/>
          </w:r>
          <w:r>
            <w:instrText xml:space="preserve"> TOC \o "1-3" \h \z \u </w:instrText>
          </w:r>
          <w:r>
            <w:fldChar w:fldCharType="separate"/>
          </w:r>
          <w:hyperlink w:anchor="_Toc50393388" w:history="1">
            <w:r w:rsidRPr="00024B24">
              <w:rPr>
                <w:rStyle w:val="Hyperlink"/>
                <w:noProof/>
              </w:rPr>
              <w:t>INTRODUCTION</w:t>
            </w:r>
            <w:r>
              <w:rPr>
                <w:noProof/>
                <w:webHidden/>
              </w:rPr>
              <w:tab/>
            </w:r>
            <w:r>
              <w:rPr>
                <w:noProof/>
                <w:webHidden/>
              </w:rPr>
              <w:fldChar w:fldCharType="begin"/>
            </w:r>
            <w:r>
              <w:rPr>
                <w:noProof/>
                <w:webHidden/>
              </w:rPr>
              <w:instrText xml:space="preserve"> PAGEREF _Toc50393388 \h </w:instrText>
            </w:r>
            <w:r>
              <w:rPr>
                <w:noProof/>
                <w:webHidden/>
              </w:rPr>
            </w:r>
            <w:r>
              <w:rPr>
                <w:noProof/>
                <w:webHidden/>
              </w:rPr>
              <w:fldChar w:fldCharType="separate"/>
            </w:r>
            <w:r>
              <w:rPr>
                <w:noProof/>
                <w:webHidden/>
              </w:rPr>
              <w:t>2</w:t>
            </w:r>
            <w:r>
              <w:rPr>
                <w:noProof/>
                <w:webHidden/>
              </w:rPr>
              <w:fldChar w:fldCharType="end"/>
            </w:r>
          </w:hyperlink>
        </w:p>
        <w:p w:rsidR="009630F2" w:rsidRDefault="009630F2">
          <w:pPr>
            <w:pStyle w:val="TOC1"/>
            <w:tabs>
              <w:tab w:val="right" w:leader="dot" w:pos="9350"/>
            </w:tabs>
            <w:rPr>
              <w:rFonts w:asciiTheme="minorHAnsi" w:eastAsiaTheme="minorEastAsia" w:hAnsiTheme="minorHAnsi" w:cstheme="minorBidi"/>
              <w:noProof/>
              <w:color w:val="auto"/>
              <w:sz w:val="22"/>
              <w:lang w:val="en-US" w:eastAsia="en-US"/>
            </w:rPr>
          </w:pPr>
          <w:hyperlink w:anchor="_Toc50393389" w:history="1">
            <w:r w:rsidRPr="00024B24">
              <w:rPr>
                <w:rStyle w:val="Hyperlink"/>
                <w:noProof/>
              </w:rPr>
              <w:t>PART A</w:t>
            </w:r>
            <w:r>
              <w:rPr>
                <w:noProof/>
                <w:webHidden/>
              </w:rPr>
              <w:tab/>
            </w:r>
            <w:r>
              <w:rPr>
                <w:noProof/>
                <w:webHidden/>
              </w:rPr>
              <w:fldChar w:fldCharType="begin"/>
            </w:r>
            <w:r>
              <w:rPr>
                <w:noProof/>
                <w:webHidden/>
              </w:rPr>
              <w:instrText xml:space="preserve"> PAGEREF _Toc50393389 \h </w:instrText>
            </w:r>
            <w:r>
              <w:rPr>
                <w:noProof/>
                <w:webHidden/>
              </w:rPr>
            </w:r>
            <w:r>
              <w:rPr>
                <w:noProof/>
                <w:webHidden/>
              </w:rPr>
              <w:fldChar w:fldCharType="separate"/>
            </w:r>
            <w:r>
              <w:rPr>
                <w:noProof/>
                <w:webHidden/>
              </w:rPr>
              <w:t>2</w:t>
            </w:r>
            <w:r>
              <w:rPr>
                <w:noProof/>
                <w:webHidden/>
              </w:rPr>
              <w:fldChar w:fldCharType="end"/>
            </w:r>
          </w:hyperlink>
        </w:p>
        <w:p w:rsidR="009630F2" w:rsidRDefault="009630F2">
          <w:pPr>
            <w:pStyle w:val="TOC2"/>
            <w:tabs>
              <w:tab w:val="right" w:leader="dot" w:pos="9350"/>
            </w:tabs>
            <w:rPr>
              <w:rFonts w:asciiTheme="minorHAnsi" w:eastAsiaTheme="minorEastAsia" w:hAnsiTheme="minorHAnsi" w:cstheme="minorBidi"/>
              <w:noProof/>
              <w:color w:val="auto"/>
              <w:sz w:val="22"/>
              <w:lang w:val="en-US" w:eastAsia="en-US"/>
            </w:rPr>
          </w:pPr>
          <w:hyperlink w:anchor="_Toc50393390" w:history="1">
            <w:r w:rsidRPr="00024B24">
              <w:rPr>
                <w:rStyle w:val="Hyperlink"/>
                <w:noProof/>
              </w:rPr>
              <w:t>1. Calculation of price and sales volume contribution variance:</w:t>
            </w:r>
            <w:r>
              <w:rPr>
                <w:noProof/>
                <w:webHidden/>
              </w:rPr>
              <w:tab/>
            </w:r>
            <w:r>
              <w:rPr>
                <w:noProof/>
                <w:webHidden/>
              </w:rPr>
              <w:fldChar w:fldCharType="begin"/>
            </w:r>
            <w:r>
              <w:rPr>
                <w:noProof/>
                <w:webHidden/>
              </w:rPr>
              <w:instrText xml:space="preserve"> PAGEREF _Toc50393390 \h </w:instrText>
            </w:r>
            <w:r>
              <w:rPr>
                <w:noProof/>
                <w:webHidden/>
              </w:rPr>
            </w:r>
            <w:r>
              <w:rPr>
                <w:noProof/>
                <w:webHidden/>
              </w:rPr>
              <w:fldChar w:fldCharType="separate"/>
            </w:r>
            <w:r>
              <w:rPr>
                <w:noProof/>
                <w:webHidden/>
              </w:rPr>
              <w:t>2</w:t>
            </w:r>
            <w:r>
              <w:rPr>
                <w:noProof/>
                <w:webHidden/>
              </w:rPr>
              <w:fldChar w:fldCharType="end"/>
            </w:r>
          </w:hyperlink>
        </w:p>
        <w:p w:rsidR="009630F2" w:rsidRDefault="009630F2">
          <w:pPr>
            <w:pStyle w:val="TOC3"/>
            <w:tabs>
              <w:tab w:val="right" w:leader="dot" w:pos="9350"/>
            </w:tabs>
            <w:rPr>
              <w:rFonts w:asciiTheme="minorHAnsi" w:eastAsiaTheme="minorEastAsia" w:hAnsiTheme="minorHAnsi" w:cstheme="minorBidi"/>
              <w:noProof/>
              <w:color w:val="auto"/>
              <w:sz w:val="22"/>
              <w:lang w:val="en-US" w:eastAsia="en-US"/>
            </w:rPr>
          </w:pPr>
          <w:hyperlink w:anchor="_Toc50393391" w:history="1">
            <w:r w:rsidRPr="00024B24">
              <w:rPr>
                <w:rStyle w:val="Hyperlink"/>
                <w:noProof/>
                <w:shd w:val="clear" w:color="auto" w:fill="FFFFFF"/>
              </w:rPr>
              <w:t>Sales price variance:</w:t>
            </w:r>
            <w:r>
              <w:rPr>
                <w:noProof/>
                <w:webHidden/>
              </w:rPr>
              <w:tab/>
            </w:r>
            <w:r>
              <w:rPr>
                <w:noProof/>
                <w:webHidden/>
              </w:rPr>
              <w:fldChar w:fldCharType="begin"/>
            </w:r>
            <w:r>
              <w:rPr>
                <w:noProof/>
                <w:webHidden/>
              </w:rPr>
              <w:instrText xml:space="preserve"> PAGEREF _Toc50393391 \h </w:instrText>
            </w:r>
            <w:r>
              <w:rPr>
                <w:noProof/>
                <w:webHidden/>
              </w:rPr>
            </w:r>
            <w:r>
              <w:rPr>
                <w:noProof/>
                <w:webHidden/>
              </w:rPr>
              <w:fldChar w:fldCharType="separate"/>
            </w:r>
            <w:r>
              <w:rPr>
                <w:noProof/>
                <w:webHidden/>
              </w:rPr>
              <w:t>3</w:t>
            </w:r>
            <w:r>
              <w:rPr>
                <w:noProof/>
                <w:webHidden/>
              </w:rPr>
              <w:fldChar w:fldCharType="end"/>
            </w:r>
          </w:hyperlink>
        </w:p>
        <w:p w:rsidR="009630F2" w:rsidRDefault="009630F2">
          <w:pPr>
            <w:pStyle w:val="TOC3"/>
            <w:tabs>
              <w:tab w:val="right" w:leader="dot" w:pos="9350"/>
            </w:tabs>
            <w:rPr>
              <w:rFonts w:asciiTheme="minorHAnsi" w:eastAsiaTheme="minorEastAsia" w:hAnsiTheme="minorHAnsi" w:cstheme="minorBidi"/>
              <w:noProof/>
              <w:color w:val="auto"/>
              <w:sz w:val="22"/>
              <w:lang w:val="en-US" w:eastAsia="en-US"/>
            </w:rPr>
          </w:pPr>
          <w:hyperlink w:anchor="_Toc50393392" w:history="1">
            <w:r w:rsidRPr="00024B24">
              <w:rPr>
                <w:rStyle w:val="Hyperlink"/>
                <w:noProof/>
                <w:shd w:val="clear" w:color="auto" w:fill="FFFFFF"/>
              </w:rPr>
              <w:t>Sales volume contribution variance:</w:t>
            </w:r>
            <w:r>
              <w:rPr>
                <w:noProof/>
                <w:webHidden/>
              </w:rPr>
              <w:tab/>
            </w:r>
            <w:r>
              <w:rPr>
                <w:noProof/>
                <w:webHidden/>
              </w:rPr>
              <w:fldChar w:fldCharType="begin"/>
            </w:r>
            <w:r>
              <w:rPr>
                <w:noProof/>
                <w:webHidden/>
              </w:rPr>
              <w:instrText xml:space="preserve"> PAGEREF _Toc50393392 \h </w:instrText>
            </w:r>
            <w:r>
              <w:rPr>
                <w:noProof/>
                <w:webHidden/>
              </w:rPr>
            </w:r>
            <w:r>
              <w:rPr>
                <w:noProof/>
                <w:webHidden/>
              </w:rPr>
              <w:fldChar w:fldCharType="separate"/>
            </w:r>
            <w:r>
              <w:rPr>
                <w:noProof/>
                <w:webHidden/>
              </w:rPr>
              <w:t>3</w:t>
            </w:r>
            <w:r>
              <w:rPr>
                <w:noProof/>
                <w:webHidden/>
              </w:rPr>
              <w:fldChar w:fldCharType="end"/>
            </w:r>
          </w:hyperlink>
        </w:p>
        <w:p w:rsidR="009630F2" w:rsidRDefault="009630F2">
          <w:pPr>
            <w:pStyle w:val="TOC2"/>
            <w:tabs>
              <w:tab w:val="right" w:leader="dot" w:pos="9350"/>
            </w:tabs>
            <w:rPr>
              <w:rFonts w:asciiTheme="minorHAnsi" w:eastAsiaTheme="minorEastAsia" w:hAnsiTheme="minorHAnsi" w:cstheme="minorBidi"/>
              <w:noProof/>
              <w:color w:val="auto"/>
              <w:sz w:val="22"/>
              <w:lang w:val="en-US" w:eastAsia="en-US"/>
            </w:rPr>
          </w:pPr>
          <w:hyperlink w:anchor="_Toc50393393" w:history="1">
            <w:r w:rsidRPr="00024B24">
              <w:rPr>
                <w:rStyle w:val="Hyperlink"/>
                <w:noProof/>
              </w:rPr>
              <w:t>2. The calculation of material price planning variance and material price operational variance</w:t>
            </w:r>
            <w:r>
              <w:rPr>
                <w:noProof/>
                <w:webHidden/>
              </w:rPr>
              <w:tab/>
            </w:r>
            <w:r>
              <w:rPr>
                <w:noProof/>
                <w:webHidden/>
              </w:rPr>
              <w:fldChar w:fldCharType="begin"/>
            </w:r>
            <w:r>
              <w:rPr>
                <w:noProof/>
                <w:webHidden/>
              </w:rPr>
              <w:instrText xml:space="preserve"> PAGEREF _Toc50393393 \h </w:instrText>
            </w:r>
            <w:r>
              <w:rPr>
                <w:noProof/>
                <w:webHidden/>
              </w:rPr>
            </w:r>
            <w:r>
              <w:rPr>
                <w:noProof/>
                <w:webHidden/>
              </w:rPr>
              <w:fldChar w:fldCharType="separate"/>
            </w:r>
            <w:r>
              <w:rPr>
                <w:noProof/>
                <w:webHidden/>
              </w:rPr>
              <w:t>4</w:t>
            </w:r>
            <w:r>
              <w:rPr>
                <w:noProof/>
                <w:webHidden/>
              </w:rPr>
              <w:fldChar w:fldCharType="end"/>
            </w:r>
          </w:hyperlink>
        </w:p>
        <w:p w:rsidR="009630F2" w:rsidRDefault="009630F2">
          <w:pPr>
            <w:pStyle w:val="TOC2"/>
            <w:tabs>
              <w:tab w:val="right" w:leader="dot" w:pos="9350"/>
            </w:tabs>
            <w:rPr>
              <w:rFonts w:asciiTheme="minorHAnsi" w:eastAsiaTheme="minorEastAsia" w:hAnsiTheme="minorHAnsi" w:cstheme="minorBidi"/>
              <w:noProof/>
              <w:color w:val="auto"/>
              <w:sz w:val="22"/>
              <w:lang w:val="en-US" w:eastAsia="en-US"/>
            </w:rPr>
          </w:pPr>
          <w:hyperlink w:anchor="_Toc50393394" w:history="1">
            <w:r w:rsidRPr="00024B24">
              <w:rPr>
                <w:rStyle w:val="Hyperlink"/>
                <w:noProof/>
              </w:rPr>
              <w:t>3. Changes in operational, critical analysis of merits and demerits of using variances in assessing managers performance:</w:t>
            </w:r>
            <w:r>
              <w:rPr>
                <w:noProof/>
                <w:webHidden/>
              </w:rPr>
              <w:tab/>
            </w:r>
            <w:r>
              <w:rPr>
                <w:noProof/>
                <w:webHidden/>
              </w:rPr>
              <w:fldChar w:fldCharType="begin"/>
            </w:r>
            <w:r>
              <w:rPr>
                <w:noProof/>
                <w:webHidden/>
              </w:rPr>
              <w:instrText xml:space="preserve"> PAGEREF _Toc50393394 \h </w:instrText>
            </w:r>
            <w:r>
              <w:rPr>
                <w:noProof/>
                <w:webHidden/>
              </w:rPr>
            </w:r>
            <w:r>
              <w:rPr>
                <w:noProof/>
                <w:webHidden/>
              </w:rPr>
              <w:fldChar w:fldCharType="separate"/>
            </w:r>
            <w:r>
              <w:rPr>
                <w:noProof/>
                <w:webHidden/>
              </w:rPr>
              <w:t>6</w:t>
            </w:r>
            <w:r>
              <w:rPr>
                <w:noProof/>
                <w:webHidden/>
              </w:rPr>
              <w:fldChar w:fldCharType="end"/>
            </w:r>
          </w:hyperlink>
        </w:p>
        <w:p w:rsidR="009630F2" w:rsidRDefault="009630F2">
          <w:pPr>
            <w:pStyle w:val="TOC3"/>
            <w:tabs>
              <w:tab w:val="right" w:leader="dot" w:pos="9350"/>
            </w:tabs>
            <w:rPr>
              <w:rFonts w:asciiTheme="minorHAnsi" w:eastAsiaTheme="minorEastAsia" w:hAnsiTheme="minorHAnsi" w:cstheme="minorBidi"/>
              <w:noProof/>
              <w:color w:val="auto"/>
              <w:sz w:val="22"/>
              <w:lang w:val="en-US" w:eastAsia="en-US"/>
            </w:rPr>
          </w:pPr>
          <w:hyperlink w:anchor="_Toc50393395" w:history="1">
            <w:r w:rsidRPr="00024B24">
              <w:rPr>
                <w:rStyle w:val="Hyperlink"/>
                <w:noProof/>
              </w:rPr>
              <w:t>Merits of using variances: When variances will be used by entities for evaluating managers performance and other purposes then it may result in various merits. All of them are as follows:</w:t>
            </w:r>
            <w:r>
              <w:rPr>
                <w:noProof/>
                <w:webHidden/>
              </w:rPr>
              <w:tab/>
            </w:r>
            <w:r>
              <w:rPr>
                <w:noProof/>
                <w:webHidden/>
              </w:rPr>
              <w:fldChar w:fldCharType="begin"/>
            </w:r>
            <w:r>
              <w:rPr>
                <w:noProof/>
                <w:webHidden/>
              </w:rPr>
              <w:instrText xml:space="preserve"> PAGEREF _Toc50393395 \h </w:instrText>
            </w:r>
            <w:r>
              <w:rPr>
                <w:noProof/>
                <w:webHidden/>
              </w:rPr>
            </w:r>
            <w:r>
              <w:rPr>
                <w:noProof/>
                <w:webHidden/>
              </w:rPr>
              <w:fldChar w:fldCharType="separate"/>
            </w:r>
            <w:r>
              <w:rPr>
                <w:noProof/>
                <w:webHidden/>
              </w:rPr>
              <w:t>6</w:t>
            </w:r>
            <w:r>
              <w:rPr>
                <w:noProof/>
                <w:webHidden/>
              </w:rPr>
              <w:fldChar w:fldCharType="end"/>
            </w:r>
          </w:hyperlink>
        </w:p>
        <w:p w:rsidR="009630F2" w:rsidRDefault="009630F2">
          <w:pPr>
            <w:pStyle w:val="TOC3"/>
            <w:tabs>
              <w:tab w:val="right" w:leader="dot" w:pos="9350"/>
            </w:tabs>
            <w:rPr>
              <w:rFonts w:asciiTheme="minorHAnsi" w:eastAsiaTheme="minorEastAsia" w:hAnsiTheme="minorHAnsi" w:cstheme="minorBidi"/>
              <w:noProof/>
              <w:color w:val="auto"/>
              <w:sz w:val="22"/>
              <w:lang w:val="en-US" w:eastAsia="en-US"/>
            </w:rPr>
          </w:pPr>
          <w:hyperlink w:anchor="_Toc50393396" w:history="1">
            <w:r w:rsidRPr="00024B24">
              <w:rPr>
                <w:rStyle w:val="Hyperlink"/>
                <w:noProof/>
              </w:rPr>
              <w:t>Demerits of using variances: There are various types of disadvantages of variances for XLG company. All of them could be analysed with the help of following discussion:</w:t>
            </w:r>
            <w:r>
              <w:rPr>
                <w:noProof/>
                <w:webHidden/>
              </w:rPr>
              <w:tab/>
            </w:r>
            <w:r>
              <w:rPr>
                <w:noProof/>
                <w:webHidden/>
              </w:rPr>
              <w:fldChar w:fldCharType="begin"/>
            </w:r>
            <w:r>
              <w:rPr>
                <w:noProof/>
                <w:webHidden/>
              </w:rPr>
              <w:instrText xml:space="preserve"> PAGEREF _Toc50393396 \h </w:instrText>
            </w:r>
            <w:r>
              <w:rPr>
                <w:noProof/>
                <w:webHidden/>
              </w:rPr>
            </w:r>
            <w:r>
              <w:rPr>
                <w:noProof/>
                <w:webHidden/>
              </w:rPr>
              <w:fldChar w:fldCharType="separate"/>
            </w:r>
            <w:r>
              <w:rPr>
                <w:noProof/>
                <w:webHidden/>
              </w:rPr>
              <w:t>7</w:t>
            </w:r>
            <w:r>
              <w:rPr>
                <w:noProof/>
                <w:webHidden/>
              </w:rPr>
              <w:fldChar w:fldCharType="end"/>
            </w:r>
          </w:hyperlink>
        </w:p>
        <w:p w:rsidR="009630F2" w:rsidRDefault="009630F2">
          <w:pPr>
            <w:pStyle w:val="TOC1"/>
            <w:tabs>
              <w:tab w:val="right" w:leader="dot" w:pos="9350"/>
            </w:tabs>
            <w:rPr>
              <w:rFonts w:asciiTheme="minorHAnsi" w:eastAsiaTheme="minorEastAsia" w:hAnsiTheme="minorHAnsi" w:cstheme="minorBidi"/>
              <w:noProof/>
              <w:color w:val="auto"/>
              <w:sz w:val="22"/>
              <w:lang w:val="en-US" w:eastAsia="en-US"/>
            </w:rPr>
          </w:pPr>
          <w:hyperlink w:anchor="_Toc50393397" w:history="1">
            <w:r w:rsidRPr="00024B24">
              <w:rPr>
                <w:rStyle w:val="Hyperlink"/>
                <w:noProof/>
              </w:rPr>
              <w:t>PART B</w:t>
            </w:r>
            <w:r>
              <w:rPr>
                <w:noProof/>
                <w:webHidden/>
              </w:rPr>
              <w:tab/>
            </w:r>
            <w:r>
              <w:rPr>
                <w:noProof/>
                <w:webHidden/>
              </w:rPr>
              <w:fldChar w:fldCharType="begin"/>
            </w:r>
            <w:r>
              <w:rPr>
                <w:noProof/>
                <w:webHidden/>
              </w:rPr>
              <w:instrText xml:space="preserve"> PAGEREF _Toc50393397 \h </w:instrText>
            </w:r>
            <w:r>
              <w:rPr>
                <w:noProof/>
                <w:webHidden/>
              </w:rPr>
            </w:r>
            <w:r>
              <w:rPr>
                <w:noProof/>
                <w:webHidden/>
              </w:rPr>
              <w:fldChar w:fldCharType="separate"/>
            </w:r>
            <w:r>
              <w:rPr>
                <w:noProof/>
                <w:webHidden/>
              </w:rPr>
              <w:t>8</w:t>
            </w:r>
            <w:r>
              <w:rPr>
                <w:noProof/>
                <w:webHidden/>
              </w:rPr>
              <w:fldChar w:fldCharType="end"/>
            </w:r>
          </w:hyperlink>
        </w:p>
        <w:p w:rsidR="009630F2" w:rsidRDefault="009630F2">
          <w:pPr>
            <w:pStyle w:val="TOC2"/>
            <w:tabs>
              <w:tab w:val="right" w:leader="dot" w:pos="9350"/>
            </w:tabs>
            <w:rPr>
              <w:rFonts w:asciiTheme="minorHAnsi" w:eastAsiaTheme="minorEastAsia" w:hAnsiTheme="minorHAnsi" w:cstheme="minorBidi"/>
              <w:noProof/>
              <w:color w:val="auto"/>
              <w:sz w:val="22"/>
              <w:lang w:val="en-US" w:eastAsia="en-US"/>
            </w:rPr>
          </w:pPr>
          <w:hyperlink w:anchor="_Toc50393398" w:history="1">
            <w:r w:rsidRPr="00024B24">
              <w:rPr>
                <w:rStyle w:val="Hyperlink"/>
                <w:noProof/>
              </w:rPr>
              <w:t>Report assessing the decision to make famaQ in house in the UK to keep importing it from Brazil</w:t>
            </w:r>
            <w:r>
              <w:rPr>
                <w:noProof/>
                <w:webHidden/>
              </w:rPr>
              <w:tab/>
            </w:r>
            <w:r>
              <w:rPr>
                <w:noProof/>
                <w:webHidden/>
              </w:rPr>
              <w:fldChar w:fldCharType="begin"/>
            </w:r>
            <w:r>
              <w:rPr>
                <w:noProof/>
                <w:webHidden/>
              </w:rPr>
              <w:instrText xml:space="preserve"> PAGEREF _Toc50393398 \h </w:instrText>
            </w:r>
            <w:r>
              <w:rPr>
                <w:noProof/>
                <w:webHidden/>
              </w:rPr>
            </w:r>
            <w:r>
              <w:rPr>
                <w:noProof/>
                <w:webHidden/>
              </w:rPr>
              <w:fldChar w:fldCharType="separate"/>
            </w:r>
            <w:r>
              <w:rPr>
                <w:noProof/>
                <w:webHidden/>
              </w:rPr>
              <w:t>8</w:t>
            </w:r>
            <w:r>
              <w:rPr>
                <w:noProof/>
                <w:webHidden/>
              </w:rPr>
              <w:fldChar w:fldCharType="end"/>
            </w:r>
          </w:hyperlink>
        </w:p>
        <w:p w:rsidR="009630F2" w:rsidRDefault="009630F2">
          <w:pPr>
            <w:pStyle w:val="TOC1"/>
            <w:tabs>
              <w:tab w:val="right" w:leader="dot" w:pos="9350"/>
            </w:tabs>
            <w:rPr>
              <w:rFonts w:asciiTheme="minorHAnsi" w:eastAsiaTheme="minorEastAsia" w:hAnsiTheme="minorHAnsi" w:cstheme="minorBidi"/>
              <w:noProof/>
              <w:color w:val="auto"/>
              <w:sz w:val="22"/>
              <w:lang w:val="en-US" w:eastAsia="en-US"/>
            </w:rPr>
          </w:pPr>
          <w:hyperlink w:anchor="_Toc50393399" w:history="1">
            <w:r w:rsidRPr="00024B24">
              <w:rPr>
                <w:rStyle w:val="Hyperlink"/>
                <w:noProof/>
              </w:rPr>
              <w:t>CONCLUSION</w:t>
            </w:r>
            <w:r>
              <w:rPr>
                <w:noProof/>
                <w:webHidden/>
              </w:rPr>
              <w:tab/>
            </w:r>
            <w:r>
              <w:rPr>
                <w:noProof/>
                <w:webHidden/>
              </w:rPr>
              <w:fldChar w:fldCharType="begin"/>
            </w:r>
            <w:r>
              <w:rPr>
                <w:noProof/>
                <w:webHidden/>
              </w:rPr>
              <w:instrText xml:space="preserve"> PAGEREF _Toc50393399 \h </w:instrText>
            </w:r>
            <w:r>
              <w:rPr>
                <w:noProof/>
                <w:webHidden/>
              </w:rPr>
            </w:r>
            <w:r>
              <w:rPr>
                <w:noProof/>
                <w:webHidden/>
              </w:rPr>
              <w:fldChar w:fldCharType="separate"/>
            </w:r>
            <w:r>
              <w:rPr>
                <w:noProof/>
                <w:webHidden/>
              </w:rPr>
              <w:t>10</w:t>
            </w:r>
            <w:r>
              <w:rPr>
                <w:noProof/>
                <w:webHidden/>
              </w:rPr>
              <w:fldChar w:fldCharType="end"/>
            </w:r>
          </w:hyperlink>
        </w:p>
        <w:p w:rsidR="009630F2" w:rsidRDefault="009630F2">
          <w:pPr>
            <w:pStyle w:val="TOC1"/>
            <w:tabs>
              <w:tab w:val="right" w:leader="dot" w:pos="9350"/>
            </w:tabs>
            <w:rPr>
              <w:rFonts w:asciiTheme="minorHAnsi" w:eastAsiaTheme="minorEastAsia" w:hAnsiTheme="minorHAnsi" w:cstheme="minorBidi"/>
              <w:noProof/>
              <w:color w:val="auto"/>
              <w:sz w:val="22"/>
              <w:lang w:val="en-US" w:eastAsia="en-US"/>
            </w:rPr>
          </w:pPr>
          <w:hyperlink w:anchor="_Toc50393400" w:history="1">
            <w:r w:rsidRPr="00024B24">
              <w:rPr>
                <w:rStyle w:val="Hyperlink"/>
                <w:noProof/>
              </w:rPr>
              <w:t>REFERENCES</w:t>
            </w:r>
            <w:r>
              <w:rPr>
                <w:noProof/>
                <w:webHidden/>
              </w:rPr>
              <w:tab/>
            </w:r>
            <w:r>
              <w:rPr>
                <w:noProof/>
                <w:webHidden/>
              </w:rPr>
              <w:fldChar w:fldCharType="begin"/>
            </w:r>
            <w:r>
              <w:rPr>
                <w:noProof/>
                <w:webHidden/>
              </w:rPr>
              <w:instrText xml:space="preserve"> PAGEREF _Toc50393400 \h </w:instrText>
            </w:r>
            <w:r>
              <w:rPr>
                <w:noProof/>
                <w:webHidden/>
              </w:rPr>
            </w:r>
            <w:r>
              <w:rPr>
                <w:noProof/>
                <w:webHidden/>
              </w:rPr>
              <w:fldChar w:fldCharType="separate"/>
            </w:r>
            <w:r>
              <w:rPr>
                <w:noProof/>
                <w:webHidden/>
              </w:rPr>
              <w:t>10</w:t>
            </w:r>
            <w:r>
              <w:rPr>
                <w:noProof/>
                <w:webHidden/>
              </w:rPr>
              <w:fldChar w:fldCharType="end"/>
            </w:r>
          </w:hyperlink>
        </w:p>
        <w:p w:rsidR="009630F2" w:rsidRDefault="009630F2">
          <w:r>
            <w:fldChar w:fldCharType="end"/>
          </w:r>
        </w:p>
      </w:sdtContent>
    </w:sdt>
    <w:p w:rsidR="00F43519" w:rsidRPr="00F43519" w:rsidRDefault="00F43519" w:rsidP="00F43519">
      <w:pPr>
        <w:rPr>
          <w:szCs w:val="24"/>
        </w:rPr>
      </w:pPr>
    </w:p>
    <w:p w:rsidR="00494F23" w:rsidRPr="00F43519" w:rsidRDefault="00494F23">
      <w:pPr>
        <w:rPr>
          <w:szCs w:val="24"/>
        </w:rPr>
      </w:pPr>
    </w:p>
    <w:p w:rsidR="00494F23" w:rsidRDefault="00494F23"/>
    <w:p w:rsidR="00894DD0" w:rsidRDefault="00894DD0"/>
    <w:p w:rsidR="00494F23" w:rsidRDefault="00494F23"/>
    <w:p w:rsidR="00494F23" w:rsidRDefault="00494F23"/>
    <w:p w:rsidR="00494F23" w:rsidRDefault="00494F23"/>
    <w:p w:rsidR="009630F2" w:rsidRDefault="009630F2"/>
    <w:p w:rsidR="00494F23" w:rsidRDefault="00494F23"/>
    <w:p w:rsidR="00494F23" w:rsidRDefault="00494F23" w:rsidP="00595E32">
      <w:pPr>
        <w:pStyle w:val="Heading1"/>
        <w:ind w:left="0" w:firstLine="0"/>
      </w:pPr>
      <w:bookmarkStart w:id="0" w:name="_Toc47447116"/>
      <w:bookmarkStart w:id="1" w:name="_Toc49246160"/>
      <w:bookmarkStart w:id="2" w:name="_Toc50393388"/>
      <w:r>
        <w:lastRenderedPageBreak/>
        <w:t>INTRODUCTION</w:t>
      </w:r>
      <w:bookmarkEnd w:id="0"/>
      <w:bookmarkEnd w:id="1"/>
      <w:bookmarkEnd w:id="2"/>
    </w:p>
    <w:p w:rsidR="00A30677" w:rsidRPr="00A30677" w:rsidRDefault="00A30677" w:rsidP="00A30677"/>
    <w:p w:rsidR="00494F23" w:rsidRPr="000328CF" w:rsidRDefault="00494F23" w:rsidP="00494F23">
      <w:pPr>
        <w:ind w:firstLine="720"/>
      </w:pPr>
      <w:r>
        <w:t xml:space="preserve">Management accounting is an approach which is used by most of the entities for the purpose of tracking business performance and formulating future decisions. With the help of it, the managers will be able to decide that whether they have to make changes in organisational policies or not. There are various internal stakeholders such as employees, manager, board members, shareholders etc. who use management reports so that they can determine that the entity is performing properly or not </w:t>
      </w:r>
      <w:r>
        <w:rPr>
          <w:color w:val="222222"/>
          <w:shd w:val="clear" w:color="auto" w:fill="FFFFFF"/>
        </w:rPr>
        <w:t>(</w:t>
      </w:r>
      <w:r w:rsidRPr="00CD2037">
        <w:rPr>
          <w:color w:val="222222"/>
          <w:shd w:val="clear" w:color="auto" w:fill="FFFFFF"/>
        </w:rPr>
        <w:t>Adler, 2018</w:t>
      </w:r>
      <w:r>
        <w:rPr>
          <w:color w:val="222222"/>
          <w:shd w:val="clear" w:color="auto" w:fill="FFFFFF"/>
        </w:rPr>
        <w:t>)</w:t>
      </w:r>
      <w:r>
        <w:t>. This report is based upon XLG company which is a cleaning product entity and it is located in eastern part of Britain. There are two different cleaning agents that are produced by the organisation These are two different chemical which are X and Y. The competition in the industry for the enterprise is very high. Due to lockdown because of corona virus the entity planned to move all its sales online. For this purpose, different aspects will be analysed. These are calculation of variances such as sales price and volume, material price planning and operational variance and analysis of merits and demerits of using them in assessing the managers performance. Apart from this, a brief report that assesses the decision to make famaQ in house in the UK or keep importing it from Brazil is also prepared in this report.</w:t>
      </w:r>
    </w:p>
    <w:p w:rsidR="004B6C19" w:rsidRDefault="004B6C19" w:rsidP="00F70B0F">
      <w:pPr>
        <w:pStyle w:val="Heading1"/>
      </w:pPr>
      <w:bookmarkStart w:id="3" w:name="_Toc47447117"/>
      <w:bookmarkStart w:id="4" w:name="_Toc49246161"/>
      <w:bookmarkStart w:id="5" w:name="_Toc50393389"/>
      <w:r>
        <w:t>PART A</w:t>
      </w:r>
      <w:bookmarkEnd w:id="3"/>
      <w:bookmarkEnd w:id="4"/>
      <w:bookmarkEnd w:id="5"/>
    </w:p>
    <w:p w:rsidR="004B6C19" w:rsidRPr="00A30677" w:rsidRDefault="004B6C19" w:rsidP="00F70B0F">
      <w:pPr>
        <w:pStyle w:val="Heading2"/>
        <w:rPr>
          <w:rFonts w:ascii="Times New Roman" w:hAnsi="Times New Roman" w:cs="Times New Roman"/>
          <w:color w:val="000000" w:themeColor="text1"/>
          <w:sz w:val="28"/>
          <w:szCs w:val="28"/>
        </w:rPr>
      </w:pPr>
      <w:bookmarkStart w:id="6" w:name="_Toc47447118"/>
      <w:bookmarkStart w:id="7" w:name="_Toc49246162"/>
      <w:bookmarkStart w:id="8" w:name="_Toc50393390"/>
      <w:r w:rsidRPr="00A30677">
        <w:rPr>
          <w:rFonts w:ascii="Times New Roman" w:hAnsi="Times New Roman" w:cs="Times New Roman"/>
          <w:color w:val="000000" w:themeColor="text1"/>
          <w:sz w:val="28"/>
          <w:szCs w:val="28"/>
        </w:rPr>
        <w:t>1. Calculation of price and sales volume contribution variance</w:t>
      </w:r>
      <w:bookmarkEnd w:id="6"/>
      <w:bookmarkEnd w:id="7"/>
      <w:r w:rsidR="00A30677">
        <w:rPr>
          <w:rFonts w:ascii="Times New Roman" w:hAnsi="Times New Roman" w:cs="Times New Roman"/>
          <w:color w:val="000000" w:themeColor="text1"/>
          <w:sz w:val="28"/>
          <w:szCs w:val="28"/>
        </w:rPr>
        <w:t>:</w:t>
      </w:r>
      <w:bookmarkEnd w:id="8"/>
    </w:p>
    <w:p w:rsidR="000F73A0" w:rsidRPr="00A30677" w:rsidRDefault="000F73A0" w:rsidP="000F73A0">
      <w:pPr>
        <w:rPr>
          <w:sz w:val="28"/>
          <w:szCs w:val="28"/>
        </w:rPr>
      </w:pPr>
    </w:p>
    <w:tbl>
      <w:tblPr>
        <w:tblW w:w="0" w:type="auto"/>
        <w:tblInd w:w="55" w:type="dxa"/>
        <w:tblLayout w:type="fixed"/>
        <w:tblCellMar>
          <w:top w:w="55" w:type="dxa"/>
          <w:left w:w="55" w:type="dxa"/>
          <w:bottom w:w="55" w:type="dxa"/>
          <w:right w:w="55" w:type="dxa"/>
        </w:tblCellMar>
        <w:tblLook w:val="0000"/>
      </w:tblPr>
      <w:tblGrid>
        <w:gridCol w:w="4713"/>
        <w:gridCol w:w="2323"/>
        <w:gridCol w:w="2326"/>
      </w:tblGrid>
      <w:tr w:rsidR="004B6C19" w:rsidTr="00617B01">
        <w:trPr>
          <w:trHeight w:val="242"/>
        </w:trPr>
        <w:tc>
          <w:tcPr>
            <w:tcW w:w="9362"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left"/>
            </w:pPr>
            <w:r>
              <w:rPr>
                <w:b/>
                <w:bCs/>
                <w:shd w:val="clear" w:color="auto" w:fill="FFFFFF"/>
              </w:rPr>
              <w:t>Given Information:</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Total units sold:</w:t>
            </w:r>
          </w:p>
        </w:tc>
        <w:tc>
          <w:tcPr>
            <w:tcW w:w="4649" w:type="dxa"/>
            <w:gridSpan w:val="2"/>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1600</w:t>
            </w:r>
          </w:p>
        </w:tc>
      </w:tr>
      <w:tr w:rsidR="004B6C19" w:rsidTr="00617B01">
        <w:trPr>
          <w:trHeight w:val="253"/>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Material price variance: </w:t>
            </w:r>
          </w:p>
        </w:tc>
        <w:tc>
          <w:tcPr>
            <w:tcW w:w="4649" w:type="dxa"/>
            <w:gridSpan w:val="2"/>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£ 27000 Favourable</w:t>
            </w:r>
          </w:p>
        </w:tc>
      </w:tr>
      <w:tr w:rsidR="004B6C19" w:rsidTr="00617B01">
        <w:trPr>
          <w:trHeight w:val="505"/>
        </w:trPr>
        <w:tc>
          <w:tcPr>
            <w:tcW w:w="9362" w:type="dxa"/>
            <w:gridSpan w:val="3"/>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left"/>
            </w:pPr>
            <w:r>
              <w:rPr>
                <w:shd w:val="clear" w:color="auto" w:fill="FFFFFF"/>
              </w:rPr>
              <w:t>Sales and Contribution:</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left"/>
              <w:rPr>
                <w:b/>
                <w:bCs/>
                <w:shd w:val="clear" w:color="auto" w:fill="FFFFFF"/>
              </w:rPr>
            </w:pP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b/>
                <w:bCs/>
                <w:shd w:val="clear" w:color="auto" w:fill="FFFFFF"/>
              </w:rPr>
            </w:pPr>
            <w:r>
              <w:rPr>
                <w:b/>
                <w:bCs/>
                <w:shd w:val="clear" w:color="auto" w:fill="FFFFFF"/>
              </w:rPr>
              <w:t>Chemical X</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b/>
                <w:bCs/>
                <w:shd w:val="clear" w:color="auto" w:fill="FFFFFF"/>
              </w:rPr>
              <w:t>Chemical Y</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Budgeted total sales </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595 units</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595 units</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Actual Sales Volume</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850 units</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750 units</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lastRenderedPageBreak/>
              <w:t>Standard sales price</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£ 35</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£ 30</w:t>
            </w:r>
          </w:p>
        </w:tc>
      </w:tr>
      <w:tr w:rsidR="004B6C19" w:rsidTr="00617B01">
        <w:trPr>
          <w:trHeight w:val="477"/>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Actual sales price</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£ 45</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£ 37</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left"/>
              <w:rPr>
                <w:shd w:val="clear" w:color="auto" w:fill="FFFFFF"/>
              </w:rPr>
            </w:pP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r>
      <w:tr w:rsidR="004B6C19" w:rsidTr="00617B01">
        <w:trPr>
          <w:trHeight w:val="477"/>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Standard margin</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£ 25</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£ 20</w:t>
            </w:r>
          </w:p>
        </w:tc>
      </w:tr>
    </w:tbl>
    <w:p w:rsidR="004B6C19" w:rsidRDefault="004B6C19" w:rsidP="004B6C19"/>
    <w:p w:rsidR="00894DD0" w:rsidRDefault="00894DD0" w:rsidP="00F70B0F">
      <w:pPr>
        <w:pStyle w:val="Heading3"/>
        <w:rPr>
          <w:rFonts w:ascii="Times New Roman" w:hAnsi="Times New Roman" w:cs="Times New Roman"/>
          <w:color w:val="000000" w:themeColor="text1"/>
          <w:u w:val="single"/>
          <w:shd w:val="clear" w:color="auto" w:fill="FFFFFF"/>
        </w:rPr>
      </w:pPr>
      <w:bookmarkStart w:id="9" w:name="_Toc49246163"/>
    </w:p>
    <w:p w:rsidR="004B6C19" w:rsidRPr="00A30677" w:rsidRDefault="004B6C19" w:rsidP="00F70B0F">
      <w:pPr>
        <w:pStyle w:val="Heading3"/>
        <w:rPr>
          <w:rFonts w:ascii="Times New Roman" w:hAnsi="Times New Roman" w:cs="Times New Roman"/>
          <w:color w:val="000000" w:themeColor="text1"/>
          <w:shd w:val="clear" w:color="auto" w:fill="FFFFFF"/>
        </w:rPr>
      </w:pPr>
      <w:bookmarkStart w:id="10" w:name="_Toc50393391"/>
      <w:r w:rsidRPr="00A30677">
        <w:rPr>
          <w:rFonts w:ascii="Times New Roman" w:hAnsi="Times New Roman" w:cs="Times New Roman"/>
          <w:color w:val="000000" w:themeColor="text1"/>
          <w:u w:val="single"/>
          <w:shd w:val="clear" w:color="auto" w:fill="FFFFFF"/>
        </w:rPr>
        <w:t>Sales price variance</w:t>
      </w:r>
      <w:r w:rsidR="000F73A0" w:rsidRPr="00A30677">
        <w:rPr>
          <w:rFonts w:ascii="Times New Roman" w:hAnsi="Times New Roman" w:cs="Times New Roman"/>
          <w:color w:val="000000" w:themeColor="text1"/>
          <w:shd w:val="clear" w:color="auto" w:fill="FFFFFF"/>
        </w:rPr>
        <w:t>:</w:t>
      </w:r>
      <w:bookmarkEnd w:id="9"/>
      <w:bookmarkEnd w:id="10"/>
    </w:p>
    <w:p w:rsidR="000F73A0" w:rsidRDefault="000F73A0" w:rsidP="004B6C19">
      <w:pPr>
        <w:rPr>
          <w:shd w:val="clear" w:color="auto" w:fill="FFFFFF"/>
        </w:rPr>
      </w:pPr>
    </w:p>
    <w:p w:rsidR="004B6C19" w:rsidRPr="00DE4409" w:rsidRDefault="004B6C19" w:rsidP="004B6C19">
      <w:pPr>
        <w:ind w:firstLine="720"/>
      </w:pPr>
      <w:r w:rsidRPr="00AE0485">
        <w:rPr>
          <w:shd w:val="clear" w:color="auto" w:fill="FFFFFF"/>
        </w:rPr>
        <w:t>Sales price variance is equivalent to the change between real sales at market price and estimated sales at target price</w:t>
      </w:r>
      <w:r>
        <w:rPr>
          <w:shd w:val="clear" w:color="auto" w:fill="FFFFFF"/>
        </w:rPr>
        <w:t xml:space="preserve"> </w:t>
      </w:r>
      <w:r>
        <w:rPr>
          <w:color w:val="222222"/>
          <w:shd w:val="clear" w:color="auto" w:fill="FFFFFF"/>
        </w:rPr>
        <w:t>(</w:t>
      </w:r>
      <w:r w:rsidRPr="00CD2037">
        <w:rPr>
          <w:color w:val="222222"/>
          <w:shd w:val="clear" w:color="auto" w:fill="FFFFFF"/>
        </w:rPr>
        <w:t>Bromwich and Scapens, 2016</w:t>
      </w:r>
      <w:r>
        <w:rPr>
          <w:color w:val="222222"/>
          <w:shd w:val="clear" w:color="auto" w:fill="FFFFFF"/>
        </w:rPr>
        <w:t>)</w:t>
      </w:r>
      <w:r w:rsidRPr="00DE4409">
        <w:rPr>
          <w:shd w:val="clear" w:color="auto" w:fill="FFFFFF"/>
        </w:rPr>
        <w:t>. Average sales are the sum of the units currently sold as well as the average price per unit. Similarly, actual sales at the budgeted level match the total of the units sold and the price per unit budgeted.</w:t>
      </w:r>
    </w:p>
    <w:tbl>
      <w:tblPr>
        <w:tblW w:w="0" w:type="auto"/>
        <w:tblInd w:w="55" w:type="dxa"/>
        <w:tblLayout w:type="fixed"/>
        <w:tblCellMar>
          <w:top w:w="55" w:type="dxa"/>
          <w:left w:w="55" w:type="dxa"/>
          <w:bottom w:w="55" w:type="dxa"/>
          <w:right w:w="55" w:type="dxa"/>
        </w:tblCellMar>
        <w:tblLook w:val="0000"/>
      </w:tblPr>
      <w:tblGrid>
        <w:gridCol w:w="4713"/>
        <w:gridCol w:w="2323"/>
        <w:gridCol w:w="2326"/>
      </w:tblGrid>
      <w:tr w:rsidR="004B6C19" w:rsidTr="00617B01">
        <w:trPr>
          <w:trHeight w:val="242"/>
        </w:trPr>
        <w:tc>
          <w:tcPr>
            <w:tcW w:w="4713" w:type="dxa"/>
            <w:tcBorders>
              <w:top w:val="single" w:sz="1" w:space="0" w:color="000000"/>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b/>
                <w:bCs/>
                <w:u w:val="single"/>
                <w:shd w:val="clear" w:color="auto" w:fill="FFFFFF"/>
              </w:rPr>
              <w:t>Chemicals X</w:t>
            </w:r>
          </w:p>
        </w:tc>
        <w:tc>
          <w:tcPr>
            <w:tcW w:w="2323" w:type="dxa"/>
            <w:tcBorders>
              <w:top w:val="single" w:sz="1" w:space="0" w:color="000000"/>
              <w:left w:val="single" w:sz="1" w:space="0" w:color="000000"/>
              <w:bottom w:val="single" w:sz="1" w:space="0" w:color="000000"/>
            </w:tcBorders>
            <w:shd w:val="clear" w:color="auto" w:fill="auto"/>
            <w:vAlign w:val="bottom"/>
          </w:tcPr>
          <w:p w:rsidR="004B6C19" w:rsidRPr="005616C3" w:rsidRDefault="004B6C19" w:rsidP="00617B01">
            <w:pPr>
              <w:autoSpaceDE w:val="0"/>
              <w:snapToGrid w:val="0"/>
              <w:jc w:val="center"/>
              <w:rPr>
                <w:b/>
                <w:shd w:val="clear" w:color="auto" w:fill="FFFFFF"/>
              </w:rPr>
            </w:pPr>
            <w:r w:rsidRPr="005616C3">
              <w:rPr>
                <w:b/>
                <w:shd w:val="clear" w:color="auto" w:fill="FFFFFF"/>
              </w:rPr>
              <w:t>Details</w:t>
            </w:r>
          </w:p>
        </w:tc>
        <w:tc>
          <w:tcPr>
            <w:tcW w:w="2326" w:type="dxa"/>
            <w:tcBorders>
              <w:top w:val="single" w:sz="1" w:space="0" w:color="000000"/>
              <w:left w:val="single" w:sz="1" w:space="0" w:color="000000"/>
              <w:bottom w:val="single" w:sz="1" w:space="0" w:color="000000"/>
              <w:right w:val="single" w:sz="1" w:space="0" w:color="000000"/>
            </w:tcBorders>
            <w:shd w:val="clear" w:color="auto" w:fill="auto"/>
            <w:vAlign w:val="bottom"/>
          </w:tcPr>
          <w:p w:rsidR="004B6C19" w:rsidRPr="005616C3" w:rsidRDefault="004B6C19" w:rsidP="00617B01">
            <w:pPr>
              <w:autoSpaceDE w:val="0"/>
              <w:snapToGrid w:val="0"/>
              <w:jc w:val="center"/>
              <w:rPr>
                <w:b/>
                <w:shd w:val="clear" w:color="auto" w:fill="FFFFFF"/>
              </w:rPr>
            </w:pPr>
            <w:r w:rsidRPr="005616C3">
              <w:rPr>
                <w:b/>
                <w:shd w:val="clear" w:color="auto" w:fill="FFFFFF"/>
              </w:rPr>
              <w:t>Amount</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Sales Price Variance ( X ) </w:t>
            </w:r>
          </w:p>
        </w:tc>
        <w:tc>
          <w:tcPr>
            <w:tcW w:w="4649" w:type="dxa"/>
            <w:gridSpan w:val="2"/>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Actual Price – Standard Price ) * Actual Unit</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right"/>
              <w:rPr>
                <w:shd w:val="clear" w:color="auto" w:fill="FFFFFF"/>
              </w:rPr>
            </w:pP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( 45 – 35 ) * 850</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snapToGrid w:val="0"/>
              <w:jc w:val="center"/>
              <w:rPr>
                <w:shd w:val="clear" w:color="auto" w:fill="FFFFFF"/>
              </w:rPr>
            </w:pPr>
            <w:r>
              <w:rPr>
                <w:shd w:val="clear" w:color="auto" w:fill="FFFFFF"/>
              </w:rPr>
              <w:t>8500</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right"/>
              <w:rPr>
                <w:shd w:val="clear" w:color="auto" w:fill="FFFFFF"/>
              </w:rPr>
            </w:pP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Favourable</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left"/>
              <w:rPr>
                <w:shd w:val="clear" w:color="auto" w:fill="FFFFFF"/>
              </w:rPr>
            </w:pP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b/>
                <w:bCs/>
                <w:u w:val="single"/>
                <w:shd w:val="clear" w:color="auto" w:fill="FFFFFF"/>
              </w:rPr>
              <w:t>Chemicals Y</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Sales Price Variance ( Y ) </w:t>
            </w:r>
          </w:p>
        </w:tc>
        <w:tc>
          <w:tcPr>
            <w:tcW w:w="4649" w:type="dxa"/>
            <w:gridSpan w:val="2"/>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Actual Price – Standard Price ) * Actual Unit</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right"/>
              <w:rPr>
                <w:shd w:val="clear" w:color="auto" w:fill="FFFFFF"/>
              </w:rPr>
            </w:pP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( 37 – 30 ) * 750</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snapToGrid w:val="0"/>
              <w:jc w:val="center"/>
              <w:rPr>
                <w:shd w:val="clear" w:color="auto" w:fill="FFFFFF"/>
              </w:rPr>
            </w:pPr>
            <w:r>
              <w:rPr>
                <w:shd w:val="clear" w:color="auto" w:fill="FFFFFF"/>
              </w:rPr>
              <w:t>5250</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right"/>
              <w:rPr>
                <w:shd w:val="clear" w:color="auto" w:fill="FFFFFF"/>
              </w:rPr>
            </w:pP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Favourable</w:t>
            </w:r>
          </w:p>
        </w:tc>
      </w:tr>
    </w:tbl>
    <w:p w:rsidR="004B6C19" w:rsidRDefault="004B6C19" w:rsidP="004B6C19">
      <w:pPr>
        <w:rPr>
          <w:shd w:val="clear" w:color="auto" w:fill="FFFFFF"/>
        </w:rPr>
      </w:pPr>
    </w:p>
    <w:p w:rsidR="004B6C19" w:rsidRPr="00A30677" w:rsidRDefault="004B6C19" w:rsidP="00F70B0F">
      <w:pPr>
        <w:pStyle w:val="Heading3"/>
        <w:rPr>
          <w:rFonts w:ascii="Times New Roman" w:hAnsi="Times New Roman" w:cs="Times New Roman"/>
          <w:b w:val="0"/>
          <w:bCs w:val="0"/>
          <w:color w:val="000000" w:themeColor="text1"/>
          <w:u w:val="double"/>
          <w:shd w:val="clear" w:color="auto" w:fill="FFFFFF"/>
        </w:rPr>
      </w:pPr>
      <w:bookmarkStart w:id="11" w:name="_Toc49246164"/>
      <w:bookmarkStart w:id="12" w:name="_Toc50393392"/>
      <w:r w:rsidRPr="00A30677">
        <w:rPr>
          <w:rFonts w:ascii="Times New Roman" w:hAnsi="Times New Roman" w:cs="Times New Roman"/>
          <w:color w:val="000000" w:themeColor="text1"/>
          <w:u w:val="double"/>
          <w:shd w:val="clear" w:color="auto" w:fill="FFFFFF"/>
        </w:rPr>
        <w:t>Sales volume contribution variance:</w:t>
      </w:r>
      <w:bookmarkEnd w:id="11"/>
      <w:bookmarkEnd w:id="12"/>
    </w:p>
    <w:p w:rsidR="000F73A0" w:rsidRPr="00A30677" w:rsidRDefault="000F73A0" w:rsidP="004B6C19">
      <w:pPr>
        <w:autoSpaceDE w:val="0"/>
        <w:jc w:val="left"/>
        <w:rPr>
          <w:b/>
          <w:bCs/>
          <w:u w:val="double"/>
          <w:shd w:val="clear" w:color="auto" w:fill="FFFFFF"/>
        </w:rPr>
      </w:pPr>
    </w:p>
    <w:p w:rsidR="004B6C19" w:rsidRPr="001221CC" w:rsidRDefault="004B6C19" w:rsidP="004B6C19">
      <w:pPr>
        <w:ind w:firstLine="720"/>
      </w:pPr>
      <w:r w:rsidRPr="001221CC">
        <w:rPr>
          <w:shd w:val="clear" w:color="auto" w:fill="FFFFFF"/>
        </w:rPr>
        <w:lastRenderedPageBreak/>
        <w:t>Sales Volume Variance is the calculation of benefit or expense adjustment as a result of the discrepancy between real and budgeted volumes of revenue</w:t>
      </w:r>
      <w:r>
        <w:rPr>
          <w:shd w:val="clear" w:color="auto" w:fill="FFFFFF"/>
        </w:rPr>
        <w:t xml:space="preserve"> </w:t>
      </w:r>
      <w:r>
        <w:rPr>
          <w:color w:val="222222"/>
          <w:shd w:val="clear" w:color="auto" w:fill="FFFFFF"/>
        </w:rPr>
        <w:t>(</w:t>
      </w:r>
      <w:r w:rsidRPr="00CD2037">
        <w:rPr>
          <w:color w:val="222222"/>
          <w:shd w:val="clear" w:color="auto" w:fill="FFFFFF"/>
        </w:rPr>
        <w:t>Eldenburg, Krishnan and Krishnan, 2017</w:t>
      </w:r>
      <w:r>
        <w:rPr>
          <w:color w:val="222222"/>
          <w:shd w:val="clear" w:color="auto" w:fill="FFFFFF"/>
        </w:rPr>
        <w:t>)</w:t>
      </w:r>
      <w:r w:rsidRPr="001221CC">
        <w:rPr>
          <w:shd w:val="clear" w:color="auto" w:fill="FFFFFF"/>
        </w:rPr>
        <w:t>.</w:t>
      </w:r>
    </w:p>
    <w:p w:rsidR="000F73A0" w:rsidRDefault="004B6C19" w:rsidP="004B6C19">
      <w:pPr>
        <w:rPr>
          <w:shd w:val="clear" w:color="auto" w:fill="FFFFFF"/>
        </w:rPr>
      </w:pPr>
      <w:r w:rsidRPr="005616C3">
        <w:rPr>
          <w:b/>
          <w:shd w:val="clear" w:color="auto" w:fill="FFFFFF"/>
        </w:rPr>
        <w:t>Formula</w:t>
      </w:r>
      <w:r>
        <w:rPr>
          <w:shd w:val="clear" w:color="auto" w:fill="FFFFFF"/>
        </w:rPr>
        <w:t>:</w:t>
      </w:r>
    </w:p>
    <w:p w:rsidR="004B6C19" w:rsidRDefault="004B6C19" w:rsidP="004B6C19">
      <w:pPr>
        <w:rPr>
          <w:shd w:val="clear" w:color="auto" w:fill="FFFFFF"/>
        </w:rPr>
      </w:pPr>
      <w:r w:rsidRPr="005616C3">
        <w:rPr>
          <w:b/>
          <w:shd w:val="clear" w:color="auto" w:fill="FFFFFF"/>
        </w:rPr>
        <w:t>Sales volume contribution variance</w:t>
      </w:r>
      <w:r>
        <w:rPr>
          <w:shd w:val="clear" w:color="auto" w:fill="FFFFFF"/>
        </w:rPr>
        <w:t xml:space="preserve"> = </w:t>
      </w:r>
      <w:r w:rsidRPr="005616C3">
        <w:t xml:space="preserve">(Actual number of units sold × Budgeted price per unit) – </w:t>
      </w:r>
      <w:r>
        <w:t xml:space="preserve">       </w:t>
      </w:r>
      <w:r w:rsidRPr="005616C3">
        <w:t>(budgeted number of units sold × Budgeted price per unit)</w:t>
      </w:r>
    </w:p>
    <w:tbl>
      <w:tblPr>
        <w:tblW w:w="0" w:type="auto"/>
        <w:tblInd w:w="55" w:type="dxa"/>
        <w:tblLayout w:type="fixed"/>
        <w:tblCellMar>
          <w:top w:w="55" w:type="dxa"/>
          <w:left w:w="55" w:type="dxa"/>
          <w:bottom w:w="55" w:type="dxa"/>
          <w:right w:w="55" w:type="dxa"/>
        </w:tblCellMar>
        <w:tblLook w:val="0000"/>
      </w:tblPr>
      <w:tblGrid>
        <w:gridCol w:w="4700"/>
        <w:gridCol w:w="2336"/>
        <w:gridCol w:w="2326"/>
      </w:tblGrid>
      <w:tr w:rsidR="004B6C19" w:rsidTr="00617B01">
        <w:tc>
          <w:tcPr>
            <w:tcW w:w="4700" w:type="dxa"/>
            <w:tcBorders>
              <w:top w:val="single" w:sz="1" w:space="0" w:color="000000"/>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p>
        </w:tc>
        <w:tc>
          <w:tcPr>
            <w:tcW w:w="4662" w:type="dxa"/>
            <w:gridSpan w:val="2"/>
            <w:tcBorders>
              <w:top w:val="single" w:sz="1" w:space="0" w:color="000000"/>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left"/>
            </w:pPr>
          </w:p>
        </w:tc>
      </w:tr>
      <w:tr w:rsidR="004B6C19" w:rsidTr="00617B01">
        <w:trPr>
          <w:trHeight w:val="242"/>
        </w:trPr>
        <w:tc>
          <w:tcPr>
            <w:tcW w:w="4700"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b/>
                <w:bCs/>
                <w:u w:val="single"/>
                <w:shd w:val="clear" w:color="auto" w:fill="FFFFFF"/>
              </w:rPr>
              <w:t>Chemicals X</w:t>
            </w:r>
          </w:p>
        </w:tc>
        <w:tc>
          <w:tcPr>
            <w:tcW w:w="2336" w:type="dxa"/>
            <w:tcBorders>
              <w:left w:val="single" w:sz="1" w:space="0" w:color="000000"/>
              <w:bottom w:val="single" w:sz="1" w:space="0" w:color="000000"/>
            </w:tcBorders>
            <w:shd w:val="clear" w:color="auto" w:fill="auto"/>
            <w:vAlign w:val="bottom"/>
          </w:tcPr>
          <w:p w:rsidR="004B6C19" w:rsidRPr="005616C3" w:rsidRDefault="004B6C19" w:rsidP="00617B01">
            <w:pPr>
              <w:autoSpaceDE w:val="0"/>
              <w:snapToGrid w:val="0"/>
              <w:jc w:val="center"/>
              <w:rPr>
                <w:b/>
                <w:shd w:val="clear" w:color="auto" w:fill="FFFFFF"/>
              </w:rPr>
            </w:pPr>
            <w:r w:rsidRPr="005616C3">
              <w:rPr>
                <w:b/>
                <w:shd w:val="clear" w:color="auto" w:fill="FFFFFF"/>
              </w:rPr>
              <w:t>Details</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Pr="005616C3" w:rsidRDefault="004B6C19" w:rsidP="00617B01">
            <w:pPr>
              <w:autoSpaceDE w:val="0"/>
              <w:snapToGrid w:val="0"/>
              <w:jc w:val="center"/>
              <w:rPr>
                <w:b/>
                <w:shd w:val="clear" w:color="auto" w:fill="FFFFFF"/>
              </w:rPr>
            </w:pPr>
            <w:r w:rsidRPr="005616C3">
              <w:rPr>
                <w:b/>
                <w:shd w:val="clear" w:color="auto" w:fill="FFFFFF"/>
              </w:rPr>
              <w:t>Amount</w:t>
            </w:r>
          </w:p>
        </w:tc>
      </w:tr>
      <w:tr w:rsidR="004B6C19" w:rsidTr="00617B01">
        <w:trPr>
          <w:trHeight w:val="242"/>
        </w:trPr>
        <w:tc>
          <w:tcPr>
            <w:tcW w:w="4700"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Sales volume contribution variance ( X ) </w:t>
            </w:r>
          </w:p>
        </w:tc>
        <w:tc>
          <w:tcPr>
            <w:tcW w:w="2336"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xml:space="preserve"> = ( 850 * 35 ) – ( 595 * 35 )</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snapToGrid w:val="0"/>
              <w:jc w:val="center"/>
              <w:rPr>
                <w:shd w:val="clear" w:color="auto" w:fill="FFFFFF"/>
              </w:rPr>
            </w:pPr>
            <w:r>
              <w:rPr>
                <w:shd w:val="clear" w:color="auto" w:fill="FFFFFF"/>
              </w:rPr>
              <w:t>8925</w:t>
            </w:r>
          </w:p>
        </w:tc>
      </w:tr>
      <w:tr w:rsidR="004B6C19" w:rsidTr="00617B01">
        <w:trPr>
          <w:trHeight w:val="242"/>
        </w:trPr>
        <w:tc>
          <w:tcPr>
            <w:tcW w:w="4700"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left"/>
              <w:rPr>
                <w:shd w:val="clear" w:color="auto" w:fill="FFFFFF"/>
              </w:rPr>
            </w:pPr>
          </w:p>
        </w:tc>
        <w:tc>
          <w:tcPr>
            <w:tcW w:w="2336"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Favourable</w:t>
            </w:r>
          </w:p>
        </w:tc>
      </w:tr>
      <w:tr w:rsidR="004B6C19" w:rsidTr="00617B01">
        <w:trPr>
          <w:trHeight w:val="242"/>
        </w:trPr>
        <w:tc>
          <w:tcPr>
            <w:tcW w:w="4700"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b/>
                <w:bCs/>
                <w:u w:val="single"/>
                <w:shd w:val="clear" w:color="auto" w:fill="FFFFFF"/>
              </w:rPr>
              <w:t>Chemicals Y</w:t>
            </w:r>
          </w:p>
        </w:tc>
        <w:tc>
          <w:tcPr>
            <w:tcW w:w="2336" w:type="dxa"/>
            <w:tcBorders>
              <w:left w:val="single" w:sz="1" w:space="0" w:color="000000"/>
              <w:bottom w:val="single" w:sz="1" w:space="0" w:color="000000"/>
            </w:tcBorders>
            <w:shd w:val="clear" w:color="auto" w:fill="auto"/>
            <w:vAlign w:val="bottom"/>
          </w:tcPr>
          <w:p w:rsidR="004B6C19" w:rsidRPr="005616C3" w:rsidRDefault="004B6C19" w:rsidP="00617B01">
            <w:pPr>
              <w:autoSpaceDE w:val="0"/>
              <w:snapToGrid w:val="0"/>
              <w:jc w:val="center"/>
              <w:rPr>
                <w:b/>
                <w:shd w:val="clear" w:color="auto" w:fill="FFFFFF"/>
              </w:rPr>
            </w:pPr>
            <w:r w:rsidRPr="005616C3">
              <w:rPr>
                <w:b/>
                <w:shd w:val="clear" w:color="auto" w:fill="FFFFFF"/>
              </w:rPr>
              <w:t>Details</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Pr="005616C3" w:rsidRDefault="004B6C19" w:rsidP="00617B01">
            <w:pPr>
              <w:autoSpaceDE w:val="0"/>
              <w:snapToGrid w:val="0"/>
              <w:jc w:val="center"/>
              <w:rPr>
                <w:b/>
                <w:shd w:val="clear" w:color="auto" w:fill="FFFFFF"/>
              </w:rPr>
            </w:pPr>
            <w:r w:rsidRPr="005616C3">
              <w:rPr>
                <w:b/>
                <w:shd w:val="clear" w:color="auto" w:fill="FFFFFF"/>
              </w:rPr>
              <w:t>Amount</w:t>
            </w:r>
          </w:p>
        </w:tc>
      </w:tr>
      <w:tr w:rsidR="004B6C19" w:rsidTr="00617B01">
        <w:trPr>
          <w:trHeight w:val="242"/>
        </w:trPr>
        <w:tc>
          <w:tcPr>
            <w:tcW w:w="4700"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Sales volume contribution variance (Y) </w:t>
            </w:r>
          </w:p>
        </w:tc>
        <w:tc>
          <w:tcPr>
            <w:tcW w:w="2336"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xml:space="preserve"> = ( 750 * 30 ) – (595 * 30 )</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snapToGrid w:val="0"/>
              <w:jc w:val="center"/>
              <w:rPr>
                <w:shd w:val="clear" w:color="auto" w:fill="FFFFFF"/>
              </w:rPr>
            </w:pPr>
            <w:r>
              <w:rPr>
                <w:shd w:val="clear" w:color="auto" w:fill="FFFFFF"/>
              </w:rPr>
              <w:t>4650</w:t>
            </w:r>
          </w:p>
        </w:tc>
      </w:tr>
      <w:tr w:rsidR="004B6C19" w:rsidTr="00617B01">
        <w:trPr>
          <w:trHeight w:val="242"/>
        </w:trPr>
        <w:tc>
          <w:tcPr>
            <w:tcW w:w="4700"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left"/>
              <w:rPr>
                <w:shd w:val="clear" w:color="auto" w:fill="FFFFFF"/>
              </w:rPr>
            </w:pPr>
          </w:p>
        </w:tc>
        <w:tc>
          <w:tcPr>
            <w:tcW w:w="2336"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Favourable</w:t>
            </w:r>
          </w:p>
        </w:tc>
      </w:tr>
    </w:tbl>
    <w:p w:rsidR="004B6C19" w:rsidRPr="00201A34" w:rsidRDefault="004B6C19" w:rsidP="004B6C19"/>
    <w:p w:rsidR="004B6C19" w:rsidRPr="00A30677" w:rsidRDefault="004B6C19" w:rsidP="00F70B0F">
      <w:pPr>
        <w:pStyle w:val="Heading2"/>
        <w:rPr>
          <w:rFonts w:ascii="Times New Roman" w:hAnsi="Times New Roman" w:cs="Times New Roman"/>
          <w:color w:val="000000" w:themeColor="text1"/>
        </w:rPr>
      </w:pPr>
      <w:bookmarkStart w:id="13" w:name="_Toc49246165"/>
      <w:bookmarkStart w:id="14" w:name="_Toc50393393"/>
      <w:r w:rsidRPr="00A30677">
        <w:rPr>
          <w:rFonts w:ascii="Times New Roman" w:hAnsi="Times New Roman" w:cs="Times New Roman"/>
          <w:color w:val="000000" w:themeColor="text1"/>
        </w:rPr>
        <w:t xml:space="preserve">2. The calculation of material price planning variance and material price </w:t>
      </w:r>
      <w:bookmarkStart w:id="15" w:name="_Toc47447119"/>
      <w:r w:rsidRPr="00A30677">
        <w:rPr>
          <w:rFonts w:ascii="Times New Roman" w:hAnsi="Times New Roman" w:cs="Times New Roman"/>
          <w:color w:val="000000" w:themeColor="text1"/>
        </w:rPr>
        <w:t>operational variance</w:t>
      </w:r>
      <w:bookmarkEnd w:id="13"/>
      <w:bookmarkEnd w:id="14"/>
      <w:bookmarkEnd w:id="15"/>
    </w:p>
    <w:p w:rsidR="000F73A0" w:rsidRPr="000F73A0" w:rsidRDefault="000F73A0" w:rsidP="00F70B0F">
      <w:pPr>
        <w:pStyle w:val="Heading2"/>
      </w:pPr>
    </w:p>
    <w:tbl>
      <w:tblPr>
        <w:tblW w:w="0" w:type="auto"/>
        <w:tblInd w:w="55" w:type="dxa"/>
        <w:tblLayout w:type="fixed"/>
        <w:tblCellMar>
          <w:top w:w="55" w:type="dxa"/>
          <w:left w:w="55" w:type="dxa"/>
          <w:bottom w:w="55" w:type="dxa"/>
          <w:right w:w="55" w:type="dxa"/>
        </w:tblCellMar>
        <w:tblLook w:val="0000"/>
      </w:tblPr>
      <w:tblGrid>
        <w:gridCol w:w="5760"/>
        <w:gridCol w:w="3602"/>
      </w:tblGrid>
      <w:tr w:rsidR="004B6C19" w:rsidTr="00617B01">
        <w:trPr>
          <w:trHeight w:val="242"/>
        </w:trPr>
        <w:tc>
          <w:tcPr>
            <w:tcW w:w="9362" w:type="dxa"/>
            <w:gridSpan w:val="2"/>
            <w:tcBorders>
              <w:top w:val="single" w:sz="1" w:space="0" w:color="000000"/>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left"/>
            </w:pPr>
            <w:r>
              <w:rPr>
                <w:b/>
                <w:bCs/>
                <w:shd w:val="clear" w:color="auto" w:fill="FFFFFF"/>
              </w:rPr>
              <w:t>Given Information:</w:t>
            </w:r>
          </w:p>
        </w:tc>
      </w:tr>
      <w:tr w:rsidR="004B6C19" w:rsidTr="00617B01">
        <w:trPr>
          <w:trHeight w:val="242"/>
        </w:trPr>
        <w:tc>
          <w:tcPr>
            <w:tcW w:w="5760"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Original standard price </w:t>
            </w:r>
          </w:p>
        </w:tc>
        <w:tc>
          <w:tcPr>
            <w:tcW w:w="3602"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£ 2.50 per-unit</w:t>
            </w:r>
          </w:p>
        </w:tc>
      </w:tr>
      <w:tr w:rsidR="004B6C19" w:rsidTr="00617B01">
        <w:trPr>
          <w:trHeight w:val="253"/>
        </w:trPr>
        <w:tc>
          <w:tcPr>
            <w:tcW w:w="5760"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Increased(revised) unit price</w:t>
            </w:r>
          </w:p>
        </w:tc>
        <w:tc>
          <w:tcPr>
            <w:tcW w:w="3602"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£4.50</w:t>
            </w:r>
          </w:p>
        </w:tc>
      </w:tr>
    </w:tbl>
    <w:p w:rsidR="004B6C19" w:rsidRDefault="004B6C19" w:rsidP="004B6C19"/>
    <w:tbl>
      <w:tblPr>
        <w:tblW w:w="0" w:type="auto"/>
        <w:tblInd w:w="55" w:type="dxa"/>
        <w:tblLayout w:type="fixed"/>
        <w:tblCellMar>
          <w:top w:w="55" w:type="dxa"/>
          <w:left w:w="55" w:type="dxa"/>
          <w:bottom w:w="55" w:type="dxa"/>
          <w:right w:w="55" w:type="dxa"/>
        </w:tblCellMar>
        <w:tblLook w:val="0000"/>
      </w:tblPr>
      <w:tblGrid>
        <w:gridCol w:w="5067"/>
        <w:gridCol w:w="2366"/>
        <w:gridCol w:w="1929"/>
      </w:tblGrid>
      <w:tr w:rsidR="004B6C19" w:rsidTr="00617B01">
        <w:trPr>
          <w:trHeight w:val="477"/>
        </w:trPr>
        <w:tc>
          <w:tcPr>
            <w:tcW w:w="9362"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left"/>
            </w:pPr>
            <w:r>
              <w:rPr>
                <w:b/>
                <w:bCs/>
                <w:shd w:val="clear" w:color="auto" w:fill="FFFFFF"/>
              </w:rPr>
              <w:t>Material price operational variance:</w:t>
            </w:r>
          </w:p>
        </w:tc>
      </w:tr>
      <w:tr w:rsidR="004B6C19" w:rsidTr="00617B01">
        <w:trPr>
          <w:trHeight w:val="242"/>
        </w:trPr>
        <w:tc>
          <w:tcPr>
            <w:tcW w:w="5067" w:type="dxa"/>
            <w:tcBorders>
              <w:left w:val="single" w:sz="1" w:space="0" w:color="000000"/>
              <w:bottom w:val="single" w:sz="1" w:space="0" w:color="000000"/>
            </w:tcBorders>
            <w:shd w:val="clear" w:color="auto" w:fill="auto"/>
            <w:vAlign w:val="bottom"/>
          </w:tcPr>
          <w:p w:rsidR="004B6C19" w:rsidRPr="00C1226A" w:rsidRDefault="004B6C19" w:rsidP="00617B01">
            <w:pPr>
              <w:autoSpaceDE w:val="0"/>
              <w:jc w:val="center"/>
              <w:rPr>
                <w:b/>
                <w:shd w:val="clear" w:color="auto" w:fill="FFFFFF"/>
              </w:rPr>
            </w:pPr>
            <w:r w:rsidRPr="00C1226A">
              <w:rPr>
                <w:b/>
                <w:bCs/>
                <w:u w:val="single"/>
                <w:shd w:val="clear" w:color="auto" w:fill="FFFFFF"/>
              </w:rPr>
              <w:t>Chemicals X</w:t>
            </w:r>
          </w:p>
        </w:tc>
        <w:tc>
          <w:tcPr>
            <w:tcW w:w="2366" w:type="dxa"/>
            <w:tcBorders>
              <w:left w:val="single" w:sz="1" w:space="0" w:color="000000"/>
              <w:bottom w:val="single" w:sz="1" w:space="0" w:color="000000"/>
            </w:tcBorders>
            <w:shd w:val="clear" w:color="auto" w:fill="auto"/>
            <w:vAlign w:val="bottom"/>
          </w:tcPr>
          <w:p w:rsidR="004B6C19" w:rsidRPr="00C1226A" w:rsidRDefault="004B6C19" w:rsidP="00617B01">
            <w:pPr>
              <w:autoSpaceDE w:val="0"/>
              <w:snapToGrid w:val="0"/>
              <w:jc w:val="center"/>
              <w:rPr>
                <w:b/>
                <w:shd w:val="clear" w:color="auto" w:fill="FFFFFF"/>
              </w:rPr>
            </w:pPr>
            <w:r w:rsidRPr="00C1226A">
              <w:rPr>
                <w:b/>
                <w:shd w:val="clear" w:color="auto" w:fill="FFFFFF"/>
              </w:rPr>
              <w:t>Details</w:t>
            </w:r>
          </w:p>
        </w:tc>
        <w:tc>
          <w:tcPr>
            <w:tcW w:w="1929" w:type="dxa"/>
            <w:tcBorders>
              <w:left w:val="single" w:sz="1" w:space="0" w:color="000000"/>
              <w:bottom w:val="single" w:sz="1" w:space="0" w:color="000000"/>
              <w:right w:val="single" w:sz="1" w:space="0" w:color="000000"/>
            </w:tcBorders>
            <w:shd w:val="clear" w:color="auto" w:fill="auto"/>
            <w:vAlign w:val="bottom"/>
          </w:tcPr>
          <w:p w:rsidR="004B6C19" w:rsidRPr="00C1226A" w:rsidRDefault="004B6C19" w:rsidP="00617B01">
            <w:pPr>
              <w:autoSpaceDE w:val="0"/>
              <w:snapToGrid w:val="0"/>
              <w:jc w:val="center"/>
              <w:rPr>
                <w:b/>
                <w:shd w:val="clear" w:color="auto" w:fill="FFFFFF"/>
              </w:rPr>
            </w:pPr>
            <w:r w:rsidRPr="00C1226A">
              <w:rPr>
                <w:b/>
                <w:shd w:val="clear" w:color="auto" w:fill="FFFFFF"/>
              </w:rPr>
              <w:t>Amount</w:t>
            </w:r>
          </w:p>
        </w:tc>
      </w:tr>
      <w:tr w:rsidR="004B6C19" w:rsidTr="00617B01">
        <w:trPr>
          <w:trHeight w:val="242"/>
        </w:trPr>
        <w:tc>
          <w:tcPr>
            <w:tcW w:w="5067"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(A) Original budgeted sales x Standard Margin </w:t>
            </w:r>
          </w:p>
        </w:tc>
        <w:tc>
          <w:tcPr>
            <w:tcW w:w="2366"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595 * 2.5 * 25</w:t>
            </w:r>
          </w:p>
        </w:tc>
        <w:tc>
          <w:tcPr>
            <w:tcW w:w="1929"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£ 37,187.5</w:t>
            </w:r>
          </w:p>
        </w:tc>
      </w:tr>
      <w:tr w:rsidR="004B6C19" w:rsidTr="00617B01">
        <w:trPr>
          <w:trHeight w:val="242"/>
        </w:trPr>
        <w:tc>
          <w:tcPr>
            <w:tcW w:w="5067"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lastRenderedPageBreak/>
              <w:t xml:space="preserve">(B) Revised budgeted sales x Standard Margin </w:t>
            </w:r>
          </w:p>
        </w:tc>
        <w:tc>
          <w:tcPr>
            <w:tcW w:w="2366"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595 * 4.5 * 25</w:t>
            </w:r>
          </w:p>
        </w:tc>
        <w:tc>
          <w:tcPr>
            <w:tcW w:w="1929"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£ 66,937.5</w:t>
            </w:r>
          </w:p>
        </w:tc>
      </w:tr>
      <w:tr w:rsidR="004B6C19" w:rsidTr="00617B01">
        <w:trPr>
          <w:trHeight w:val="477"/>
        </w:trPr>
        <w:tc>
          <w:tcPr>
            <w:tcW w:w="5067"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Material price operational variance (A – B) </w:t>
            </w:r>
          </w:p>
        </w:tc>
        <w:tc>
          <w:tcPr>
            <w:tcW w:w="2366"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c>
          <w:tcPr>
            <w:tcW w:w="1929" w:type="dxa"/>
            <w:tcBorders>
              <w:left w:val="single" w:sz="1" w:space="0" w:color="000000"/>
              <w:bottom w:val="single" w:sz="1" w:space="0" w:color="000000"/>
              <w:right w:val="single" w:sz="1" w:space="0" w:color="000000"/>
            </w:tcBorders>
            <w:shd w:val="clear" w:color="auto" w:fill="auto"/>
            <w:vAlign w:val="bottom"/>
          </w:tcPr>
          <w:p w:rsidR="004B6C19" w:rsidRPr="005616C3" w:rsidRDefault="004B6C19" w:rsidP="00617B01">
            <w:pPr>
              <w:autoSpaceDE w:val="0"/>
              <w:jc w:val="center"/>
              <w:rPr>
                <w:b/>
              </w:rPr>
            </w:pPr>
            <w:r w:rsidRPr="005616C3">
              <w:rPr>
                <w:b/>
                <w:shd w:val="clear" w:color="auto" w:fill="FFFFFF"/>
              </w:rPr>
              <w:t>-£ 29,750</w:t>
            </w:r>
          </w:p>
        </w:tc>
      </w:tr>
      <w:tr w:rsidR="004B6C19" w:rsidTr="00617B01">
        <w:trPr>
          <w:trHeight w:val="242"/>
        </w:trPr>
        <w:tc>
          <w:tcPr>
            <w:tcW w:w="5067"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left"/>
              <w:rPr>
                <w:shd w:val="clear" w:color="auto" w:fill="FFFFFF"/>
              </w:rPr>
            </w:pPr>
          </w:p>
        </w:tc>
        <w:tc>
          <w:tcPr>
            <w:tcW w:w="2366"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c>
          <w:tcPr>
            <w:tcW w:w="1929"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r>
      <w:tr w:rsidR="004B6C19" w:rsidTr="00617B01">
        <w:trPr>
          <w:trHeight w:val="242"/>
        </w:trPr>
        <w:tc>
          <w:tcPr>
            <w:tcW w:w="5067"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b/>
                <w:bCs/>
                <w:u w:val="single"/>
                <w:shd w:val="clear" w:color="auto" w:fill="FFFFFF"/>
              </w:rPr>
              <w:t>Chemicals Y</w:t>
            </w:r>
          </w:p>
        </w:tc>
        <w:tc>
          <w:tcPr>
            <w:tcW w:w="2366"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c>
          <w:tcPr>
            <w:tcW w:w="1929"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r>
      <w:tr w:rsidR="004B6C19" w:rsidTr="00617B01">
        <w:trPr>
          <w:trHeight w:val="242"/>
        </w:trPr>
        <w:tc>
          <w:tcPr>
            <w:tcW w:w="5067"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(A) Original budgeted sales x Standard Margin </w:t>
            </w:r>
          </w:p>
        </w:tc>
        <w:tc>
          <w:tcPr>
            <w:tcW w:w="2366"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595 * 2.5 * 20</w:t>
            </w:r>
          </w:p>
        </w:tc>
        <w:tc>
          <w:tcPr>
            <w:tcW w:w="1929"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£ 29,750</w:t>
            </w:r>
          </w:p>
        </w:tc>
      </w:tr>
      <w:tr w:rsidR="004B6C19" w:rsidTr="00617B01">
        <w:trPr>
          <w:trHeight w:val="242"/>
        </w:trPr>
        <w:tc>
          <w:tcPr>
            <w:tcW w:w="5067"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(B) Revised budgeted sales x Standard Margin </w:t>
            </w:r>
          </w:p>
        </w:tc>
        <w:tc>
          <w:tcPr>
            <w:tcW w:w="2366"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595 * 4.5 * 20</w:t>
            </w:r>
          </w:p>
        </w:tc>
        <w:tc>
          <w:tcPr>
            <w:tcW w:w="1929"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£ 53,550</w:t>
            </w:r>
          </w:p>
        </w:tc>
      </w:tr>
      <w:tr w:rsidR="004B6C19" w:rsidTr="00617B01">
        <w:trPr>
          <w:trHeight w:val="477"/>
        </w:trPr>
        <w:tc>
          <w:tcPr>
            <w:tcW w:w="5067"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Material price operational variance (A – B) </w:t>
            </w:r>
          </w:p>
        </w:tc>
        <w:tc>
          <w:tcPr>
            <w:tcW w:w="2366"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c>
          <w:tcPr>
            <w:tcW w:w="1929" w:type="dxa"/>
            <w:tcBorders>
              <w:left w:val="single" w:sz="1" w:space="0" w:color="000000"/>
              <w:bottom w:val="single" w:sz="1" w:space="0" w:color="000000"/>
              <w:right w:val="single" w:sz="1" w:space="0" w:color="000000"/>
            </w:tcBorders>
            <w:shd w:val="clear" w:color="auto" w:fill="auto"/>
            <w:vAlign w:val="bottom"/>
          </w:tcPr>
          <w:p w:rsidR="004B6C19" w:rsidRPr="005616C3" w:rsidRDefault="004B6C19" w:rsidP="00617B01">
            <w:pPr>
              <w:autoSpaceDE w:val="0"/>
              <w:jc w:val="center"/>
              <w:rPr>
                <w:b/>
              </w:rPr>
            </w:pPr>
            <w:r w:rsidRPr="005616C3">
              <w:rPr>
                <w:b/>
                <w:shd w:val="clear" w:color="auto" w:fill="FFFFFF"/>
              </w:rPr>
              <w:t>-£ 23,800</w:t>
            </w:r>
          </w:p>
        </w:tc>
      </w:tr>
    </w:tbl>
    <w:p w:rsidR="004B6C19" w:rsidRDefault="004B6C19" w:rsidP="004B6C19"/>
    <w:tbl>
      <w:tblPr>
        <w:tblW w:w="0" w:type="auto"/>
        <w:tblInd w:w="55" w:type="dxa"/>
        <w:tblLayout w:type="fixed"/>
        <w:tblCellMar>
          <w:top w:w="55" w:type="dxa"/>
          <w:left w:w="55" w:type="dxa"/>
          <w:bottom w:w="55" w:type="dxa"/>
          <w:right w:w="55" w:type="dxa"/>
        </w:tblCellMar>
        <w:tblLook w:val="0000"/>
      </w:tblPr>
      <w:tblGrid>
        <w:gridCol w:w="4713"/>
        <w:gridCol w:w="2323"/>
        <w:gridCol w:w="2326"/>
      </w:tblGrid>
      <w:tr w:rsidR="004B6C19" w:rsidTr="00617B01">
        <w:trPr>
          <w:trHeight w:val="477"/>
        </w:trPr>
        <w:tc>
          <w:tcPr>
            <w:tcW w:w="9362"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left"/>
            </w:pPr>
            <w:r>
              <w:rPr>
                <w:b/>
                <w:bCs/>
                <w:shd w:val="clear" w:color="auto" w:fill="FFFFFF"/>
              </w:rPr>
              <w:t>Material price planning variance:</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b/>
                <w:bCs/>
                <w:u w:val="single"/>
                <w:shd w:val="clear" w:color="auto" w:fill="FFFFFF"/>
              </w:rPr>
              <w:t>Chemicals X</w:t>
            </w:r>
          </w:p>
        </w:tc>
        <w:tc>
          <w:tcPr>
            <w:tcW w:w="2323" w:type="dxa"/>
            <w:tcBorders>
              <w:left w:val="single" w:sz="1" w:space="0" w:color="000000"/>
              <w:bottom w:val="single" w:sz="1" w:space="0" w:color="000000"/>
            </w:tcBorders>
            <w:shd w:val="clear" w:color="auto" w:fill="auto"/>
            <w:vAlign w:val="bottom"/>
          </w:tcPr>
          <w:p w:rsidR="004B6C19" w:rsidRPr="00BD622C" w:rsidRDefault="004B6C19" w:rsidP="00617B01">
            <w:pPr>
              <w:autoSpaceDE w:val="0"/>
              <w:snapToGrid w:val="0"/>
              <w:jc w:val="center"/>
              <w:rPr>
                <w:b/>
                <w:shd w:val="clear" w:color="auto" w:fill="FFFFFF"/>
              </w:rPr>
            </w:pPr>
            <w:r w:rsidRPr="00BD622C">
              <w:rPr>
                <w:b/>
                <w:shd w:val="clear" w:color="auto" w:fill="FFFFFF"/>
              </w:rPr>
              <w:t>Details</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Pr="00BD622C" w:rsidRDefault="004B6C19" w:rsidP="00617B01">
            <w:pPr>
              <w:autoSpaceDE w:val="0"/>
              <w:snapToGrid w:val="0"/>
              <w:jc w:val="center"/>
              <w:rPr>
                <w:b/>
                <w:shd w:val="clear" w:color="auto" w:fill="FFFFFF"/>
              </w:rPr>
            </w:pPr>
            <w:r w:rsidRPr="00BD622C">
              <w:rPr>
                <w:b/>
                <w:shd w:val="clear" w:color="auto" w:fill="FFFFFF"/>
              </w:rPr>
              <w:t>Amount</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(A) Revised budgeted sales * Standard Margin </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595 * 4.5 * 25</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£ 66,937.5</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(B) Actual Sales Quantity * Standard Margin</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850 * 25</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£ 21,250</w:t>
            </w:r>
          </w:p>
        </w:tc>
      </w:tr>
      <w:tr w:rsidR="004B6C19" w:rsidTr="00617B01">
        <w:trPr>
          <w:trHeight w:val="477"/>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 xml:space="preserve">Material price planning variance  (A – B) </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rsidR="004B6C19" w:rsidRPr="005616C3" w:rsidRDefault="004B6C19" w:rsidP="00617B01">
            <w:pPr>
              <w:autoSpaceDE w:val="0"/>
              <w:jc w:val="center"/>
              <w:rPr>
                <w:b/>
              </w:rPr>
            </w:pPr>
            <w:r w:rsidRPr="005616C3">
              <w:rPr>
                <w:b/>
                <w:shd w:val="clear" w:color="auto" w:fill="FFFFFF"/>
              </w:rPr>
              <w:t>£ 45,687.5</w:t>
            </w: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left"/>
              <w:rPr>
                <w:shd w:val="clear" w:color="auto" w:fill="FFFFFF"/>
              </w:rPr>
            </w:pP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b/>
                <w:bCs/>
                <w:u w:val="single"/>
                <w:shd w:val="clear" w:color="auto" w:fill="FFFFFF"/>
              </w:rPr>
              <w:t>Chemicals X</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snapToGrid w:val="0"/>
              <w:jc w:val="center"/>
              <w:rPr>
                <w:shd w:val="clear" w:color="auto" w:fill="FFFFFF"/>
              </w:rPr>
            </w:pPr>
          </w:p>
        </w:tc>
      </w:tr>
      <w:tr w:rsidR="004B6C19" w:rsidTr="00617B01">
        <w:trPr>
          <w:trHeight w:val="242"/>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(A) Revised budgeted sales * Standard Margin =</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xml:space="preserve">= 595 * 4.5 * 20 </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£ 53,550</w:t>
            </w:r>
          </w:p>
        </w:tc>
      </w:tr>
      <w:tr w:rsidR="004B6C19" w:rsidTr="00617B01">
        <w:trPr>
          <w:trHeight w:val="485"/>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(B) Actual Sales Quantity * Standard Margin</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jc w:val="center"/>
              <w:rPr>
                <w:shd w:val="clear" w:color="auto" w:fill="FFFFFF"/>
              </w:rPr>
            </w:pPr>
            <w:r>
              <w:rPr>
                <w:shd w:val="clear" w:color="auto" w:fill="FFFFFF"/>
              </w:rPr>
              <w:t>= 750 * 20</w:t>
            </w:r>
          </w:p>
        </w:tc>
        <w:tc>
          <w:tcPr>
            <w:tcW w:w="2326" w:type="dxa"/>
            <w:tcBorders>
              <w:left w:val="single" w:sz="1" w:space="0" w:color="000000"/>
              <w:bottom w:val="single" w:sz="1" w:space="0" w:color="000000"/>
              <w:right w:val="single" w:sz="1" w:space="0" w:color="000000"/>
            </w:tcBorders>
            <w:shd w:val="clear" w:color="auto" w:fill="auto"/>
            <w:vAlign w:val="bottom"/>
          </w:tcPr>
          <w:p w:rsidR="004B6C19" w:rsidRDefault="004B6C19" w:rsidP="00617B01">
            <w:pPr>
              <w:autoSpaceDE w:val="0"/>
              <w:jc w:val="center"/>
            </w:pPr>
            <w:r>
              <w:rPr>
                <w:shd w:val="clear" w:color="auto" w:fill="FFFFFF"/>
              </w:rPr>
              <w:t>£ 15,000</w:t>
            </w:r>
          </w:p>
        </w:tc>
      </w:tr>
      <w:tr w:rsidR="004B6C19" w:rsidTr="00617B01">
        <w:trPr>
          <w:trHeight w:val="477"/>
        </w:trPr>
        <w:tc>
          <w:tcPr>
            <w:tcW w:w="4713" w:type="dxa"/>
            <w:tcBorders>
              <w:left w:val="single" w:sz="1" w:space="0" w:color="000000"/>
              <w:bottom w:val="single" w:sz="1" w:space="0" w:color="000000"/>
            </w:tcBorders>
            <w:shd w:val="clear" w:color="auto" w:fill="auto"/>
            <w:vAlign w:val="bottom"/>
          </w:tcPr>
          <w:p w:rsidR="004B6C19" w:rsidRDefault="004B6C19" w:rsidP="00617B01">
            <w:pPr>
              <w:autoSpaceDE w:val="0"/>
              <w:jc w:val="left"/>
              <w:rPr>
                <w:shd w:val="clear" w:color="auto" w:fill="FFFFFF"/>
              </w:rPr>
            </w:pPr>
            <w:r>
              <w:rPr>
                <w:shd w:val="clear" w:color="auto" w:fill="FFFFFF"/>
              </w:rPr>
              <w:t>Material price planning variance  (A – B) =</w:t>
            </w:r>
          </w:p>
        </w:tc>
        <w:tc>
          <w:tcPr>
            <w:tcW w:w="2323" w:type="dxa"/>
            <w:tcBorders>
              <w:left w:val="single" w:sz="1" w:space="0" w:color="000000"/>
              <w:bottom w:val="single" w:sz="1" w:space="0" w:color="000000"/>
            </w:tcBorders>
            <w:shd w:val="clear" w:color="auto" w:fill="auto"/>
            <w:vAlign w:val="bottom"/>
          </w:tcPr>
          <w:p w:rsidR="004B6C19" w:rsidRDefault="004B6C19" w:rsidP="00617B01">
            <w:pPr>
              <w:autoSpaceDE w:val="0"/>
              <w:snapToGrid w:val="0"/>
              <w:jc w:val="left"/>
              <w:rPr>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rsidR="004B6C19" w:rsidRPr="005616C3" w:rsidRDefault="004B6C19" w:rsidP="00617B01">
            <w:pPr>
              <w:autoSpaceDE w:val="0"/>
              <w:jc w:val="center"/>
              <w:rPr>
                <w:b/>
              </w:rPr>
            </w:pPr>
            <w:r w:rsidRPr="005616C3">
              <w:rPr>
                <w:b/>
                <w:shd w:val="clear" w:color="auto" w:fill="FFFFFF"/>
              </w:rPr>
              <w:t>£ 38,550</w:t>
            </w:r>
          </w:p>
        </w:tc>
      </w:tr>
    </w:tbl>
    <w:p w:rsidR="004B6C19" w:rsidRPr="00BD622C" w:rsidRDefault="004B6C19" w:rsidP="004B6C19"/>
    <w:p w:rsidR="004B6C19" w:rsidRPr="00A30677" w:rsidRDefault="004B6C19" w:rsidP="00F70B0F">
      <w:pPr>
        <w:pStyle w:val="Heading2"/>
        <w:rPr>
          <w:rFonts w:ascii="Times New Roman" w:hAnsi="Times New Roman" w:cs="Times New Roman"/>
          <w:color w:val="000000" w:themeColor="text1"/>
          <w:sz w:val="28"/>
          <w:szCs w:val="28"/>
        </w:rPr>
      </w:pPr>
      <w:bookmarkStart w:id="16" w:name="_Toc47447120"/>
      <w:bookmarkStart w:id="17" w:name="_Toc49246166"/>
      <w:bookmarkStart w:id="18" w:name="_Toc50393394"/>
      <w:r w:rsidRPr="00A30677">
        <w:rPr>
          <w:rFonts w:ascii="Times New Roman" w:hAnsi="Times New Roman" w:cs="Times New Roman"/>
          <w:color w:val="000000" w:themeColor="text1"/>
          <w:sz w:val="28"/>
          <w:szCs w:val="28"/>
        </w:rPr>
        <w:lastRenderedPageBreak/>
        <w:t>3. Changes in operational, critical analysis of merits and demerits of using variances in assessing managers performance</w:t>
      </w:r>
      <w:bookmarkEnd w:id="16"/>
      <w:bookmarkEnd w:id="17"/>
      <w:r w:rsidR="00A30677">
        <w:rPr>
          <w:rFonts w:ascii="Times New Roman" w:hAnsi="Times New Roman" w:cs="Times New Roman"/>
          <w:color w:val="000000" w:themeColor="text1"/>
          <w:sz w:val="28"/>
          <w:szCs w:val="28"/>
        </w:rPr>
        <w:t>:</w:t>
      </w:r>
      <w:bookmarkEnd w:id="18"/>
    </w:p>
    <w:p w:rsidR="000F73A0" w:rsidRPr="00A30677" w:rsidRDefault="000F73A0" w:rsidP="00F70B0F">
      <w:pPr>
        <w:pStyle w:val="Heading2"/>
        <w:rPr>
          <w:rFonts w:ascii="Times New Roman" w:hAnsi="Times New Roman" w:cs="Times New Roman"/>
        </w:rPr>
      </w:pPr>
    </w:p>
    <w:p w:rsidR="004B6C19" w:rsidRDefault="004B6C19" w:rsidP="004B6C19">
      <w:pPr>
        <w:ind w:firstLine="576"/>
      </w:pPr>
      <w:r>
        <w:t>Variance analysis could be defined as the process of determining the difference between the standard and actual production of the entity so that it could be analysed that the enterprise is able to meet its projections or not. If the businesses are not able to predict properly then it may result in higher actual cost as compared to the budgeted figures. Due to this, losses could be faced by a business. In order to make sure that accurate projections are made the managers of all the entities are required to analyse actual position of business and then formulate decisions for future. While using variances for the purpose of formulating decisions for upcoming period it is very important for all the entities to make sure that they are aware of all the merits and demerits of it. As various variances such as sales price and volume contribution, material price planning and operational variances will be used in XLG to determine managers performance so it will eb essential for the company to analyse all the merits and demerits of using them</w:t>
      </w:r>
      <w:r>
        <w:rPr>
          <w:color w:val="222222"/>
          <w:shd w:val="clear" w:color="auto" w:fill="FFFFFF"/>
        </w:rPr>
        <w:t xml:space="preserve"> (</w:t>
      </w:r>
      <w:r w:rsidRPr="00CD2037">
        <w:rPr>
          <w:color w:val="222222"/>
          <w:shd w:val="clear" w:color="auto" w:fill="FFFFFF"/>
        </w:rPr>
        <w:t>Hiebl and Mayrleitner, 2019</w:t>
      </w:r>
      <w:r>
        <w:t xml:space="preserve">). Some of the key points that can help to understand all the benefits and drawbacks of using variances are discussed below: </w:t>
      </w:r>
    </w:p>
    <w:p w:rsidR="004B6C19" w:rsidRDefault="004B6C19" w:rsidP="00F43519">
      <w:pPr>
        <w:pStyle w:val="Heading3"/>
        <w:rPr>
          <w:rFonts w:ascii="Times New Roman" w:hAnsi="Times New Roman" w:cs="Times New Roman"/>
          <w:color w:val="000000" w:themeColor="text1"/>
        </w:rPr>
      </w:pPr>
      <w:r w:rsidRPr="00A30677">
        <w:rPr>
          <w:color w:val="000000" w:themeColor="text1"/>
        </w:rPr>
        <w:tab/>
      </w:r>
      <w:bookmarkStart w:id="19" w:name="_Toc49246167"/>
      <w:bookmarkStart w:id="20" w:name="_Toc50393395"/>
      <w:r w:rsidRPr="00A30677">
        <w:rPr>
          <w:rFonts w:ascii="Times New Roman" w:hAnsi="Times New Roman" w:cs="Times New Roman"/>
          <w:color w:val="000000" w:themeColor="text1"/>
        </w:rPr>
        <w:t>Merits of using variances: When variances will be used by entities for evaluating managers performance and other purposes then it may result in various merits. All of them are as follows:</w:t>
      </w:r>
      <w:bookmarkEnd w:id="19"/>
      <w:bookmarkEnd w:id="20"/>
    </w:p>
    <w:p w:rsidR="00A30677" w:rsidRPr="00A30677" w:rsidRDefault="00A30677" w:rsidP="00A30677"/>
    <w:p w:rsidR="004B6C19" w:rsidRDefault="004B6C19" w:rsidP="004B6C19">
      <w:pPr>
        <w:numPr>
          <w:ilvl w:val="0"/>
          <w:numId w:val="2"/>
        </w:numPr>
        <w:rPr>
          <w:b/>
          <w:bCs/>
        </w:rPr>
      </w:pPr>
      <w:r>
        <w:rPr>
          <w:b/>
          <w:bCs/>
        </w:rPr>
        <w:t>Controlling expenses:</w:t>
      </w:r>
      <w:r>
        <w:t xml:space="preserve"> Variance analysis plays a vital role in controlling the expenses because when the results of variances will be adverse then the managers can take appropriate decisions for controlling the negative situation. In order to work properly the managers, try to find the explanation for the adverse results then they take controlling related actions so that they can improve the performance of business. In case of XLG company the actual sale is very high because of the higher demand which has resulted in the adverse variance. In order to deal with this situation, the managers could have purchased more material than the standard one as it would have resulted in favourable variance (</w:t>
      </w:r>
      <w:r w:rsidRPr="00CD2037">
        <w:rPr>
          <w:color w:val="222222"/>
          <w:shd w:val="clear" w:color="auto" w:fill="FFFFFF"/>
        </w:rPr>
        <w:t>Ismail, Isa and Mia, 2018</w:t>
      </w:r>
      <w:r>
        <w:rPr>
          <w:color w:val="222222"/>
          <w:shd w:val="clear" w:color="auto" w:fill="FFFFFF"/>
        </w:rPr>
        <w:t>)</w:t>
      </w:r>
      <w:r>
        <w:t xml:space="preserve">. </w:t>
      </w:r>
    </w:p>
    <w:p w:rsidR="004B6C19" w:rsidRDefault="004B6C19" w:rsidP="004B6C19">
      <w:pPr>
        <w:numPr>
          <w:ilvl w:val="0"/>
          <w:numId w:val="2"/>
        </w:numPr>
        <w:rPr>
          <w:b/>
          <w:bCs/>
        </w:rPr>
      </w:pPr>
      <w:r>
        <w:rPr>
          <w:b/>
          <w:bCs/>
        </w:rPr>
        <w:lastRenderedPageBreak/>
        <w:t>Evaluating performance:</w:t>
      </w:r>
      <w:r>
        <w:t xml:space="preserve"> Variance analysis is used for the purpose of evaluating performance of business</w:t>
      </w:r>
      <w:r>
        <w:rPr>
          <w:b/>
          <w:bCs/>
        </w:rPr>
        <w:t xml:space="preserve"> </w:t>
      </w:r>
      <w:r>
        <w:t>by analysing that the actual results are compatible with the budgeted figures or not. It also helps to analyse the performance of controlling managers because when the variances will result favourably then it will reflect good performance of them. When the results will be adverse then it will reflect that the managers have not made efforts in making decisions or estimations correctly.</w:t>
      </w:r>
    </w:p>
    <w:p w:rsidR="004B6C19" w:rsidRDefault="004B6C19" w:rsidP="004B6C19">
      <w:pPr>
        <w:numPr>
          <w:ilvl w:val="0"/>
          <w:numId w:val="2"/>
        </w:numPr>
        <w:rPr>
          <w:b/>
          <w:bCs/>
        </w:rPr>
      </w:pPr>
      <w:r>
        <w:rPr>
          <w:b/>
          <w:bCs/>
        </w:rPr>
        <w:t>Analysis of accountability:</w:t>
      </w:r>
      <w:r>
        <w:t xml:space="preserve"> With the help of variance analysis or the calculations a system of accountability within the organisation could be established. If a manager takes action for future then it will be the main responsibility to be accountable for the same so that their performance could be analysed. It will also be very important for them to take responsibility if the results are adverse. If the level of accountability will be low in XLG then it will demonstrate the weak performance of the managers.</w:t>
      </w:r>
    </w:p>
    <w:p w:rsidR="004B6C19" w:rsidRDefault="004B6C19" w:rsidP="004B6C19">
      <w:pPr>
        <w:numPr>
          <w:ilvl w:val="0"/>
          <w:numId w:val="2"/>
        </w:numPr>
        <w:rPr>
          <w:b/>
          <w:bCs/>
        </w:rPr>
      </w:pPr>
      <w:r>
        <w:rPr>
          <w:b/>
          <w:bCs/>
        </w:rPr>
        <w:t>Adjusting budged estimations:</w:t>
      </w:r>
      <w:r>
        <w:t xml:space="preserve"> Variance analysis facilitate the adjustment of budget estimations. When the reason for the adverse variance will be wrong estimation in standard figures then the estimations will be corrected and adjusted. If the managers will be highly involved in this procedure then it will help to evaluate their performance easily and enhance performance of business. It is one of the main merits of using variances for the purpose of evaluating performance of the managers in XLG</w:t>
      </w:r>
      <w:r>
        <w:rPr>
          <w:color w:val="222222"/>
          <w:shd w:val="clear" w:color="auto" w:fill="FFFFFF"/>
        </w:rPr>
        <w:t xml:space="preserve"> (</w:t>
      </w:r>
      <w:r w:rsidRPr="00CD2037">
        <w:rPr>
          <w:color w:val="222222"/>
          <w:shd w:val="clear" w:color="auto" w:fill="FFFFFF"/>
        </w:rPr>
        <w:t>Maas, Schaltegger and Crutzen, 2016</w:t>
      </w:r>
      <w:r>
        <w:rPr>
          <w:color w:val="222222"/>
          <w:shd w:val="clear" w:color="auto" w:fill="FFFFFF"/>
        </w:rPr>
        <w:t>)</w:t>
      </w:r>
      <w:r>
        <w:t>.</w:t>
      </w:r>
    </w:p>
    <w:p w:rsidR="004B6C19" w:rsidRDefault="004B6C19" w:rsidP="004B6C19">
      <w:pPr>
        <w:numPr>
          <w:ilvl w:val="0"/>
          <w:numId w:val="2"/>
        </w:numPr>
        <w:rPr>
          <w:b/>
          <w:bCs/>
        </w:rPr>
      </w:pPr>
      <w:r>
        <w:rPr>
          <w:b/>
          <w:bCs/>
        </w:rPr>
        <w:t>Setting system for roles and responsibilities within the enterprise:</w:t>
      </w:r>
      <w:r>
        <w:t xml:space="preserve"> Variance analysis is used to set a system so that all the roles and responsibilities could be assigned to staff members properly. With the help of it, the senior managers can determine ability of all the manages and then set the system which will help to meet the future goals and objectives in long run. With the help of it, controls and efficiency within the entity could be improved and enhanced. </w:t>
      </w:r>
    </w:p>
    <w:p w:rsidR="004B6C19" w:rsidRDefault="004B6C19" w:rsidP="00F43519">
      <w:pPr>
        <w:pStyle w:val="Heading3"/>
        <w:rPr>
          <w:rFonts w:ascii="Times New Roman" w:hAnsi="Times New Roman" w:cs="Times New Roman"/>
          <w:color w:val="000000" w:themeColor="text1"/>
        </w:rPr>
      </w:pPr>
      <w:r>
        <w:tab/>
      </w:r>
      <w:bookmarkStart w:id="21" w:name="_Toc49246168"/>
      <w:bookmarkStart w:id="22" w:name="_Toc50393396"/>
      <w:r w:rsidRPr="00A30677">
        <w:rPr>
          <w:rFonts w:ascii="Times New Roman" w:hAnsi="Times New Roman" w:cs="Times New Roman"/>
          <w:color w:val="000000" w:themeColor="text1"/>
        </w:rPr>
        <w:t>Demerits of using variances: There are various types of disadvantages of variances for XLG company. All of them could be analysed with the help of following discussion:</w:t>
      </w:r>
      <w:bookmarkEnd w:id="21"/>
      <w:bookmarkEnd w:id="22"/>
    </w:p>
    <w:p w:rsidR="00A30677" w:rsidRPr="00A30677" w:rsidRDefault="00A30677" w:rsidP="00A30677"/>
    <w:p w:rsidR="004B6C19" w:rsidRPr="00291E9F" w:rsidRDefault="004B6C19" w:rsidP="004B6C19">
      <w:pPr>
        <w:numPr>
          <w:ilvl w:val="0"/>
          <w:numId w:val="3"/>
        </w:numPr>
      </w:pPr>
      <w:r>
        <w:rPr>
          <w:b/>
          <w:bCs/>
        </w:rPr>
        <w:t>Time consuming process:</w:t>
      </w:r>
      <w:r>
        <w:t xml:space="preserve"> Variance analysis is a time-consuming process which takes too much time to analyse the organisational as well as managerial performance. Due to </w:t>
      </w:r>
      <w:r>
        <w:lastRenderedPageBreak/>
        <w:t xml:space="preserve">this, the senior authority of the organisations are not able to analyse the performance of managers on time and formulate specific policies for betterment of business. Apart form this, the calculation of variances diverts the focus from improved performance of business to assessment of actual business activities which may result in issues in future. </w:t>
      </w:r>
    </w:p>
    <w:p w:rsidR="004B6C19" w:rsidRPr="00291E9F" w:rsidRDefault="004B6C19" w:rsidP="004B6C19">
      <w:pPr>
        <w:numPr>
          <w:ilvl w:val="0"/>
          <w:numId w:val="3"/>
        </w:numPr>
      </w:pPr>
      <w:r>
        <w:rPr>
          <w:b/>
          <w:bCs/>
        </w:rPr>
        <w:t xml:space="preserve">Delayed corrective actions: </w:t>
      </w:r>
      <w:r>
        <w:t>When the top-level authorities of the organisation will not be able to determine that whether the managers or company are performing well or not in time then it will also affect the action taking procedures. It will result in delayed corrective actions because the top-level executives will not be able to take right decisions on right time. Due to this, the possibility of decreased performance of business could be increased which will leave negative implications upon the attainment of all the long-term goals and objectives</w:t>
      </w:r>
      <w:r>
        <w:rPr>
          <w:color w:val="222222"/>
          <w:shd w:val="clear" w:color="auto" w:fill="FFFFFF"/>
        </w:rPr>
        <w:t xml:space="preserve"> (</w:t>
      </w:r>
      <w:r w:rsidRPr="00CD2037">
        <w:rPr>
          <w:color w:val="222222"/>
          <w:shd w:val="clear" w:color="auto" w:fill="FFFFFF"/>
        </w:rPr>
        <w:t>Matsuoka, 2020</w:t>
      </w:r>
      <w:r>
        <w:t xml:space="preserve">). </w:t>
      </w:r>
    </w:p>
    <w:p w:rsidR="004B6C19" w:rsidRPr="00291E9F" w:rsidRDefault="004B6C19" w:rsidP="004B6C19">
      <w:pPr>
        <w:numPr>
          <w:ilvl w:val="0"/>
          <w:numId w:val="3"/>
        </w:numPr>
      </w:pPr>
      <w:r>
        <w:rPr>
          <w:b/>
          <w:bCs/>
        </w:rPr>
        <w:t xml:space="preserve">Non standardisation production: </w:t>
      </w:r>
      <w:r>
        <w:t>If an entity is operating under service sector then it will be very difficult for it to apply variance analysis. As XLG is planning to go online so it will also be a part of service industry and there will be increased overhead costs so it may also create difficulties for the business. While taking the sales online it will eb very important for the managers of the enterprise to make sure that they are able to analyse variances properly as it will show their ability to perform their jobs properly.</w:t>
      </w:r>
    </w:p>
    <w:p w:rsidR="004B6C19" w:rsidRPr="00A23BF2" w:rsidRDefault="004B6C19" w:rsidP="004B6C19">
      <w:pPr>
        <w:numPr>
          <w:ilvl w:val="0"/>
          <w:numId w:val="3"/>
        </w:numPr>
      </w:pPr>
      <w:r>
        <w:rPr>
          <w:b/>
          <w:bCs/>
        </w:rPr>
        <w:t xml:space="preserve">Behavioural issues: </w:t>
      </w:r>
      <w:r>
        <w:t>variance analysis may result in short-termism because of the inherent tendency of it against the quantified and short-term objectives as well as results. Apart from this, if there will be negative perception about it then it will encourage the sub optimal behaviour among the employees. One of the examples of it is attempting to incorporate budget slacks. It is one of the main demerits of using variance analysis for the purpose of determining that managers are performing well or not (</w:t>
      </w:r>
      <w:r w:rsidRPr="00CD2037">
        <w:rPr>
          <w:color w:val="222222"/>
          <w:shd w:val="clear" w:color="auto" w:fill="FFFFFF"/>
        </w:rPr>
        <w:t>Tekathen, 2019</w:t>
      </w:r>
      <w:r>
        <w:t>).</w:t>
      </w:r>
    </w:p>
    <w:p w:rsidR="004B6C19" w:rsidRDefault="004B6C19" w:rsidP="00F43519">
      <w:pPr>
        <w:pStyle w:val="Heading1"/>
      </w:pPr>
      <w:bookmarkStart w:id="23" w:name="_Toc47447121"/>
      <w:bookmarkStart w:id="24" w:name="_Toc49246169"/>
      <w:bookmarkStart w:id="25" w:name="_Toc50393397"/>
      <w:r>
        <w:t>PART B</w:t>
      </w:r>
      <w:bookmarkEnd w:id="23"/>
      <w:bookmarkEnd w:id="24"/>
      <w:bookmarkEnd w:id="25"/>
    </w:p>
    <w:p w:rsidR="004B6C19" w:rsidRPr="00894DD0" w:rsidRDefault="004B6C19" w:rsidP="00F43519">
      <w:pPr>
        <w:pStyle w:val="Heading2"/>
        <w:rPr>
          <w:rFonts w:ascii="Times New Roman" w:hAnsi="Times New Roman" w:cs="Times New Roman"/>
          <w:color w:val="000000" w:themeColor="text1"/>
        </w:rPr>
      </w:pPr>
      <w:bookmarkStart w:id="26" w:name="_Toc47447122"/>
      <w:bookmarkStart w:id="27" w:name="_Toc49246170"/>
      <w:bookmarkStart w:id="28" w:name="_Toc50393398"/>
      <w:r w:rsidRPr="00894DD0">
        <w:rPr>
          <w:rFonts w:ascii="Times New Roman" w:hAnsi="Times New Roman" w:cs="Times New Roman"/>
          <w:color w:val="000000" w:themeColor="text1"/>
        </w:rPr>
        <w:t>Report assessing the decision to make famaQ in house in the UK to keep importing it from Brazil</w:t>
      </w:r>
      <w:bookmarkEnd w:id="26"/>
      <w:bookmarkEnd w:id="27"/>
      <w:bookmarkEnd w:id="28"/>
    </w:p>
    <w:p w:rsidR="000F73A0" w:rsidRPr="00894DD0" w:rsidRDefault="000F73A0" w:rsidP="00F43519">
      <w:pPr>
        <w:pStyle w:val="Heading2"/>
        <w:rPr>
          <w:rFonts w:ascii="Times New Roman" w:hAnsi="Times New Roman" w:cs="Times New Roman"/>
        </w:rPr>
      </w:pPr>
    </w:p>
    <w:p w:rsidR="004B6C19" w:rsidRDefault="004B6C19" w:rsidP="004B6C19">
      <w:pPr>
        <w:ind w:firstLine="576"/>
      </w:pPr>
      <w:r>
        <w:t xml:space="preserve">XLG is a chemical company which is operating its business in United Kingdom and some other locations in Europe. The market in which it is carrying out operations is very competitive </w:t>
      </w:r>
      <w:r>
        <w:lastRenderedPageBreak/>
        <w:t>and one of the main chemicals that prov</w:t>
      </w:r>
      <w:r w:rsidR="000F73A0">
        <w:t>a</w:t>
      </w:r>
      <w:r>
        <w:t>ides it competitive advantage is famaQ which is imported from Brazil. In the second quarter of March month of 2020 the nationwide lockdown took place and it was enforced by the legal authorities of United Kingdom. Due to this, pandemic the entity planned to move its sales online so that it can deal with all the challenges that are taking place because of lockdown. As on</w:t>
      </w:r>
      <w:r w:rsidR="000F73A0">
        <w:t>e of the main chemicals which are</w:t>
      </w:r>
      <w:r>
        <w:t xml:space="preserve"> used by the organisation to make the final product is imported from Brazil so it may result in problems for carrying out business in systematic manner. It will be very important for the company to make sure that it deals with all the negative implications which could be resulted due to this. For XLG it will be impossible to import famaQ from Brazil because of Lockdown. Apart from this, if it will be imported then it may result in various risks. These are increased possibility of spreading the corona virus, higher delivery time, increased cost etc. Apart from this, if it will not be imported then it may result is decreased competitive advantage because the main chemical that helps it to attain it is famaQ (</w:t>
      </w:r>
      <w:r w:rsidRPr="00CD2037">
        <w:rPr>
          <w:color w:val="222222"/>
          <w:shd w:val="clear" w:color="auto" w:fill="FFFFFF"/>
        </w:rPr>
        <w:t>Van der Stede, 2016</w:t>
      </w:r>
      <w:r>
        <w:rPr>
          <w:color w:val="222222"/>
          <w:shd w:val="clear" w:color="auto" w:fill="FFFFFF"/>
        </w:rPr>
        <w:t>)</w:t>
      </w:r>
      <w:r>
        <w:t>. Additionally, it has been estimated that the demand for chemical X and Y will be increased by 45% and it will likely to continue according to market research. One of the main solutions which could be focused by the organisation is making the famaQ in UK so that it can meet the market demand. If it will be manufactured within United Kingdom then the delivery time will be reduced by 15 working days which means the entity can start its production early. Apart from this, the per unit cost of manufacturing famaQ in UK will be 3 pounds which is low as compared to the imported cost which is 3.7 pounds per unit. It shows that the organisation should make famaQ in UK rather than importing it from Brazil as it will result in various benefits for business. Some of the key benefits of it are as follows:</w:t>
      </w:r>
    </w:p>
    <w:p w:rsidR="004B6C19" w:rsidRDefault="004B6C19" w:rsidP="004B6C19">
      <w:pPr>
        <w:numPr>
          <w:ilvl w:val="0"/>
          <w:numId w:val="4"/>
        </w:numPr>
      </w:pPr>
      <w:r>
        <w:t>When famaQ will be imported then it will facilitate the business as the cost of manufacturing is very low as compared to the imported cost.</w:t>
      </w:r>
    </w:p>
    <w:p w:rsidR="004B6C19" w:rsidRDefault="004B6C19" w:rsidP="004B6C19">
      <w:pPr>
        <w:numPr>
          <w:ilvl w:val="0"/>
          <w:numId w:val="4"/>
        </w:numPr>
      </w:pPr>
      <w:r>
        <w:t>The delivery time will be reduced by 15 days which can help to start the production earlier and meet the market demand.</w:t>
      </w:r>
    </w:p>
    <w:p w:rsidR="004B6C19" w:rsidRDefault="004B6C19" w:rsidP="004B6C19">
      <w:pPr>
        <w:numPr>
          <w:ilvl w:val="0"/>
          <w:numId w:val="4"/>
        </w:numPr>
      </w:pPr>
      <w:r>
        <w:t>The possibility of spreading corona virus will be nil if the famaQ chemical will be manufactured rather than importing it from Brazil.</w:t>
      </w:r>
    </w:p>
    <w:p w:rsidR="004B6C19" w:rsidRDefault="004B6C19" w:rsidP="004B6C19">
      <w:pPr>
        <w:numPr>
          <w:ilvl w:val="0"/>
          <w:numId w:val="4"/>
        </w:numPr>
      </w:pPr>
      <w:r>
        <w:t>In Lockdown it will be very difficult to import goods so making famaQ in United Kingdom is right choice for carrying out all the operations in systematic manner in future.</w:t>
      </w:r>
    </w:p>
    <w:p w:rsidR="004B6C19" w:rsidRDefault="004B6C19" w:rsidP="004B6C19">
      <w:pPr>
        <w:ind w:firstLine="720"/>
      </w:pPr>
      <w:r>
        <w:lastRenderedPageBreak/>
        <w:t>By analysing all the above aspects, risks from importing and benefits of making famaQ in UK it has been analysed that XLG should manufacture the chemical in UK rather than importing it from Brazil as it will be beneficial for growth and development of business</w:t>
      </w:r>
      <w:r>
        <w:rPr>
          <w:color w:val="222222"/>
          <w:shd w:val="clear" w:color="auto" w:fill="FFFFFF"/>
        </w:rPr>
        <w:t xml:space="preserve"> (</w:t>
      </w:r>
      <w:r w:rsidRPr="00CD2037">
        <w:rPr>
          <w:color w:val="222222"/>
          <w:shd w:val="clear" w:color="auto" w:fill="FFFFFF"/>
        </w:rPr>
        <w:t>Van der Stede, 2017</w:t>
      </w:r>
      <w:r>
        <w:t>).</w:t>
      </w:r>
    </w:p>
    <w:p w:rsidR="000F73A0" w:rsidRPr="00AB794F" w:rsidRDefault="000F73A0" w:rsidP="004B6C19">
      <w:pPr>
        <w:ind w:firstLine="720"/>
      </w:pPr>
    </w:p>
    <w:p w:rsidR="004B6C19" w:rsidRDefault="004B6C19" w:rsidP="00F43519">
      <w:pPr>
        <w:pStyle w:val="Heading1"/>
      </w:pPr>
      <w:bookmarkStart w:id="29" w:name="_Toc47447123"/>
      <w:bookmarkStart w:id="30" w:name="_Toc49246171"/>
      <w:bookmarkStart w:id="31" w:name="_Toc50393399"/>
      <w:r>
        <w:t>CONCLUSION</w:t>
      </w:r>
      <w:bookmarkEnd w:id="29"/>
      <w:bookmarkEnd w:id="30"/>
      <w:bookmarkEnd w:id="31"/>
    </w:p>
    <w:p w:rsidR="000F73A0" w:rsidRPr="000F73A0" w:rsidRDefault="000F73A0" w:rsidP="000F73A0"/>
    <w:p w:rsidR="004B6C19" w:rsidRDefault="004B6C19" w:rsidP="004B6C19">
      <w:pPr>
        <w:ind w:firstLine="720"/>
      </w:pPr>
      <w:r>
        <w:t>The above project report concludes that management accounting is an approach which is used by internal stakeholders for the purpose of assessing actual position of business. While planning to make strategic decisions for future it will be very important for all the organisations to make sure that they are using effective techniques. One of them is variance analysis. With the help of it, actual performance of business as well as the managers could be determined. While using it, it will be very important to be aware of all its merits and demerits so that effective decisions by using it could be formulated for future.</w:t>
      </w:r>
    </w:p>
    <w:p w:rsidR="000F73A0" w:rsidRDefault="000F73A0" w:rsidP="004B6C19">
      <w:pPr>
        <w:ind w:firstLine="720"/>
      </w:pPr>
    </w:p>
    <w:p w:rsidR="000F73A0" w:rsidRDefault="000F73A0" w:rsidP="004B6C19">
      <w:pPr>
        <w:ind w:firstLine="720"/>
      </w:pPr>
    </w:p>
    <w:p w:rsidR="004B6C19" w:rsidRDefault="004B6C19" w:rsidP="00F43519">
      <w:pPr>
        <w:pStyle w:val="Heading1"/>
      </w:pPr>
      <w:bookmarkStart w:id="32" w:name="_Toc47447124"/>
      <w:bookmarkStart w:id="33" w:name="_Toc49246172"/>
      <w:bookmarkStart w:id="34" w:name="_Toc50393400"/>
      <w:r>
        <w:t>REFERENCES</w:t>
      </w:r>
      <w:bookmarkEnd w:id="32"/>
      <w:bookmarkEnd w:id="33"/>
      <w:bookmarkEnd w:id="34"/>
    </w:p>
    <w:p w:rsidR="004B6C19" w:rsidRDefault="004B6C19" w:rsidP="004B6C19">
      <w:pPr>
        <w:rPr>
          <w:u w:val="single"/>
        </w:rPr>
      </w:pPr>
      <w:r>
        <w:rPr>
          <w:u w:val="single"/>
        </w:rPr>
        <w:t>Books and Journals:</w:t>
      </w:r>
    </w:p>
    <w:p w:rsidR="004B6C19" w:rsidRPr="00CD2037" w:rsidRDefault="004B6C19" w:rsidP="004B6C19">
      <w:pPr>
        <w:spacing w:line="240" w:lineRule="auto"/>
        <w:ind w:left="851" w:hanging="851"/>
      </w:pPr>
      <w:r w:rsidRPr="00CD2037">
        <w:rPr>
          <w:color w:val="222222"/>
          <w:shd w:val="clear" w:color="auto" w:fill="FFFFFF"/>
        </w:rPr>
        <w:t>Adler, R.</w:t>
      </w:r>
      <w:r>
        <w:rPr>
          <w:color w:val="222222"/>
          <w:shd w:val="clear" w:color="auto" w:fill="FFFFFF"/>
        </w:rPr>
        <w:t xml:space="preserve"> </w:t>
      </w:r>
      <w:r w:rsidRPr="00CD2037">
        <w:rPr>
          <w:color w:val="222222"/>
          <w:shd w:val="clear" w:color="auto" w:fill="FFFFFF"/>
        </w:rPr>
        <w:t>W., 2018. </w:t>
      </w:r>
      <w:r w:rsidRPr="00CD2037">
        <w:rPr>
          <w:i/>
          <w:iCs/>
          <w:color w:val="222222"/>
          <w:shd w:val="clear" w:color="auto" w:fill="FFFFFF"/>
        </w:rPr>
        <w:t>Strategic performance management: Accounting for organizational control</w:t>
      </w:r>
      <w:r w:rsidRPr="00CD2037">
        <w:rPr>
          <w:color w:val="222222"/>
          <w:shd w:val="clear" w:color="auto" w:fill="FFFFFF"/>
        </w:rPr>
        <w:t>. Taylor &amp; Francis.</w:t>
      </w:r>
    </w:p>
    <w:p w:rsidR="004B6C19" w:rsidRPr="00CD2037" w:rsidRDefault="004B6C19" w:rsidP="004B6C19">
      <w:pPr>
        <w:spacing w:line="240" w:lineRule="auto"/>
        <w:ind w:left="851" w:hanging="851"/>
      </w:pPr>
      <w:r w:rsidRPr="00CD2037">
        <w:rPr>
          <w:color w:val="222222"/>
          <w:shd w:val="clear" w:color="auto" w:fill="FFFFFF"/>
        </w:rPr>
        <w:t>Bromwich, M. and Scapens, R.</w:t>
      </w:r>
      <w:r>
        <w:rPr>
          <w:color w:val="222222"/>
          <w:shd w:val="clear" w:color="auto" w:fill="FFFFFF"/>
        </w:rPr>
        <w:t xml:space="preserve"> </w:t>
      </w:r>
      <w:r w:rsidRPr="00CD2037">
        <w:rPr>
          <w:color w:val="222222"/>
          <w:shd w:val="clear" w:color="auto" w:fill="FFFFFF"/>
        </w:rPr>
        <w:t>W., 2016. Management accounting research: 25 years on. </w:t>
      </w:r>
      <w:r w:rsidRPr="00CD2037">
        <w:rPr>
          <w:i/>
          <w:iCs/>
          <w:color w:val="222222"/>
          <w:shd w:val="clear" w:color="auto" w:fill="FFFFFF"/>
        </w:rPr>
        <w:t>Management Accounting Research</w:t>
      </w:r>
      <w:r>
        <w:rPr>
          <w:color w:val="222222"/>
          <w:shd w:val="clear" w:color="auto" w:fill="FFFFFF"/>
        </w:rPr>
        <w:t xml:space="preserve">. </w:t>
      </w:r>
      <w:r w:rsidRPr="00314662">
        <w:rPr>
          <w:color w:val="222222"/>
          <w:shd w:val="clear" w:color="auto" w:fill="FFFFFF"/>
        </w:rPr>
        <w:t>31</w:t>
      </w:r>
      <w:r>
        <w:rPr>
          <w:color w:val="222222"/>
          <w:shd w:val="clear" w:color="auto" w:fill="FFFFFF"/>
        </w:rPr>
        <w:t>.</w:t>
      </w:r>
      <w:r w:rsidRPr="00CD2037">
        <w:rPr>
          <w:color w:val="222222"/>
          <w:shd w:val="clear" w:color="auto" w:fill="FFFFFF"/>
        </w:rPr>
        <w:t xml:space="preserve"> pp.1-9.</w:t>
      </w:r>
    </w:p>
    <w:p w:rsidR="004B6C19" w:rsidRPr="00CD2037" w:rsidRDefault="004B6C19" w:rsidP="004B6C19">
      <w:pPr>
        <w:spacing w:line="240" w:lineRule="auto"/>
        <w:ind w:left="851" w:hanging="851"/>
      </w:pPr>
      <w:r w:rsidRPr="00CD2037">
        <w:rPr>
          <w:color w:val="222222"/>
          <w:shd w:val="clear" w:color="auto" w:fill="FFFFFF"/>
        </w:rPr>
        <w:t>Eldenburg, L.</w:t>
      </w:r>
      <w:r>
        <w:rPr>
          <w:color w:val="222222"/>
          <w:shd w:val="clear" w:color="auto" w:fill="FFFFFF"/>
        </w:rPr>
        <w:t xml:space="preserve"> </w:t>
      </w:r>
      <w:r w:rsidRPr="00CD2037">
        <w:rPr>
          <w:color w:val="222222"/>
          <w:shd w:val="clear" w:color="auto" w:fill="FFFFFF"/>
        </w:rPr>
        <w:t>G., Krishnan, H.</w:t>
      </w:r>
      <w:r>
        <w:rPr>
          <w:color w:val="222222"/>
          <w:shd w:val="clear" w:color="auto" w:fill="FFFFFF"/>
        </w:rPr>
        <w:t xml:space="preserve"> </w:t>
      </w:r>
      <w:r w:rsidRPr="00CD2037">
        <w:rPr>
          <w:color w:val="222222"/>
          <w:shd w:val="clear" w:color="auto" w:fill="FFFFFF"/>
        </w:rPr>
        <w:t>A. and Krishnan, R., 2017. Management accounting and control in the hospital industry: A review. </w:t>
      </w:r>
      <w:r w:rsidRPr="00CD2037">
        <w:rPr>
          <w:i/>
          <w:iCs/>
          <w:color w:val="222222"/>
          <w:shd w:val="clear" w:color="auto" w:fill="FFFFFF"/>
        </w:rPr>
        <w:t>Journal of Governmental &amp; Nonprofit Accounting</w:t>
      </w:r>
      <w:r>
        <w:rPr>
          <w:color w:val="222222"/>
          <w:shd w:val="clear" w:color="auto" w:fill="FFFFFF"/>
        </w:rPr>
        <w:t xml:space="preserve">. </w:t>
      </w:r>
      <w:r w:rsidRPr="00314662">
        <w:rPr>
          <w:color w:val="222222"/>
          <w:shd w:val="clear" w:color="auto" w:fill="FFFFFF"/>
        </w:rPr>
        <w:t>6</w:t>
      </w:r>
      <w:r w:rsidRPr="00CD2037">
        <w:rPr>
          <w:color w:val="222222"/>
          <w:shd w:val="clear" w:color="auto" w:fill="FFFFFF"/>
        </w:rPr>
        <w:t>(1)</w:t>
      </w:r>
      <w:r>
        <w:rPr>
          <w:color w:val="222222"/>
          <w:shd w:val="clear" w:color="auto" w:fill="FFFFFF"/>
        </w:rPr>
        <w:t>.</w:t>
      </w:r>
      <w:r w:rsidRPr="00CD2037">
        <w:rPr>
          <w:color w:val="222222"/>
          <w:shd w:val="clear" w:color="auto" w:fill="FFFFFF"/>
        </w:rPr>
        <w:t xml:space="preserve"> pp.52-91.</w:t>
      </w:r>
    </w:p>
    <w:p w:rsidR="004B6C19" w:rsidRPr="00CD2037" w:rsidRDefault="004B6C19" w:rsidP="004B6C19">
      <w:pPr>
        <w:spacing w:line="240" w:lineRule="auto"/>
        <w:ind w:left="851" w:hanging="851"/>
      </w:pPr>
      <w:r w:rsidRPr="00CD2037">
        <w:rPr>
          <w:color w:val="222222"/>
          <w:shd w:val="clear" w:color="auto" w:fill="FFFFFF"/>
        </w:rPr>
        <w:t>Hiebl, M.</w:t>
      </w:r>
      <w:r>
        <w:rPr>
          <w:color w:val="222222"/>
          <w:shd w:val="clear" w:color="auto" w:fill="FFFFFF"/>
        </w:rPr>
        <w:t xml:space="preserve"> </w:t>
      </w:r>
      <w:r w:rsidRPr="00CD2037">
        <w:rPr>
          <w:color w:val="222222"/>
          <w:shd w:val="clear" w:color="auto" w:fill="FFFFFF"/>
        </w:rPr>
        <w:t>R. and Mayrleitner, B., 2019. Professionalization of management accounting in family firms: the impact of family members. </w:t>
      </w:r>
      <w:r w:rsidRPr="00CD2037">
        <w:rPr>
          <w:i/>
          <w:iCs/>
          <w:color w:val="222222"/>
          <w:shd w:val="clear" w:color="auto" w:fill="FFFFFF"/>
        </w:rPr>
        <w:t>Review of Managerial Science</w:t>
      </w:r>
      <w:r>
        <w:rPr>
          <w:color w:val="222222"/>
          <w:shd w:val="clear" w:color="auto" w:fill="FFFFFF"/>
        </w:rPr>
        <w:t xml:space="preserve">. </w:t>
      </w:r>
      <w:r w:rsidRPr="00314662">
        <w:rPr>
          <w:color w:val="222222"/>
          <w:shd w:val="clear" w:color="auto" w:fill="FFFFFF"/>
        </w:rPr>
        <w:t>13</w:t>
      </w:r>
      <w:r w:rsidRPr="00CD2037">
        <w:rPr>
          <w:color w:val="222222"/>
          <w:shd w:val="clear" w:color="auto" w:fill="FFFFFF"/>
        </w:rPr>
        <w:t>(5)</w:t>
      </w:r>
      <w:r>
        <w:rPr>
          <w:color w:val="222222"/>
          <w:shd w:val="clear" w:color="auto" w:fill="FFFFFF"/>
        </w:rPr>
        <w:t>.</w:t>
      </w:r>
      <w:r w:rsidRPr="00CD2037">
        <w:rPr>
          <w:color w:val="222222"/>
          <w:shd w:val="clear" w:color="auto" w:fill="FFFFFF"/>
        </w:rPr>
        <w:t xml:space="preserve"> pp.1037-1068.</w:t>
      </w:r>
    </w:p>
    <w:p w:rsidR="004B6C19" w:rsidRPr="00CD2037" w:rsidRDefault="004B6C19" w:rsidP="004B6C19">
      <w:pPr>
        <w:spacing w:line="240" w:lineRule="auto"/>
        <w:ind w:left="851" w:hanging="851"/>
      </w:pPr>
      <w:r w:rsidRPr="00CD2037">
        <w:rPr>
          <w:color w:val="222222"/>
          <w:shd w:val="clear" w:color="auto" w:fill="FFFFFF"/>
        </w:rPr>
        <w:t>Ismail, K., Isa, C.</w:t>
      </w:r>
      <w:r>
        <w:rPr>
          <w:color w:val="222222"/>
          <w:shd w:val="clear" w:color="auto" w:fill="FFFFFF"/>
        </w:rPr>
        <w:t xml:space="preserve"> </w:t>
      </w:r>
      <w:r w:rsidRPr="00CD2037">
        <w:rPr>
          <w:color w:val="222222"/>
          <w:shd w:val="clear" w:color="auto" w:fill="FFFFFF"/>
        </w:rPr>
        <w:t>R. and Mia, L., 2018. Market competition, lean manufacturing practices and the role of management accounting systems (MAS) information. </w:t>
      </w:r>
      <w:r w:rsidRPr="00CD2037">
        <w:rPr>
          <w:i/>
          <w:iCs/>
          <w:color w:val="222222"/>
          <w:shd w:val="clear" w:color="auto" w:fill="FFFFFF"/>
        </w:rPr>
        <w:t>Jurnal Pengurusan (UKM Journal of Management)</w:t>
      </w:r>
      <w:r>
        <w:rPr>
          <w:color w:val="222222"/>
          <w:shd w:val="clear" w:color="auto" w:fill="FFFFFF"/>
        </w:rPr>
        <w:t>.</w:t>
      </w:r>
      <w:r w:rsidRPr="00314662">
        <w:rPr>
          <w:color w:val="222222"/>
          <w:shd w:val="clear" w:color="auto" w:fill="FFFFFF"/>
        </w:rPr>
        <w:t> 52</w:t>
      </w:r>
      <w:r w:rsidRPr="00CD2037">
        <w:rPr>
          <w:color w:val="222222"/>
          <w:shd w:val="clear" w:color="auto" w:fill="FFFFFF"/>
        </w:rPr>
        <w:t>.</w:t>
      </w:r>
    </w:p>
    <w:p w:rsidR="004B6C19" w:rsidRPr="00CD2037" w:rsidRDefault="004B6C19" w:rsidP="004B6C19">
      <w:pPr>
        <w:spacing w:line="240" w:lineRule="auto"/>
        <w:ind w:left="851" w:hanging="851"/>
      </w:pPr>
      <w:r w:rsidRPr="00CD2037">
        <w:rPr>
          <w:color w:val="222222"/>
          <w:shd w:val="clear" w:color="auto" w:fill="FFFFFF"/>
        </w:rPr>
        <w:t>Maas, K., Schaltegger, S. and Crutzen, N., 2016. Integrating corporate sustainability assessment, management accounting, control, and reporting. </w:t>
      </w:r>
      <w:r w:rsidRPr="00CD2037">
        <w:rPr>
          <w:i/>
          <w:iCs/>
          <w:color w:val="222222"/>
          <w:shd w:val="clear" w:color="auto" w:fill="FFFFFF"/>
        </w:rPr>
        <w:t>Journal of Cleaner Production</w:t>
      </w:r>
      <w:r>
        <w:rPr>
          <w:color w:val="222222"/>
          <w:shd w:val="clear" w:color="auto" w:fill="FFFFFF"/>
        </w:rPr>
        <w:t xml:space="preserve">. </w:t>
      </w:r>
      <w:r w:rsidRPr="00314662">
        <w:rPr>
          <w:color w:val="222222"/>
          <w:shd w:val="clear" w:color="auto" w:fill="FFFFFF"/>
        </w:rPr>
        <w:t>136</w:t>
      </w:r>
      <w:r>
        <w:rPr>
          <w:color w:val="222222"/>
          <w:shd w:val="clear" w:color="auto" w:fill="FFFFFF"/>
        </w:rPr>
        <w:t>.</w:t>
      </w:r>
      <w:r w:rsidRPr="00CD2037">
        <w:rPr>
          <w:color w:val="222222"/>
          <w:shd w:val="clear" w:color="auto" w:fill="FFFFFF"/>
        </w:rPr>
        <w:t xml:space="preserve"> pp.237-248.</w:t>
      </w:r>
    </w:p>
    <w:p w:rsidR="004B6C19" w:rsidRPr="00CD2037" w:rsidRDefault="004B6C19" w:rsidP="004B6C19">
      <w:pPr>
        <w:spacing w:line="240" w:lineRule="auto"/>
        <w:ind w:left="851" w:hanging="851"/>
      </w:pPr>
      <w:r w:rsidRPr="00CD2037">
        <w:rPr>
          <w:color w:val="222222"/>
          <w:shd w:val="clear" w:color="auto" w:fill="FFFFFF"/>
        </w:rPr>
        <w:t>Matsuoka, K., 2020. Exploring the interface between management accounting and marketing: a literature review of customer accounting. </w:t>
      </w:r>
      <w:r w:rsidRPr="00CD2037">
        <w:rPr>
          <w:i/>
          <w:iCs/>
          <w:color w:val="222222"/>
          <w:shd w:val="clear" w:color="auto" w:fill="FFFFFF"/>
        </w:rPr>
        <w:t>Journal of Management Control</w:t>
      </w:r>
      <w:r>
        <w:rPr>
          <w:color w:val="222222"/>
          <w:shd w:val="clear" w:color="auto" w:fill="FFFFFF"/>
        </w:rPr>
        <w:t>.</w:t>
      </w:r>
      <w:r w:rsidRPr="00CD2037">
        <w:rPr>
          <w:color w:val="222222"/>
          <w:shd w:val="clear" w:color="auto" w:fill="FFFFFF"/>
        </w:rPr>
        <w:t xml:space="preserve"> pp.1-52.</w:t>
      </w:r>
    </w:p>
    <w:p w:rsidR="004B6C19" w:rsidRPr="00CD2037" w:rsidRDefault="004B6C19" w:rsidP="004B6C19">
      <w:pPr>
        <w:spacing w:line="240" w:lineRule="auto"/>
        <w:ind w:left="851" w:hanging="851"/>
      </w:pPr>
      <w:r w:rsidRPr="00CD2037">
        <w:rPr>
          <w:color w:val="222222"/>
          <w:shd w:val="clear" w:color="auto" w:fill="FFFFFF"/>
        </w:rPr>
        <w:lastRenderedPageBreak/>
        <w:t>Tekathen, M., 2019. Unpacking the Fluidity of Management Accounting Concepts: An Ethnographic Social Site Analysis of Enterprise Risk Management. </w:t>
      </w:r>
      <w:r w:rsidRPr="00CD2037">
        <w:rPr>
          <w:i/>
          <w:iCs/>
          <w:color w:val="222222"/>
          <w:shd w:val="clear" w:color="auto" w:fill="FFFFFF"/>
        </w:rPr>
        <w:t>European Accounting Review</w:t>
      </w:r>
      <w:r>
        <w:rPr>
          <w:color w:val="222222"/>
          <w:shd w:val="clear" w:color="auto" w:fill="FFFFFF"/>
        </w:rPr>
        <w:t xml:space="preserve">. </w:t>
      </w:r>
      <w:r w:rsidRPr="00314662">
        <w:rPr>
          <w:color w:val="222222"/>
          <w:shd w:val="clear" w:color="auto" w:fill="FFFFFF"/>
        </w:rPr>
        <w:t>28</w:t>
      </w:r>
      <w:r w:rsidRPr="00CD2037">
        <w:rPr>
          <w:color w:val="222222"/>
          <w:shd w:val="clear" w:color="auto" w:fill="FFFFFF"/>
        </w:rPr>
        <w:t>(5)</w:t>
      </w:r>
      <w:r>
        <w:rPr>
          <w:color w:val="222222"/>
          <w:shd w:val="clear" w:color="auto" w:fill="FFFFFF"/>
        </w:rPr>
        <w:t>.</w:t>
      </w:r>
      <w:r w:rsidRPr="00CD2037">
        <w:rPr>
          <w:color w:val="222222"/>
          <w:shd w:val="clear" w:color="auto" w:fill="FFFFFF"/>
        </w:rPr>
        <w:t xml:space="preserve"> pp.977-1010.</w:t>
      </w:r>
    </w:p>
    <w:p w:rsidR="004B6C19" w:rsidRPr="00CD2037" w:rsidRDefault="004B6C19" w:rsidP="004B6C19">
      <w:pPr>
        <w:spacing w:line="240" w:lineRule="auto"/>
        <w:ind w:left="851" w:hanging="851"/>
      </w:pPr>
      <w:r w:rsidRPr="00CD2037">
        <w:rPr>
          <w:color w:val="222222"/>
          <w:shd w:val="clear" w:color="auto" w:fill="FFFFFF"/>
        </w:rPr>
        <w:t>Van der Stede, W.</w:t>
      </w:r>
      <w:r>
        <w:rPr>
          <w:color w:val="222222"/>
          <w:shd w:val="clear" w:color="auto" w:fill="FFFFFF"/>
        </w:rPr>
        <w:t xml:space="preserve"> </w:t>
      </w:r>
      <w:r w:rsidRPr="00CD2037">
        <w:rPr>
          <w:color w:val="222222"/>
          <w:shd w:val="clear" w:color="auto" w:fill="FFFFFF"/>
        </w:rPr>
        <w:t>A., 2016. Management accounting in context: Industry, regulation and informatics. </w:t>
      </w:r>
      <w:r w:rsidRPr="00CD2037">
        <w:rPr>
          <w:i/>
          <w:iCs/>
          <w:color w:val="222222"/>
          <w:shd w:val="clear" w:color="auto" w:fill="FFFFFF"/>
        </w:rPr>
        <w:t>Management Accounting Research</w:t>
      </w:r>
      <w:r>
        <w:rPr>
          <w:color w:val="222222"/>
          <w:shd w:val="clear" w:color="auto" w:fill="FFFFFF"/>
        </w:rPr>
        <w:t>.</w:t>
      </w:r>
      <w:r w:rsidRPr="00CD2037">
        <w:rPr>
          <w:color w:val="222222"/>
          <w:shd w:val="clear" w:color="auto" w:fill="FFFFFF"/>
        </w:rPr>
        <w:t> </w:t>
      </w:r>
      <w:r w:rsidRPr="00314662">
        <w:rPr>
          <w:color w:val="222222"/>
          <w:shd w:val="clear" w:color="auto" w:fill="FFFFFF"/>
        </w:rPr>
        <w:t>31</w:t>
      </w:r>
      <w:r>
        <w:rPr>
          <w:color w:val="222222"/>
          <w:shd w:val="clear" w:color="auto" w:fill="FFFFFF"/>
        </w:rPr>
        <w:t>.</w:t>
      </w:r>
      <w:r w:rsidRPr="00CD2037">
        <w:rPr>
          <w:color w:val="222222"/>
          <w:shd w:val="clear" w:color="auto" w:fill="FFFFFF"/>
        </w:rPr>
        <w:t xml:space="preserve"> pp.100-102.</w:t>
      </w:r>
    </w:p>
    <w:p w:rsidR="004B6C19" w:rsidRDefault="004B6C19" w:rsidP="004B6C19">
      <w:pPr>
        <w:spacing w:line="240" w:lineRule="auto"/>
        <w:ind w:left="851" w:hanging="851"/>
      </w:pPr>
      <w:r w:rsidRPr="00CD2037">
        <w:rPr>
          <w:color w:val="222222"/>
          <w:shd w:val="clear" w:color="auto" w:fill="FFFFFF"/>
        </w:rPr>
        <w:t>Van der Stede, W.</w:t>
      </w:r>
      <w:r>
        <w:rPr>
          <w:color w:val="222222"/>
          <w:shd w:val="clear" w:color="auto" w:fill="FFFFFF"/>
        </w:rPr>
        <w:t xml:space="preserve"> </w:t>
      </w:r>
      <w:r w:rsidRPr="00CD2037">
        <w:rPr>
          <w:color w:val="222222"/>
          <w:shd w:val="clear" w:color="auto" w:fill="FFFFFF"/>
        </w:rPr>
        <w:t>A., 2017. “Global” management accounting research: some reflections. </w:t>
      </w:r>
      <w:r w:rsidRPr="00CD2037">
        <w:rPr>
          <w:i/>
          <w:iCs/>
          <w:color w:val="222222"/>
          <w:shd w:val="clear" w:color="auto" w:fill="FFFFFF"/>
        </w:rPr>
        <w:t>Journal of International Accounting Research</w:t>
      </w:r>
      <w:r>
        <w:rPr>
          <w:color w:val="222222"/>
          <w:shd w:val="clear" w:color="auto" w:fill="FFFFFF"/>
        </w:rPr>
        <w:t xml:space="preserve">. </w:t>
      </w:r>
      <w:r w:rsidRPr="00314662">
        <w:rPr>
          <w:color w:val="222222"/>
          <w:shd w:val="clear" w:color="auto" w:fill="FFFFFF"/>
        </w:rPr>
        <w:t>16</w:t>
      </w:r>
      <w:r w:rsidRPr="00CD2037">
        <w:rPr>
          <w:color w:val="222222"/>
          <w:shd w:val="clear" w:color="auto" w:fill="FFFFFF"/>
        </w:rPr>
        <w:t>(2)</w:t>
      </w:r>
      <w:r>
        <w:rPr>
          <w:color w:val="222222"/>
          <w:shd w:val="clear" w:color="auto" w:fill="FFFFFF"/>
        </w:rPr>
        <w:t>.</w:t>
      </w:r>
      <w:r w:rsidRPr="00CD2037">
        <w:rPr>
          <w:color w:val="222222"/>
          <w:shd w:val="clear" w:color="auto" w:fill="FFFFFF"/>
        </w:rPr>
        <w:t xml:space="preserve"> pp.1-8.</w:t>
      </w:r>
    </w:p>
    <w:p w:rsidR="00494F23" w:rsidRPr="00494F23" w:rsidRDefault="00494F23" w:rsidP="00494F23"/>
    <w:sectPr w:rsidR="00494F23" w:rsidRPr="00494F23" w:rsidSect="00A30677">
      <w:footerReference w:type="default" r:id="rId8"/>
      <w:headerReference w:type="first" r:id="rId9"/>
      <w:footerReference w:type="first" r:id="rId10"/>
      <w:pgSz w:w="12240" w:h="15840"/>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24E0" w:rsidRDefault="005824E0" w:rsidP="00CD14CC">
      <w:pPr>
        <w:spacing w:line="240" w:lineRule="auto"/>
      </w:pPr>
      <w:r>
        <w:separator/>
      </w:r>
    </w:p>
  </w:endnote>
  <w:endnote w:type="continuationSeparator" w:id="1">
    <w:p w:rsidR="005824E0" w:rsidRDefault="005824E0" w:rsidP="00CD14C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182163"/>
      <w:docPartObj>
        <w:docPartGallery w:val="Page Numbers (Bottom of Page)"/>
        <w:docPartUnique/>
      </w:docPartObj>
    </w:sdtPr>
    <w:sdtContent>
      <w:p w:rsidR="009630F2" w:rsidRDefault="009630F2">
        <w:pPr>
          <w:pStyle w:val="Footer"/>
          <w:jc w:val="center"/>
        </w:pPr>
        <w:fldSimple w:instr=" PAGE   \* MERGEFORMAT ">
          <w:r>
            <w:rPr>
              <w:noProof/>
            </w:rPr>
            <w:t>3</w:t>
          </w:r>
        </w:fldSimple>
      </w:p>
    </w:sdtContent>
  </w:sdt>
  <w:p w:rsidR="00F43519" w:rsidRDefault="00F4351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677" w:rsidRDefault="00A30677">
    <w:pPr>
      <w:pStyle w:val="Footer"/>
      <w:jc w:val="right"/>
    </w:pPr>
  </w:p>
  <w:p w:rsidR="00F43519" w:rsidRDefault="00F435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24E0" w:rsidRDefault="005824E0" w:rsidP="00CD14CC">
      <w:pPr>
        <w:spacing w:line="240" w:lineRule="auto"/>
      </w:pPr>
      <w:r>
        <w:separator/>
      </w:r>
    </w:p>
  </w:footnote>
  <w:footnote w:type="continuationSeparator" w:id="1">
    <w:p w:rsidR="005824E0" w:rsidRDefault="005824E0" w:rsidP="00CD14C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519" w:rsidRDefault="00F43519" w:rsidP="00F43519">
    <w:pPr>
      <w:pStyle w:val="Heading1"/>
    </w:pPr>
  </w:p>
  <w:p w:rsidR="00F43519" w:rsidRDefault="00F4351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5842168A"/>
    <w:multiLevelType w:val="hybridMultilevel"/>
    <w:tmpl w:val="A0D0C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A84F7A"/>
    <w:multiLevelType w:val="hybridMultilevel"/>
    <w:tmpl w:val="8F1CA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072365"/>
    <w:multiLevelType w:val="hybridMultilevel"/>
    <w:tmpl w:val="31B66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494F23"/>
    <w:rsid w:val="000F73A0"/>
    <w:rsid w:val="002C2FA4"/>
    <w:rsid w:val="003761F1"/>
    <w:rsid w:val="00494F23"/>
    <w:rsid w:val="004B6C19"/>
    <w:rsid w:val="005824E0"/>
    <w:rsid w:val="00595E32"/>
    <w:rsid w:val="005B5097"/>
    <w:rsid w:val="00894DD0"/>
    <w:rsid w:val="009630F2"/>
    <w:rsid w:val="00A30677"/>
    <w:rsid w:val="00A34775"/>
    <w:rsid w:val="00AD7D4A"/>
    <w:rsid w:val="00AF69AB"/>
    <w:rsid w:val="00CD14CC"/>
    <w:rsid w:val="00DA3211"/>
    <w:rsid w:val="00EC2905"/>
    <w:rsid w:val="00F43519"/>
    <w:rsid w:val="00F70B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F23"/>
    <w:pPr>
      <w:suppressAutoHyphens/>
      <w:spacing w:after="0" w:line="360" w:lineRule="auto"/>
      <w:jc w:val="both"/>
    </w:pPr>
    <w:rPr>
      <w:rFonts w:ascii="Times New Roman" w:eastAsia="Calibri" w:hAnsi="Times New Roman" w:cs="Times New Roman"/>
      <w:color w:val="000000"/>
      <w:sz w:val="24"/>
      <w:lang w:val="en-GB" w:eastAsia="ar-SA"/>
    </w:rPr>
  </w:style>
  <w:style w:type="paragraph" w:styleId="Heading1">
    <w:name w:val="heading 1"/>
    <w:basedOn w:val="Normal"/>
    <w:next w:val="Normal"/>
    <w:link w:val="Heading1Char"/>
    <w:qFormat/>
    <w:rsid w:val="00494F23"/>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link w:val="Heading2Char"/>
    <w:uiPriority w:val="9"/>
    <w:semiHidden/>
    <w:unhideWhenUsed/>
    <w:qFormat/>
    <w:rsid w:val="004B6C1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70B0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94F23"/>
    <w:rPr>
      <w:color w:val="000080"/>
      <w:u w:val="single"/>
    </w:rPr>
  </w:style>
  <w:style w:type="paragraph" w:styleId="TOC1">
    <w:name w:val="toc 1"/>
    <w:basedOn w:val="Normal"/>
    <w:next w:val="Normal"/>
    <w:uiPriority w:val="39"/>
    <w:rsid w:val="00494F23"/>
  </w:style>
  <w:style w:type="paragraph" w:styleId="TOC2">
    <w:name w:val="toc 2"/>
    <w:basedOn w:val="Normal"/>
    <w:next w:val="Normal"/>
    <w:uiPriority w:val="39"/>
    <w:rsid w:val="00494F23"/>
    <w:pPr>
      <w:ind w:left="240"/>
    </w:pPr>
  </w:style>
  <w:style w:type="character" w:customStyle="1" w:styleId="Heading1Char">
    <w:name w:val="Heading 1 Char"/>
    <w:basedOn w:val="DefaultParagraphFont"/>
    <w:link w:val="Heading1"/>
    <w:rsid w:val="00494F23"/>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uiPriority w:val="9"/>
    <w:semiHidden/>
    <w:rsid w:val="004B6C19"/>
    <w:rPr>
      <w:rFonts w:asciiTheme="majorHAnsi" w:eastAsiaTheme="majorEastAsia" w:hAnsiTheme="majorHAnsi" w:cstheme="majorBidi"/>
      <w:b/>
      <w:bCs/>
      <w:color w:val="4F81BD" w:themeColor="accent1"/>
      <w:sz w:val="26"/>
      <w:szCs w:val="26"/>
      <w:lang w:val="en-GB" w:eastAsia="ar-SA"/>
    </w:rPr>
  </w:style>
  <w:style w:type="character" w:customStyle="1" w:styleId="Heading3Char">
    <w:name w:val="Heading 3 Char"/>
    <w:basedOn w:val="DefaultParagraphFont"/>
    <w:link w:val="Heading3"/>
    <w:uiPriority w:val="9"/>
    <w:semiHidden/>
    <w:rsid w:val="00F70B0F"/>
    <w:rPr>
      <w:rFonts w:asciiTheme="majorHAnsi" w:eastAsiaTheme="majorEastAsia" w:hAnsiTheme="majorHAnsi" w:cstheme="majorBidi"/>
      <w:b/>
      <w:bCs/>
      <w:color w:val="4F81BD" w:themeColor="accent1"/>
      <w:sz w:val="24"/>
      <w:lang w:val="en-GB" w:eastAsia="ar-SA"/>
    </w:rPr>
  </w:style>
  <w:style w:type="paragraph" w:styleId="TOCHeading">
    <w:name w:val="TOC Heading"/>
    <w:basedOn w:val="Heading1"/>
    <w:next w:val="Normal"/>
    <w:uiPriority w:val="39"/>
    <w:semiHidden/>
    <w:unhideWhenUsed/>
    <w:qFormat/>
    <w:rsid w:val="00F43519"/>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F43519"/>
    <w:pPr>
      <w:spacing w:after="100"/>
      <w:ind w:left="480"/>
    </w:pPr>
  </w:style>
  <w:style w:type="paragraph" w:styleId="BalloonText">
    <w:name w:val="Balloon Text"/>
    <w:basedOn w:val="Normal"/>
    <w:link w:val="BalloonTextChar"/>
    <w:uiPriority w:val="99"/>
    <w:semiHidden/>
    <w:unhideWhenUsed/>
    <w:rsid w:val="00F4351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519"/>
    <w:rPr>
      <w:rFonts w:ascii="Tahoma" w:eastAsia="Calibri" w:hAnsi="Tahoma" w:cs="Tahoma"/>
      <w:color w:val="000000"/>
      <w:sz w:val="16"/>
      <w:szCs w:val="16"/>
      <w:lang w:val="en-GB" w:eastAsia="ar-SA"/>
    </w:rPr>
  </w:style>
  <w:style w:type="paragraph" w:styleId="Header">
    <w:name w:val="header"/>
    <w:basedOn w:val="Normal"/>
    <w:link w:val="HeaderChar"/>
    <w:uiPriority w:val="99"/>
    <w:semiHidden/>
    <w:unhideWhenUsed/>
    <w:rsid w:val="00F4351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43519"/>
    <w:rPr>
      <w:rFonts w:ascii="Times New Roman" w:eastAsia="Calibri" w:hAnsi="Times New Roman" w:cs="Times New Roman"/>
      <w:color w:val="000000"/>
      <w:sz w:val="24"/>
      <w:lang w:val="en-GB" w:eastAsia="ar-SA"/>
    </w:rPr>
  </w:style>
  <w:style w:type="paragraph" w:styleId="Footer">
    <w:name w:val="footer"/>
    <w:basedOn w:val="Normal"/>
    <w:link w:val="FooterChar"/>
    <w:uiPriority w:val="99"/>
    <w:unhideWhenUsed/>
    <w:rsid w:val="00F43519"/>
    <w:pPr>
      <w:tabs>
        <w:tab w:val="center" w:pos="4680"/>
        <w:tab w:val="right" w:pos="9360"/>
      </w:tabs>
      <w:spacing w:line="240" w:lineRule="auto"/>
    </w:pPr>
  </w:style>
  <w:style w:type="character" w:customStyle="1" w:styleId="FooterChar">
    <w:name w:val="Footer Char"/>
    <w:basedOn w:val="DefaultParagraphFont"/>
    <w:link w:val="Footer"/>
    <w:uiPriority w:val="99"/>
    <w:rsid w:val="00F43519"/>
    <w:rPr>
      <w:rFonts w:ascii="Times New Roman" w:eastAsia="Calibri" w:hAnsi="Times New Roman" w:cs="Times New Roman"/>
      <w:color w:val="000000"/>
      <w:sz w:val="24"/>
      <w:lang w:val="en-GB" w:eastAsia="ar-SA"/>
    </w:rPr>
  </w:style>
</w:styles>
</file>

<file path=word/webSettings.xml><?xml version="1.0" encoding="utf-8"?>
<w:webSettings xmlns:r="http://schemas.openxmlformats.org/officeDocument/2006/relationships" xmlns:w="http://schemas.openxmlformats.org/wordprocessingml/2006/main">
  <w:divs>
    <w:div w:id="335155607">
      <w:bodyDiv w:val="1"/>
      <w:marLeft w:val="0"/>
      <w:marRight w:val="0"/>
      <w:marTop w:val="0"/>
      <w:marBottom w:val="0"/>
      <w:divBdr>
        <w:top w:val="none" w:sz="0" w:space="0" w:color="auto"/>
        <w:left w:val="none" w:sz="0" w:space="0" w:color="auto"/>
        <w:bottom w:val="none" w:sz="0" w:space="0" w:color="auto"/>
        <w:right w:val="none" w:sz="0" w:space="0" w:color="auto"/>
      </w:divBdr>
    </w:div>
    <w:div w:id="423571507">
      <w:bodyDiv w:val="1"/>
      <w:marLeft w:val="0"/>
      <w:marRight w:val="0"/>
      <w:marTop w:val="0"/>
      <w:marBottom w:val="0"/>
      <w:divBdr>
        <w:top w:val="none" w:sz="0" w:space="0" w:color="auto"/>
        <w:left w:val="none" w:sz="0" w:space="0" w:color="auto"/>
        <w:bottom w:val="none" w:sz="0" w:space="0" w:color="auto"/>
        <w:right w:val="none" w:sz="0" w:space="0" w:color="auto"/>
      </w:divBdr>
    </w:div>
    <w:div w:id="153099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CE924-0AB9-4A80-8C2E-E03FC3E70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Pages>
  <Words>2744</Words>
  <Characters>15646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Liliana</cp:lastModifiedBy>
  <cp:revision>5</cp:revision>
  <dcterms:created xsi:type="dcterms:W3CDTF">2020-08-23T17:46:00Z</dcterms:created>
  <dcterms:modified xsi:type="dcterms:W3CDTF">2020-09-07T16:54:00Z</dcterms:modified>
</cp:coreProperties>
</file>