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2F59A41" w:rsidR="00B31CA6" w:rsidRPr="0039039D" w:rsidRDefault="000A0870" w:rsidP="00ED64E3">
      <w:pPr>
        <w:widowControl w:val="0"/>
        <w:spacing w:after="200" w:line="360" w:lineRule="auto"/>
        <w:jc w:val="center"/>
        <w:rPr>
          <w:rFonts w:ascii="Times New Roman" w:eastAsia="Times New Roman" w:hAnsi="Times New Roman" w:cs="Times New Roman"/>
          <w:b/>
          <w:bCs/>
          <w:sz w:val="32"/>
          <w:szCs w:val="32"/>
        </w:rPr>
      </w:pPr>
      <w:r w:rsidRPr="0039039D">
        <w:rPr>
          <w:rFonts w:ascii="Times New Roman" w:eastAsia="Times New Roman" w:hAnsi="Times New Roman" w:cs="Times New Roman"/>
          <w:b/>
          <w:bCs/>
          <w:sz w:val="32"/>
          <w:szCs w:val="32"/>
        </w:rPr>
        <w:t>Module Title: International Financial Management</w:t>
      </w:r>
    </w:p>
    <w:p w14:paraId="00000002" w14:textId="77777777" w:rsidR="00B31CA6" w:rsidRPr="0039039D" w:rsidRDefault="000A0870" w:rsidP="00ED64E3">
      <w:pPr>
        <w:widowControl w:val="0"/>
        <w:spacing w:after="200" w:line="360" w:lineRule="auto"/>
        <w:jc w:val="center"/>
        <w:rPr>
          <w:rFonts w:ascii="Times New Roman" w:eastAsia="Times New Roman" w:hAnsi="Times New Roman" w:cs="Times New Roman"/>
          <w:b/>
          <w:bCs/>
          <w:sz w:val="32"/>
          <w:szCs w:val="32"/>
        </w:rPr>
      </w:pPr>
      <w:r w:rsidRPr="0039039D">
        <w:rPr>
          <w:rFonts w:ascii="Times New Roman" w:eastAsia="Times New Roman" w:hAnsi="Times New Roman" w:cs="Times New Roman"/>
          <w:b/>
          <w:bCs/>
          <w:sz w:val="32"/>
          <w:szCs w:val="32"/>
        </w:rPr>
        <w:t>Module Code: LCBB6002</w:t>
      </w:r>
    </w:p>
    <w:p w14:paraId="00000003" w14:textId="1128838B" w:rsidR="00B31CA6" w:rsidRPr="0039039D" w:rsidRDefault="009F6085" w:rsidP="00ED64E3">
      <w:pPr>
        <w:widowControl w:val="0"/>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name:</w:t>
      </w:r>
      <w:r w:rsidR="006518F8">
        <w:rPr>
          <w:rFonts w:ascii="Times New Roman" w:eastAsia="Times New Roman" w:hAnsi="Times New Roman" w:cs="Times New Roman"/>
          <w:b/>
          <w:bCs/>
          <w:sz w:val="32"/>
          <w:szCs w:val="32"/>
        </w:rPr>
        <w:t xml:space="preserve"> Zainab Atta</w:t>
      </w:r>
    </w:p>
    <w:p w14:paraId="00000004" w14:textId="0F9D34B2" w:rsidR="00B31CA6" w:rsidRPr="0039039D" w:rsidRDefault="009F6085" w:rsidP="00ED64E3">
      <w:pPr>
        <w:widowControl w:val="0"/>
        <w:spacing w:after="20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w:t>
      </w:r>
      <w:r w:rsidR="006518F8">
        <w:rPr>
          <w:rFonts w:ascii="Times New Roman" w:eastAsia="Times New Roman" w:hAnsi="Times New Roman" w:cs="Times New Roman"/>
          <w:b/>
          <w:bCs/>
          <w:sz w:val="32"/>
          <w:szCs w:val="32"/>
        </w:rPr>
        <w:t xml:space="preserve"> </w:t>
      </w:r>
      <w:r w:rsidR="00797FA2">
        <w:rPr>
          <w:rFonts w:ascii="Times New Roman" w:eastAsia="Times New Roman" w:hAnsi="Times New Roman" w:cs="Times New Roman"/>
          <w:b/>
          <w:bCs/>
          <w:sz w:val="32"/>
          <w:szCs w:val="32"/>
        </w:rPr>
        <w:t xml:space="preserve">Assessment </w:t>
      </w:r>
      <w:r w:rsidR="00DA099F">
        <w:rPr>
          <w:rFonts w:ascii="Times New Roman" w:eastAsia="Times New Roman" w:hAnsi="Times New Roman" w:cs="Times New Roman"/>
          <w:b/>
          <w:bCs/>
          <w:sz w:val="32"/>
          <w:szCs w:val="32"/>
        </w:rPr>
        <w:t>1</w:t>
      </w:r>
    </w:p>
    <w:p w14:paraId="00000005" w14:textId="0E2B4F96" w:rsidR="00B31CA6" w:rsidRPr="0039039D" w:rsidRDefault="000A0870" w:rsidP="00ED64E3">
      <w:pPr>
        <w:widowControl w:val="0"/>
        <w:spacing w:after="200" w:line="360" w:lineRule="auto"/>
        <w:jc w:val="center"/>
        <w:rPr>
          <w:rFonts w:ascii="Times New Roman" w:eastAsia="Times New Roman" w:hAnsi="Times New Roman" w:cs="Times New Roman"/>
          <w:b/>
          <w:bCs/>
          <w:sz w:val="32"/>
          <w:szCs w:val="32"/>
        </w:rPr>
      </w:pPr>
      <w:r w:rsidRPr="0039039D">
        <w:rPr>
          <w:rFonts w:ascii="Times New Roman" w:eastAsia="Times New Roman" w:hAnsi="Times New Roman" w:cs="Times New Roman"/>
          <w:b/>
          <w:bCs/>
          <w:sz w:val="32"/>
          <w:szCs w:val="32"/>
        </w:rPr>
        <w:t>Student Name:</w:t>
      </w:r>
      <w:r w:rsidR="00797FA2">
        <w:rPr>
          <w:rFonts w:ascii="Times New Roman" w:eastAsia="Times New Roman" w:hAnsi="Times New Roman" w:cs="Times New Roman"/>
          <w:b/>
          <w:bCs/>
          <w:sz w:val="32"/>
          <w:szCs w:val="32"/>
        </w:rPr>
        <w:t xml:space="preserve"> Daniela Jicmon</w:t>
      </w:r>
    </w:p>
    <w:p w14:paraId="00000006" w14:textId="564CBB06" w:rsidR="00B31CA6" w:rsidRPr="0039039D" w:rsidRDefault="000A0870" w:rsidP="00ED64E3">
      <w:pPr>
        <w:widowControl w:val="0"/>
        <w:spacing w:after="200" w:line="360" w:lineRule="auto"/>
        <w:jc w:val="center"/>
        <w:rPr>
          <w:rFonts w:ascii="Times New Roman" w:eastAsia="Times New Roman" w:hAnsi="Times New Roman" w:cs="Times New Roman"/>
          <w:b/>
          <w:bCs/>
          <w:sz w:val="32"/>
          <w:szCs w:val="32"/>
        </w:rPr>
      </w:pPr>
      <w:r w:rsidRPr="0039039D">
        <w:rPr>
          <w:rFonts w:ascii="Times New Roman" w:eastAsia="Times New Roman" w:hAnsi="Times New Roman" w:cs="Times New Roman"/>
          <w:b/>
          <w:bCs/>
          <w:sz w:val="32"/>
          <w:szCs w:val="32"/>
        </w:rPr>
        <w:t>Student ID:</w:t>
      </w:r>
      <w:r w:rsidR="00797FA2">
        <w:rPr>
          <w:rFonts w:ascii="Times New Roman" w:eastAsia="Times New Roman" w:hAnsi="Times New Roman" w:cs="Times New Roman"/>
          <w:b/>
          <w:bCs/>
          <w:sz w:val="32"/>
          <w:szCs w:val="32"/>
        </w:rPr>
        <w:t xml:space="preserve"> 2119900</w:t>
      </w:r>
    </w:p>
    <w:p w14:paraId="00000007" w14:textId="3F7977C9" w:rsidR="00B31CA6" w:rsidRPr="0039039D" w:rsidRDefault="00B31CA6" w:rsidP="00ED64E3">
      <w:pPr>
        <w:widowControl w:val="0"/>
        <w:spacing w:after="200" w:line="360" w:lineRule="auto"/>
        <w:jc w:val="center"/>
        <w:rPr>
          <w:rFonts w:ascii="Times New Roman" w:eastAsia="Times New Roman" w:hAnsi="Times New Roman" w:cs="Times New Roman"/>
          <w:b/>
          <w:bCs/>
          <w:sz w:val="32"/>
          <w:szCs w:val="32"/>
        </w:rPr>
      </w:pPr>
    </w:p>
    <w:p w14:paraId="00000008" w14:textId="31F531B0" w:rsidR="00B31CA6" w:rsidRPr="0039039D" w:rsidRDefault="00B31CA6" w:rsidP="00ED64E3">
      <w:pPr>
        <w:widowControl w:val="0"/>
        <w:spacing w:after="200" w:line="360" w:lineRule="auto"/>
        <w:jc w:val="center"/>
        <w:rPr>
          <w:rFonts w:ascii="Times New Roman" w:eastAsia="Times New Roman" w:hAnsi="Times New Roman" w:cs="Times New Roman"/>
          <w:b/>
          <w:bCs/>
          <w:sz w:val="32"/>
          <w:szCs w:val="32"/>
        </w:rPr>
      </w:pPr>
    </w:p>
    <w:p w14:paraId="00000009" w14:textId="3533655E" w:rsidR="00B31CA6" w:rsidRPr="0039039D" w:rsidRDefault="000A0870" w:rsidP="00ED64E3">
      <w:pPr>
        <w:widowControl w:val="0"/>
        <w:spacing w:after="200" w:line="360" w:lineRule="auto"/>
        <w:jc w:val="center"/>
        <w:rPr>
          <w:rFonts w:ascii="Times New Roman" w:eastAsia="Times New Roman" w:hAnsi="Times New Roman" w:cs="Times New Roman"/>
          <w:b/>
          <w:bCs/>
          <w:sz w:val="32"/>
          <w:szCs w:val="32"/>
        </w:rPr>
      </w:pPr>
      <w:r w:rsidRPr="0039039D">
        <w:rPr>
          <w:rFonts w:ascii="Times New Roman" w:eastAsia="Times New Roman" w:hAnsi="Times New Roman" w:cs="Times New Roman"/>
          <w:b/>
          <w:bCs/>
          <w:sz w:val="32"/>
          <w:szCs w:val="32"/>
        </w:rPr>
        <w:t>Wordcount: 15</w:t>
      </w:r>
      <w:r w:rsidR="00C678DC">
        <w:rPr>
          <w:rFonts w:ascii="Times New Roman" w:eastAsia="Times New Roman" w:hAnsi="Times New Roman" w:cs="Times New Roman"/>
          <w:b/>
          <w:bCs/>
          <w:sz w:val="32"/>
          <w:szCs w:val="32"/>
        </w:rPr>
        <w:t>46</w:t>
      </w:r>
    </w:p>
    <w:p w14:paraId="0000000A"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br w:type="page"/>
      </w:r>
    </w:p>
    <w:sdt>
      <w:sdtPr>
        <w:rPr>
          <w:rFonts w:ascii="Arial" w:eastAsia="Arial" w:hAnsi="Arial" w:cs="Arial"/>
          <w:color w:val="auto"/>
          <w:sz w:val="22"/>
          <w:szCs w:val="22"/>
          <w:lang w:val="en"/>
        </w:rPr>
        <w:id w:val="-243499194"/>
        <w:docPartObj>
          <w:docPartGallery w:val="Table of Contents"/>
          <w:docPartUnique/>
        </w:docPartObj>
      </w:sdtPr>
      <w:sdtEndPr>
        <w:rPr>
          <w:rFonts w:ascii="Times New Roman" w:hAnsi="Times New Roman" w:cs="Times New Roman"/>
          <w:b/>
          <w:bCs/>
          <w:noProof/>
        </w:rPr>
      </w:sdtEndPr>
      <w:sdtContent>
        <w:p w14:paraId="6312F395" w14:textId="77777777" w:rsidR="00713515" w:rsidRPr="006341D2" w:rsidRDefault="0039039D" w:rsidP="00ED64E3">
          <w:pPr>
            <w:pStyle w:val="TOCHeading"/>
            <w:spacing w:before="0" w:after="240" w:line="360" w:lineRule="auto"/>
            <w:jc w:val="center"/>
            <w:rPr>
              <w:rFonts w:ascii="Times New Roman" w:hAnsi="Times New Roman" w:cs="Times New Roman"/>
              <w:noProof/>
            </w:rPr>
          </w:pPr>
          <w:r w:rsidRPr="0039039D">
            <w:rPr>
              <w:rFonts w:ascii="Times New Roman" w:hAnsi="Times New Roman" w:cs="Times New Roman"/>
              <w:b/>
              <w:bCs/>
            </w:rPr>
            <w:t>Table of Contents</w:t>
          </w:r>
          <w:r w:rsidRPr="006341D2">
            <w:rPr>
              <w:rFonts w:ascii="Times New Roman" w:hAnsi="Times New Roman" w:cs="Times New Roman"/>
            </w:rPr>
            <w:fldChar w:fldCharType="begin"/>
          </w:r>
          <w:r w:rsidRPr="006341D2">
            <w:rPr>
              <w:rFonts w:ascii="Times New Roman" w:hAnsi="Times New Roman" w:cs="Times New Roman"/>
            </w:rPr>
            <w:instrText xml:space="preserve"> TOC \o "1-3" \h \z \u </w:instrText>
          </w:r>
          <w:r w:rsidRPr="006341D2">
            <w:rPr>
              <w:rFonts w:ascii="Times New Roman" w:hAnsi="Times New Roman" w:cs="Times New Roman"/>
            </w:rPr>
            <w:fldChar w:fldCharType="separate"/>
          </w:r>
        </w:p>
        <w:p w14:paraId="691797E2" w14:textId="0E50ED88"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18" w:history="1">
            <w:r w:rsidR="00713515" w:rsidRPr="006341D2">
              <w:rPr>
                <w:rStyle w:val="Hyperlink"/>
                <w:rFonts w:ascii="Times New Roman" w:hAnsi="Times New Roman" w:cs="Times New Roman"/>
                <w:noProof/>
              </w:rPr>
              <w:t>Evaluating Multinational Corporations Strategies in Managing Foreign Exchange Risks: A Comprehensive Analysis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_Toc162084918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3</w:t>
            </w:r>
            <w:r w:rsidR="00713515" w:rsidRPr="006341D2">
              <w:rPr>
                <w:rFonts w:ascii="Times New Roman" w:hAnsi="Times New Roman" w:cs="Times New Roman"/>
                <w:noProof/>
                <w:webHidden/>
              </w:rPr>
              <w:fldChar w:fldCharType="end"/>
            </w:r>
          </w:hyperlink>
        </w:p>
        <w:p w14:paraId="492AA380" w14:textId="08E77C6F"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19" w:history="1">
            <w:r w:rsidR="00713515" w:rsidRPr="006341D2">
              <w:rPr>
                <w:rStyle w:val="Hyperlink"/>
                <w:rFonts w:ascii="Times New Roman" w:hAnsi="Times New Roman" w:cs="Times New Roman"/>
                <w:noProof/>
              </w:rPr>
              <w:t>Introduction</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_Toc162084919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3</w:t>
            </w:r>
            <w:r w:rsidR="00713515" w:rsidRPr="006341D2">
              <w:rPr>
                <w:rFonts w:ascii="Times New Roman" w:hAnsi="Times New Roman" w:cs="Times New Roman"/>
                <w:noProof/>
                <w:webHidden/>
              </w:rPr>
              <w:fldChar w:fldCharType="end"/>
            </w:r>
          </w:hyperlink>
        </w:p>
        <w:p w14:paraId="03CF3CA5" w14:textId="728FDE56"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0" w:history="1">
            <w:r w:rsidR="00713515" w:rsidRPr="006341D2">
              <w:rPr>
                <w:rStyle w:val="Hyperlink"/>
                <w:rFonts w:ascii="Times New Roman" w:hAnsi="Times New Roman" w:cs="Times New Roman"/>
                <w:noProof/>
              </w:rPr>
              <w:t>Understanding Foreign Exchange Risks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_Toc162084920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4</w:t>
            </w:r>
            <w:r w:rsidR="00713515" w:rsidRPr="006341D2">
              <w:rPr>
                <w:rFonts w:ascii="Times New Roman" w:hAnsi="Times New Roman" w:cs="Times New Roman"/>
                <w:noProof/>
                <w:webHidden/>
              </w:rPr>
              <w:fldChar w:fldCharType="end"/>
            </w:r>
          </w:hyperlink>
        </w:p>
        <w:p w14:paraId="405642EF" w14:textId="0021DCD3"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1" w:history="1">
            <w:r w:rsidR="00713515" w:rsidRPr="006341D2">
              <w:rPr>
                <w:rStyle w:val="Hyperlink"/>
                <w:rFonts w:ascii="Times New Roman" w:hAnsi="Times New Roman" w:cs="Times New Roman"/>
                <w:noProof/>
              </w:rPr>
              <w:t>Theoretical Frameworks for Managing Foreign Exchange Risks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_Toc162084921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5</w:t>
            </w:r>
            <w:r w:rsidR="00713515" w:rsidRPr="006341D2">
              <w:rPr>
                <w:rFonts w:ascii="Times New Roman" w:hAnsi="Times New Roman" w:cs="Times New Roman"/>
                <w:noProof/>
                <w:webHidden/>
              </w:rPr>
              <w:fldChar w:fldCharType="end"/>
            </w:r>
          </w:hyperlink>
        </w:p>
        <w:p w14:paraId="48529F1E" w14:textId="3BDEEC64"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2" w:history="1">
            <w:r w:rsidR="00713515" w:rsidRPr="006341D2">
              <w:rPr>
                <w:rStyle w:val="Hyperlink"/>
                <w:rFonts w:ascii="Times New Roman" w:hAnsi="Times New Roman" w:cs="Times New Roman"/>
                <w:noProof/>
              </w:rPr>
              <w:t>Financial Hedging Strategies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_Toc162084922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5</w:t>
            </w:r>
            <w:r w:rsidR="00713515" w:rsidRPr="006341D2">
              <w:rPr>
                <w:rFonts w:ascii="Times New Roman" w:hAnsi="Times New Roman" w:cs="Times New Roman"/>
                <w:noProof/>
                <w:webHidden/>
              </w:rPr>
              <w:fldChar w:fldCharType="end"/>
            </w:r>
          </w:hyperlink>
        </w:p>
        <w:p w14:paraId="24AF2900" w14:textId="7FA056BF"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3" w:history="1">
            <w:r w:rsidR="00713515" w:rsidRPr="006341D2">
              <w:rPr>
                <w:rStyle w:val="Hyperlink"/>
                <w:rFonts w:ascii="Times New Roman" w:hAnsi="Times New Roman" w:cs="Times New Roman"/>
                <w:noProof/>
              </w:rPr>
              <w:t>Operational Hedging Strategies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_Toc162084923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5</w:t>
            </w:r>
            <w:r w:rsidR="00713515" w:rsidRPr="006341D2">
              <w:rPr>
                <w:rFonts w:ascii="Times New Roman" w:hAnsi="Times New Roman" w:cs="Times New Roman"/>
                <w:noProof/>
                <w:webHidden/>
              </w:rPr>
              <w:fldChar w:fldCharType="end"/>
            </w:r>
          </w:hyperlink>
        </w:p>
        <w:p w14:paraId="6EC4BC70" w14:textId="37FA5171"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4" w:history="1">
            <w:r w:rsidR="00713515" w:rsidRPr="006341D2">
              <w:rPr>
                <w:rStyle w:val="Hyperlink"/>
                <w:rFonts w:ascii="Times New Roman" w:hAnsi="Times New Roman" w:cs="Times New Roman"/>
                <w:noProof/>
              </w:rPr>
              <w:t>Empirical Evidence of MNCs FX Risk Management Strategies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_Toc162084924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6</w:t>
            </w:r>
            <w:r w:rsidR="00713515" w:rsidRPr="006341D2">
              <w:rPr>
                <w:rFonts w:ascii="Times New Roman" w:hAnsi="Times New Roman" w:cs="Times New Roman"/>
                <w:noProof/>
                <w:webHidden/>
              </w:rPr>
              <w:fldChar w:fldCharType="end"/>
            </w:r>
          </w:hyperlink>
        </w:p>
        <w:p w14:paraId="0C7E13EB" w14:textId="0D2829EC"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5" w:history="1">
            <w:r w:rsidR="00713515" w:rsidRPr="006341D2">
              <w:rPr>
                <w:rStyle w:val="Hyperlink"/>
                <w:rFonts w:ascii="Times New Roman" w:hAnsi="Times New Roman" w:cs="Times New Roman"/>
                <w:noProof/>
              </w:rPr>
              <w:t>Case Studies on FX Risk Management Approaches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_Toc162084925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6</w:t>
            </w:r>
            <w:r w:rsidR="00713515" w:rsidRPr="006341D2">
              <w:rPr>
                <w:rFonts w:ascii="Times New Roman" w:hAnsi="Times New Roman" w:cs="Times New Roman"/>
                <w:noProof/>
                <w:webHidden/>
              </w:rPr>
              <w:fldChar w:fldCharType="end"/>
            </w:r>
          </w:hyperlink>
        </w:p>
        <w:p w14:paraId="5BCEE254" w14:textId="32504363"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6" w:history="1">
            <w:r w:rsidR="00713515" w:rsidRPr="006341D2">
              <w:rPr>
                <w:rStyle w:val="Hyperlink"/>
                <w:rFonts w:ascii="Times New Roman" w:hAnsi="Times New Roman" w:cs="Times New Roman"/>
                <w:noProof/>
              </w:rPr>
              <w:t>Analysis of Successes and Failures in FX Risk Management</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_Toc162084926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6</w:t>
            </w:r>
            <w:r w:rsidR="00713515" w:rsidRPr="006341D2">
              <w:rPr>
                <w:rFonts w:ascii="Times New Roman" w:hAnsi="Times New Roman" w:cs="Times New Roman"/>
                <w:noProof/>
                <w:webHidden/>
              </w:rPr>
              <w:fldChar w:fldCharType="end"/>
            </w:r>
          </w:hyperlink>
        </w:p>
        <w:p w14:paraId="2ACDA70E" w14:textId="602ABE1D"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7" w:history="1">
            <w:r w:rsidR="00713515" w:rsidRPr="006341D2">
              <w:rPr>
                <w:rStyle w:val="Hyperlink"/>
                <w:rFonts w:ascii="Times New Roman" w:hAnsi="Times New Roman" w:cs="Times New Roman"/>
                <w:noProof/>
              </w:rPr>
              <w:t>Impact of FX Risk Management Strategies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_Toc162084927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6</w:t>
            </w:r>
            <w:r w:rsidR="00713515" w:rsidRPr="006341D2">
              <w:rPr>
                <w:rFonts w:ascii="Times New Roman" w:hAnsi="Times New Roman" w:cs="Times New Roman"/>
                <w:noProof/>
                <w:webHidden/>
              </w:rPr>
              <w:fldChar w:fldCharType="end"/>
            </w:r>
          </w:hyperlink>
        </w:p>
        <w:p w14:paraId="2E8E8533" w14:textId="799B2CB5"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8" w:history="1">
            <w:r w:rsidR="00713515" w:rsidRPr="006341D2">
              <w:rPr>
                <w:rStyle w:val="Hyperlink"/>
                <w:rFonts w:ascii="Times New Roman" w:hAnsi="Times New Roman" w:cs="Times New Roman"/>
                <w:noProof/>
              </w:rPr>
              <w:t>Critique and Evaluation of MNCs FX Risk Management Strategies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_Toc162084928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7</w:t>
            </w:r>
            <w:r w:rsidR="00713515" w:rsidRPr="006341D2">
              <w:rPr>
                <w:rFonts w:ascii="Times New Roman" w:hAnsi="Times New Roman" w:cs="Times New Roman"/>
                <w:noProof/>
                <w:webHidden/>
              </w:rPr>
              <w:fldChar w:fldCharType="end"/>
            </w:r>
          </w:hyperlink>
        </w:p>
        <w:p w14:paraId="2C98C973" w14:textId="35C70252"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29" w:history="1">
            <w:r w:rsidR="00713515" w:rsidRPr="006341D2">
              <w:rPr>
                <w:rStyle w:val="Hyperlink"/>
                <w:rFonts w:ascii="Times New Roman" w:hAnsi="Times New Roman" w:cs="Times New Roman"/>
                <w:noProof/>
              </w:rPr>
              <w:t>Strengths and Weaknesses of Different FX Risk Management Approaches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_Toc162084929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7</w:t>
            </w:r>
            <w:r w:rsidR="00713515" w:rsidRPr="006341D2">
              <w:rPr>
                <w:rFonts w:ascii="Times New Roman" w:hAnsi="Times New Roman" w:cs="Times New Roman"/>
                <w:noProof/>
                <w:webHidden/>
              </w:rPr>
              <w:fldChar w:fldCharType="end"/>
            </w:r>
          </w:hyperlink>
        </w:p>
        <w:p w14:paraId="7C750509" w14:textId="5F88E657"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0" w:history="1">
            <w:r w:rsidR="00713515" w:rsidRPr="006341D2">
              <w:rPr>
                <w:rStyle w:val="Hyperlink"/>
                <w:rFonts w:ascii="Times New Roman" w:hAnsi="Times New Roman" w:cs="Times New Roman"/>
                <w:noProof/>
              </w:rPr>
              <w:t>Impact of External Factors on the Effectiveness of FX Risk Management</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_Toc162084930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7</w:t>
            </w:r>
            <w:r w:rsidR="00713515" w:rsidRPr="006341D2">
              <w:rPr>
                <w:rFonts w:ascii="Times New Roman" w:hAnsi="Times New Roman" w:cs="Times New Roman"/>
                <w:noProof/>
                <w:webHidden/>
              </w:rPr>
              <w:fldChar w:fldCharType="end"/>
            </w:r>
          </w:hyperlink>
        </w:p>
        <w:p w14:paraId="304F1651" w14:textId="5FF899A6"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1" w:history="1">
            <w:r w:rsidR="00713515" w:rsidRPr="006341D2">
              <w:rPr>
                <w:rStyle w:val="Hyperlink"/>
                <w:rFonts w:ascii="Times New Roman" w:hAnsi="Times New Roman" w:cs="Times New Roman"/>
                <w:noProof/>
              </w:rPr>
              <w:t>Future Trends and Recommendations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_Toc162084931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8</w:t>
            </w:r>
            <w:r w:rsidR="00713515" w:rsidRPr="006341D2">
              <w:rPr>
                <w:rFonts w:ascii="Times New Roman" w:hAnsi="Times New Roman" w:cs="Times New Roman"/>
                <w:noProof/>
                <w:webHidden/>
              </w:rPr>
              <w:fldChar w:fldCharType="end"/>
            </w:r>
          </w:hyperlink>
        </w:p>
        <w:p w14:paraId="6517F891" w14:textId="162FCA00"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2" w:history="1">
            <w:r w:rsidR="00713515" w:rsidRPr="006341D2">
              <w:rPr>
                <w:rStyle w:val="Hyperlink"/>
                <w:rFonts w:ascii="Times New Roman" w:hAnsi="Times New Roman" w:cs="Times New Roman"/>
                <w:noProof/>
              </w:rPr>
              <w:t>Emerging Trends in FX Risk Management for MNCs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_Toc162084932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8</w:t>
            </w:r>
            <w:r w:rsidR="00713515" w:rsidRPr="006341D2">
              <w:rPr>
                <w:rFonts w:ascii="Times New Roman" w:hAnsi="Times New Roman" w:cs="Times New Roman"/>
                <w:noProof/>
                <w:webHidden/>
              </w:rPr>
              <w:fldChar w:fldCharType="end"/>
            </w:r>
          </w:hyperlink>
        </w:p>
        <w:p w14:paraId="63A7B607" w14:textId="0B5DB6F1"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3" w:history="1">
            <w:r w:rsidR="00713515" w:rsidRPr="006341D2">
              <w:rPr>
                <w:rStyle w:val="Hyperlink"/>
                <w:rFonts w:ascii="Times New Roman" w:hAnsi="Times New Roman" w:cs="Times New Roman"/>
                <w:noProof/>
              </w:rPr>
              <w:t>Recommendations for Improving FX Risk Management Practices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_Toc162084933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8</w:t>
            </w:r>
            <w:r w:rsidR="00713515" w:rsidRPr="006341D2">
              <w:rPr>
                <w:rFonts w:ascii="Times New Roman" w:hAnsi="Times New Roman" w:cs="Times New Roman"/>
                <w:noProof/>
                <w:webHidden/>
              </w:rPr>
              <w:fldChar w:fldCharType="end"/>
            </w:r>
          </w:hyperlink>
        </w:p>
        <w:p w14:paraId="33FF2534" w14:textId="1BE1DFAA" w:rsidR="00713515" w:rsidRPr="006341D2" w:rsidRDefault="00000000">
          <w:pPr>
            <w:pStyle w:val="TOC2"/>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4" w:history="1">
            <w:r w:rsidR="00713515" w:rsidRPr="006341D2">
              <w:rPr>
                <w:rStyle w:val="Hyperlink"/>
                <w:rFonts w:ascii="Times New Roman" w:hAnsi="Times New Roman" w:cs="Times New Roman"/>
                <w:noProof/>
              </w:rPr>
              <w:t>Areas for Further Research and Development in IFM</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_Toc162084934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8</w:t>
            </w:r>
            <w:r w:rsidR="00713515" w:rsidRPr="006341D2">
              <w:rPr>
                <w:rFonts w:ascii="Times New Roman" w:hAnsi="Times New Roman" w:cs="Times New Roman"/>
                <w:noProof/>
                <w:webHidden/>
              </w:rPr>
              <w:fldChar w:fldCharType="end"/>
            </w:r>
          </w:hyperlink>
        </w:p>
        <w:p w14:paraId="5E42FCA1" w14:textId="751E7356"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5" w:history="1">
            <w:r w:rsidR="00713515" w:rsidRPr="006341D2">
              <w:rPr>
                <w:rStyle w:val="Hyperlink"/>
                <w:rFonts w:ascii="Times New Roman" w:hAnsi="Times New Roman" w:cs="Times New Roman"/>
                <w:noProof/>
              </w:rPr>
              <w:t>Conclusion</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_Toc162084935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9</w:t>
            </w:r>
            <w:r w:rsidR="00713515" w:rsidRPr="006341D2">
              <w:rPr>
                <w:rFonts w:ascii="Times New Roman" w:hAnsi="Times New Roman" w:cs="Times New Roman"/>
                <w:noProof/>
                <w:webHidden/>
              </w:rPr>
              <w:fldChar w:fldCharType="end"/>
            </w:r>
          </w:hyperlink>
        </w:p>
        <w:p w14:paraId="4AE283EE" w14:textId="4162BE02" w:rsidR="00713515" w:rsidRPr="006341D2" w:rsidRDefault="00000000">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62084936" w:history="1">
            <w:r w:rsidR="00713515" w:rsidRPr="006341D2">
              <w:rPr>
                <w:rStyle w:val="Hyperlink"/>
                <w:rFonts w:ascii="Times New Roman" w:hAnsi="Times New Roman" w:cs="Times New Roman"/>
                <w:noProof/>
              </w:rPr>
              <w:t>References</w:t>
            </w:r>
            <w:r w:rsidR="00713515" w:rsidRPr="006341D2">
              <w:rPr>
                <w:rFonts w:ascii="Times New Roman" w:hAnsi="Times New Roman" w:cs="Times New Roman"/>
                <w:noProof/>
                <w:webHidden/>
              </w:rPr>
              <w:tab/>
            </w:r>
            <w:r w:rsidR="00713515" w:rsidRPr="006341D2">
              <w:rPr>
                <w:rFonts w:ascii="Times New Roman" w:hAnsi="Times New Roman" w:cs="Times New Roman"/>
                <w:noProof/>
                <w:webHidden/>
              </w:rPr>
              <w:fldChar w:fldCharType="begin"/>
            </w:r>
            <w:r w:rsidR="00713515" w:rsidRPr="006341D2">
              <w:rPr>
                <w:rFonts w:ascii="Times New Roman" w:hAnsi="Times New Roman" w:cs="Times New Roman"/>
                <w:noProof/>
                <w:webHidden/>
              </w:rPr>
              <w:instrText xml:space="preserve"> PAGEREF _Toc162084936 \h </w:instrText>
            </w:r>
            <w:r w:rsidR="00713515" w:rsidRPr="006341D2">
              <w:rPr>
                <w:rFonts w:ascii="Times New Roman" w:hAnsi="Times New Roman" w:cs="Times New Roman"/>
                <w:noProof/>
                <w:webHidden/>
              </w:rPr>
            </w:r>
            <w:r w:rsidR="00713515" w:rsidRPr="006341D2">
              <w:rPr>
                <w:rFonts w:ascii="Times New Roman" w:hAnsi="Times New Roman" w:cs="Times New Roman"/>
                <w:noProof/>
                <w:webHidden/>
              </w:rPr>
              <w:fldChar w:fldCharType="separate"/>
            </w:r>
            <w:r w:rsidR="00713515" w:rsidRPr="006341D2">
              <w:rPr>
                <w:rFonts w:ascii="Times New Roman" w:hAnsi="Times New Roman" w:cs="Times New Roman"/>
                <w:noProof/>
                <w:webHidden/>
              </w:rPr>
              <w:t>10</w:t>
            </w:r>
            <w:r w:rsidR="00713515" w:rsidRPr="006341D2">
              <w:rPr>
                <w:rFonts w:ascii="Times New Roman" w:hAnsi="Times New Roman" w:cs="Times New Roman"/>
                <w:noProof/>
                <w:webHidden/>
              </w:rPr>
              <w:fldChar w:fldCharType="end"/>
            </w:r>
          </w:hyperlink>
        </w:p>
        <w:p w14:paraId="459567C4" w14:textId="14B0BA09" w:rsidR="0039039D" w:rsidRPr="006341D2" w:rsidRDefault="0039039D" w:rsidP="00ED64E3">
          <w:pPr>
            <w:spacing w:line="360" w:lineRule="auto"/>
            <w:rPr>
              <w:rFonts w:ascii="Times New Roman" w:hAnsi="Times New Roman" w:cs="Times New Roman"/>
            </w:rPr>
          </w:pPr>
          <w:r w:rsidRPr="006341D2">
            <w:rPr>
              <w:rFonts w:ascii="Times New Roman" w:hAnsi="Times New Roman" w:cs="Times New Roman"/>
              <w:b/>
              <w:bCs/>
              <w:noProof/>
            </w:rPr>
            <w:fldChar w:fldCharType="end"/>
          </w:r>
        </w:p>
      </w:sdtContent>
    </w:sdt>
    <w:p w14:paraId="31370CC9" w14:textId="77777777" w:rsidR="0039039D" w:rsidRPr="006341D2" w:rsidRDefault="0039039D" w:rsidP="00ED64E3">
      <w:pPr>
        <w:spacing w:line="360" w:lineRule="auto"/>
        <w:rPr>
          <w:rFonts w:ascii="Times New Roman" w:hAnsi="Times New Roman" w:cs="Times New Roman"/>
          <w:b/>
          <w:color w:val="1F497D" w:themeColor="text2"/>
          <w:sz w:val="32"/>
          <w:szCs w:val="40"/>
        </w:rPr>
      </w:pPr>
      <w:r w:rsidRPr="006341D2">
        <w:rPr>
          <w:rFonts w:ascii="Times New Roman" w:hAnsi="Times New Roman" w:cs="Times New Roman"/>
        </w:rPr>
        <w:br w:type="page"/>
      </w:r>
    </w:p>
    <w:p w14:paraId="0000000B" w14:textId="25B20837" w:rsidR="00B31CA6" w:rsidRPr="0039039D" w:rsidRDefault="000A0870" w:rsidP="00ED64E3">
      <w:pPr>
        <w:pStyle w:val="Heading1"/>
        <w:jc w:val="center"/>
      </w:pPr>
      <w:bookmarkStart w:id="0" w:name="_Toc162084918"/>
      <w:r w:rsidRPr="0039039D">
        <w:lastRenderedPageBreak/>
        <w:t>Evaluating Multinational Corporations Strategies in Managing Foreign Exchange Risks: A Comprehensive Analysis</w:t>
      </w:r>
      <w:bookmarkEnd w:id="0"/>
    </w:p>
    <w:p w14:paraId="0000000C" w14:textId="77777777" w:rsidR="00B31CA6" w:rsidRDefault="000A0870" w:rsidP="00ED64E3">
      <w:pPr>
        <w:pStyle w:val="Heading1"/>
      </w:pPr>
      <w:bookmarkStart w:id="1" w:name="_Toc162084919"/>
      <w:r>
        <w:t>Introduction</w:t>
      </w:r>
      <w:bookmarkEnd w:id="1"/>
    </w:p>
    <w:p w14:paraId="0000000D" w14:textId="24B0E0FB" w:rsidR="00B31CA6" w:rsidRDefault="00A57459"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Financial Management (“</w:t>
      </w:r>
      <w:r w:rsidRPr="00A57459">
        <w:rPr>
          <w:rFonts w:ascii="Times New Roman" w:eastAsia="Times New Roman" w:hAnsi="Times New Roman" w:cs="Times New Roman"/>
          <w:b/>
          <w:bCs/>
          <w:sz w:val="24"/>
          <w:szCs w:val="24"/>
        </w:rPr>
        <w:t>IFM</w:t>
      </w:r>
      <w:r>
        <w:rPr>
          <w:rFonts w:ascii="Times New Roman" w:eastAsia="Times New Roman" w:hAnsi="Times New Roman" w:cs="Times New Roman"/>
          <w:sz w:val="24"/>
          <w:szCs w:val="24"/>
        </w:rPr>
        <w:t>”)</w:t>
      </w:r>
      <w:r w:rsidR="000A0870">
        <w:rPr>
          <w:rFonts w:ascii="Times New Roman" w:eastAsia="Times New Roman" w:hAnsi="Times New Roman" w:cs="Times New Roman"/>
          <w:sz w:val="24"/>
          <w:szCs w:val="24"/>
        </w:rPr>
        <w:t xml:space="preserve"> is what </w:t>
      </w:r>
      <w:r w:rsidR="00F7191D">
        <w:rPr>
          <w:rFonts w:ascii="Times New Roman" w:eastAsia="Times New Roman" w:hAnsi="Times New Roman" w:cs="Times New Roman"/>
          <w:sz w:val="24"/>
          <w:szCs w:val="24"/>
        </w:rPr>
        <w:t>one</w:t>
      </w:r>
      <w:r w:rsidR="000A0870">
        <w:rPr>
          <w:rFonts w:ascii="Times New Roman" w:eastAsia="Times New Roman" w:hAnsi="Times New Roman" w:cs="Times New Roman"/>
          <w:sz w:val="24"/>
          <w:szCs w:val="24"/>
        </w:rPr>
        <w:t xml:space="preserve"> need</w:t>
      </w:r>
      <w:r w:rsidR="00F7191D">
        <w:rPr>
          <w:rFonts w:ascii="Times New Roman" w:eastAsia="Times New Roman" w:hAnsi="Times New Roman" w:cs="Times New Roman"/>
          <w:sz w:val="24"/>
          <w:szCs w:val="24"/>
        </w:rPr>
        <w:t>s</w:t>
      </w:r>
      <w:r w:rsidR="000A0870">
        <w:rPr>
          <w:rFonts w:ascii="Times New Roman" w:eastAsia="Times New Roman" w:hAnsi="Times New Roman" w:cs="Times New Roman"/>
          <w:sz w:val="24"/>
          <w:szCs w:val="24"/>
        </w:rPr>
        <w:t xml:space="preserve"> to make choices and deal with money around the world. IFM is a big part of helping multinational corporations (</w:t>
      </w:r>
      <w:r>
        <w:rPr>
          <w:rFonts w:ascii="Times New Roman" w:eastAsia="Times New Roman" w:hAnsi="Times New Roman" w:cs="Times New Roman"/>
          <w:sz w:val="24"/>
          <w:szCs w:val="24"/>
        </w:rPr>
        <w:t>“</w:t>
      </w:r>
      <w:r w:rsidR="000A0870" w:rsidRPr="00A57459">
        <w:rPr>
          <w:rFonts w:ascii="Times New Roman" w:eastAsia="Times New Roman" w:hAnsi="Times New Roman" w:cs="Times New Roman"/>
          <w:b/>
          <w:bCs/>
          <w:sz w:val="24"/>
          <w:szCs w:val="24"/>
        </w:rPr>
        <w:t>MNCs</w:t>
      </w:r>
      <w:r>
        <w:rPr>
          <w:rFonts w:ascii="Times New Roman" w:eastAsia="Times New Roman" w:hAnsi="Times New Roman" w:cs="Times New Roman"/>
          <w:sz w:val="24"/>
          <w:szCs w:val="24"/>
        </w:rPr>
        <w:t>”</w:t>
      </w:r>
      <w:r w:rsidR="000A0870">
        <w:rPr>
          <w:rFonts w:ascii="Times New Roman" w:eastAsia="Times New Roman" w:hAnsi="Times New Roman" w:cs="Times New Roman"/>
          <w:sz w:val="24"/>
          <w:szCs w:val="24"/>
        </w:rPr>
        <w:t>) deal with tough financial problems, make good use of their resources, and raise the value of their companies as markets become more global (Gautam et al., 2023).</w:t>
      </w:r>
    </w:p>
    <w:p w14:paraId="0000000E" w14:textId="21E855F5" w:rsidR="00B31CA6" w:rsidRDefault="00673C38"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w:t>
      </w:r>
      <w:r w:rsidR="000A087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global companies</w:t>
      </w:r>
      <w:r w:rsidR="000A0870">
        <w:rPr>
          <w:rFonts w:ascii="Times New Roman" w:eastAsia="Times New Roman" w:hAnsi="Times New Roman" w:cs="Times New Roman"/>
          <w:sz w:val="24"/>
          <w:szCs w:val="24"/>
        </w:rPr>
        <w:t xml:space="preserve"> do business all over the world, </w:t>
      </w:r>
      <w:r>
        <w:rPr>
          <w:rFonts w:ascii="Times New Roman" w:eastAsia="Times New Roman" w:hAnsi="Times New Roman" w:cs="Times New Roman"/>
          <w:sz w:val="24"/>
          <w:szCs w:val="24"/>
        </w:rPr>
        <w:t>they</w:t>
      </w:r>
      <w:r w:rsidR="000A0870">
        <w:rPr>
          <w:rFonts w:ascii="Times New Roman" w:eastAsia="Times New Roman" w:hAnsi="Times New Roman" w:cs="Times New Roman"/>
          <w:sz w:val="24"/>
          <w:szCs w:val="24"/>
        </w:rPr>
        <w:t xml:space="preserve"> need to be very careful about foreign exchange threats. Exchange rate changes can make it hard for MNCs to compete in foreign markets, make money, and keep their cash flows steady (Bhalla, 2022). MNCs might lose money, have issues with their business, or fail at their plans if they do not know how to handle these risks well.</w:t>
      </w:r>
    </w:p>
    <w:p w14:paraId="0000000F"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goal of the study is to get a better look at how international companies handle the risks that come with dealing with foreign exchange. The study will collect research ideas, facts, and effects from the real world to help people figure out the best ways to handle foreign money.</w:t>
      </w:r>
    </w:p>
    <w:p w14:paraId="438D58B9" w14:textId="77777777" w:rsidR="00B64999" w:rsidRDefault="00B64999">
      <w:pPr>
        <w:rPr>
          <w:rFonts w:ascii="Times New Roman" w:hAnsi="Times New Roman"/>
          <w:b/>
          <w:color w:val="1F497D" w:themeColor="text2"/>
          <w:sz w:val="32"/>
          <w:szCs w:val="40"/>
        </w:rPr>
      </w:pPr>
      <w:r>
        <w:br w:type="page"/>
      </w:r>
    </w:p>
    <w:p w14:paraId="00000010" w14:textId="7F06D103" w:rsidR="00B31CA6" w:rsidRDefault="000A0870" w:rsidP="00ED64E3">
      <w:pPr>
        <w:pStyle w:val="Heading1"/>
      </w:pPr>
      <w:bookmarkStart w:id="2" w:name="_Toc162084920"/>
      <w:r>
        <w:lastRenderedPageBreak/>
        <w:t>Understanding Foreign Exchange Risks</w:t>
      </w:r>
      <w:bookmarkEnd w:id="2"/>
    </w:p>
    <w:p w14:paraId="00000011" w14:textId="7C1F2BF0"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Foreign exchange risks are the losses that MNCs could have when they deal with different currencies and the exchange rates change. These risks exist since </w:t>
      </w:r>
      <w:r w:rsidR="00F7191D">
        <w:rPr>
          <w:rFonts w:ascii="Times New Roman" w:eastAsia="Times New Roman" w:hAnsi="Times New Roman" w:cs="Times New Roman"/>
          <w:sz w:val="24"/>
          <w:szCs w:val="24"/>
        </w:rPr>
        <w:t>people</w:t>
      </w:r>
      <w:r>
        <w:rPr>
          <w:rFonts w:ascii="Times New Roman" w:eastAsia="Times New Roman" w:hAnsi="Times New Roman" w:cs="Times New Roman"/>
          <w:sz w:val="24"/>
          <w:szCs w:val="24"/>
        </w:rPr>
        <w:t xml:space="preserve"> do not know what will happen with the exchange rate in the future (Hossain et al., 2023). They can change the tactics MNCs use and how well they do financially.</w:t>
      </w:r>
    </w:p>
    <w:p w14:paraId="532B56AA" w14:textId="77777777" w:rsidR="0039039D" w:rsidRPr="0039039D" w:rsidRDefault="000A0870" w:rsidP="00ED64E3">
      <w:pPr>
        <w:widowControl w:val="0"/>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There are several types of foreign exchange risks</w:t>
      </w:r>
    </w:p>
    <w:tbl>
      <w:tblPr>
        <w:tblStyle w:val="TableGrid"/>
        <w:tblW w:w="0" w:type="auto"/>
        <w:tblLook w:val="04A0" w:firstRow="1" w:lastRow="0" w:firstColumn="1" w:lastColumn="0" w:noHBand="0" w:noVBand="1"/>
      </w:tblPr>
      <w:tblGrid>
        <w:gridCol w:w="2245"/>
        <w:gridCol w:w="7105"/>
      </w:tblGrid>
      <w:tr w:rsidR="0039039D" w14:paraId="66F04536" w14:textId="77777777" w:rsidTr="0039039D">
        <w:tc>
          <w:tcPr>
            <w:tcW w:w="2245" w:type="dxa"/>
          </w:tcPr>
          <w:p w14:paraId="00C51688" w14:textId="64096188" w:rsid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Transaction Risk</w:t>
            </w:r>
          </w:p>
        </w:tc>
        <w:tc>
          <w:tcPr>
            <w:tcW w:w="7105" w:type="dxa"/>
          </w:tcPr>
          <w:p w14:paraId="23FE1ECC" w14:textId="430E177B" w:rsid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value of the currency changes between the start and end of a trade, the amount of money that comes in from other countries will change in the future (Spjut, 2020).</w:t>
            </w:r>
          </w:p>
        </w:tc>
      </w:tr>
      <w:tr w:rsidR="0039039D" w14:paraId="76B77928" w14:textId="77777777" w:rsidTr="0039039D">
        <w:tc>
          <w:tcPr>
            <w:tcW w:w="2245" w:type="dxa"/>
          </w:tcPr>
          <w:p w14:paraId="2A9C0A70" w14:textId="6555B8AA" w:rsid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Translation Risk</w:t>
            </w:r>
          </w:p>
        </w:tc>
        <w:tc>
          <w:tcPr>
            <w:tcW w:w="7105" w:type="dxa"/>
          </w:tcPr>
          <w:p w14:paraId="3F49365E" w14:textId="7C7ADFDA" w:rsid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value of the dollar changes, this part talks about how to change the books of a foreign division into the reporting currency of the main company.</w:t>
            </w:r>
          </w:p>
        </w:tc>
      </w:tr>
      <w:tr w:rsidR="0039039D" w14:paraId="5D58913F" w14:textId="77777777" w:rsidTr="0039039D">
        <w:tc>
          <w:tcPr>
            <w:tcW w:w="2245" w:type="dxa"/>
          </w:tcPr>
          <w:p w14:paraId="77AFD888" w14:textId="05FC117F" w:rsid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Risk</w:t>
            </w:r>
          </w:p>
        </w:tc>
        <w:tc>
          <w:tcPr>
            <w:tcW w:w="7105" w:type="dxa"/>
          </w:tcPr>
          <w:p w14:paraId="3012D3EA" w14:textId="2AB12F84" w:rsid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exchange rates change, it can lower the prices of goods and services sold by MNCs around the world (Smith, 2022). This could change their future cash flow and market share.</w:t>
            </w:r>
          </w:p>
        </w:tc>
      </w:tr>
    </w:tbl>
    <w:p w14:paraId="5F6F4B9D" w14:textId="77777777" w:rsidR="0039039D" w:rsidRPr="0039039D" w:rsidRDefault="000A0870" w:rsidP="00B64999">
      <w:pPr>
        <w:widowControl w:val="0"/>
        <w:spacing w:before="240"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 xml:space="preserve">Various factors influence foreign exchange </w:t>
      </w:r>
      <w:proofErr w:type="gramStart"/>
      <w:r w:rsidRPr="0039039D">
        <w:rPr>
          <w:rFonts w:ascii="Times New Roman" w:eastAsia="Times New Roman" w:hAnsi="Times New Roman" w:cs="Times New Roman"/>
          <w:b/>
          <w:bCs/>
          <w:sz w:val="24"/>
          <w:szCs w:val="24"/>
        </w:rPr>
        <w:t>risks</w:t>
      </w:r>
      <w:proofErr w:type="gramEnd"/>
    </w:p>
    <w:tbl>
      <w:tblPr>
        <w:tblStyle w:val="TableGrid"/>
        <w:tblW w:w="0" w:type="auto"/>
        <w:tblLook w:val="04A0" w:firstRow="1" w:lastRow="0" w:firstColumn="1" w:lastColumn="0" w:noHBand="0" w:noVBand="1"/>
      </w:tblPr>
      <w:tblGrid>
        <w:gridCol w:w="2605"/>
        <w:gridCol w:w="6745"/>
      </w:tblGrid>
      <w:tr w:rsidR="0039039D" w14:paraId="0DEBB1F4" w14:textId="77777777" w:rsidTr="0039039D">
        <w:tc>
          <w:tcPr>
            <w:tcW w:w="2605" w:type="dxa"/>
          </w:tcPr>
          <w:p w14:paraId="69C451A9" w14:textId="17883B2F" w:rsidR="0039039D" w:rsidRP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Conditions</w:t>
            </w:r>
          </w:p>
        </w:tc>
        <w:tc>
          <w:tcPr>
            <w:tcW w:w="6745" w:type="dxa"/>
          </w:tcPr>
          <w:p w14:paraId="2B7DA33A" w14:textId="619986A2" w:rsidR="0039039D" w:rsidRP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possible for exchange rates to change based on the flow of cash and customer trust. Some examples of these are interest rates, inflation, and the growth of the economy.</w:t>
            </w:r>
          </w:p>
        </w:tc>
      </w:tr>
      <w:tr w:rsidR="0039039D" w14:paraId="4BD251F6" w14:textId="77777777" w:rsidTr="0039039D">
        <w:tc>
          <w:tcPr>
            <w:tcW w:w="2605" w:type="dxa"/>
          </w:tcPr>
          <w:p w14:paraId="261694DD" w14:textId="38912F0A" w:rsidR="0039039D" w:rsidRP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Sentiment</w:t>
            </w:r>
          </w:p>
        </w:tc>
        <w:tc>
          <w:tcPr>
            <w:tcW w:w="6745" w:type="dxa"/>
          </w:tcPr>
          <w:p w14:paraId="4B59B71B" w14:textId="4853EEA7" w:rsidR="0039039D" w:rsidRP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Exchange rates can change quickly depending on things like what buyers think, what the market expects, and actions that could be risky (Keenan, 2019). The market is not as stable as it used to be.</w:t>
            </w:r>
          </w:p>
        </w:tc>
      </w:tr>
      <w:tr w:rsidR="0039039D" w14:paraId="172F671A" w14:textId="77777777" w:rsidTr="0039039D">
        <w:tc>
          <w:tcPr>
            <w:tcW w:w="2605" w:type="dxa"/>
          </w:tcPr>
          <w:p w14:paraId="5E9F2B53" w14:textId="41A04ED0" w:rsidR="0039039D" w:rsidRP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Stability</w:t>
            </w:r>
          </w:p>
        </w:tc>
        <w:tc>
          <w:tcPr>
            <w:tcW w:w="6745" w:type="dxa"/>
          </w:tcPr>
          <w:p w14:paraId="1B4DEAA4" w14:textId="69B2F9FE" w:rsidR="0039039D" w:rsidRPr="0039039D" w:rsidRDefault="0039039D"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times of trouble in politics, talks, or government projects, things might not be as clear. There is less chance of capital movement, which can change exchange rates. Buyers are less sure of each other. </w:t>
            </w:r>
          </w:p>
        </w:tc>
      </w:tr>
    </w:tbl>
    <w:p w14:paraId="00000020" w14:textId="20919C22" w:rsidR="00B31CA6" w:rsidRDefault="000A0870" w:rsidP="00ED64E3">
      <w:pPr>
        <w:pStyle w:val="Heading1"/>
      </w:pPr>
      <w:bookmarkStart w:id="3" w:name="_Toc162084921"/>
      <w:r>
        <w:lastRenderedPageBreak/>
        <w:t>Theoretical Frameworks for Managing Foreign Exchange Risks</w:t>
      </w:r>
      <w:bookmarkEnd w:id="3"/>
    </w:p>
    <w:p w14:paraId="00000021" w14:textId="77777777" w:rsidR="00B31CA6" w:rsidRDefault="000A0870" w:rsidP="00ED64E3">
      <w:pPr>
        <w:pStyle w:val="Heading2"/>
      </w:pPr>
      <w:bookmarkStart w:id="4" w:name="_Toc162084922"/>
      <w:r>
        <w:t>Financial Hedging Strategies</w:t>
      </w:r>
      <w:bookmarkEnd w:id="4"/>
    </w:p>
    <w:p w14:paraId="22500F4A" w14:textId="77777777" w:rsidR="0039039D" w:rsidRPr="0039039D" w:rsidRDefault="000A0870" w:rsidP="00ED64E3">
      <w:pPr>
        <w:pStyle w:val="ListParagraph"/>
        <w:widowControl w:val="0"/>
        <w:numPr>
          <w:ilvl w:val="0"/>
          <w:numId w:val="1"/>
        </w:numPr>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Forward Contracts</w:t>
      </w:r>
    </w:p>
    <w:p w14:paraId="00000023" w14:textId="7D33D1CB" w:rsidR="00B31CA6" w:rsidRPr="0039039D" w:rsidRDefault="000A0870" w:rsidP="00ED64E3">
      <w:pPr>
        <w:pStyle w:val="ListParagraph"/>
        <w:widowControl w:val="0"/>
        <w:spacing w:after="200" w:line="360" w:lineRule="auto"/>
        <w:jc w:val="both"/>
        <w:rPr>
          <w:rFonts w:ascii="Times New Roman" w:eastAsia="Times New Roman" w:hAnsi="Times New Roman" w:cs="Times New Roman"/>
          <w:sz w:val="24"/>
          <w:szCs w:val="24"/>
        </w:rPr>
      </w:pPr>
      <w:r w:rsidRPr="0039039D">
        <w:rPr>
          <w:rFonts w:ascii="Times New Roman" w:eastAsia="Times New Roman" w:hAnsi="Times New Roman" w:cs="Times New Roman"/>
          <w:sz w:val="24"/>
          <w:szCs w:val="24"/>
        </w:rPr>
        <w:t xml:space="preserve">This is when two people agree to trade currencies at a set rate at a certain date in the future. Put in the current exchange rates to protect </w:t>
      </w:r>
      <w:r w:rsidR="006D6C7B">
        <w:rPr>
          <w:rFonts w:ascii="Times New Roman" w:eastAsia="Times New Roman" w:hAnsi="Times New Roman" w:cs="Times New Roman"/>
          <w:sz w:val="24"/>
          <w:szCs w:val="24"/>
        </w:rPr>
        <w:t>MNCs</w:t>
      </w:r>
      <w:r w:rsidRPr="0039039D">
        <w:rPr>
          <w:rFonts w:ascii="Times New Roman" w:eastAsia="Times New Roman" w:hAnsi="Times New Roman" w:cs="Times New Roman"/>
          <w:sz w:val="24"/>
          <w:szCs w:val="24"/>
        </w:rPr>
        <w:t xml:space="preserve"> from possible changes in the exchange rates (Cooper et al., 2023). This makes it safer to do business.</w:t>
      </w:r>
    </w:p>
    <w:p w14:paraId="66466F5F" w14:textId="77777777" w:rsidR="0039039D" w:rsidRPr="0039039D" w:rsidRDefault="000A0870" w:rsidP="00ED64E3">
      <w:pPr>
        <w:pStyle w:val="ListParagraph"/>
        <w:widowControl w:val="0"/>
        <w:numPr>
          <w:ilvl w:val="0"/>
          <w:numId w:val="1"/>
        </w:numPr>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Futures Contracts</w:t>
      </w:r>
    </w:p>
    <w:p w14:paraId="00000025" w14:textId="42DCFA5A" w:rsidR="00B31CA6" w:rsidRPr="0039039D" w:rsidRDefault="00F7191D" w:rsidP="00ED64E3">
      <w:pPr>
        <w:pStyle w:val="ListParagraph"/>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w:t>
      </w:r>
      <w:r w:rsidR="000A0870" w:rsidRPr="0039039D">
        <w:rPr>
          <w:rFonts w:ascii="Times New Roman" w:eastAsia="Times New Roman" w:hAnsi="Times New Roman" w:cs="Times New Roman"/>
          <w:sz w:val="24"/>
          <w:szCs w:val="24"/>
        </w:rPr>
        <w:t xml:space="preserve"> buy futures options on the market, but they work the same way as forward contracts. They make standard deals with businesses around the world so that they can buy and sell currencies soon. This lets them guard against changes in exchange rates </w:t>
      </w:r>
      <w:r w:rsidR="00B64999">
        <w:rPr>
          <w:rFonts w:ascii="Times New Roman" w:eastAsia="Times New Roman" w:hAnsi="Times New Roman" w:cs="Times New Roman"/>
          <w:sz w:val="24"/>
          <w:szCs w:val="24"/>
        </w:rPr>
        <w:t>clearly and easil</w:t>
      </w:r>
      <w:r w:rsidR="000A0870" w:rsidRPr="0039039D">
        <w:rPr>
          <w:rFonts w:ascii="Times New Roman" w:eastAsia="Times New Roman" w:hAnsi="Times New Roman" w:cs="Times New Roman"/>
          <w:sz w:val="24"/>
          <w:szCs w:val="24"/>
        </w:rPr>
        <w:t>y.</w:t>
      </w:r>
    </w:p>
    <w:p w14:paraId="16C6ED9E" w14:textId="77777777" w:rsidR="0039039D" w:rsidRPr="0039039D" w:rsidRDefault="000A0870" w:rsidP="00ED64E3">
      <w:pPr>
        <w:pStyle w:val="ListParagraph"/>
        <w:widowControl w:val="0"/>
        <w:numPr>
          <w:ilvl w:val="0"/>
          <w:numId w:val="1"/>
        </w:numPr>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Options Contracts</w:t>
      </w:r>
    </w:p>
    <w:p w14:paraId="00000027" w14:textId="0DE7F5A2" w:rsidR="00B31CA6" w:rsidRPr="0039039D" w:rsidRDefault="000A0870" w:rsidP="00ED64E3">
      <w:pPr>
        <w:pStyle w:val="ListParagraph"/>
        <w:widowControl w:val="0"/>
        <w:spacing w:after="200" w:line="360" w:lineRule="auto"/>
        <w:jc w:val="both"/>
        <w:rPr>
          <w:rFonts w:ascii="Times New Roman" w:eastAsia="Times New Roman" w:hAnsi="Times New Roman" w:cs="Times New Roman"/>
          <w:sz w:val="24"/>
          <w:szCs w:val="24"/>
        </w:rPr>
      </w:pPr>
      <w:r w:rsidRPr="0039039D">
        <w:rPr>
          <w:rFonts w:ascii="Times New Roman" w:eastAsia="Times New Roman" w:hAnsi="Times New Roman" w:cs="Times New Roman"/>
          <w:sz w:val="24"/>
          <w:szCs w:val="24"/>
        </w:rPr>
        <w:t>Global businesses can choose to buy or sell currencies at a certain price (strike price) within a certain amount of time with options contracts. They do not need to! When MNCs have choices, they are free and safe from bad changes in the exchange rate. Changes for the better can also help them.</w:t>
      </w:r>
    </w:p>
    <w:p w14:paraId="00000028" w14:textId="77777777" w:rsidR="00B31CA6" w:rsidRDefault="000A0870" w:rsidP="00ED64E3">
      <w:pPr>
        <w:pStyle w:val="Heading2"/>
      </w:pPr>
      <w:bookmarkStart w:id="5" w:name="_Toc162084923"/>
      <w:r>
        <w:t>Operational Hedging Strategies</w:t>
      </w:r>
      <w:bookmarkEnd w:id="5"/>
    </w:p>
    <w:p w14:paraId="0B513EC5" w14:textId="77777777" w:rsidR="0039039D" w:rsidRPr="0039039D" w:rsidRDefault="000A0870" w:rsidP="00ED64E3">
      <w:pPr>
        <w:pStyle w:val="ListParagraph"/>
        <w:widowControl w:val="0"/>
        <w:numPr>
          <w:ilvl w:val="0"/>
          <w:numId w:val="1"/>
        </w:numPr>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Leading and lagging</w:t>
      </w:r>
    </w:p>
    <w:p w14:paraId="0000002A" w14:textId="7FED8C1E" w:rsidR="00B31CA6" w:rsidRPr="0039039D" w:rsidRDefault="000A0870" w:rsidP="00ED64E3">
      <w:pPr>
        <w:pStyle w:val="ListParagraph"/>
        <w:widowControl w:val="0"/>
        <w:spacing w:after="200" w:line="360" w:lineRule="auto"/>
        <w:jc w:val="both"/>
        <w:rPr>
          <w:rFonts w:ascii="Times New Roman" w:eastAsia="Times New Roman" w:hAnsi="Times New Roman" w:cs="Times New Roman"/>
          <w:sz w:val="24"/>
          <w:szCs w:val="24"/>
        </w:rPr>
      </w:pPr>
      <w:r w:rsidRPr="0039039D">
        <w:rPr>
          <w:rFonts w:ascii="Times New Roman" w:eastAsia="Times New Roman" w:hAnsi="Times New Roman" w:cs="Times New Roman"/>
          <w:sz w:val="24"/>
          <w:szCs w:val="24"/>
        </w:rPr>
        <w:t xml:space="preserve">Leading the flow of foreign currency means speeding it up or slowing it down to take advantage of expected changes in that currency. On the other hand, when </w:t>
      </w:r>
      <w:r w:rsidR="00F7191D">
        <w:rPr>
          <w:rFonts w:ascii="Times New Roman" w:eastAsia="Times New Roman" w:hAnsi="Times New Roman" w:cs="Times New Roman"/>
          <w:sz w:val="24"/>
          <w:szCs w:val="24"/>
        </w:rPr>
        <w:t>people</w:t>
      </w:r>
      <w:r w:rsidRPr="0039039D">
        <w:rPr>
          <w:rFonts w:ascii="Times New Roman" w:eastAsia="Times New Roman" w:hAnsi="Times New Roman" w:cs="Times New Roman"/>
          <w:sz w:val="24"/>
          <w:szCs w:val="24"/>
        </w:rPr>
        <w:t xml:space="preserve"> lag, </w:t>
      </w:r>
      <w:r w:rsidR="00F7191D">
        <w:rPr>
          <w:rFonts w:ascii="Times New Roman" w:eastAsia="Times New Roman" w:hAnsi="Times New Roman" w:cs="Times New Roman"/>
          <w:sz w:val="24"/>
          <w:szCs w:val="24"/>
        </w:rPr>
        <w:t>they</w:t>
      </w:r>
      <w:r w:rsidRPr="0039039D">
        <w:rPr>
          <w:rFonts w:ascii="Times New Roman" w:eastAsia="Times New Roman" w:hAnsi="Times New Roman" w:cs="Times New Roman"/>
          <w:sz w:val="24"/>
          <w:szCs w:val="24"/>
        </w:rPr>
        <w:t xml:space="preserve"> slow down or speed up the flow of foreign cash to lessen the damage from bad moves.</w:t>
      </w:r>
    </w:p>
    <w:p w14:paraId="63910722" w14:textId="77777777" w:rsidR="0039039D" w:rsidRPr="0039039D" w:rsidRDefault="000A0870" w:rsidP="00ED64E3">
      <w:pPr>
        <w:pStyle w:val="ListParagraph"/>
        <w:widowControl w:val="0"/>
        <w:numPr>
          <w:ilvl w:val="0"/>
          <w:numId w:val="1"/>
        </w:numPr>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Netting</w:t>
      </w:r>
    </w:p>
    <w:p w14:paraId="0000002C" w14:textId="1808B991" w:rsidR="00B31CA6" w:rsidRPr="0039039D" w:rsidRDefault="000A0870" w:rsidP="00ED64E3">
      <w:pPr>
        <w:pStyle w:val="ListParagraph"/>
        <w:widowControl w:val="0"/>
        <w:spacing w:after="200" w:line="360" w:lineRule="auto"/>
        <w:jc w:val="both"/>
        <w:rPr>
          <w:rFonts w:ascii="Times New Roman" w:eastAsia="Times New Roman" w:hAnsi="Times New Roman" w:cs="Times New Roman"/>
          <w:sz w:val="24"/>
          <w:szCs w:val="24"/>
        </w:rPr>
      </w:pPr>
      <w:r w:rsidRPr="0039039D">
        <w:rPr>
          <w:rFonts w:ascii="Times New Roman" w:eastAsia="Times New Roman" w:hAnsi="Times New Roman" w:cs="Times New Roman"/>
          <w:sz w:val="24"/>
          <w:szCs w:val="24"/>
        </w:rPr>
        <w:t xml:space="preserve">At the end of the month, </w:t>
      </w:r>
      <w:r w:rsidR="00F7191D">
        <w:rPr>
          <w:rFonts w:ascii="Times New Roman" w:eastAsia="Times New Roman" w:hAnsi="Times New Roman" w:cs="Times New Roman"/>
          <w:sz w:val="24"/>
          <w:szCs w:val="24"/>
        </w:rPr>
        <w:t>one</w:t>
      </w:r>
      <w:r w:rsidRPr="0039039D">
        <w:rPr>
          <w:rFonts w:ascii="Times New Roman" w:eastAsia="Times New Roman" w:hAnsi="Times New Roman" w:cs="Times New Roman"/>
          <w:sz w:val="24"/>
          <w:szCs w:val="24"/>
        </w:rPr>
        <w:t xml:space="preserve"> should have an equal amount of bills and payables. In turn, this lowers the number of deals and the risks that come with them.</w:t>
      </w:r>
    </w:p>
    <w:p w14:paraId="19AD9FEF" w14:textId="77777777" w:rsidR="0039039D" w:rsidRPr="0039039D" w:rsidRDefault="000A0870" w:rsidP="00ED64E3">
      <w:pPr>
        <w:pStyle w:val="ListParagraph"/>
        <w:widowControl w:val="0"/>
        <w:numPr>
          <w:ilvl w:val="0"/>
          <w:numId w:val="1"/>
        </w:numPr>
        <w:spacing w:after="200" w:line="360" w:lineRule="auto"/>
        <w:jc w:val="both"/>
        <w:rPr>
          <w:rFonts w:ascii="Times New Roman" w:eastAsia="Times New Roman" w:hAnsi="Times New Roman" w:cs="Times New Roman"/>
          <w:b/>
          <w:bCs/>
          <w:sz w:val="24"/>
          <w:szCs w:val="24"/>
        </w:rPr>
      </w:pPr>
      <w:r w:rsidRPr="0039039D">
        <w:rPr>
          <w:rFonts w:ascii="Times New Roman" w:eastAsia="Times New Roman" w:hAnsi="Times New Roman" w:cs="Times New Roman"/>
          <w:b/>
          <w:bCs/>
          <w:sz w:val="24"/>
          <w:szCs w:val="24"/>
        </w:rPr>
        <w:t>Currency Diversification</w:t>
      </w:r>
    </w:p>
    <w:p w14:paraId="6777EE88" w14:textId="2FB9CB1F" w:rsidR="00B64999" w:rsidRPr="007C3077" w:rsidRDefault="00B64999" w:rsidP="007C3077">
      <w:pPr>
        <w:pStyle w:val="ListParagraph"/>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A0870" w:rsidRPr="0039039D">
        <w:rPr>
          <w:rFonts w:ascii="Times New Roman" w:eastAsia="Times New Roman" w:hAnsi="Times New Roman" w:cs="Times New Roman"/>
          <w:sz w:val="24"/>
          <w:szCs w:val="24"/>
        </w:rPr>
        <w:t xml:space="preserve">o be currency-flexible, </w:t>
      </w:r>
      <w:r w:rsidR="00F7191D">
        <w:rPr>
          <w:rFonts w:ascii="Times New Roman" w:eastAsia="Times New Roman" w:hAnsi="Times New Roman" w:cs="Times New Roman"/>
          <w:sz w:val="24"/>
          <w:szCs w:val="24"/>
        </w:rPr>
        <w:t>people</w:t>
      </w:r>
      <w:r w:rsidR="000A0870" w:rsidRPr="0039039D">
        <w:rPr>
          <w:rFonts w:ascii="Times New Roman" w:eastAsia="Times New Roman" w:hAnsi="Times New Roman" w:cs="Times New Roman"/>
          <w:sz w:val="24"/>
          <w:szCs w:val="24"/>
        </w:rPr>
        <w:t xml:space="preserve"> need to keep </w:t>
      </w:r>
      <w:r w:rsidR="00F7191D">
        <w:rPr>
          <w:rFonts w:ascii="Times New Roman" w:eastAsia="Times New Roman" w:hAnsi="Times New Roman" w:cs="Times New Roman"/>
          <w:sz w:val="24"/>
          <w:szCs w:val="24"/>
        </w:rPr>
        <w:t>thei</w:t>
      </w:r>
      <w:r w:rsidR="000A0870" w:rsidRPr="0039039D">
        <w:rPr>
          <w:rFonts w:ascii="Times New Roman" w:eastAsia="Times New Roman" w:hAnsi="Times New Roman" w:cs="Times New Roman"/>
          <w:sz w:val="24"/>
          <w:szCs w:val="24"/>
        </w:rPr>
        <w:t xml:space="preserve">r money, bills, and investments in more than one currency. In this way, </w:t>
      </w:r>
      <w:r w:rsidR="00F7191D">
        <w:rPr>
          <w:rFonts w:ascii="Times New Roman" w:eastAsia="Times New Roman" w:hAnsi="Times New Roman" w:cs="Times New Roman"/>
          <w:sz w:val="24"/>
          <w:szCs w:val="24"/>
        </w:rPr>
        <w:t>one</w:t>
      </w:r>
      <w:r w:rsidR="000A0870" w:rsidRPr="0039039D">
        <w:rPr>
          <w:rFonts w:ascii="Times New Roman" w:eastAsia="Times New Roman" w:hAnsi="Times New Roman" w:cs="Times New Roman"/>
          <w:sz w:val="24"/>
          <w:szCs w:val="24"/>
        </w:rPr>
        <w:t xml:space="preserve"> can spread the risk of the foreign exchange market across many areas and currencies (</w:t>
      </w:r>
      <w:proofErr w:type="spellStart"/>
      <w:r w:rsidR="000A0870" w:rsidRPr="0039039D">
        <w:rPr>
          <w:rFonts w:ascii="Times New Roman" w:eastAsia="Times New Roman" w:hAnsi="Times New Roman" w:cs="Times New Roman"/>
          <w:sz w:val="24"/>
          <w:szCs w:val="24"/>
        </w:rPr>
        <w:t>Lundstrum</w:t>
      </w:r>
      <w:proofErr w:type="spellEnd"/>
      <w:r w:rsidR="000A0870" w:rsidRPr="0039039D">
        <w:rPr>
          <w:rFonts w:ascii="Times New Roman" w:eastAsia="Times New Roman" w:hAnsi="Times New Roman" w:cs="Times New Roman"/>
          <w:sz w:val="24"/>
          <w:szCs w:val="24"/>
        </w:rPr>
        <w:t>, 2021). In general, this means that changes in the exchange rate are not as bad.</w:t>
      </w:r>
    </w:p>
    <w:p w14:paraId="0000002F" w14:textId="5C3B3BF4" w:rsidR="00B31CA6" w:rsidRDefault="000A0870" w:rsidP="00ED64E3">
      <w:pPr>
        <w:pStyle w:val="Heading1"/>
      </w:pPr>
      <w:bookmarkStart w:id="6" w:name="_Toc162084924"/>
      <w:r>
        <w:lastRenderedPageBreak/>
        <w:t xml:space="preserve">Empirical Evidence of </w:t>
      </w:r>
      <w:r w:rsidR="006D6C7B">
        <w:t>MNCs</w:t>
      </w:r>
      <w:r>
        <w:t xml:space="preserve"> FX Risk Management Strategies</w:t>
      </w:r>
      <w:bookmarkEnd w:id="6"/>
    </w:p>
    <w:p w14:paraId="00000030" w14:textId="2D909FA7" w:rsidR="00B31CA6" w:rsidRDefault="000A0870" w:rsidP="00ED64E3">
      <w:pPr>
        <w:pStyle w:val="Heading2"/>
      </w:pPr>
      <w:bookmarkStart w:id="7" w:name="_Toc162084925"/>
      <w:r>
        <w:t>Case Studies on FX Risk Management Approaches</w:t>
      </w:r>
      <w:bookmarkEnd w:id="7"/>
    </w:p>
    <w:p w14:paraId="00000031" w14:textId="4FCC8000"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case studies show how MNCs use foreign exchange risk management techniques in real life (Fleury, 2020). Because Toyota does business all over the world, it uses many financial trade tools, like forward contracts and options, to lower the transaction risks that come up. Check out this case study to learn more about how Toyota handles foreign exchange risk. Cokes FX</w:t>
      </w:r>
      <w:r w:rsidR="00B6499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risk management plan tries to keep the company</w:t>
      </w:r>
      <w:r w:rsidR="00A574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cash flows as stable as possible when the value of the dollar changes. </w:t>
      </w:r>
    </w:p>
    <w:p w14:paraId="00000032" w14:textId="77777777" w:rsidR="00B31CA6" w:rsidRDefault="000A0870" w:rsidP="00ED64E3">
      <w:pPr>
        <w:pStyle w:val="Heading2"/>
      </w:pPr>
      <w:bookmarkStart w:id="8" w:name="_Toc162084926"/>
      <w:r>
        <w:t>Analysis of Successes and Failures in FX Risk Management</w:t>
      </w:r>
      <w:bookmarkEnd w:id="8"/>
    </w:p>
    <w:p w14:paraId="00000033" w14:textId="3C77708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that do business around the world can learn a lot about how to handle foreign exchange risk by looking at what worked and what did</w:t>
      </w:r>
      <w:r w:rsidR="00BD498A">
        <w:rPr>
          <w:rFonts w:ascii="Times New Roman" w:eastAsia="Times New Roman" w:hAnsi="Times New Roman" w:cs="Times New Roman"/>
          <w:sz w:val="24"/>
          <w:szCs w:val="24"/>
        </w:rPr>
        <w:t xml:space="preserve"> no</w:t>
      </w:r>
      <w:r>
        <w:rPr>
          <w:rFonts w:ascii="Times New Roman" w:eastAsia="Times New Roman" w:hAnsi="Times New Roman" w:cs="Times New Roman"/>
          <w:sz w:val="24"/>
          <w:szCs w:val="24"/>
        </w:rPr>
        <w:t>t. One company that uses contracts to stay safe from foreign exchange threats is Procter &amp; Gamble. This keeps their earnings stable, even though foreign markets change all the time.</w:t>
      </w:r>
    </w:p>
    <w:p w14:paraId="00000034" w14:textId="2049A828" w:rsidR="00B31CA6" w:rsidRDefault="000A0870" w:rsidP="00ED64E3">
      <w:pPr>
        <w:pStyle w:val="Heading2"/>
      </w:pPr>
      <w:bookmarkStart w:id="9" w:name="_Toc162084927"/>
      <w:r>
        <w:t>Impact of FX Risk Management Strategies</w:t>
      </w:r>
      <w:bookmarkEnd w:id="9"/>
      <w:r>
        <w:t xml:space="preserve"> </w:t>
      </w:r>
    </w:p>
    <w:p w14:paraId="00000035"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have been studies that look at how the way global companies handle foreign exchange risk affects how much money they make. In 2001, </w:t>
      </w:r>
      <w:proofErr w:type="spellStart"/>
      <w:r>
        <w:rPr>
          <w:rFonts w:ascii="Times New Roman" w:eastAsia="Times New Roman" w:hAnsi="Times New Roman" w:cs="Times New Roman"/>
          <w:sz w:val="24"/>
          <w:szCs w:val="24"/>
        </w:rPr>
        <w:t>Allayannis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Ofek</w:t>
      </w:r>
      <w:proofErr w:type="spellEnd"/>
      <w:r>
        <w:rPr>
          <w:rFonts w:ascii="Times New Roman" w:eastAsia="Times New Roman" w:hAnsi="Times New Roman" w:cs="Times New Roman"/>
          <w:sz w:val="24"/>
          <w:szCs w:val="24"/>
        </w:rPr>
        <w:t xml:space="preserve"> did a study that showed that companies that use options to actively manage their currency risks have better stock returns and less volatile profits than companies that do not protect themselves (Fleury, 2020). These tools might work or not, though, based on the market, how the business changes, and how willing the company is to take risks.</w:t>
      </w:r>
    </w:p>
    <w:p w14:paraId="2078FAD3" w14:textId="77777777" w:rsidR="00B64999" w:rsidRDefault="00B64999">
      <w:pPr>
        <w:rPr>
          <w:rFonts w:ascii="Times New Roman" w:hAnsi="Times New Roman"/>
          <w:b/>
          <w:color w:val="1F497D" w:themeColor="text2"/>
          <w:sz w:val="32"/>
          <w:szCs w:val="40"/>
        </w:rPr>
      </w:pPr>
      <w:r>
        <w:br w:type="page"/>
      </w:r>
    </w:p>
    <w:p w14:paraId="00000036" w14:textId="0D841DD4" w:rsidR="00B31CA6" w:rsidRDefault="000A0870" w:rsidP="00ED64E3">
      <w:pPr>
        <w:pStyle w:val="Heading1"/>
      </w:pPr>
      <w:bookmarkStart w:id="10" w:name="_Toc162084928"/>
      <w:r>
        <w:lastRenderedPageBreak/>
        <w:t xml:space="preserve">Critique and Evaluation of </w:t>
      </w:r>
      <w:r w:rsidR="00FB6E37">
        <w:t>MNCs</w:t>
      </w:r>
      <w:r>
        <w:t xml:space="preserve"> FX Risk Management Strategies</w:t>
      </w:r>
      <w:bookmarkEnd w:id="10"/>
    </w:p>
    <w:p w14:paraId="00000037" w14:textId="77777777" w:rsidR="00B31CA6" w:rsidRDefault="000A0870" w:rsidP="00ED64E3">
      <w:pPr>
        <w:pStyle w:val="Heading2"/>
      </w:pPr>
      <w:bookmarkStart w:id="11" w:name="_Toc162084929"/>
      <w:r>
        <w:t>Strengths and Weaknesses of Different FX Risk Management Approaches</w:t>
      </w:r>
      <w:bookmarkEnd w:id="11"/>
    </w:p>
    <w:p w14:paraId="00000038" w14:textId="757FEC85"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pros and cons of FX risk management depend on the kind of business, the market, and the risk that the business is willing to take. When </w:t>
      </w:r>
      <w:r w:rsidR="00F7191D">
        <w:rPr>
          <w:rFonts w:ascii="Times New Roman" w:eastAsia="Times New Roman" w:hAnsi="Times New Roman" w:cs="Times New Roman"/>
          <w:sz w:val="24"/>
          <w:szCs w:val="24"/>
        </w:rPr>
        <w:t>people</w:t>
      </w:r>
      <w:r>
        <w:rPr>
          <w:rFonts w:ascii="Times New Roman" w:eastAsia="Times New Roman" w:hAnsi="Times New Roman" w:cs="Times New Roman"/>
          <w:sz w:val="24"/>
          <w:szCs w:val="24"/>
        </w:rPr>
        <w:t xml:space="preserve"> hedge </w:t>
      </w:r>
      <w:r w:rsidR="00F7191D">
        <w:rPr>
          <w:rFonts w:ascii="Times New Roman" w:eastAsia="Times New Roman" w:hAnsi="Times New Roman" w:cs="Times New Roman"/>
          <w:sz w:val="24"/>
          <w:szCs w:val="24"/>
        </w:rPr>
        <w:t>thei</w:t>
      </w:r>
      <w:r>
        <w:rPr>
          <w:rFonts w:ascii="Times New Roman" w:eastAsia="Times New Roman" w:hAnsi="Times New Roman" w:cs="Times New Roman"/>
          <w:sz w:val="24"/>
          <w:szCs w:val="24"/>
        </w:rPr>
        <w:t xml:space="preserve">r money, </w:t>
      </w:r>
      <w:r w:rsidR="00F7191D">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save on both exchange rates and cash flow. Forward contracts try to guess how much it will cost to do business based on a set exchange rate (Dash, 2016). If currencies go up, these things could lock MNCs into bad rates. Plans with a lot of options that cost a lot may not be worth the money. Two ways to make trade and cash flows better are netting and leading or lagging.</w:t>
      </w:r>
    </w:p>
    <w:p w14:paraId="0000003A" w14:textId="016E2985" w:rsidR="00B31CA6" w:rsidRPr="0039039D" w:rsidRDefault="000A0870" w:rsidP="00ED64E3">
      <w:pPr>
        <w:pStyle w:val="Heading2"/>
      </w:pPr>
      <w:bookmarkStart w:id="12" w:name="_Toc162084930"/>
      <w:r>
        <w:t>Impact of External Factors on the Effectiveness of FX Risk Management</w:t>
      </w:r>
      <w:bookmarkEnd w:id="12"/>
    </w:p>
    <w:p w14:paraId="0000003B" w14:textId="73576E5E"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Outside things like the economy, the market</w:t>
      </w:r>
      <w:r w:rsidR="00FB6E37">
        <w:rPr>
          <w:rFonts w:ascii="Times New Roman" w:eastAsia="Times New Roman" w:hAnsi="Times New Roman" w:cs="Times New Roman"/>
          <w:sz w:val="24"/>
          <w:szCs w:val="24"/>
        </w:rPr>
        <w:t>’</w:t>
      </w:r>
      <w:r>
        <w:rPr>
          <w:rFonts w:ascii="Times New Roman" w:eastAsia="Times New Roman" w:hAnsi="Times New Roman" w:cs="Times New Roman"/>
          <w:sz w:val="24"/>
          <w:szCs w:val="24"/>
        </w:rPr>
        <w:t>s mood, and the government</w:t>
      </w:r>
      <w:r w:rsidR="00FB6E3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safety all have a big effect on how well FX risk management techniques work. In this case, exchange rates can change a lot when the economy is bad. It is hard for big businesses to plan and be ready for changes in currencies because of this. Foreign wars or trade disagreements in other parts of the world can also mess up currency markets, making hedge tactics less useful. </w:t>
      </w:r>
    </w:p>
    <w:p w14:paraId="35976ED8" w14:textId="77777777" w:rsidR="00B64999" w:rsidRDefault="00B64999">
      <w:pPr>
        <w:rPr>
          <w:rFonts w:ascii="Times New Roman" w:hAnsi="Times New Roman"/>
          <w:b/>
          <w:color w:val="1F497D" w:themeColor="text2"/>
          <w:sz w:val="32"/>
          <w:szCs w:val="40"/>
        </w:rPr>
      </w:pPr>
      <w:r>
        <w:br w:type="page"/>
      </w:r>
    </w:p>
    <w:p w14:paraId="0000003C" w14:textId="6FCA0E67" w:rsidR="00B31CA6" w:rsidRDefault="000A0870" w:rsidP="00ED64E3">
      <w:pPr>
        <w:pStyle w:val="Heading1"/>
      </w:pPr>
      <w:bookmarkStart w:id="13" w:name="_Toc162084931"/>
      <w:r>
        <w:lastRenderedPageBreak/>
        <w:t>Future Trends and Recommendations</w:t>
      </w:r>
      <w:bookmarkEnd w:id="13"/>
    </w:p>
    <w:p w14:paraId="0000003D" w14:textId="3DB44A84" w:rsidR="00B31CA6" w:rsidRDefault="000A0870" w:rsidP="00ED64E3">
      <w:pPr>
        <w:pStyle w:val="Heading2"/>
      </w:pPr>
      <w:bookmarkStart w:id="14" w:name="_Toc162084932"/>
      <w:r>
        <w:t xml:space="preserve">Emerging Trends in FX Risk Management for </w:t>
      </w:r>
      <w:r w:rsidR="00704EAA">
        <w:t>MNCs</w:t>
      </w:r>
      <w:bookmarkEnd w:id="14"/>
    </w:p>
    <w:p w14:paraId="0000003E" w14:textId="355E250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MNCs are now more likely to use advanced analytics and artificial intelligence (AI) to better measure risk and make decisions when they are managing foreign exchange risk (Krause and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2016). Because they use big data and prediction models more and more, MNCs can guess how exchange rates will change better and better. This lets them use smart insurance strategies.</w:t>
      </w:r>
    </w:p>
    <w:p w14:paraId="0000003F" w14:textId="77777777" w:rsidR="00B31CA6" w:rsidRDefault="000A0870" w:rsidP="00ED64E3">
      <w:pPr>
        <w:pStyle w:val="Heading2"/>
      </w:pPr>
      <w:bookmarkStart w:id="15" w:name="_Toc162084933"/>
      <w:r>
        <w:t>Recommendations for Improving FX Risk Management Practices</w:t>
      </w:r>
      <w:bookmarkEnd w:id="15"/>
    </w:p>
    <w:p w14:paraId="00000040" w14:textId="164B030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 a risk management plan that covers all of their threats, their level of comfort with risk, and their business goals. Spend money on the newest technologies and tools for risk management to help with data analysis, forecasting, and making better choices. To keep up with changes in the market, government rules, and the way </w:t>
      </w:r>
      <w:r w:rsidR="00F7191D">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business works, </w:t>
      </w:r>
      <w:r w:rsidR="00F7191D">
        <w:rPr>
          <w:rFonts w:ascii="Times New Roman" w:eastAsia="Times New Roman" w:hAnsi="Times New Roman" w:cs="Times New Roman"/>
          <w:sz w:val="24"/>
          <w:szCs w:val="24"/>
        </w:rPr>
        <w:t>one</w:t>
      </w:r>
      <w:r>
        <w:rPr>
          <w:rFonts w:ascii="Times New Roman" w:eastAsia="Times New Roman" w:hAnsi="Times New Roman" w:cs="Times New Roman"/>
          <w:sz w:val="24"/>
          <w:szCs w:val="24"/>
        </w:rPr>
        <w:t xml:space="preserve"> should look over and change </w:t>
      </w:r>
      <w:r w:rsidR="00F7191D">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selling methods often. </w:t>
      </w:r>
    </w:p>
    <w:p w14:paraId="00000041" w14:textId="77777777" w:rsidR="00B31CA6" w:rsidRDefault="000A0870" w:rsidP="00ED64E3">
      <w:pPr>
        <w:pStyle w:val="Heading2"/>
      </w:pPr>
      <w:bookmarkStart w:id="16" w:name="_Toc162084934"/>
      <w:r>
        <w:t>Areas for Further Research and Development in IFM</w:t>
      </w:r>
      <w:bookmarkEnd w:id="16"/>
    </w:p>
    <w:p w14:paraId="00000042" w14:textId="7CF4CC6E"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w:t>
      </w:r>
      <w:r w:rsidR="00F7191D">
        <w:rPr>
          <w:rFonts w:ascii="Times New Roman" w:eastAsia="Times New Roman" w:hAnsi="Times New Roman" w:cs="Times New Roman"/>
          <w:sz w:val="24"/>
          <w:szCs w:val="24"/>
        </w:rPr>
        <w:t>people</w:t>
      </w:r>
      <w:r>
        <w:rPr>
          <w:rFonts w:ascii="Times New Roman" w:eastAsia="Times New Roman" w:hAnsi="Times New Roman" w:cs="Times New Roman"/>
          <w:sz w:val="24"/>
          <w:szCs w:val="24"/>
        </w:rPr>
        <w:t xml:space="preserve"> are looking into is the world</w:t>
      </w:r>
      <w:r w:rsidR="00B649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financial markets and how new technologies like blockchain and digital currencies change them. Corporations from around the world are researching how well different types of hedging, like dynamic hedging and portfolio planning, lower their foreign exchange risks. Find out how FX risk management and business governance work together. </w:t>
      </w:r>
    </w:p>
    <w:p w14:paraId="5CF2F5BC" w14:textId="77777777" w:rsidR="00B64999" w:rsidRDefault="00B64999">
      <w:pPr>
        <w:rPr>
          <w:rFonts w:ascii="Times New Roman" w:hAnsi="Times New Roman"/>
          <w:b/>
          <w:color w:val="1F497D" w:themeColor="text2"/>
          <w:sz w:val="32"/>
          <w:szCs w:val="40"/>
        </w:rPr>
      </w:pPr>
      <w:r>
        <w:br w:type="page"/>
      </w:r>
    </w:p>
    <w:p w14:paraId="00000043" w14:textId="46524377" w:rsidR="00B31CA6" w:rsidRDefault="000A0870" w:rsidP="00ED64E3">
      <w:pPr>
        <w:pStyle w:val="Heading1"/>
      </w:pPr>
      <w:bookmarkStart w:id="17" w:name="_Toc162084935"/>
      <w:r>
        <w:lastRenderedPageBreak/>
        <w:t>Conclusion</w:t>
      </w:r>
      <w:bookmarkEnd w:id="17"/>
    </w:p>
    <w:p w14:paraId="00000044" w14:textId="68904D08"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this study looked at was how MNCs handle threats to foreign exchange (FX). For example, it looked at new ideas, real-life examples, and models of how FX risk management works. If MNCs do not want to lose money, stay competitive, and keep growing in global markets, they need to know how to handle their foreign exchange risks well.</w:t>
      </w:r>
    </w:p>
    <w:p w14:paraId="00000045" w14:textId="61FE9036"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currency markets are unstable, MNCs can deal with them by managing foreign exchange risk well. This will also make their funds more stable and build long-term value for everyone. </w:t>
      </w:r>
      <w:r w:rsidR="00F7191D">
        <w:rPr>
          <w:rFonts w:ascii="Times New Roman" w:eastAsia="Times New Roman" w:hAnsi="Times New Roman" w:cs="Times New Roman"/>
          <w:sz w:val="24"/>
          <w:szCs w:val="24"/>
        </w:rPr>
        <w:t xml:space="preserve">People </w:t>
      </w:r>
      <w:r>
        <w:rPr>
          <w:rFonts w:ascii="Times New Roman" w:eastAsia="Times New Roman" w:hAnsi="Times New Roman" w:cs="Times New Roman"/>
          <w:sz w:val="24"/>
          <w:szCs w:val="24"/>
        </w:rPr>
        <w:t xml:space="preserve">need to be open to new experiences and aware of when the market changes if </w:t>
      </w:r>
      <w:r w:rsidR="00F7191D">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want to be good at handling money in other places.</w:t>
      </w:r>
    </w:p>
    <w:p w14:paraId="5183B0F7" w14:textId="77777777" w:rsidR="0039039D" w:rsidRDefault="0039039D" w:rsidP="00ED64E3">
      <w:pPr>
        <w:spacing w:line="360" w:lineRule="auto"/>
        <w:rPr>
          <w:rFonts w:ascii="Times New Roman" w:hAnsi="Times New Roman"/>
          <w:b/>
          <w:color w:val="1F497D" w:themeColor="text2"/>
          <w:sz w:val="32"/>
          <w:szCs w:val="40"/>
        </w:rPr>
      </w:pPr>
      <w:r>
        <w:br w:type="page"/>
      </w:r>
    </w:p>
    <w:p w14:paraId="00000046" w14:textId="47C451D2" w:rsidR="00B31CA6" w:rsidRDefault="000A0870" w:rsidP="00ED64E3">
      <w:pPr>
        <w:pStyle w:val="Heading1"/>
      </w:pPr>
      <w:bookmarkStart w:id="18" w:name="_Toc162084936"/>
      <w:r>
        <w:lastRenderedPageBreak/>
        <w:t>References</w:t>
      </w:r>
      <w:bookmarkEnd w:id="18"/>
    </w:p>
    <w:p w14:paraId="00000047"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Bhalla, V. K. (2022) International financial management: Texts and cases. New Delhi, India: Anmol Publications.</w:t>
      </w:r>
    </w:p>
    <w:p w14:paraId="00000048"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Cooper, I., Sampaio Mello, A. and Sloan School of Management (2023) Forward contracts: Pricing, default risk and optimal use. Legare Street Press.</w:t>
      </w:r>
    </w:p>
    <w:p w14:paraId="00000049"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Dash, J. W. (2016) Quantitative finance and risk management: A physicist’s approach second edition. World Scientific Publishing Company.</w:t>
      </w:r>
    </w:p>
    <w:p w14:paraId="0000004A"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Fleury, G. (2020) Make It Move It Forex Trading: Reversal Time Pattern Trading &amp; FX Risk Management. You are trading blind without this! Independently Published.</w:t>
      </w:r>
    </w:p>
    <w:p w14:paraId="0000004B"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Gautam, A., Jaiswal, T. and Keshari, A. (2023) International financial management. Delhi, India: PHI Learning.</w:t>
      </w:r>
    </w:p>
    <w:p w14:paraId="0000004C"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Hossain, A. T., Masum, A.-A. and Saadi, S. (2023) “The impact of geopolitical risks on foreign exchange markets: Evidence from the Russia-Ukraine war,” Finance research letters, (104750), p. 104750.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10.1016/j.frl.2023.104750.</w:t>
      </w:r>
    </w:p>
    <w:p w14:paraId="0000004D"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Keenan, M. J. S. (2019) Advanced positioning, flow, and sentiment analysis in commodity markets: Bridging fundamental and technical analysis. Nashville, TN: John Wiley &amp; Sons.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10.1002/9781119603849.</w:t>
      </w:r>
    </w:p>
    <w:p w14:paraId="0000004E" w14:textId="5AED7782"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Krause, T. A. and </w:t>
      </w:r>
      <w:proofErr w:type="spellStart"/>
      <w:r>
        <w:rPr>
          <w:rFonts w:ascii="Times New Roman" w:eastAsia="Times New Roman" w:hAnsi="Times New Roman" w:cs="Times New Roman"/>
          <w:sz w:val="24"/>
          <w:szCs w:val="24"/>
        </w:rPr>
        <w:t>Tse</w:t>
      </w:r>
      <w:proofErr w:type="spellEnd"/>
      <w:r>
        <w:rPr>
          <w:rFonts w:ascii="Times New Roman" w:eastAsia="Times New Roman" w:hAnsi="Times New Roman" w:cs="Times New Roman"/>
          <w:sz w:val="24"/>
          <w:szCs w:val="24"/>
        </w:rPr>
        <w:t xml:space="preserve">, Y. (2016) “Risk management and firm value: recent theory and evidence,” International </w:t>
      </w:r>
      <w:r w:rsidR="00B64999">
        <w:rPr>
          <w:rFonts w:ascii="Times New Roman" w:eastAsia="Times New Roman" w:hAnsi="Times New Roman" w:cs="Times New Roman"/>
          <w:sz w:val="24"/>
          <w:szCs w:val="24"/>
        </w:rPr>
        <w:t>J</w:t>
      </w:r>
      <w:r>
        <w:rPr>
          <w:rFonts w:ascii="Times New Roman" w:eastAsia="Times New Roman" w:hAnsi="Times New Roman" w:cs="Times New Roman"/>
          <w:sz w:val="24"/>
          <w:szCs w:val="24"/>
        </w:rPr>
        <w:t xml:space="preserve">ournal of </w:t>
      </w:r>
      <w:r w:rsidR="00617DF9">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ccounting and </w:t>
      </w:r>
      <w:r w:rsidR="00B64999">
        <w:rPr>
          <w:rFonts w:ascii="Times New Roman" w:eastAsia="Times New Roman" w:hAnsi="Times New Roman" w:cs="Times New Roman"/>
          <w:sz w:val="24"/>
          <w:szCs w:val="24"/>
        </w:rPr>
        <w:t>Information M</w:t>
      </w:r>
      <w:r>
        <w:rPr>
          <w:rFonts w:ascii="Times New Roman" w:eastAsia="Times New Roman" w:hAnsi="Times New Roman" w:cs="Times New Roman"/>
          <w:sz w:val="24"/>
          <w:szCs w:val="24"/>
        </w:rPr>
        <w:t xml:space="preserve">anagement, 24(1), pp. 56–81.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10.1108/ijaim-05-2015-0027.</w:t>
      </w:r>
    </w:p>
    <w:p w14:paraId="0000004F" w14:textId="423DBC64" w:rsidR="00B31CA6" w:rsidRDefault="000A0870" w:rsidP="00ED64E3">
      <w:pPr>
        <w:widowControl w:val="0"/>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Lundstrum</w:t>
      </w:r>
      <w:proofErr w:type="spellEnd"/>
      <w:r>
        <w:rPr>
          <w:rFonts w:ascii="Times New Roman" w:eastAsia="Times New Roman" w:hAnsi="Times New Roman" w:cs="Times New Roman"/>
          <w:sz w:val="24"/>
          <w:szCs w:val="24"/>
        </w:rPr>
        <w:t xml:space="preserve">, L. L. (2021) “Emerging market diversification benefits: Stock funds versus currency funds,” The </w:t>
      </w:r>
      <w:r w:rsidR="00B64999">
        <w:rPr>
          <w:rFonts w:ascii="Times New Roman" w:eastAsia="Times New Roman" w:hAnsi="Times New Roman" w:cs="Times New Roman"/>
          <w:sz w:val="24"/>
          <w:szCs w:val="24"/>
        </w:rPr>
        <w:t>J</w:t>
      </w:r>
      <w:r>
        <w:rPr>
          <w:rFonts w:ascii="Times New Roman" w:eastAsia="Times New Roman" w:hAnsi="Times New Roman" w:cs="Times New Roman"/>
          <w:sz w:val="24"/>
          <w:szCs w:val="24"/>
        </w:rPr>
        <w:t xml:space="preserve">ournal of </w:t>
      </w:r>
      <w:r w:rsidR="00617DF9">
        <w:rPr>
          <w:rFonts w:ascii="Times New Roman" w:eastAsia="Times New Roman" w:hAnsi="Times New Roman" w:cs="Times New Roman"/>
          <w:sz w:val="24"/>
          <w:szCs w:val="24"/>
        </w:rPr>
        <w:t>Wealth M</w:t>
      </w:r>
      <w:r>
        <w:rPr>
          <w:rFonts w:ascii="Times New Roman" w:eastAsia="Times New Roman" w:hAnsi="Times New Roman" w:cs="Times New Roman"/>
          <w:sz w:val="24"/>
          <w:szCs w:val="24"/>
        </w:rPr>
        <w:t xml:space="preserve">anagement, 24(2), pp. 82–91.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10.3905/jwm.2021.1.140.</w:t>
      </w:r>
    </w:p>
    <w:p w14:paraId="00000050" w14:textId="6F37AF70"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A. C. and Cornett, M. (2019) Financial institutions management: A risk management approac</w:t>
      </w:r>
      <w:r w:rsidR="00B64999">
        <w:rPr>
          <w:rFonts w:ascii="Times New Roman" w:eastAsia="Times New Roman" w:hAnsi="Times New Roman" w:cs="Times New Roman"/>
          <w:sz w:val="24"/>
          <w:szCs w:val="24"/>
        </w:rPr>
        <w:t>h</w:t>
      </w:r>
      <w:r>
        <w:rPr>
          <w:rFonts w:ascii="Times New Roman" w:eastAsia="Times New Roman" w:hAnsi="Times New Roman" w:cs="Times New Roman"/>
          <w:sz w:val="24"/>
          <w:szCs w:val="24"/>
        </w:rPr>
        <w:t>. New York, NY: McGraw-Hill.</w:t>
      </w:r>
    </w:p>
    <w:p w14:paraId="00000051"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Smith, V. K. (2022) The economics of environmental risk: Information, perception and valuation. Cheltenham, England: Edward Elgar Publishing.</w:t>
      </w:r>
    </w:p>
    <w:p w14:paraId="00000052" w14:textId="77777777" w:rsidR="00B31CA6" w:rsidRDefault="000A0870" w:rsidP="00ED64E3">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Spjut, R. J. (2020) Transaction risk: A legal guide to contractual management strategies. American Bar Association.</w:t>
      </w:r>
    </w:p>
    <w:p w14:paraId="00000053" w14:textId="77777777" w:rsidR="00B31CA6" w:rsidRDefault="00B31CA6" w:rsidP="00ED64E3">
      <w:pPr>
        <w:widowControl w:val="0"/>
        <w:spacing w:after="200" w:line="360" w:lineRule="auto"/>
        <w:jc w:val="both"/>
        <w:rPr>
          <w:rFonts w:ascii="Times New Roman" w:eastAsia="Times New Roman" w:hAnsi="Times New Roman" w:cs="Times New Roman"/>
          <w:sz w:val="24"/>
          <w:szCs w:val="24"/>
        </w:rPr>
      </w:pPr>
    </w:p>
    <w:p w14:paraId="00000054" w14:textId="77777777" w:rsidR="00B31CA6" w:rsidRDefault="00B31CA6" w:rsidP="00ED64E3">
      <w:pPr>
        <w:widowControl w:val="0"/>
        <w:spacing w:after="200" w:line="360" w:lineRule="auto"/>
        <w:jc w:val="both"/>
        <w:rPr>
          <w:rFonts w:ascii="Times New Roman" w:eastAsia="Times New Roman" w:hAnsi="Times New Roman" w:cs="Times New Roman"/>
          <w:sz w:val="24"/>
          <w:szCs w:val="24"/>
        </w:rPr>
      </w:pPr>
    </w:p>
    <w:sectPr w:rsidR="00B31CA6" w:rsidSect="00C218F7">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F0A4E" w14:textId="77777777" w:rsidR="00C218F7" w:rsidRDefault="00C218F7" w:rsidP="0039039D">
      <w:pPr>
        <w:spacing w:line="240" w:lineRule="auto"/>
      </w:pPr>
      <w:r>
        <w:separator/>
      </w:r>
    </w:p>
  </w:endnote>
  <w:endnote w:type="continuationSeparator" w:id="0">
    <w:p w14:paraId="78867313" w14:textId="77777777" w:rsidR="00C218F7" w:rsidRDefault="00C218F7" w:rsidP="003903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761604"/>
      <w:docPartObj>
        <w:docPartGallery w:val="Page Numbers (Bottom of Page)"/>
        <w:docPartUnique/>
      </w:docPartObj>
    </w:sdtPr>
    <w:sdtEndPr>
      <w:rPr>
        <w:noProof/>
      </w:rPr>
    </w:sdtEndPr>
    <w:sdtContent>
      <w:p w14:paraId="7839C909" w14:textId="14BF8B9C" w:rsidR="0039039D" w:rsidRDefault="003903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AAFD24" w14:textId="77777777" w:rsidR="0039039D" w:rsidRDefault="00390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B4E16" w14:textId="77777777" w:rsidR="00C218F7" w:rsidRDefault="00C218F7" w:rsidP="0039039D">
      <w:pPr>
        <w:spacing w:line="240" w:lineRule="auto"/>
      </w:pPr>
      <w:r>
        <w:separator/>
      </w:r>
    </w:p>
  </w:footnote>
  <w:footnote w:type="continuationSeparator" w:id="0">
    <w:p w14:paraId="1B24E8A3" w14:textId="77777777" w:rsidR="00C218F7" w:rsidRDefault="00C218F7" w:rsidP="003903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1710C7"/>
    <w:multiLevelType w:val="hybridMultilevel"/>
    <w:tmpl w:val="9B942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5897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1CA6"/>
    <w:rsid w:val="000A0870"/>
    <w:rsid w:val="00104661"/>
    <w:rsid w:val="002135F3"/>
    <w:rsid w:val="0039039D"/>
    <w:rsid w:val="00495403"/>
    <w:rsid w:val="004A5854"/>
    <w:rsid w:val="00617DF9"/>
    <w:rsid w:val="006341D2"/>
    <w:rsid w:val="006518F8"/>
    <w:rsid w:val="00673C38"/>
    <w:rsid w:val="006A5466"/>
    <w:rsid w:val="006D589C"/>
    <w:rsid w:val="006D6C7B"/>
    <w:rsid w:val="00704EAA"/>
    <w:rsid w:val="00713515"/>
    <w:rsid w:val="00797FA2"/>
    <w:rsid w:val="007C3077"/>
    <w:rsid w:val="00901389"/>
    <w:rsid w:val="0094412B"/>
    <w:rsid w:val="009E0962"/>
    <w:rsid w:val="009F6085"/>
    <w:rsid w:val="00A57459"/>
    <w:rsid w:val="00B31CA6"/>
    <w:rsid w:val="00B64999"/>
    <w:rsid w:val="00BD498A"/>
    <w:rsid w:val="00C218F7"/>
    <w:rsid w:val="00C33C17"/>
    <w:rsid w:val="00C678DC"/>
    <w:rsid w:val="00DA099F"/>
    <w:rsid w:val="00ED64E3"/>
    <w:rsid w:val="00F7191D"/>
    <w:rsid w:val="00FB6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E41E"/>
  <w15:docId w15:val="{F26658F7-4E7A-4237-BEA8-26D106324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9039D"/>
    <w:pPr>
      <w:keepNext/>
      <w:keepLines/>
      <w:spacing w:before="400" w:after="120" w:line="360" w:lineRule="auto"/>
      <w:outlineLvl w:val="0"/>
    </w:pPr>
    <w:rPr>
      <w:rFonts w:ascii="Times New Roman" w:hAnsi="Times New Roman"/>
      <w:b/>
      <w:color w:val="1F497D" w:themeColor="text2"/>
      <w:sz w:val="32"/>
      <w:szCs w:val="40"/>
    </w:rPr>
  </w:style>
  <w:style w:type="paragraph" w:styleId="Heading2">
    <w:name w:val="heading 2"/>
    <w:basedOn w:val="Normal"/>
    <w:next w:val="Normal"/>
    <w:uiPriority w:val="9"/>
    <w:unhideWhenUsed/>
    <w:qFormat/>
    <w:rsid w:val="0039039D"/>
    <w:pPr>
      <w:keepNext/>
      <w:keepLines/>
      <w:spacing w:before="360" w:after="120" w:line="360" w:lineRule="auto"/>
      <w:outlineLvl w:val="1"/>
    </w:pPr>
    <w:rPr>
      <w:rFonts w:ascii="Times New Roman" w:hAnsi="Times New Roman"/>
      <w:b/>
      <w:color w:val="1F497D" w:themeColor="text2"/>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9039D"/>
    <w:pPr>
      <w:tabs>
        <w:tab w:val="center" w:pos="4680"/>
        <w:tab w:val="right" w:pos="9360"/>
      </w:tabs>
      <w:spacing w:line="240" w:lineRule="auto"/>
    </w:pPr>
  </w:style>
  <w:style w:type="character" w:customStyle="1" w:styleId="HeaderChar">
    <w:name w:val="Header Char"/>
    <w:basedOn w:val="DefaultParagraphFont"/>
    <w:link w:val="Header"/>
    <w:uiPriority w:val="99"/>
    <w:rsid w:val="0039039D"/>
  </w:style>
  <w:style w:type="paragraph" w:styleId="Footer">
    <w:name w:val="footer"/>
    <w:basedOn w:val="Normal"/>
    <w:link w:val="FooterChar"/>
    <w:uiPriority w:val="99"/>
    <w:unhideWhenUsed/>
    <w:rsid w:val="0039039D"/>
    <w:pPr>
      <w:tabs>
        <w:tab w:val="center" w:pos="4680"/>
        <w:tab w:val="right" w:pos="9360"/>
      </w:tabs>
      <w:spacing w:line="240" w:lineRule="auto"/>
    </w:pPr>
  </w:style>
  <w:style w:type="character" w:customStyle="1" w:styleId="FooterChar">
    <w:name w:val="Footer Char"/>
    <w:basedOn w:val="DefaultParagraphFont"/>
    <w:link w:val="Footer"/>
    <w:uiPriority w:val="99"/>
    <w:rsid w:val="0039039D"/>
  </w:style>
  <w:style w:type="table" w:styleId="TableGrid">
    <w:name w:val="Table Grid"/>
    <w:basedOn w:val="TableNormal"/>
    <w:uiPriority w:val="39"/>
    <w:rsid w:val="0039039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039D"/>
    <w:pPr>
      <w:ind w:left="720"/>
      <w:contextualSpacing/>
    </w:pPr>
  </w:style>
  <w:style w:type="paragraph" w:styleId="TOCHeading">
    <w:name w:val="TOC Heading"/>
    <w:basedOn w:val="Heading1"/>
    <w:next w:val="Normal"/>
    <w:uiPriority w:val="39"/>
    <w:unhideWhenUsed/>
    <w:qFormat/>
    <w:rsid w:val="0039039D"/>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39039D"/>
    <w:pPr>
      <w:spacing w:after="100"/>
    </w:pPr>
  </w:style>
  <w:style w:type="paragraph" w:styleId="TOC2">
    <w:name w:val="toc 2"/>
    <w:basedOn w:val="Normal"/>
    <w:next w:val="Normal"/>
    <w:autoRedefine/>
    <w:uiPriority w:val="39"/>
    <w:unhideWhenUsed/>
    <w:rsid w:val="0039039D"/>
    <w:pPr>
      <w:spacing w:after="100"/>
      <w:ind w:left="220"/>
    </w:pPr>
  </w:style>
  <w:style w:type="character" w:styleId="Hyperlink">
    <w:name w:val="Hyperlink"/>
    <w:basedOn w:val="DefaultParagraphFont"/>
    <w:uiPriority w:val="99"/>
    <w:unhideWhenUsed/>
    <w:rsid w:val="003903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B316F-306A-4853-96CF-C313FE90D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11</Pages>
  <Words>2021</Words>
  <Characters>11525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Jicmon (2119900)</cp:lastModifiedBy>
  <cp:revision>20</cp:revision>
  <dcterms:created xsi:type="dcterms:W3CDTF">2024-03-14T06:28:00Z</dcterms:created>
  <dcterms:modified xsi:type="dcterms:W3CDTF">2024-03-29T09:16:00Z</dcterms:modified>
</cp:coreProperties>
</file>