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FA206" w14:textId="77777777" w:rsidR="002E08EB" w:rsidRPr="00006A1D" w:rsidRDefault="002E08EB" w:rsidP="002E08EB">
      <w:pPr>
        <w:spacing w:line="360" w:lineRule="auto"/>
        <w:jc w:val="center"/>
        <w:rPr>
          <w:rFonts w:ascii="Times New Roman" w:hAnsi="Times New Roman" w:cs="Times New Roman"/>
          <w:b/>
          <w:bCs/>
          <w:sz w:val="30"/>
          <w:szCs w:val="30"/>
        </w:rPr>
      </w:pPr>
      <w:r w:rsidRPr="00006A1D">
        <w:rPr>
          <w:rFonts w:ascii="Times New Roman" w:hAnsi="Times New Roman" w:cs="Times New Roman"/>
          <w:b/>
          <w:bCs/>
          <w:sz w:val="30"/>
          <w:szCs w:val="30"/>
        </w:rPr>
        <w:t>Assignment Report on</w:t>
      </w:r>
    </w:p>
    <w:p w14:paraId="4397BF2F" w14:textId="77777777" w:rsidR="002E08EB" w:rsidRPr="00006A1D" w:rsidRDefault="002E08EB" w:rsidP="002E08EB">
      <w:pPr>
        <w:spacing w:line="360" w:lineRule="auto"/>
        <w:jc w:val="center"/>
        <w:rPr>
          <w:rFonts w:ascii="Times New Roman" w:hAnsi="Times New Roman" w:cs="Times New Roman"/>
          <w:b/>
          <w:bCs/>
          <w:sz w:val="30"/>
          <w:szCs w:val="30"/>
        </w:rPr>
      </w:pPr>
    </w:p>
    <w:p w14:paraId="2F8E4358" w14:textId="21FEC618" w:rsidR="002E08EB" w:rsidRPr="00006A1D" w:rsidRDefault="002E08EB" w:rsidP="00952C24">
      <w:pPr>
        <w:rPr>
          <w:rFonts w:ascii="Times New Roman" w:hAnsi="Times New Roman" w:cs="Times New Roman"/>
          <w:b/>
          <w:bCs/>
          <w:sz w:val="28"/>
          <w:szCs w:val="28"/>
        </w:rPr>
      </w:pPr>
      <w:r w:rsidRPr="00006A1D">
        <w:rPr>
          <w:rFonts w:ascii="Times New Roman" w:hAnsi="Times New Roman" w:cs="Times New Roman"/>
          <w:b/>
          <w:bCs/>
          <w:sz w:val="28"/>
          <w:szCs w:val="28"/>
        </w:rPr>
        <w:t>“</w:t>
      </w:r>
      <w:r w:rsidR="00952C24" w:rsidRPr="00006A1D">
        <w:rPr>
          <w:rFonts w:ascii="Times New Roman" w:hAnsi="Times New Roman" w:cs="Times New Roman"/>
          <w:b/>
          <w:bCs/>
          <w:sz w:val="28"/>
          <w:szCs w:val="28"/>
        </w:rPr>
        <w:t>Investigating the Role and Extent of Fintech in the Banking Sector of Bangladesh</w:t>
      </w:r>
      <w:r w:rsidRPr="00006A1D">
        <w:rPr>
          <w:rFonts w:ascii="Times New Roman" w:hAnsi="Times New Roman" w:cs="Times New Roman"/>
          <w:b/>
          <w:bCs/>
          <w:sz w:val="28"/>
          <w:szCs w:val="28"/>
        </w:rPr>
        <w:t xml:space="preserve">” </w:t>
      </w:r>
    </w:p>
    <w:p w14:paraId="7FBA5591" w14:textId="77777777" w:rsidR="002E08EB" w:rsidRPr="00006A1D" w:rsidRDefault="002E08EB" w:rsidP="002E08EB">
      <w:pPr>
        <w:spacing w:line="360" w:lineRule="auto"/>
        <w:jc w:val="center"/>
        <w:rPr>
          <w:rFonts w:ascii="Times New Roman" w:hAnsi="Times New Roman" w:cs="Times New Roman"/>
        </w:rPr>
      </w:pPr>
    </w:p>
    <w:p w14:paraId="2A718A46" w14:textId="046E88BF" w:rsidR="002E08EB" w:rsidRPr="00006A1D" w:rsidRDefault="002E08EB" w:rsidP="002E08EB">
      <w:pPr>
        <w:spacing w:line="360" w:lineRule="auto"/>
        <w:rPr>
          <w:rFonts w:ascii="Times New Roman" w:hAnsi="Times New Roman" w:cs="Times New Roman"/>
          <w:b/>
          <w:bCs/>
          <w:sz w:val="30"/>
          <w:szCs w:val="30"/>
        </w:rPr>
      </w:pPr>
      <w:r w:rsidRPr="00006A1D">
        <w:rPr>
          <w:rFonts w:ascii="Times New Roman" w:hAnsi="Times New Roman" w:cs="Times New Roman"/>
          <w:b/>
          <w:bCs/>
          <w:sz w:val="30"/>
          <w:szCs w:val="30"/>
        </w:rPr>
        <w:t xml:space="preserve">Module/Module </w:t>
      </w:r>
      <w:proofErr w:type="gramStart"/>
      <w:r w:rsidRPr="00006A1D">
        <w:rPr>
          <w:rFonts w:ascii="Times New Roman" w:hAnsi="Times New Roman" w:cs="Times New Roman"/>
          <w:b/>
          <w:bCs/>
          <w:sz w:val="30"/>
          <w:szCs w:val="30"/>
        </w:rPr>
        <w:t>Code :</w:t>
      </w:r>
      <w:proofErr w:type="gramEnd"/>
      <w:r w:rsidRPr="00006A1D">
        <w:rPr>
          <w:rFonts w:ascii="Times New Roman" w:hAnsi="Times New Roman" w:cs="Times New Roman"/>
          <w:b/>
          <w:bCs/>
          <w:sz w:val="30"/>
          <w:szCs w:val="30"/>
        </w:rPr>
        <w:t xml:space="preserve"> </w:t>
      </w:r>
      <w:r w:rsidR="00952C24" w:rsidRPr="00006A1D">
        <w:rPr>
          <w:rFonts w:ascii="Times New Roman" w:eastAsia="Times New Roman" w:hAnsi="Times New Roman" w:cs="Times New Roman"/>
          <w:b/>
          <w:bCs/>
          <w:sz w:val="24"/>
          <w:szCs w:val="24"/>
          <w:lang w:val="en-GB" w:eastAsia="en-GB"/>
        </w:rPr>
        <w:t>Research Principles &amp; Philosophy</w:t>
      </w:r>
      <w:r w:rsidR="00952C24" w:rsidRPr="00006A1D">
        <w:rPr>
          <w:rFonts w:ascii="Times New Roman" w:eastAsia="Times New Roman" w:hAnsi="Times New Roman" w:cs="Times New Roman"/>
          <w:i/>
          <w:iCs/>
          <w:sz w:val="24"/>
          <w:szCs w:val="24"/>
          <w:lang w:val="en-GB" w:eastAsia="en-GB"/>
        </w:rPr>
        <w:t xml:space="preserve"> </w:t>
      </w:r>
      <w:r w:rsidRPr="00006A1D">
        <w:rPr>
          <w:rFonts w:ascii="Times New Roman" w:hAnsi="Times New Roman" w:cs="Times New Roman"/>
          <w:b/>
          <w:bCs/>
          <w:sz w:val="30"/>
          <w:szCs w:val="30"/>
        </w:rPr>
        <w:t>/LCDB700</w:t>
      </w:r>
      <w:r w:rsidR="00006A1D" w:rsidRPr="00006A1D">
        <w:rPr>
          <w:rFonts w:ascii="Times New Roman" w:hAnsi="Times New Roman" w:cs="Times New Roman"/>
          <w:b/>
          <w:bCs/>
          <w:sz w:val="30"/>
          <w:szCs w:val="30"/>
        </w:rPr>
        <w:t>7</w:t>
      </w:r>
      <w:r w:rsidRPr="00006A1D">
        <w:rPr>
          <w:rFonts w:ascii="Times New Roman" w:hAnsi="Times New Roman" w:cs="Times New Roman"/>
          <w:b/>
          <w:bCs/>
          <w:sz w:val="30"/>
          <w:szCs w:val="30"/>
        </w:rPr>
        <w:br/>
      </w:r>
    </w:p>
    <w:p w14:paraId="60D256CD" w14:textId="77777777" w:rsidR="002E08EB" w:rsidRPr="00006A1D" w:rsidRDefault="002E08EB" w:rsidP="002E08EB">
      <w:pPr>
        <w:spacing w:line="360" w:lineRule="auto"/>
        <w:rPr>
          <w:rFonts w:ascii="Times New Roman" w:hAnsi="Times New Roman" w:cs="Times New Roman"/>
        </w:rPr>
      </w:pPr>
    </w:p>
    <w:p w14:paraId="0058D93B" w14:textId="77777777" w:rsidR="002E08EB" w:rsidRPr="00006A1D" w:rsidRDefault="002E08EB" w:rsidP="002E08EB">
      <w:pPr>
        <w:spacing w:line="360" w:lineRule="auto"/>
        <w:rPr>
          <w:rFonts w:ascii="Times New Roman" w:hAnsi="Times New Roman" w:cs="Times New Roman"/>
          <w:b/>
          <w:bCs/>
        </w:rPr>
      </w:pPr>
      <w:r w:rsidRPr="00006A1D">
        <w:rPr>
          <w:rFonts w:ascii="Times New Roman" w:hAnsi="Times New Roman" w:cs="Times New Roman"/>
          <w:b/>
          <w:bCs/>
        </w:rPr>
        <w:t xml:space="preserve">Submitted by: </w:t>
      </w:r>
    </w:p>
    <w:p w14:paraId="6B926F58" w14:textId="77777777" w:rsidR="002E08EB" w:rsidRPr="00006A1D" w:rsidRDefault="002E08EB" w:rsidP="002E08EB">
      <w:pPr>
        <w:spacing w:line="360" w:lineRule="auto"/>
        <w:rPr>
          <w:rFonts w:ascii="Times New Roman" w:hAnsi="Times New Roman" w:cs="Times New Roman"/>
        </w:rPr>
      </w:pPr>
      <w:r w:rsidRPr="00006A1D">
        <w:rPr>
          <w:rFonts w:ascii="Times New Roman" w:hAnsi="Times New Roman" w:cs="Times New Roman"/>
        </w:rPr>
        <w:t>MD Abul Monsur</w:t>
      </w:r>
    </w:p>
    <w:p w14:paraId="6BC664AD" w14:textId="77777777" w:rsidR="002E08EB" w:rsidRPr="00006A1D" w:rsidRDefault="002E08EB" w:rsidP="002E08EB">
      <w:pPr>
        <w:spacing w:line="360" w:lineRule="auto"/>
        <w:rPr>
          <w:rFonts w:ascii="Times New Roman" w:hAnsi="Times New Roman" w:cs="Times New Roman"/>
        </w:rPr>
      </w:pPr>
      <w:r w:rsidRPr="00006A1D">
        <w:rPr>
          <w:rFonts w:ascii="Times New Roman" w:hAnsi="Times New Roman" w:cs="Times New Roman"/>
        </w:rPr>
        <w:t xml:space="preserve">Doctor of Business Administration </w:t>
      </w:r>
    </w:p>
    <w:p w14:paraId="351123AE" w14:textId="77777777" w:rsidR="002E08EB" w:rsidRPr="00006A1D" w:rsidRDefault="002E08EB" w:rsidP="002E08EB">
      <w:pPr>
        <w:spacing w:line="360" w:lineRule="auto"/>
        <w:rPr>
          <w:rFonts w:ascii="Times New Roman" w:hAnsi="Times New Roman" w:cs="Times New Roman"/>
        </w:rPr>
      </w:pPr>
      <w:r w:rsidRPr="00006A1D">
        <w:rPr>
          <w:rFonts w:ascii="Times New Roman" w:hAnsi="Times New Roman" w:cs="Times New Roman"/>
        </w:rPr>
        <w:t>Term: 2</w:t>
      </w:r>
    </w:p>
    <w:p w14:paraId="6D92942A" w14:textId="77777777" w:rsidR="002E08EB" w:rsidRPr="00006A1D" w:rsidRDefault="002E08EB" w:rsidP="002E08EB">
      <w:pPr>
        <w:spacing w:line="360" w:lineRule="auto"/>
        <w:rPr>
          <w:rFonts w:ascii="Times New Roman" w:hAnsi="Times New Roman" w:cs="Times New Roman"/>
        </w:rPr>
      </w:pPr>
      <w:r w:rsidRPr="00006A1D">
        <w:rPr>
          <w:rFonts w:ascii="Times New Roman" w:hAnsi="Times New Roman" w:cs="Times New Roman"/>
        </w:rPr>
        <w:t>Student ID: 2432235</w:t>
      </w:r>
      <w:r w:rsidRPr="00006A1D">
        <w:rPr>
          <w:rFonts w:ascii="Times New Roman" w:hAnsi="Times New Roman" w:cs="Times New Roman"/>
        </w:rPr>
        <w:br/>
      </w:r>
    </w:p>
    <w:p w14:paraId="2B4AF3D0" w14:textId="77777777" w:rsidR="002E08EB" w:rsidRPr="00006A1D" w:rsidRDefault="002E08EB" w:rsidP="002E08EB">
      <w:pPr>
        <w:spacing w:line="360" w:lineRule="auto"/>
        <w:rPr>
          <w:rFonts w:ascii="Times New Roman" w:hAnsi="Times New Roman" w:cs="Times New Roman"/>
        </w:rPr>
      </w:pPr>
    </w:p>
    <w:p w14:paraId="75784342" w14:textId="77777777" w:rsidR="002E08EB" w:rsidRPr="00006A1D" w:rsidRDefault="002E08EB" w:rsidP="002E08EB">
      <w:pPr>
        <w:spacing w:line="360" w:lineRule="auto"/>
        <w:rPr>
          <w:rFonts w:ascii="Times New Roman" w:hAnsi="Times New Roman" w:cs="Times New Roman"/>
        </w:rPr>
      </w:pPr>
    </w:p>
    <w:p w14:paraId="21B92CDF" w14:textId="4224D2AA" w:rsidR="002E08EB" w:rsidRPr="00006A1D" w:rsidRDefault="002E08EB" w:rsidP="002E08EB">
      <w:pPr>
        <w:spacing w:line="360" w:lineRule="auto"/>
        <w:rPr>
          <w:rFonts w:ascii="Times New Roman" w:hAnsi="Times New Roman" w:cs="Times New Roman"/>
        </w:rPr>
      </w:pPr>
      <w:r w:rsidRPr="00006A1D">
        <w:rPr>
          <w:rFonts w:ascii="Times New Roman" w:hAnsi="Times New Roman" w:cs="Times New Roman"/>
          <w:b/>
          <w:bCs/>
        </w:rPr>
        <w:t>Supervised By</w:t>
      </w:r>
      <w:r w:rsidRPr="00006A1D">
        <w:rPr>
          <w:rFonts w:ascii="Times New Roman" w:hAnsi="Times New Roman" w:cs="Times New Roman"/>
        </w:rPr>
        <w:t xml:space="preserve">: Professor </w:t>
      </w:r>
      <w:proofErr w:type="spellStart"/>
      <w:r w:rsidR="00952C24" w:rsidRPr="00006A1D">
        <w:rPr>
          <w:rFonts w:ascii="Times New Roman" w:hAnsi="Times New Roman" w:cs="Times New Roman"/>
          <w:color w:val="1D2125"/>
          <w:sz w:val="23"/>
          <w:szCs w:val="23"/>
          <w:shd w:val="clear" w:color="auto" w:fill="FFFFFF"/>
        </w:rPr>
        <w:t>Ebad</w:t>
      </w:r>
      <w:proofErr w:type="spellEnd"/>
      <w:r w:rsidR="00952C24" w:rsidRPr="00006A1D">
        <w:rPr>
          <w:rFonts w:ascii="Times New Roman" w:hAnsi="Times New Roman" w:cs="Times New Roman"/>
          <w:color w:val="1D2125"/>
          <w:sz w:val="23"/>
          <w:szCs w:val="23"/>
          <w:shd w:val="clear" w:color="auto" w:fill="FFFFFF"/>
        </w:rPr>
        <w:t xml:space="preserve"> </w:t>
      </w:r>
      <w:proofErr w:type="spellStart"/>
      <w:r w:rsidR="00952C24" w:rsidRPr="00006A1D">
        <w:rPr>
          <w:rFonts w:ascii="Times New Roman" w:hAnsi="Times New Roman" w:cs="Times New Roman"/>
          <w:color w:val="1D2125"/>
          <w:sz w:val="23"/>
          <w:szCs w:val="23"/>
          <w:shd w:val="clear" w:color="auto" w:fill="FFFFFF"/>
        </w:rPr>
        <w:t>Banissi</w:t>
      </w:r>
      <w:proofErr w:type="spellEnd"/>
    </w:p>
    <w:p w14:paraId="57FB1E15" w14:textId="77777777" w:rsidR="002E08EB" w:rsidRPr="00006A1D" w:rsidRDefault="002E08EB" w:rsidP="002E08EB">
      <w:pPr>
        <w:spacing w:line="360" w:lineRule="auto"/>
        <w:rPr>
          <w:rFonts w:ascii="Times New Roman" w:hAnsi="Times New Roman" w:cs="Times New Roman"/>
        </w:rPr>
      </w:pPr>
      <w:r w:rsidRPr="00006A1D">
        <w:rPr>
          <w:rFonts w:ascii="Times New Roman" w:hAnsi="Times New Roman" w:cs="Times New Roman"/>
        </w:rPr>
        <w:t xml:space="preserve">                        University of Wales Trinity Saint David, London</w:t>
      </w:r>
      <w:r w:rsidRPr="00006A1D">
        <w:rPr>
          <w:rFonts w:ascii="Times New Roman" w:hAnsi="Times New Roman" w:cs="Times New Roman"/>
        </w:rPr>
        <w:br/>
      </w:r>
    </w:p>
    <w:p w14:paraId="57BDF8E0" w14:textId="31F79F1B" w:rsidR="002E08EB" w:rsidRPr="003C2113" w:rsidRDefault="002E08EB" w:rsidP="002E08EB">
      <w:pPr>
        <w:spacing w:line="360" w:lineRule="auto"/>
      </w:pPr>
      <w:r w:rsidRPr="00006A1D">
        <w:rPr>
          <w:rFonts w:ascii="Times New Roman" w:hAnsi="Times New Roman" w:cs="Times New Roman"/>
          <w:b/>
          <w:bCs/>
        </w:rPr>
        <w:t>Date of Submission</w:t>
      </w:r>
      <w:r w:rsidRPr="00006A1D">
        <w:rPr>
          <w:rFonts w:ascii="Times New Roman" w:hAnsi="Times New Roman" w:cs="Times New Roman"/>
        </w:rPr>
        <w:t xml:space="preserve">: </w:t>
      </w:r>
      <w:r w:rsidR="00952C24" w:rsidRPr="00006A1D">
        <w:rPr>
          <w:rFonts w:ascii="Times New Roman" w:hAnsi="Times New Roman" w:cs="Times New Roman"/>
        </w:rPr>
        <w:t>January</w:t>
      </w:r>
      <w:r w:rsidRPr="00006A1D">
        <w:rPr>
          <w:rFonts w:ascii="Times New Roman" w:hAnsi="Times New Roman" w:cs="Times New Roman"/>
        </w:rPr>
        <w:t xml:space="preserve"> </w:t>
      </w:r>
      <w:r w:rsidR="00952C24" w:rsidRPr="00006A1D">
        <w:rPr>
          <w:rFonts w:ascii="Times New Roman" w:hAnsi="Times New Roman" w:cs="Times New Roman"/>
        </w:rPr>
        <w:t>06,</w:t>
      </w:r>
      <w:r w:rsidRPr="00006A1D">
        <w:rPr>
          <w:rFonts w:ascii="Times New Roman" w:hAnsi="Times New Roman" w:cs="Times New Roman"/>
        </w:rPr>
        <w:t xml:space="preserve"> 202</w:t>
      </w:r>
      <w:r w:rsidR="00952C24" w:rsidRPr="00006A1D">
        <w:rPr>
          <w:rFonts w:ascii="Times New Roman" w:hAnsi="Times New Roman" w:cs="Times New Roman"/>
        </w:rPr>
        <w:t>6</w:t>
      </w:r>
      <w:r w:rsidRPr="00006A1D">
        <w:rPr>
          <w:rFonts w:ascii="Times New Roman" w:hAnsi="Times New Roman" w:cs="Times New Roman"/>
        </w:rPr>
        <w:br/>
      </w:r>
    </w:p>
    <w:p w14:paraId="2E017CC6" w14:textId="1E211C8A" w:rsidR="002E08EB" w:rsidRDefault="002E08EB" w:rsidP="002E08EB">
      <w:pPr>
        <w:spacing w:line="360" w:lineRule="auto"/>
      </w:pPr>
    </w:p>
    <w:p w14:paraId="4D378CC1" w14:textId="77777777" w:rsidR="002E08EB" w:rsidRDefault="002E08EB" w:rsidP="00954125">
      <w:pPr>
        <w:rPr>
          <w:b/>
          <w:bCs/>
        </w:rPr>
      </w:pPr>
    </w:p>
    <w:p w14:paraId="64932A8F" w14:textId="1900C2A2" w:rsidR="00C5429A" w:rsidRPr="00952C24" w:rsidRDefault="00000000" w:rsidP="00952C24">
      <w:pPr>
        <w:spacing w:before="100" w:beforeAutospacing="1" w:line="360" w:lineRule="auto"/>
        <w:jc w:val="both"/>
        <w:rPr>
          <w:rFonts w:ascii="Times New Roman" w:hAnsi="Times New Roman" w:cs="Times New Roman"/>
          <w:b/>
          <w:bCs/>
          <w:sz w:val="30"/>
          <w:szCs w:val="30"/>
        </w:rPr>
      </w:pPr>
      <w:r w:rsidRPr="00952C24">
        <w:rPr>
          <w:rFonts w:ascii="Times New Roman" w:hAnsi="Times New Roman" w:cs="Times New Roman"/>
          <w:b/>
          <w:bCs/>
          <w:sz w:val="30"/>
          <w:szCs w:val="30"/>
        </w:rPr>
        <w:lastRenderedPageBreak/>
        <w:t>Investigating the Role and Extent of Fintech in the Banking Sector of Bangladesh</w:t>
      </w:r>
    </w:p>
    <w:p w14:paraId="7CD4AF40" w14:textId="77777777" w:rsidR="00C5429A" w:rsidRPr="00952C24" w:rsidRDefault="00000000" w:rsidP="00952C24">
      <w:pPr>
        <w:spacing w:before="100" w:beforeAutospacing="1" w:line="360" w:lineRule="auto"/>
        <w:jc w:val="both"/>
        <w:rPr>
          <w:rFonts w:ascii="Times New Roman" w:hAnsi="Times New Roman" w:cs="Times New Roman"/>
          <w:b/>
          <w:bCs/>
        </w:rPr>
      </w:pPr>
      <w:r w:rsidRPr="00952C24">
        <w:rPr>
          <w:rFonts w:ascii="Times New Roman" w:hAnsi="Times New Roman" w:cs="Times New Roman"/>
        </w:rPr>
        <w:br/>
      </w:r>
      <w:r w:rsidRPr="00952C24">
        <w:rPr>
          <w:rFonts w:ascii="Times New Roman" w:hAnsi="Times New Roman" w:cs="Times New Roman"/>
          <w:b/>
          <w:bCs/>
        </w:rPr>
        <w:t>ABSTRACT</w:t>
      </w:r>
    </w:p>
    <w:p w14:paraId="145D0943" w14:textId="37D74A75" w:rsidR="002C2E11"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b/>
          <w:bCs/>
        </w:rPr>
        <w:t>Purpose:</w:t>
      </w:r>
      <w:r w:rsidRPr="00952C24">
        <w:rPr>
          <w:rFonts w:ascii="Times New Roman" w:hAnsi="Times New Roman" w:cs="Times New Roman"/>
        </w:rPr>
        <w:br/>
      </w:r>
      <w:r w:rsidR="002C2E11" w:rsidRPr="00952C24">
        <w:rPr>
          <w:rFonts w:ascii="Times New Roman" w:hAnsi="Times New Roman" w:cs="Times New Roman"/>
        </w:rPr>
        <w:t>This study looks at the function, scope, and consequences of financial technology (Fintech) adoption in Bangladesh's banking industry, with an emphasis on how this phenomenon is conceptualized, examined, and assessed by current research.</w:t>
      </w:r>
    </w:p>
    <w:p w14:paraId="63ABAFCE" w14:textId="42379C8E" w:rsidR="00C5429A"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b/>
          <w:bCs/>
        </w:rPr>
        <w:t>Design/Methodology/Approach:</w:t>
      </w:r>
      <w:r w:rsidRPr="00952C24">
        <w:rPr>
          <w:rFonts w:ascii="Times New Roman" w:hAnsi="Times New Roman" w:cs="Times New Roman"/>
        </w:rPr>
        <w:br/>
      </w:r>
      <w:r w:rsidR="002C2E11" w:rsidRPr="00952C24">
        <w:rPr>
          <w:rFonts w:ascii="Times New Roman" w:hAnsi="Times New Roman" w:cs="Times New Roman"/>
        </w:rPr>
        <w:t xml:space="preserve">Peer-reviewed journal articles published between 2019 and 2024 were used in an </w:t>
      </w:r>
      <w:r w:rsidR="00952C24" w:rsidRPr="00952C24">
        <w:rPr>
          <w:rFonts w:ascii="Times New Roman" w:hAnsi="Times New Roman" w:cs="Times New Roman"/>
        </w:rPr>
        <w:t>organized</w:t>
      </w:r>
      <w:r w:rsidR="002C2E11" w:rsidRPr="00952C24">
        <w:rPr>
          <w:rFonts w:ascii="Times New Roman" w:hAnsi="Times New Roman" w:cs="Times New Roman"/>
        </w:rPr>
        <w:t xml:space="preserve"> and critical literature review. We conducted a thorough search of databases like Google Scholar, Web of Science, and Scopus. </w:t>
      </w:r>
      <w:r w:rsidR="00952C24" w:rsidRPr="00952C24">
        <w:rPr>
          <w:rFonts w:ascii="Times New Roman" w:hAnsi="Times New Roman" w:cs="Times New Roman"/>
        </w:rPr>
        <w:t>To</w:t>
      </w:r>
      <w:r w:rsidR="002C2E11" w:rsidRPr="00952C24">
        <w:rPr>
          <w:rFonts w:ascii="Times New Roman" w:hAnsi="Times New Roman" w:cs="Times New Roman"/>
        </w:rPr>
        <w:t xml:space="preserve"> examine the observable effects of Fintech adoption as well as the underlying institutional and regulatory mechanisms influencing banking transformation, the review takes a critical realist philosophical stance.</w:t>
      </w:r>
    </w:p>
    <w:p w14:paraId="301B3146" w14:textId="77777777" w:rsidR="002C2E11"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b/>
          <w:bCs/>
        </w:rPr>
        <w:t>Findings:</w:t>
      </w:r>
      <w:r w:rsidRPr="00952C24">
        <w:rPr>
          <w:rFonts w:ascii="Times New Roman" w:hAnsi="Times New Roman" w:cs="Times New Roman"/>
        </w:rPr>
        <w:br/>
      </w:r>
      <w:r w:rsidR="002C2E11" w:rsidRPr="00952C24">
        <w:rPr>
          <w:rFonts w:ascii="Times New Roman" w:hAnsi="Times New Roman" w:cs="Times New Roman"/>
        </w:rPr>
        <w:t>Key themes identified in the review include financial inclusion, competitive dynamics, operational efficiency, and ethical and regulatory issues. There are few interpretivist or critical approaches in the literature, and positivist, quantitative approaches predominate.</w:t>
      </w:r>
    </w:p>
    <w:p w14:paraId="1DB6F2D3" w14:textId="77777777" w:rsidR="002C2E11"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b/>
          <w:bCs/>
        </w:rPr>
        <w:t>Originality/Value:</w:t>
      </w:r>
      <w:r w:rsidRPr="00952C24">
        <w:rPr>
          <w:rFonts w:ascii="Times New Roman" w:hAnsi="Times New Roman" w:cs="Times New Roman"/>
        </w:rPr>
        <w:br/>
      </w:r>
      <w:r w:rsidR="002C2E11" w:rsidRPr="00952C24">
        <w:rPr>
          <w:rFonts w:ascii="Times New Roman" w:hAnsi="Times New Roman" w:cs="Times New Roman"/>
        </w:rPr>
        <w:t>By specifically incorporating philosophical, epistemological, and ethical analysis into Fintech research in an emerging economy setting, this study advances DBA-level research.</w:t>
      </w:r>
    </w:p>
    <w:p w14:paraId="5C568A3B" w14:textId="5A2377C7" w:rsidR="00C5429A"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b/>
          <w:bCs/>
        </w:rPr>
        <w:t>Keywords:</w:t>
      </w:r>
      <w:r w:rsidRPr="00952C24">
        <w:rPr>
          <w:rFonts w:ascii="Times New Roman" w:hAnsi="Times New Roman" w:cs="Times New Roman"/>
        </w:rPr>
        <w:br/>
        <w:t>Fintech, Banking Sector, Bangladesh, Research Philosophy, Financial Innovation</w:t>
      </w:r>
    </w:p>
    <w:p w14:paraId="7F01EA32" w14:textId="77777777" w:rsidR="00C5429A"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 xml:space="preserve">1. </w:t>
      </w:r>
      <w:r w:rsidRPr="00952C24">
        <w:rPr>
          <w:rFonts w:ascii="Times New Roman" w:hAnsi="Times New Roman" w:cs="Times New Roman"/>
          <w:b/>
          <w:bCs/>
        </w:rPr>
        <w:t>INTRODUCTION</w:t>
      </w:r>
    </w:p>
    <w:p w14:paraId="0730060E" w14:textId="77777777" w:rsidR="002C2E11" w:rsidRPr="00952C24" w:rsidRDefault="002C2E11" w:rsidP="00952C24">
      <w:pPr>
        <w:pStyle w:val="NormalWeb"/>
        <w:spacing w:line="360" w:lineRule="auto"/>
        <w:jc w:val="both"/>
        <w:rPr>
          <w:color w:val="000000"/>
          <w:sz w:val="22"/>
          <w:szCs w:val="22"/>
        </w:rPr>
      </w:pPr>
      <w:r w:rsidRPr="00952C24">
        <w:rPr>
          <w:color w:val="000000"/>
          <w:sz w:val="22"/>
          <w:szCs w:val="22"/>
        </w:rPr>
        <w:t xml:space="preserve">Financial technology's (Fintech) explosive growth has drastically changed service delivery models, cost structures, and competitive dynamics in banking systems across the globe. Fintech is the term used to describe how digital technologies are incorporated into financial services to improve </w:t>
      </w:r>
      <w:r w:rsidRPr="00952C24">
        <w:rPr>
          <w:color w:val="000000"/>
          <w:sz w:val="22"/>
          <w:szCs w:val="22"/>
        </w:rPr>
        <w:lastRenderedPageBreak/>
        <w:t>customer experience, accessibility, and efficiency (Gomber et al., 2018; Vives, 2019). According to recent research, Fintech innovation has sped up the digital transformation of traditional banks, forcing them to reconsider their value propositions and strategic positioning (Bunea, Kogan, and Stolin, 2021; Thakor, 2020).</w:t>
      </w:r>
    </w:p>
    <w:p w14:paraId="1B7B5D08" w14:textId="77777777" w:rsidR="002C2E11" w:rsidRPr="00952C24" w:rsidRDefault="002C2E11" w:rsidP="00952C24">
      <w:pPr>
        <w:pStyle w:val="NormalWeb"/>
        <w:spacing w:line="360" w:lineRule="auto"/>
        <w:jc w:val="both"/>
        <w:rPr>
          <w:color w:val="000000"/>
          <w:sz w:val="22"/>
          <w:szCs w:val="22"/>
        </w:rPr>
      </w:pPr>
      <w:r w:rsidRPr="00952C24">
        <w:rPr>
          <w:color w:val="000000"/>
          <w:sz w:val="22"/>
          <w:szCs w:val="22"/>
        </w:rPr>
        <w:t>Fintech has emerged as a key force behind financial inclusion, operational effectiveness, and competitive repositioning in the banking industry in developing nations like Bangladesh (Islam, Ahmed and Khan, 2020; Hasan, Rahman and Hossain, 2022). High mobile phone penetration, a sizable unbanked population, and changing regulatory frameworks headed by Bangladesh Bank define the unique institutional and socioeconomic environment in which Bangladesh's banking industry operates (Rahman et al., 2021; World Bank, 2023). In order to support national financial inclusion agendas, mobile financial services (MFS) like bKash and Nagad have significantly changed payment systems and increased access to financial services, especially for low-income and rural populations (Siddiqui and Rehman, 2021; Hasan et al., 2022).</w:t>
      </w:r>
    </w:p>
    <w:p w14:paraId="166F9BB8" w14:textId="77777777" w:rsidR="003D2850" w:rsidRPr="00952C24" w:rsidRDefault="003D2850" w:rsidP="00952C24">
      <w:pPr>
        <w:pStyle w:val="NormalWeb"/>
        <w:spacing w:line="360" w:lineRule="auto"/>
        <w:jc w:val="both"/>
        <w:rPr>
          <w:color w:val="000000"/>
          <w:sz w:val="22"/>
          <w:szCs w:val="22"/>
        </w:rPr>
      </w:pPr>
      <w:r w:rsidRPr="00952C24">
        <w:rPr>
          <w:color w:val="000000"/>
          <w:sz w:val="22"/>
          <w:szCs w:val="22"/>
        </w:rPr>
        <w:t>Despite these developments, there are still serious issues with cybersecurity risks, data privacy, governance structures, regulatory compliance, and ethical accountability brought up by the Fintech industry's explosive growth (Arner, Barberis, and Buckley, 2017; Ahmed and Uddin, 2023). According to academics, systemic risks resulting from Fintech-bank integration may be made worse by developing economies' weak institutional capacity and regulatory lag (Thakor, 2020; Kou et al., 2021). Fintech adoption in Bangladesh should therefore be viewed as both a technological phenomenon and an institutional and governance issue that is ingrained in larger socioeconomic structures.</w:t>
      </w:r>
    </w:p>
    <w:p w14:paraId="6D5F1FF3" w14:textId="77777777" w:rsidR="003D2850" w:rsidRPr="00952C24" w:rsidRDefault="003D2850" w:rsidP="00952C24">
      <w:pPr>
        <w:pStyle w:val="NormalWeb"/>
        <w:spacing w:line="360" w:lineRule="auto"/>
        <w:jc w:val="both"/>
        <w:rPr>
          <w:color w:val="000000"/>
          <w:sz w:val="22"/>
          <w:szCs w:val="22"/>
        </w:rPr>
      </w:pPr>
      <w:r w:rsidRPr="00952C24">
        <w:rPr>
          <w:color w:val="000000"/>
          <w:sz w:val="22"/>
          <w:szCs w:val="22"/>
        </w:rPr>
        <w:t>From a Doctor of Business Administration (DBA) standpoint, the study of Fintech encompasses institutional theory, organisational change, strategic management, and ethical responsibility in addition to technology adoption (Saunders, Lewis, and Thornhill, 2019; Al-Mahrouq and Al-Tamimi, 2021). Previous research has mostly used quantitative, positivist approaches to examine adoption drivers, customer acceptance, and performance outcomes (Rahman et al., 2021; Hasan et al., 2022). These methods, however, frequently overlook more profound philosophical issues about how knowledge is created, what ontological presumptions underlie empirical measurement, and whose interests are given priority in Fintech-driven banking transformation (Crotty, 1998; Easterby-Smith, Thorpe, and Jackson, 2018).</w:t>
      </w:r>
    </w:p>
    <w:p w14:paraId="0ACC701A" w14:textId="2A8E3B8C" w:rsidR="00DE0A25" w:rsidRPr="00952C24" w:rsidRDefault="003D2850" w:rsidP="00952C24">
      <w:pPr>
        <w:pStyle w:val="NormalWeb"/>
        <w:spacing w:line="360" w:lineRule="auto"/>
        <w:jc w:val="both"/>
        <w:rPr>
          <w:color w:val="000000"/>
          <w:sz w:val="22"/>
          <w:szCs w:val="22"/>
        </w:rPr>
      </w:pPr>
      <w:r w:rsidRPr="00952C24">
        <w:rPr>
          <w:color w:val="000000"/>
          <w:sz w:val="22"/>
          <w:szCs w:val="22"/>
        </w:rPr>
        <w:lastRenderedPageBreak/>
        <w:t>This coursework serves two purposes. It begins by offering a critical analysis of current research on the function and scope of Fintech in Bangladesh's banking industry. Second, it improves reflexivity and methodological awareness at the DBA level by analysing the philosophical, epistemological, and ethical underpinnings of this body of work (Saunders et al., 2019). Ontology, which refers to presumptions about the nature of reality; epistemology, which deals with the creation and validation of knowledge; and axiology, which addresses the function of values, ethics, and researcher positionality in management research, are important terms that direct this analysis (Crotty, 1998; Grix, 2010).</w:t>
      </w:r>
    </w:p>
    <w:p w14:paraId="2139748F" w14:textId="12B5C1CD" w:rsidR="009140F1" w:rsidRPr="00952C24" w:rsidRDefault="009140F1"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lastRenderedPageBreak/>
        <w:t xml:space="preserve">2. </w:t>
      </w:r>
      <w:r w:rsidR="008F7E6D" w:rsidRPr="008F7E6D">
        <w:rPr>
          <w:rFonts w:ascii="Times New Roman" w:hAnsi="Times New Roman" w:cs="Times New Roman"/>
          <w:color w:val="000000"/>
          <w:sz w:val="22"/>
          <w:szCs w:val="22"/>
        </w:rPr>
        <w:t>METHOD FOR CONDUCTING THE LITERATURE REVIEW</w:t>
      </w:r>
    </w:p>
    <w:p w14:paraId="675AC0FB" w14:textId="77777777" w:rsidR="003D2850" w:rsidRPr="00952C24" w:rsidRDefault="003D2850"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In keeping with best practices for doctoral-level management research, a transparent, methodical, and repeatable process was used to perform the literature review. The review's goal was to critically synthesise recent research on Fintech in Bangladesh's banking industry while challenging the philosophical presumptions that underlie this corpus of knowledge, rather than just summarising previous findings.</w:t>
      </w:r>
    </w:p>
    <w:p w14:paraId="177C11FE" w14:textId="4C2CA24A" w:rsidR="009140F1" w:rsidRPr="00952C24" w:rsidRDefault="009140F1"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Search Strategy</w:t>
      </w:r>
    </w:p>
    <w:p w14:paraId="0F19074F" w14:textId="77777777" w:rsidR="003D2850" w:rsidRPr="00952C24" w:rsidRDefault="003D2850"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Three main academic databases were used for a thorough search: Google Scholar, Web of Science, and Scopus. These databases were chosen because they cover a wide range of excellent, peer-reviewed journals in information systems, management, and finance. "Fintech," "banking sector," "Bangladesh," "digital banking," and "mobile financial services" were among the keywords and Boolean operators used in the search. To make sure the evaluation included the most recent theoretical and empirical advancements in this quickly developing topic, searches were restricted to publications published between 2019 and 2024.</w:t>
      </w:r>
    </w:p>
    <w:p w14:paraId="3E9C7AC0" w14:textId="2D4D71F1" w:rsidR="009140F1" w:rsidRPr="00952C24" w:rsidRDefault="009140F1"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Inclusion and Exclusion Criteria</w:t>
      </w:r>
    </w:p>
    <w:p w14:paraId="3EF5CEFE" w14:textId="77777777" w:rsidR="003D2850" w:rsidRPr="00952C24" w:rsidRDefault="003D2850"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Explicit inclusion and exclusion criteria were used to guarantee academic rigour and relevance. The included papers were English-language, peer-reviewed journal articles that looked at Fintech in the context of banking, either specifically in Bangladesh or in similar emerging nations where the results could be applied. In order to better comprehend Fintech acceptance, impact, or governance, both conceptual and empirical studies were taken into consideration. Conference proceedings, working papers, practitioner reports, opinion articles, and research that solely addressed developed economies without any contextual significance were among the resources that were excluded. Articles that lacked empirical support or methodological transparency were also disqualified.</w:t>
      </w:r>
    </w:p>
    <w:p w14:paraId="6D4E42C8" w14:textId="77777777" w:rsidR="008F7E6D" w:rsidRDefault="008F7E6D" w:rsidP="00952C24">
      <w:pPr>
        <w:pStyle w:val="Heading3"/>
        <w:spacing w:before="100" w:beforeAutospacing="1" w:line="360" w:lineRule="auto"/>
        <w:jc w:val="both"/>
        <w:rPr>
          <w:rFonts w:ascii="Times New Roman" w:hAnsi="Times New Roman" w:cs="Times New Roman"/>
          <w:color w:val="000000"/>
        </w:rPr>
      </w:pPr>
    </w:p>
    <w:p w14:paraId="2F672EE2" w14:textId="77777777" w:rsidR="008F7E6D" w:rsidRDefault="008F7E6D" w:rsidP="00952C24">
      <w:pPr>
        <w:pStyle w:val="Heading3"/>
        <w:spacing w:before="100" w:beforeAutospacing="1" w:line="360" w:lineRule="auto"/>
        <w:jc w:val="both"/>
        <w:rPr>
          <w:rFonts w:ascii="Times New Roman" w:hAnsi="Times New Roman" w:cs="Times New Roman"/>
          <w:color w:val="000000"/>
        </w:rPr>
      </w:pPr>
    </w:p>
    <w:p w14:paraId="1F529EFC" w14:textId="77777777" w:rsidR="008F7E6D" w:rsidRDefault="008F7E6D" w:rsidP="00952C24">
      <w:pPr>
        <w:pStyle w:val="Heading3"/>
        <w:spacing w:before="100" w:beforeAutospacing="1" w:line="360" w:lineRule="auto"/>
        <w:jc w:val="both"/>
        <w:rPr>
          <w:rFonts w:ascii="Times New Roman" w:hAnsi="Times New Roman" w:cs="Times New Roman"/>
          <w:color w:val="000000"/>
        </w:rPr>
      </w:pPr>
    </w:p>
    <w:p w14:paraId="58B0A338" w14:textId="247E60C1" w:rsidR="009140F1" w:rsidRPr="00952C24" w:rsidRDefault="009140F1"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lastRenderedPageBreak/>
        <w:t>Analytical Procedure</w:t>
      </w:r>
    </w:p>
    <w:p w14:paraId="1C0B094B" w14:textId="77777777" w:rsidR="003D2850" w:rsidRPr="00952C24" w:rsidRDefault="003D2850"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A theme synthesis approach was used to evaluate the chosen literature, enabling the identification of patterns, connections, and prevailing narratives among research. Themes were created iteratively by comparing and contrasting theoretical frameworks, study designs, and empirical findings rather than listing specific findings. Each study was also critically assessed for its ontological and epistemological stance, determining if the authors made positivist, interpretivist, or critical realist assumptions. Deeper comprehension of the formulation of research questions, the selection of preferred methodologies, and the justification of conclusions was made possible by this philosophical examination.</w:t>
      </w:r>
    </w:p>
    <w:p w14:paraId="44AF7396" w14:textId="18CA1818" w:rsidR="009140F1" w:rsidRPr="00952C24" w:rsidRDefault="009140F1"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Limitations of the Review Approach</w:t>
      </w:r>
    </w:p>
    <w:p w14:paraId="289F1E02" w14:textId="77777777" w:rsidR="003D2850" w:rsidRPr="00952C24" w:rsidRDefault="003D2850" w:rsidP="00952C24">
      <w:pPr>
        <w:pStyle w:val="Heading1"/>
        <w:spacing w:before="100" w:beforeAutospacing="1" w:line="360" w:lineRule="auto"/>
        <w:jc w:val="both"/>
        <w:rPr>
          <w:rFonts w:ascii="Times New Roman" w:eastAsia="Times New Roman" w:hAnsi="Times New Roman" w:cs="Times New Roman"/>
          <w:b w:val="0"/>
          <w:bCs w:val="0"/>
          <w:color w:val="000000"/>
          <w:sz w:val="22"/>
          <w:szCs w:val="22"/>
          <w:lang w:val="en-BD" w:eastAsia="en-GB" w:bidi="bn-IN"/>
        </w:rPr>
      </w:pPr>
      <w:r w:rsidRPr="00952C24">
        <w:rPr>
          <w:rFonts w:ascii="Times New Roman" w:eastAsia="Times New Roman" w:hAnsi="Times New Roman" w:cs="Times New Roman"/>
          <w:b w:val="0"/>
          <w:bCs w:val="0"/>
          <w:color w:val="000000"/>
          <w:sz w:val="22"/>
          <w:szCs w:val="22"/>
          <w:lang w:val="en-BD" w:eastAsia="en-GB" w:bidi="bn-IN"/>
        </w:rPr>
        <w:t>The review contains a number of shortcomings despite efforts to guarantee rigour. It's possible that locally created or practitioner-focused knowledge pertinent to the Bangladeshi setting was overlooked by limiting the review to English-language, peer-reviewed publications. Additionally, philosophical presumptions were frequently implied rather than presented clearly, necessitating the researcher's interpretation. Lastly, the historical contextualisation of Fintech development in Bangladesh may be limited by the emphasis on contemporary literature.</w:t>
      </w:r>
    </w:p>
    <w:p w14:paraId="4B064C40" w14:textId="38BC3DE4" w:rsidR="00057A5A" w:rsidRPr="00952C24" w:rsidRDefault="00057A5A" w:rsidP="00952C24">
      <w:pPr>
        <w:pStyle w:val="Heading1"/>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3. CRITICAL LITERATURE REVIEW</w:t>
      </w:r>
    </w:p>
    <w:p w14:paraId="0BD0FD16" w14:textId="0548ED54" w:rsidR="00057A5A" w:rsidRPr="00952C24" w:rsidRDefault="003D2850"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With a focus on Bangladesh and similar emerging economies, this section critically evaluates current empirical and conceptual research (2019–2024) examining the function and scope of Fintech in the banking industry. The evaluation identifies research gaps pertinent to DBA-level inquiry, assesses methodological and philosophical assumptions, and synthesises the literature thematically rather than offering a comprehensive overview.</w:t>
      </w:r>
    </w:p>
    <w:p w14:paraId="6B89F9ED" w14:textId="77777777" w:rsidR="00057A5A" w:rsidRPr="00952C24" w:rsidRDefault="00057A5A"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3.1 Theme 1: Fintech and Operational Efficiency</w:t>
      </w:r>
    </w:p>
    <w:p w14:paraId="54EDEC1A" w14:textId="77777777" w:rsidR="003D2850" w:rsidRPr="00952C24" w:rsidRDefault="003D2850" w:rsidP="00952C24">
      <w:pPr>
        <w:pStyle w:val="NormalWeb"/>
        <w:spacing w:line="360" w:lineRule="auto"/>
        <w:jc w:val="both"/>
        <w:rPr>
          <w:color w:val="000000"/>
          <w:sz w:val="22"/>
          <w:szCs w:val="22"/>
        </w:rPr>
      </w:pPr>
      <w:r w:rsidRPr="00952C24">
        <w:rPr>
          <w:color w:val="000000"/>
          <w:sz w:val="22"/>
          <w:szCs w:val="22"/>
        </w:rPr>
        <w:t>The impact of Fintech adoption on banks operational efficiency is a recurring issue in the literature. Fintech improves efficiency by lowering transaction costs, speeding up service delivery, enhancing process automation, and facilitating data-driven decision-making, according to numerous empirical research (Rahman et al., 2021; Islam, Ahmed and Khan, 2020; Bunea, Kogan and Stolin, 2021). Fintech-enabled services including digital payments, automated credit scoring, and mobile banking have been linked to increased consumer happiness and profitability in Bangladesh.</w:t>
      </w:r>
    </w:p>
    <w:p w14:paraId="5189148C" w14:textId="77777777" w:rsidR="003D2850" w:rsidRPr="00952C24" w:rsidRDefault="003D2850" w:rsidP="00952C24">
      <w:pPr>
        <w:pStyle w:val="NormalWeb"/>
        <w:spacing w:line="360" w:lineRule="auto"/>
        <w:jc w:val="both"/>
        <w:rPr>
          <w:color w:val="000000"/>
          <w:sz w:val="22"/>
          <w:szCs w:val="22"/>
        </w:rPr>
      </w:pPr>
      <w:r w:rsidRPr="00952C24">
        <w:rPr>
          <w:color w:val="000000"/>
          <w:sz w:val="22"/>
          <w:szCs w:val="22"/>
        </w:rPr>
        <w:lastRenderedPageBreak/>
        <w:t>Regression analysis, survey instruments, secondary financial data, and structural equation modelling (SEM) are used in this branch of study, which is mostly quantitative in methodology. These works take an objectivist ontological stance, treating efficiency as a quantitative, observable reality that is unaffected by organisational context. In terms of epistemology, positivism is clearly dominant, with statistical generalisation and hypothesis testing given priority (Easterby-Smith, Thorpe, and Jackson, 2018).</w:t>
      </w:r>
    </w:p>
    <w:p w14:paraId="6A1DCF88" w14:textId="7672950F" w:rsidR="00057A5A" w:rsidRPr="00952C24" w:rsidRDefault="003D2850"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Although this method offers quantifiable proof of improved performance, it frequently ignores organisational and human factors such employee resistance, managerial skill, technical preparedness, and legacy system limitations. This is a major drawback for DBA research since practitioners see Fintech adoption as a continuous and complicated change rather than a static efficiency result.</w:t>
      </w:r>
    </w:p>
    <w:p w14:paraId="14AF8181" w14:textId="77777777" w:rsidR="00057A5A" w:rsidRPr="00952C24" w:rsidRDefault="00057A5A"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3.2 Theme 2: Fintech and Financial Inclusion</w:t>
      </w:r>
    </w:p>
    <w:p w14:paraId="36CA610B" w14:textId="77777777" w:rsidR="003D2850" w:rsidRPr="00952C24" w:rsidRDefault="003D2850" w:rsidP="00952C24">
      <w:pPr>
        <w:pStyle w:val="NormalWeb"/>
        <w:spacing w:line="360" w:lineRule="auto"/>
        <w:jc w:val="both"/>
        <w:rPr>
          <w:color w:val="000000"/>
          <w:sz w:val="22"/>
          <w:szCs w:val="22"/>
        </w:rPr>
      </w:pPr>
      <w:r w:rsidRPr="00952C24">
        <w:rPr>
          <w:color w:val="000000"/>
          <w:sz w:val="22"/>
          <w:szCs w:val="22"/>
        </w:rPr>
        <w:t>Fintech expansion in emerging economies is often justified by financial inclusion. Research on Bangladesh emphasises how mobile financial services (MFS) platforms, including bKash and Nagad, help unbanked people have greater access to essential financial services, payments, and remittances (Hasan, Rahman, and Hossain, 2022; Siddiqui and Rehman, 2021; World Bank, 2023).</w:t>
      </w:r>
    </w:p>
    <w:p w14:paraId="48A7ED3D" w14:textId="043866B3" w:rsidR="00057A5A" w:rsidRPr="00952C24" w:rsidRDefault="00DD2BB3" w:rsidP="00952C24">
      <w:pPr>
        <w:pStyle w:val="NormalWeb"/>
        <w:spacing w:line="360" w:lineRule="auto"/>
        <w:jc w:val="both"/>
        <w:rPr>
          <w:color w:val="000000"/>
          <w:sz w:val="22"/>
          <w:szCs w:val="22"/>
        </w:rPr>
      </w:pPr>
      <w:r w:rsidRPr="00952C24">
        <w:rPr>
          <w:color w:val="000000"/>
          <w:sz w:val="22"/>
          <w:szCs w:val="22"/>
        </w:rPr>
        <w:t>However, the majority of research uses quantitative adoption measures, including account ownership, transaction frequency, or usage intention, to operationalise financial inclusion. This is indicative of a functionalist epistemology, in which access rather than empowerment is equated with inclusion. As a result, qualitative factors including perceived risk, gender disparity, trust, digital literacy, and user susceptibility are still not well studied.</w:t>
      </w:r>
    </w:p>
    <w:p w14:paraId="0FC0DEF7" w14:textId="59C56A2F" w:rsidR="00057A5A" w:rsidRPr="00952C24" w:rsidRDefault="00DD2BB3"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Theoretically, a lot of research uses Diffusion of Innovation Theory or Technology Acceptance Models (TAM) without questioning their applicability in socioeconomically varied environments like Bangladesh. A deeper understanding of how social structures, power dynamics, and institutional circumstances influence inclusion results may be obtained using interpretivist or critical realist techniques. This is a field that is especially pertinent to DBA research that focusses on moral and responsible management.</w:t>
      </w:r>
    </w:p>
    <w:p w14:paraId="75367448" w14:textId="77777777" w:rsidR="00057A5A" w:rsidRPr="00952C24" w:rsidRDefault="00057A5A"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lastRenderedPageBreak/>
        <w:t>3.3 Theme 3: Regulation, Risk, and Governance</w:t>
      </w:r>
    </w:p>
    <w:p w14:paraId="191D4FD4" w14:textId="77777777" w:rsidR="00DD2BB3" w:rsidRPr="00952C24" w:rsidRDefault="00DD2BB3" w:rsidP="00952C24">
      <w:pPr>
        <w:pStyle w:val="NormalWeb"/>
        <w:spacing w:line="360" w:lineRule="auto"/>
        <w:jc w:val="both"/>
        <w:rPr>
          <w:color w:val="000000"/>
          <w:sz w:val="22"/>
          <w:szCs w:val="22"/>
        </w:rPr>
      </w:pPr>
      <w:r w:rsidRPr="00952C24">
        <w:rPr>
          <w:color w:val="000000"/>
          <w:sz w:val="22"/>
          <w:szCs w:val="22"/>
        </w:rPr>
        <w:t>The regulatory, ethical, and risk-related issues surrounding Fintech adoption are the subject of an expanding corpus of literature. Cybersecurity risks, data privacy, consumer protection, regulatory arbitrage, and systemic risk are important issues (Arner, Barberis, and Buckley, 2017; Ahmed and Uddin, 2023). Regulatory frameworks in Bangladesh are frequently described as reactive rather than proactive, finding it difficult to keep up with advances in technology.</w:t>
      </w:r>
    </w:p>
    <w:p w14:paraId="5EE13563" w14:textId="77777777" w:rsidR="00DD2BB3" w:rsidRPr="00952C24" w:rsidRDefault="00DD2BB3" w:rsidP="00952C24">
      <w:pPr>
        <w:pStyle w:val="NormalWeb"/>
        <w:spacing w:line="360" w:lineRule="auto"/>
        <w:jc w:val="both"/>
        <w:rPr>
          <w:color w:val="000000"/>
          <w:sz w:val="22"/>
          <w:szCs w:val="22"/>
        </w:rPr>
      </w:pPr>
      <w:r w:rsidRPr="00952C24">
        <w:rPr>
          <w:color w:val="000000"/>
          <w:sz w:val="22"/>
          <w:szCs w:val="22"/>
        </w:rPr>
        <w:t>There are conflicting results about how Fintech companies and traditional banks interact. While some academics see Fintech as disruptive, endangering established business models and financial stability, others see it as complementing, improving banking efficiency and client engagement (Thakor, 2020; Kou et al., 2021). Different ontological presumptions on whether Fintech strengthens or changes current financial structures are reflected in these contradictions.</w:t>
      </w:r>
    </w:p>
    <w:p w14:paraId="63D9D79E" w14:textId="05876F89" w:rsidR="00057A5A" w:rsidRPr="00952C24" w:rsidRDefault="00DD2BB3"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Notably, ethical issues including social responsibility, financial fragility, and data ethics are frequently regarded as secondary concerns. Despite the importance of these concerns for DBA-level professional activity, this indicates an axiological gap where efficiency and profitability take precedence over ethical accountability.</w:t>
      </w:r>
    </w:p>
    <w:p w14:paraId="3731AA41" w14:textId="77777777" w:rsidR="00057A5A" w:rsidRPr="00952C24" w:rsidRDefault="00057A5A"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3.4 Synthesis and Research Gaps</w:t>
      </w:r>
    </w:p>
    <w:p w14:paraId="2757D8EE" w14:textId="77777777" w:rsidR="00DD2BB3" w:rsidRPr="00952C24" w:rsidRDefault="00DD2BB3" w:rsidP="00952C24">
      <w:pPr>
        <w:pStyle w:val="NormalWeb"/>
        <w:spacing w:line="360" w:lineRule="auto"/>
        <w:jc w:val="both"/>
        <w:rPr>
          <w:color w:val="000000"/>
          <w:sz w:val="22"/>
          <w:szCs w:val="22"/>
        </w:rPr>
      </w:pPr>
      <w:r w:rsidRPr="00952C24">
        <w:rPr>
          <w:color w:val="000000"/>
          <w:sz w:val="22"/>
          <w:szCs w:val="22"/>
        </w:rPr>
        <w:t>Four crucial gaps are revealed by synthesising across topics. First, there is a lot of methodological homogeneity in the literature, with positivist, quantitative designs predominating. Second, reflexivity is limited because philosophical presumptions are rarely stated clearly. Third, there is insufficient theory about the ethical and governance aspects. Lastly, there are still few qualitative and longitudinal studies that are unique to Bangladesh.</w:t>
      </w:r>
    </w:p>
    <w:p w14:paraId="58F63798" w14:textId="77777777" w:rsidR="00DD2BB3" w:rsidRPr="00952C24" w:rsidRDefault="00DD2BB3" w:rsidP="00952C24">
      <w:pPr>
        <w:pStyle w:val="Heading2"/>
        <w:spacing w:before="100" w:beforeAutospacing="1" w:line="360" w:lineRule="auto"/>
        <w:jc w:val="both"/>
        <w:rPr>
          <w:rFonts w:ascii="Times New Roman" w:eastAsia="Times New Roman" w:hAnsi="Times New Roman" w:cs="Times New Roman"/>
          <w:b w:val="0"/>
          <w:bCs w:val="0"/>
          <w:color w:val="000000"/>
          <w:sz w:val="22"/>
          <w:szCs w:val="22"/>
          <w:lang w:val="en-BD" w:eastAsia="en-GB" w:bidi="bn-IN"/>
        </w:rPr>
      </w:pPr>
      <w:r w:rsidRPr="00952C24">
        <w:rPr>
          <w:rFonts w:ascii="Times New Roman" w:eastAsia="Times New Roman" w:hAnsi="Times New Roman" w:cs="Times New Roman"/>
          <w:b w:val="0"/>
          <w:bCs w:val="0"/>
          <w:color w:val="000000"/>
          <w:sz w:val="22"/>
          <w:szCs w:val="22"/>
          <w:lang w:val="en-BD" w:eastAsia="en-GB" w:bidi="bn-IN"/>
        </w:rPr>
        <w:t>These limitations in DBA research emphasise the need for critical realism and mixed-methods approaches that combine performance analysis with institutional, ethical, and contextual investigation to produce evidence that senior decision-makers can use.</w:t>
      </w:r>
    </w:p>
    <w:p w14:paraId="775AC11F" w14:textId="543D9126" w:rsidR="006A150D" w:rsidRPr="00952C24" w:rsidRDefault="006A150D"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Proposed Research Aim</w:t>
      </w:r>
    </w:p>
    <w:p w14:paraId="4442C6B9" w14:textId="37CE81CF" w:rsidR="006A150D" w:rsidRPr="00006A1D" w:rsidRDefault="00DD2BB3" w:rsidP="00952C24">
      <w:pPr>
        <w:spacing w:before="100" w:beforeAutospacing="1" w:line="360" w:lineRule="auto"/>
        <w:jc w:val="both"/>
        <w:rPr>
          <w:rFonts w:ascii="Times New Roman" w:hAnsi="Times New Roman" w:cs="Times New Roman"/>
          <w:b/>
          <w:bCs/>
        </w:rPr>
      </w:pPr>
      <w:r w:rsidRPr="00006A1D">
        <w:rPr>
          <w:rStyle w:val="Strong"/>
          <w:rFonts w:ascii="Times New Roman" w:eastAsia="Times New Roman" w:hAnsi="Times New Roman" w:cs="Times New Roman"/>
          <w:b w:val="0"/>
          <w:bCs w:val="0"/>
          <w:color w:val="000000"/>
          <w:lang w:val="en-BD" w:eastAsia="en-GB" w:bidi="bn-IN"/>
        </w:rPr>
        <w:t>To conduct a critical analysis of the function, scope, and consequences of Fintech adoption in Bangladesh's banking industry, paying special emphasis to governance, financial inclusion, operational performance, and the underlying philosophies of current research and practice.</w:t>
      </w:r>
    </w:p>
    <w:p w14:paraId="50CE7A4D" w14:textId="77777777" w:rsidR="006A150D" w:rsidRPr="00952C24" w:rsidRDefault="006A150D"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lastRenderedPageBreak/>
        <w:t>Main Research Question (MRQ)</w:t>
      </w:r>
    </w:p>
    <w:p w14:paraId="1C36C6AC" w14:textId="77777777" w:rsidR="006A150D" w:rsidRPr="00006A1D" w:rsidRDefault="006A150D" w:rsidP="00952C24">
      <w:pPr>
        <w:pStyle w:val="NormalWeb"/>
        <w:spacing w:line="360" w:lineRule="auto"/>
        <w:jc w:val="both"/>
        <w:rPr>
          <w:i/>
          <w:iCs/>
          <w:color w:val="000000"/>
          <w:sz w:val="22"/>
          <w:szCs w:val="22"/>
        </w:rPr>
      </w:pPr>
      <w:r w:rsidRPr="00952C24">
        <w:rPr>
          <w:rStyle w:val="Strong"/>
          <w:color w:val="000000"/>
          <w:sz w:val="22"/>
          <w:szCs w:val="22"/>
        </w:rPr>
        <w:t>MRQ:</w:t>
      </w:r>
      <w:r w:rsidRPr="00952C24">
        <w:rPr>
          <w:color w:val="000000"/>
          <w:sz w:val="22"/>
          <w:szCs w:val="22"/>
        </w:rPr>
        <w:br/>
      </w:r>
      <w:r w:rsidRPr="00006A1D">
        <w:rPr>
          <w:rStyle w:val="Emphasis"/>
          <w:i w:val="0"/>
          <w:iCs w:val="0"/>
          <w:color w:val="000000"/>
          <w:sz w:val="22"/>
          <w:szCs w:val="22"/>
        </w:rPr>
        <w:t>How and to what extent does Fintech shape banking operations, financial inclusion, and governance practices in the banking sector of Bangladesh?</w:t>
      </w:r>
    </w:p>
    <w:p w14:paraId="7C708122" w14:textId="77777777" w:rsidR="006A150D" w:rsidRPr="00952C24" w:rsidRDefault="006A150D" w:rsidP="00952C24">
      <w:pPr>
        <w:pStyle w:val="NormalWeb"/>
        <w:spacing w:line="360" w:lineRule="auto"/>
        <w:jc w:val="both"/>
        <w:rPr>
          <w:color w:val="000000"/>
          <w:sz w:val="22"/>
          <w:szCs w:val="22"/>
        </w:rPr>
      </w:pPr>
      <w:r w:rsidRPr="00952C24">
        <w:rPr>
          <w:color w:val="000000"/>
          <w:sz w:val="22"/>
          <w:szCs w:val="22"/>
        </w:rPr>
        <w:t>This overarching question allows you to:</w:t>
      </w:r>
    </w:p>
    <w:p w14:paraId="0316EE97" w14:textId="77777777" w:rsidR="006A150D" w:rsidRPr="00952C24" w:rsidRDefault="006A150D" w:rsidP="00952C24">
      <w:pPr>
        <w:pStyle w:val="NormalWeb"/>
        <w:numPr>
          <w:ilvl w:val="0"/>
          <w:numId w:val="25"/>
        </w:numPr>
        <w:spacing w:line="360" w:lineRule="auto"/>
        <w:jc w:val="both"/>
        <w:rPr>
          <w:color w:val="000000"/>
          <w:sz w:val="22"/>
          <w:szCs w:val="22"/>
        </w:rPr>
      </w:pPr>
      <w:r w:rsidRPr="00952C24">
        <w:rPr>
          <w:color w:val="000000"/>
          <w:sz w:val="22"/>
          <w:szCs w:val="22"/>
        </w:rPr>
        <w:t>Examine</w:t>
      </w:r>
      <w:r w:rsidRPr="00952C24">
        <w:rPr>
          <w:rStyle w:val="apple-converted-space"/>
          <w:rFonts w:eastAsiaTheme="majorEastAsia"/>
          <w:color w:val="000000"/>
          <w:sz w:val="22"/>
          <w:szCs w:val="22"/>
        </w:rPr>
        <w:t> </w:t>
      </w:r>
      <w:r w:rsidRPr="00952C24">
        <w:rPr>
          <w:rStyle w:val="Strong"/>
          <w:color w:val="000000"/>
          <w:sz w:val="22"/>
          <w:szCs w:val="22"/>
        </w:rPr>
        <w:t>extent</w:t>
      </w:r>
      <w:r w:rsidRPr="00952C24">
        <w:rPr>
          <w:rStyle w:val="apple-converted-space"/>
          <w:rFonts w:eastAsiaTheme="majorEastAsia"/>
          <w:color w:val="000000"/>
          <w:sz w:val="22"/>
          <w:szCs w:val="22"/>
        </w:rPr>
        <w:t> </w:t>
      </w:r>
      <w:r w:rsidRPr="00952C24">
        <w:rPr>
          <w:color w:val="000000"/>
          <w:sz w:val="22"/>
          <w:szCs w:val="22"/>
        </w:rPr>
        <w:t>(scale, scope, and intensity of adoption),</w:t>
      </w:r>
    </w:p>
    <w:p w14:paraId="21CBC64A" w14:textId="77777777" w:rsidR="006A150D" w:rsidRPr="00952C24" w:rsidRDefault="006A150D" w:rsidP="00952C24">
      <w:pPr>
        <w:pStyle w:val="NormalWeb"/>
        <w:numPr>
          <w:ilvl w:val="0"/>
          <w:numId w:val="25"/>
        </w:numPr>
        <w:spacing w:line="360" w:lineRule="auto"/>
        <w:jc w:val="both"/>
        <w:rPr>
          <w:color w:val="000000"/>
          <w:sz w:val="22"/>
          <w:szCs w:val="22"/>
        </w:rPr>
      </w:pPr>
      <w:r w:rsidRPr="00952C24">
        <w:rPr>
          <w:color w:val="000000"/>
          <w:sz w:val="22"/>
          <w:szCs w:val="22"/>
        </w:rPr>
        <w:t>Explore</w:t>
      </w:r>
      <w:r w:rsidRPr="00952C24">
        <w:rPr>
          <w:rStyle w:val="apple-converted-space"/>
          <w:rFonts w:eastAsiaTheme="majorEastAsia"/>
          <w:color w:val="000000"/>
          <w:sz w:val="22"/>
          <w:szCs w:val="22"/>
        </w:rPr>
        <w:t> </w:t>
      </w:r>
      <w:r w:rsidRPr="00952C24">
        <w:rPr>
          <w:rStyle w:val="Strong"/>
          <w:color w:val="000000"/>
          <w:sz w:val="22"/>
          <w:szCs w:val="22"/>
        </w:rPr>
        <w:t>role</w:t>
      </w:r>
      <w:r w:rsidRPr="00952C24">
        <w:rPr>
          <w:rStyle w:val="apple-converted-space"/>
          <w:rFonts w:eastAsiaTheme="majorEastAsia"/>
          <w:color w:val="000000"/>
          <w:sz w:val="22"/>
          <w:szCs w:val="22"/>
        </w:rPr>
        <w:t> </w:t>
      </w:r>
      <w:r w:rsidRPr="00952C24">
        <w:rPr>
          <w:color w:val="000000"/>
          <w:sz w:val="22"/>
          <w:szCs w:val="22"/>
        </w:rPr>
        <w:t>(operational, strategic, institutional, and ethical),</w:t>
      </w:r>
    </w:p>
    <w:p w14:paraId="2182B78A" w14:textId="77777777" w:rsidR="006A150D" w:rsidRPr="00952C24" w:rsidRDefault="006A150D" w:rsidP="00952C24">
      <w:pPr>
        <w:pStyle w:val="NormalWeb"/>
        <w:numPr>
          <w:ilvl w:val="0"/>
          <w:numId w:val="25"/>
        </w:numPr>
        <w:spacing w:line="360" w:lineRule="auto"/>
        <w:jc w:val="both"/>
        <w:rPr>
          <w:color w:val="000000"/>
          <w:sz w:val="22"/>
          <w:szCs w:val="22"/>
        </w:rPr>
      </w:pPr>
      <w:r w:rsidRPr="00952C24">
        <w:rPr>
          <w:color w:val="000000"/>
          <w:sz w:val="22"/>
          <w:szCs w:val="22"/>
        </w:rPr>
        <w:t>Maintain flexibility for</w:t>
      </w:r>
      <w:r w:rsidRPr="00952C24">
        <w:rPr>
          <w:rStyle w:val="apple-converted-space"/>
          <w:rFonts w:eastAsiaTheme="majorEastAsia"/>
          <w:color w:val="000000"/>
          <w:sz w:val="22"/>
          <w:szCs w:val="22"/>
        </w:rPr>
        <w:t> </w:t>
      </w:r>
      <w:r w:rsidRPr="00952C24">
        <w:rPr>
          <w:rStyle w:val="Strong"/>
          <w:color w:val="000000"/>
          <w:sz w:val="22"/>
          <w:szCs w:val="22"/>
        </w:rPr>
        <w:t>mixed-methods or critical realist inquiry</w:t>
      </w:r>
      <w:r w:rsidRPr="00952C24">
        <w:rPr>
          <w:color w:val="000000"/>
          <w:sz w:val="22"/>
          <w:szCs w:val="22"/>
        </w:rPr>
        <w:t>.</w:t>
      </w:r>
    </w:p>
    <w:p w14:paraId="2EC7EB85" w14:textId="0856AE08" w:rsidR="006A150D" w:rsidRPr="00952C24" w:rsidRDefault="006A150D" w:rsidP="00952C24">
      <w:pPr>
        <w:spacing w:before="100" w:beforeAutospacing="1" w:line="360" w:lineRule="auto"/>
        <w:jc w:val="both"/>
        <w:rPr>
          <w:rFonts w:ascii="Times New Roman" w:hAnsi="Times New Roman" w:cs="Times New Roman"/>
        </w:rPr>
      </w:pPr>
    </w:p>
    <w:p w14:paraId="46A3249C" w14:textId="77777777" w:rsidR="006A150D" w:rsidRPr="00952C24" w:rsidRDefault="006A150D"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Sub-Research Questions (SRQs)</w:t>
      </w:r>
    </w:p>
    <w:p w14:paraId="7BC03F99" w14:textId="77777777" w:rsidR="006A150D" w:rsidRPr="00952C24" w:rsidRDefault="006A150D"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SRQ1: Operational and Strategic Role of Fintech</w:t>
      </w:r>
    </w:p>
    <w:p w14:paraId="1954C300" w14:textId="77777777" w:rsidR="006A150D" w:rsidRPr="00952C24" w:rsidRDefault="006A150D" w:rsidP="00006A1D">
      <w:pPr>
        <w:pStyle w:val="NormalWeb"/>
        <w:spacing w:line="360" w:lineRule="auto"/>
        <w:rPr>
          <w:color w:val="000000"/>
          <w:sz w:val="22"/>
          <w:szCs w:val="22"/>
        </w:rPr>
      </w:pPr>
      <w:r w:rsidRPr="00952C24">
        <w:rPr>
          <w:rStyle w:val="Strong"/>
          <w:color w:val="000000"/>
          <w:sz w:val="22"/>
          <w:szCs w:val="22"/>
        </w:rPr>
        <w:t>SRQ1:</w:t>
      </w:r>
      <w:r w:rsidRPr="00952C24">
        <w:rPr>
          <w:color w:val="000000"/>
          <w:sz w:val="22"/>
          <w:szCs w:val="22"/>
        </w:rPr>
        <w:br/>
      </w:r>
      <w:r w:rsidRPr="00952C24">
        <w:rPr>
          <w:rStyle w:val="Emphasis"/>
          <w:color w:val="000000"/>
          <w:sz w:val="22"/>
          <w:szCs w:val="22"/>
        </w:rPr>
        <w:t>How does Fintech adoption influence operational efficiency, service delivery, and strategic decision-making in Bangladeshi banks?</w:t>
      </w:r>
    </w:p>
    <w:p w14:paraId="47EEA3AE" w14:textId="732234AC" w:rsidR="006A150D" w:rsidRPr="00006A1D" w:rsidRDefault="006A150D" w:rsidP="00006A1D">
      <w:pPr>
        <w:pStyle w:val="NormalWeb"/>
        <w:spacing w:line="360" w:lineRule="auto"/>
        <w:rPr>
          <w:color w:val="000000"/>
          <w:sz w:val="22"/>
          <w:szCs w:val="22"/>
        </w:rPr>
      </w:pPr>
      <w:r w:rsidRPr="00952C24">
        <w:rPr>
          <w:rFonts w:ascii="Apple Color Emoji" w:hAnsi="Apple Color Emoji" w:cs="Apple Color Emoji"/>
          <w:color w:val="000000"/>
          <w:sz w:val="22"/>
          <w:szCs w:val="22"/>
        </w:rPr>
        <w:t>✔</w:t>
      </w:r>
      <w:r w:rsidRPr="00952C24">
        <w:rPr>
          <w:color w:val="000000"/>
          <w:sz w:val="22"/>
          <w:szCs w:val="22"/>
        </w:rPr>
        <w:t xml:space="preserve"> Linked to Theme 1 (Operational Efficiency)</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Aligns with performance, cost, and service quality debates</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Suitable for both quantitative indicators and managerial insights</w:t>
      </w:r>
    </w:p>
    <w:p w14:paraId="290A1C1C" w14:textId="77777777" w:rsidR="006A150D" w:rsidRPr="00952C24" w:rsidRDefault="006A150D"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SRQ2: Extent and Nature of Fintech Adoption</w:t>
      </w:r>
    </w:p>
    <w:p w14:paraId="03E5261B" w14:textId="77777777" w:rsidR="006A150D" w:rsidRPr="00952C24" w:rsidRDefault="006A150D" w:rsidP="00006A1D">
      <w:pPr>
        <w:pStyle w:val="NormalWeb"/>
        <w:spacing w:line="360" w:lineRule="auto"/>
        <w:rPr>
          <w:color w:val="000000"/>
          <w:sz w:val="22"/>
          <w:szCs w:val="22"/>
        </w:rPr>
      </w:pPr>
      <w:r w:rsidRPr="00952C24">
        <w:rPr>
          <w:rStyle w:val="Strong"/>
          <w:color w:val="000000"/>
          <w:sz w:val="22"/>
          <w:szCs w:val="22"/>
        </w:rPr>
        <w:t>SRQ2:</w:t>
      </w:r>
      <w:r w:rsidRPr="00952C24">
        <w:rPr>
          <w:color w:val="000000"/>
          <w:sz w:val="22"/>
          <w:szCs w:val="22"/>
        </w:rPr>
        <w:br/>
      </w:r>
      <w:r w:rsidRPr="00952C24">
        <w:rPr>
          <w:rStyle w:val="Emphasis"/>
          <w:color w:val="000000"/>
          <w:sz w:val="22"/>
          <w:szCs w:val="22"/>
        </w:rPr>
        <w:t>What is the extent and nature of Fintech adoption across different types of banks in Bangladesh (e.g., state-owned, private, Islamic, and foreign banks)?</w:t>
      </w:r>
    </w:p>
    <w:p w14:paraId="08F39BAD" w14:textId="77777777" w:rsidR="006A150D" w:rsidRPr="00952C24" w:rsidRDefault="006A150D" w:rsidP="00006A1D">
      <w:pPr>
        <w:pStyle w:val="NormalWeb"/>
        <w:spacing w:line="360" w:lineRule="auto"/>
        <w:rPr>
          <w:color w:val="000000"/>
          <w:sz w:val="22"/>
          <w:szCs w:val="22"/>
        </w:rPr>
      </w:pPr>
      <w:r w:rsidRPr="00952C24">
        <w:rPr>
          <w:rFonts w:ascii="Apple Color Emoji" w:hAnsi="Apple Color Emoji" w:cs="Apple Color Emoji"/>
          <w:color w:val="000000"/>
          <w:sz w:val="22"/>
          <w:szCs w:val="22"/>
        </w:rPr>
        <w:t>✔</w:t>
      </w:r>
      <w:r w:rsidRPr="00952C24">
        <w:rPr>
          <w:color w:val="000000"/>
          <w:sz w:val="22"/>
          <w:szCs w:val="22"/>
        </w:rPr>
        <w:t xml:space="preserve"> Addresses</w:t>
      </w:r>
      <w:r w:rsidRPr="00952C24">
        <w:rPr>
          <w:rStyle w:val="apple-converted-space"/>
          <w:rFonts w:eastAsiaTheme="majorEastAsia"/>
          <w:color w:val="000000"/>
          <w:sz w:val="22"/>
          <w:szCs w:val="22"/>
        </w:rPr>
        <w:t> </w:t>
      </w:r>
      <w:r w:rsidRPr="00952C24">
        <w:rPr>
          <w:rStyle w:val="Strong"/>
          <w:color w:val="000000"/>
          <w:sz w:val="22"/>
          <w:szCs w:val="22"/>
        </w:rPr>
        <w:t>“extent”</w:t>
      </w:r>
      <w:r w:rsidRPr="00952C24">
        <w:rPr>
          <w:rStyle w:val="apple-converted-space"/>
          <w:rFonts w:eastAsiaTheme="majorEastAsia"/>
          <w:color w:val="000000"/>
          <w:sz w:val="22"/>
          <w:szCs w:val="22"/>
        </w:rPr>
        <w:t> </w:t>
      </w:r>
      <w:r w:rsidRPr="00952C24">
        <w:rPr>
          <w:color w:val="000000"/>
          <w:sz w:val="22"/>
          <w:szCs w:val="22"/>
        </w:rPr>
        <w:t>explicitly</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Supports comparative and contextual analysis</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DBA-relevant for policy and managerial benchmarking</w:t>
      </w:r>
    </w:p>
    <w:p w14:paraId="04A7E25D" w14:textId="5AC8392C" w:rsidR="006A150D" w:rsidRPr="00952C24" w:rsidRDefault="006A150D" w:rsidP="00952C24">
      <w:pPr>
        <w:spacing w:before="100" w:beforeAutospacing="1" w:line="360" w:lineRule="auto"/>
        <w:jc w:val="both"/>
        <w:rPr>
          <w:rFonts w:ascii="Times New Roman" w:hAnsi="Times New Roman" w:cs="Times New Roman"/>
        </w:rPr>
      </w:pPr>
    </w:p>
    <w:p w14:paraId="37A3CB33" w14:textId="77777777" w:rsidR="006A150D" w:rsidRPr="00952C24" w:rsidRDefault="006A150D"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SRQ3: Fintech and Financial Inclusion</w:t>
      </w:r>
    </w:p>
    <w:p w14:paraId="21B72CF6" w14:textId="77777777" w:rsidR="006A150D" w:rsidRPr="00952C24" w:rsidRDefault="006A150D" w:rsidP="00006A1D">
      <w:pPr>
        <w:pStyle w:val="NormalWeb"/>
        <w:spacing w:line="360" w:lineRule="auto"/>
        <w:rPr>
          <w:color w:val="000000"/>
          <w:sz w:val="22"/>
          <w:szCs w:val="22"/>
        </w:rPr>
      </w:pPr>
      <w:r w:rsidRPr="00952C24">
        <w:rPr>
          <w:rStyle w:val="Strong"/>
          <w:color w:val="000000"/>
          <w:sz w:val="22"/>
          <w:szCs w:val="22"/>
        </w:rPr>
        <w:t>SRQ3:</w:t>
      </w:r>
      <w:r w:rsidRPr="00952C24">
        <w:rPr>
          <w:color w:val="000000"/>
          <w:sz w:val="22"/>
          <w:szCs w:val="22"/>
        </w:rPr>
        <w:br/>
      </w:r>
      <w:r w:rsidRPr="00952C24">
        <w:rPr>
          <w:rStyle w:val="Emphasis"/>
          <w:color w:val="000000"/>
          <w:sz w:val="22"/>
          <w:szCs w:val="22"/>
        </w:rPr>
        <w:t>In what ways does Fintech contribute to financial inclusion in Bangladesh, and how do different stakeholders perceive its effectiveness and limitations?</w:t>
      </w:r>
    </w:p>
    <w:p w14:paraId="0B448D25" w14:textId="77777777" w:rsidR="006A150D" w:rsidRPr="00952C24" w:rsidRDefault="006A150D" w:rsidP="00006A1D">
      <w:pPr>
        <w:pStyle w:val="NormalWeb"/>
        <w:spacing w:line="360" w:lineRule="auto"/>
        <w:rPr>
          <w:color w:val="000000"/>
          <w:sz w:val="22"/>
          <w:szCs w:val="22"/>
        </w:rPr>
      </w:pPr>
      <w:r w:rsidRPr="00952C24">
        <w:rPr>
          <w:rFonts w:ascii="Apple Color Emoji" w:hAnsi="Apple Color Emoji" w:cs="Apple Color Emoji"/>
          <w:color w:val="000000"/>
          <w:sz w:val="22"/>
          <w:szCs w:val="22"/>
        </w:rPr>
        <w:t>✔</w:t>
      </w:r>
      <w:r w:rsidRPr="00952C24">
        <w:rPr>
          <w:color w:val="000000"/>
          <w:sz w:val="22"/>
          <w:szCs w:val="22"/>
        </w:rPr>
        <w:t xml:space="preserve"> Builds on MFS literature (bKash, Nagad)</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Moves beyond adoption metrics to</w:t>
      </w:r>
      <w:r w:rsidRPr="00952C24">
        <w:rPr>
          <w:rStyle w:val="apple-converted-space"/>
          <w:rFonts w:eastAsiaTheme="majorEastAsia"/>
          <w:color w:val="000000"/>
          <w:sz w:val="22"/>
          <w:szCs w:val="22"/>
        </w:rPr>
        <w:t> </w:t>
      </w:r>
      <w:r w:rsidRPr="00952C24">
        <w:rPr>
          <w:rStyle w:val="Strong"/>
          <w:color w:val="000000"/>
          <w:sz w:val="22"/>
          <w:szCs w:val="22"/>
        </w:rPr>
        <w:t>perceptions and experiences</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Supports interpretivist or mixed-methods approaches</w:t>
      </w:r>
    </w:p>
    <w:p w14:paraId="5FE78B9F" w14:textId="4E4621E1" w:rsidR="006A150D" w:rsidRPr="00952C24" w:rsidRDefault="006A150D" w:rsidP="00952C24">
      <w:pPr>
        <w:spacing w:before="100" w:beforeAutospacing="1" w:line="360" w:lineRule="auto"/>
        <w:jc w:val="both"/>
        <w:rPr>
          <w:rFonts w:ascii="Times New Roman" w:hAnsi="Times New Roman" w:cs="Times New Roman"/>
        </w:rPr>
      </w:pPr>
    </w:p>
    <w:p w14:paraId="50E44208" w14:textId="77777777" w:rsidR="006A150D" w:rsidRPr="00952C24" w:rsidRDefault="006A150D"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SRQ4: Regulation, Risk, and Governance</w:t>
      </w:r>
    </w:p>
    <w:p w14:paraId="5FC5FCA1" w14:textId="77777777" w:rsidR="006A150D" w:rsidRPr="00952C24" w:rsidRDefault="006A150D" w:rsidP="00952C24">
      <w:pPr>
        <w:pStyle w:val="NormalWeb"/>
        <w:spacing w:line="360" w:lineRule="auto"/>
        <w:jc w:val="both"/>
        <w:rPr>
          <w:color w:val="000000"/>
          <w:sz w:val="22"/>
          <w:szCs w:val="22"/>
        </w:rPr>
      </w:pPr>
      <w:r w:rsidRPr="00952C24">
        <w:rPr>
          <w:rStyle w:val="Strong"/>
          <w:color w:val="000000"/>
          <w:sz w:val="22"/>
          <w:szCs w:val="22"/>
        </w:rPr>
        <w:t>SRQ4:</w:t>
      </w:r>
      <w:r w:rsidRPr="00952C24">
        <w:rPr>
          <w:color w:val="000000"/>
          <w:sz w:val="22"/>
          <w:szCs w:val="22"/>
        </w:rPr>
        <w:br/>
      </w:r>
      <w:r w:rsidRPr="00952C24">
        <w:rPr>
          <w:rStyle w:val="Emphasis"/>
          <w:color w:val="000000"/>
          <w:sz w:val="22"/>
          <w:szCs w:val="22"/>
        </w:rPr>
        <w:t>What regulatory, ethical, and risk-related challenges are associated with Fintech integration in the Bangladeshi banking sector?</w:t>
      </w:r>
    </w:p>
    <w:p w14:paraId="49799084" w14:textId="77777777" w:rsidR="006A150D" w:rsidRPr="00952C24" w:rsidRDefault="006A150D" w:rsidP="00006A1D">
      <w:pPr>
        <w:pStyle w:val="NormalWeb"/>
        <w:spacing w:line="360" w:lineRule="auto"/>
        <w:rPr>
          <w:color w:val="000000"/>
          <w:sz w:val="22"/>
          <w:szCs w:val="22"/>
        </w:rPr>
      </w:pPr>
      <w:r w:rsidRPr="00952C24">
        <w:rPr>
          <w:rFonts w:ascii="Apple Color Emoji" w:hAnsi="Apple Color Emoji" w:cs="Apple Color Emoji"/>
          <w:color w:val="000000"/>
          <w:sz w:val="22"/>
          <w:szCs w:val="22"/>
        </w:rPr>
        <w:t>✔</w:t>
      </w:r>
      <w:r w:rsidRPr="00952C24">
        <w:rPr>
          <w:color w:val="000000"/>
          <w:sz w:val="22"/>
          <w:szCs w:val="22"/>
        </w:rPr>
        <w:t xml:space="preserve"> Linked to Theme 3 (Regulation and Risk)</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Addresses cybersecurity, data privacy, and governance</w:t>
      </w:r>
      <w:r w:rsidRPr="00952C24">
        <w:rPr>
          <w:color w:val="000000"/>
          <w:sz w:val="22"/>
          <w:szCs w:val="22"/>
        </w:rPr>
        <w:br/>
      </w:r>
      <w:r w:rsidRPr="00952C24">
        <w:rPr>
          <w:rFonts w:ascii="Apple Color Emoji" w:hAnsi="Apple Color Emoji" w:cs="Apple Color Emoji"/>
          <w:color w:val="000000"/>
          <w:sz w:val="22"/>
          <w:szCs w:val="22"/>
        </w:rPr>
        <w:t>✔</w:t>
      </w:r>
      <w:r w:rsidRPr="00952C24">
        <w:rPr>
          <w:color w:val="000000"/>
          <w:sz w:val="22"/>
          <w:szCs w:val="22"/>
        </w:rPr>
        <w:t xml:space="preserve"> Highly relevant to DBA-level applied research</w:t>
      </w:r>
    </w:p>
    <w:p w14:paraId="57AA0499" w14:textId="738E953E" w:rsidR="006A150D" w:rsidRPr="00952C24" w:rsidRDefault="006A150D" w:rsidP="00952C24">
      <w:pPr>
        <w:spacing w:before="100" w:beforeAutospacing="1" w:line="360" w:lineRule="auto"/>
        <w:jc w:val="both"/>
        <w:rPr>
          <w:rFonts w:ascii="Times New Roman" w:hAnsi="Times New Roman" w:cs="Times New Roman"/>
        </w:rPr>
      </w:pPr>
    </w:p>
    <w:p w14:paraId="307F49F5" w14:textId="77777777" w:rsidR="006A150D" w:rsidRPr="00952C24" w:rsidRDefault="006A150D"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SRQ5: Philosophical and Methodological Reflection</w:t>
      </w:r>
    </w:p>
    <w:p w14:paraId="1E4516D2" w14:textId="77777777" w:rsidR="006A150D" w:rsidRPr="00006A1D" w:rsidRDefault="006A150D" w:rsidP="00006A1D">
      <w:pPr>
        <w:pStyle w:val="NormalWeb"/>
        <w:spacing w:line="360" w:lineRule="auto"/>
        <w:rPr>
          <w:color w:val="000000"/>
          <w:sz w:val="22"/>
          <w:szCs w:val="22"/>
        </w:rPr>
      </w:pPr>
      <w:r w:rsidRPr="00952C24">
        <w:rPr>
          <w:rStyle w:val="Strong"/>
          <w:color w:val="000000"/>
          <w:sz w:val="22"/>
          <w:szCs w:val="22"/>
        </w:rPr>
        <w:t>SRQ5:</w:t>
      </w:r>
      <w:r w:rsidRPr="00952C24">
        <w:rPr>
          <w:color w:val="000000"/>
          <w:sz w:val="22"/>
          <w:szCs w:val="22"/>
        </w:rPr>
        <w:br/>
      </w:r>
      <w:r w:rsidRPr="00006A1D">
        <w:rPr>
          <w:rStyle w:val="Emphasis"/>
          <w:i w:val="0"/>
          <w:iCs w:val="0"/>
          <w:color w:val="000000"/>
          <w:sz w:val="22"/>
          <w:szCs w:val="22"/>
        </w:rPr>
        <w:t>How do underlying philosophical assumptions shape existing research and managerial understanding of Fintech in the Bangladeshi banking sector?</w:t>
      </w:r>
    </w:p>
    <w:p w14:paraId="5B892F75" w14:textId="6C83F555" w:rsidR="006A150D" w:rsidRPr="00006A1D" w:rsidRDefault="006A150D" w:rsidP="00006A1D">
      <w:pPr>
        <w:pStyle w:val="NormalWeb"/>
        <w:spacing w:line="360" w:lineRule="auto"/>
        <w:rPr>
          <w:color w:val="000000"/>
          <w:sz w:val="22"/>
          <w:szCs w:val="22"/>
        </w:rPr>
      </w:pPr>
      <w:r w:rsidRPr="00006A1D">
        <w:rPr>
          <w:rFonts w:ascii="Apple Color Emoji" w:hAnsi="Apple Color Emoji" w:cs="Apple Color Emoji"/>
          <w:color w:val="000000"/>
          <w:sz w:val="22"/>
          <w:szCs w:val="22"/>
        </w:rPr>
        <w:t>✔</w:t>
      </w:r>
      <w:r w:rsidRPr="00006A1D">
        <w:rPr>
          <w:color w:val="000000"/>
          <w:sz w:val="22"/>
          <w:szCs w:val="22"/>
        </w:rPr>
        <w:t xml:space="preserve"> Directly aligned with</w:t>
      </w:r>
      <w:r w:rsidRPr="00006A1D">
        <w:rPr>
          <w:rStyle w:val="apple-converted-space"/>
          <w:rFonts w:eastAsiaTheme="majorEastAsia"/>
          <w:color w:val="000000"/>
          <w:sz w:val="22"/>
          <w:szCs w:val="22"/>
        </w:rPr>
        <w:t> </w:t>
      </w:r>
      <w:r w:rsidRPr="00006A1D">
        <w:rPr>
          <w:rStyle w:val="Strong"/>
          <w:color w:val="000000"/>
          <w:sz w:val="22"/>
          <w:szCs w:val="22"/>
        </w:rPr>
        <w:t xml:space="preserve"> learning outcomes</w:t>
      </w:r>
      <w:r w:rsidRPr="00006A1D">
        <w:rPr>
          <w:color w:val="000000"/>
          <w:sz w:val="22"/>
          <w:szCs w:val="22"/>
        </w:rPr>
        <w:br/>
      </w:r>
      <w:r w:rsidRPr="00006A1D">
        <w:rPr>
          <w:rFonts w:ascii="Apple Color Emoji" w:hAnsi="Apple Color Emoji" w:cs="Apple Color Emoji"/>
          <w:color w:val="000000"/>
          <w:sz w:val="22"/>
          <w:szCs w:val="22"/>
        </w:rPr>
        <w:t>✔</w:t>
      </w:r>
      <w:r w:rsidRPr="00006A1D">
        <w:rPr>
          <w:color w:val="000000"/>
          <w:sz w:val="22"/>
          <w:szCs w:val="22"/>
        </w:rPr>
        <w:t xml:space="preserve"> Integrates ontology, epistemology, and axiology</w:t>
      </w:r>
      <w:r w:rsidRPr="00006A1D">
        <w:rPr>
          <w:color w:val="000000"/>
          <w:sz w:val="22"/>
          <w:szCs w:val="22"/>
        </w:rPr>
        <w:br/>
      </w:r>
      <w:r w:rsidRPr="00006A1D">
        <w:rPr>
          <w:rFonts w:ascii="Apple Color Emoji" w:hAnsi="Apple Color Emoji" w:cs="Apple Color Emoji"/>
          <w:color w:val="000000"/>
          <w:sz w:val="22"/>
          <w:szCs w:val="22"/>
        </w:rPr>
        <w:t>✔</w:t>
      </w:r>
      <w:r w:rsidRPr="00006A1D">
        <w:rPr>
          <w:color w:val="000000"/>
          <w:sz w:val="22"/>
          <w:szCs w:val="22"/>
        </w:rPr>
        <w:t xml:space="preserve"> Demonstrates</w:t>
      </w:r>
      <w:r w:rsidRPr="00006A1D">
        <w:rPr>
          <w:rStyle w:val="apple-converted-space"/>
          <w:rFonts w:eastAsiaTheme="majorEastAsia"/>
          <w:color w:val="000000"/>
          <w:sz w:val="22"/>
          <w:szCs w:val="22"/>
        </w:rPr>
        <w:t> </w:t>
      </w:r>
      <w:r w:rsidRPr="00006A1D">
        <w:rPr>
          <w:rStyle w:val="Strong"/>
          <w:color w:val="000000"/>
          <w:sz w:val="22"/>
          <w:szCs w:val="22"/>
        </w:rPr>
        <w:t>doctoral-level reflexivity</w:t>
      </w:r>
    </w:p>
    <w:p w14:paraId="7B24681F" w14:textId="400069EE" w:rsidR="006A150D" w:rsidRPr="00952C24" w:rsidRDefault="006A150D" w:rsidP="00952C24">
      <w:pPr>
        <w:spacing w:before="100" w:beforeAutospacing="1" w:line="360" w:lineRule="auto"/>
        <w:jc w:val="both"/>
        <w:rPr>
          <w:rFonts w:ascii="Times New Roman" w:hAnsi="Times New Roman" w:cs="Times New Roman"/>
        </w:rPr>
      </w:pPr>
    </w:p>
    <w:p w14:paraId="3EBB6CB7" w14:textId="04F03EBD" w:rsidR="006A150D" w:rsidRPr="00952C24" w:rsidRDefault="006A150D"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 xml:space="preserve">Alignment with Research Philosophy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5"/>
        <w:gridCol w:w="6955"/>
      </w:tblGrid>
      <w:tr w:rsidR="006A150D" w:rsidRPr="00952C24" w14:paraId="17BB9ECA" w14:textId="77777777">
        <w:trPr>
          <w:tblHeader/>
          <w:tblCellSpacing w:w="15" w:type="dxa"/>
        </w:trPr>
        <w:tc>
          <w:tcPr>
            <w:tcW w:w="0" w:type="auto"/>
            <w:vAlign w:val="center"/>
            <w:hideMark/>
          </w:tcPr>
          <w:p w14:paraId="37468145" w14:textId="77777777" w:rsidR="006A150D" w:rsidRPr="00952C24" w:rsidRDefault="006A150D" w:rsidP="00952C24">
            <w:pPr>
              <w:spacing w:before="100" w:beforeAutospacing="1" w:line="360" w:lineRule="auto"/>
              <w:jc w:val="both"/>
              <w:rPr>
                <w:rFonts w:ascii="Times New Roman" w:hAnsi="Times New Roman" w:cs="Times New Roman"/>
                <w:b/>
                <w:bCs/>
              </w:rPr>
            </w:pPr>
            <w:r w:rsidRPr="00952C24">
              <w:rPr>
                <w:rFonts w:ascii="Times New Roman" w:hAnsi="Times New Roman" w:cs="Times New Roman"/>
                <w:b/>
                <w:bCs/>
              </w:rPr>
              <w:t>Research Element</w:t>
            </w:r>
          </w:p>
        </w:tc>
        <w:tc>
          <w:tcPr>
            <w:tcW w:w="0" w:type="auto"/>
            <w:vAlign w:val="center"/>
            <w:hideMark/>
          </w:tcPr>
          <w:p w14:paraId="26DA1746" w14:textId="77777777" w:rsidR="006A150D" w:rsidRPr="00952C24" w:rsidRDefault="006A150D" w:rsidP="00952C24">
            <w:pPr>
              <w:spacing w:before="100" w:beforeAutospacing="1" w:line="360" w:lineRule="auto"/>
              <w:jc w:val="both"/>
              <w:rPr>
                <w:rFonts w:ascii="Times New Roman" w:hAnsi="Times New Roman" w:cs="Times New Roman"/>
                <w:b/>
                <w:bCs/>
              </w:rPr>
            </w:pPr>
            <w:r w:rsidRPr="00952C24">
              <w:rPr>
                <w:rFonts w:ascii="Times New Roman" w:hAnsi="Times New Roman" w:cs="Times New Roman"/>
                <w:b/>
                <w:bCs/>
              </w:rPr>
              <w:t>Alignment</w:t>
            </w:r>
          </w:p>
        </w:tc>
      </w:tr>
      <w:tr w:rsidR="006A150D" w:rsidRPr="00952C24" w14:paraId="417B2A3B" w14:textId="77777777">
        <w:trPr>
          <w:tblCellSpacing w:w="15" w:type="dxa"/>
        </w:trPr>
        <w:tc>
          <w:tcPr>
            <w:tcW w:w="0" w:type="auto"/>
            <w:vAlign w:val="center"/>
            <w:hideMark/>
          </w:tcPr>
          <w:p w14:paraId="13C7745E" w14:textId="77777777" w:rsidR="006A150D" w:rsidRPr="00952C24" w:rsidRDefault="006A150D"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Ontology</w:t>
            </w:r>
          </w:p>
        </w:tc>
        <w:tc>
          <w:tcPr>
            <w:tcW w:w="0" w:type="auto"/>
            <w:vAlign w:val="center"/>
            <w:hideMark/>
          </w:tcPr>
          <w:p w14:paraId="65C7EA7A" w14:textId="1004AF3C" w:rsidR="006A150D" w:rsidRPr="00952C24" w:rsidRDefault="009F0A79"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Recognizes fintech</w:t>
            </w:r>
            <w:r w:rsidR="006A150D" w:rsidRPr="00952C24">
              <w:rPr>
                <w:rFonts w:ascii="Times New Roman" w:hAnsi="Times New Roman" w:cs="Times New Roman"/>
              </w:rPr>
              <w:t xml:space="preserve"> as both a</w:t>
            </w:r>
            <w:r w:rsidR="006A150D" w:rsidRPr="00952C24">
              <w:rPr>
                <w:rStyle w:val="apple-converted-space"/>
                <w:rFonts w:ascii="Times New Roman" w:hAnsi="Times New Roman" w:cs="Times New Roman"/>
              </w:rPr>
              <w:t> </w:t>
            </w:r>
            <w:r w:rsidR="006A150D" w:rsidRPr="00952C24">
              <w:rPr>
                <w:rStyle w:val="Strong"/>
                <w:rFonts w:ascii="Times New Roman" w:hAnsi="Times New Roman" w:cs="Times New Roman"/>
              </w:rPr>
              <w:t>technological reality</w:t>
            </w:r>
            <w:r w:rsidR="006A150D" w:rsidRPr="00952C24">
              <w:rPr>
                <w:rStyle w:val="apple-converted-space"/>
                <w:rFonts w:ascii="Times New Roman" w:hAnsi="Times New Roman" w:cs="Times New Roman"/>
              </w:rPr>
              <w:t> </w:t>
            </w:r>
            <w:r w:rsidR="006A150D" w:rsidRPr="00952C24">
              <w:rPr>
                <w:rFonts w:ascii="Times New Roman" w:hAnsi="Times New Roman" w:cs="Times New Roman"/>
              </w:rPr>
              <w:t>and a</w:t>
            </w:r>
            <w:r w:rsidR="006A150D" w:rsidRPr="00952C24">
              <w:rPr>
                <w:rStyle w:val="apple-converted-space"/>
                <w:rFonts w:ascii="Times New Roman" w:hAnsi="Times New Roman" w:cs="Times New Roman"/>
              </w:rPr>
              <w:t> </w:t>
            </w:r>
            <w:r w:rsidR="006A150D" w:rsidRPr="00952C24">
              <w:rPr>
                <w:rStyle w:val="Strong"/>
                <w:rFonts w:ascii="Times New Roman" w:hAnsi="Times New Roman" w:cs="Times New Roman"/>
              </w:rPr>
              <w:t>socially embedded phenomenon</w:t>
            </w:r>
          </w:p>
        </w:tc>
      </w:tr>
      <w:tr w:rsidR="006A150D" w:rsidRPr="00952C24" w14:paraId="16C558D4" w14:textId="77777777">
        <w:trPr>
          <w:tblCellSpacing w:w="15" w:type="dxa"/>
        </w:trPr>
        <w:tc>
          <w:tcPr>
            <w:tcW w:w="0" w:type="auto"/>
            <w:vAlign w:val="center"/>
            <w:hideMark/>
          </w:tcPr>
          <w:p w14:paraId="2D0FE018" w14:textId="77777777" w:rsidR="006A150D" w:rsidRPr="00952C24" w:rsidRDefault="006A150D"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Epistemology</w:t>
            </w:r>
          </w:p>
        </w:tc>
        <w:tc>
          <w:tcPr>
            <w:tcW w:w="0" w:type="auto"/>
            <w:vAlign w:val="center"/>
            <w:hideMark/>
          </w:tcPr>
          <w:p w14:paraId="5514B735" w14:textId="77777777" w:rsidR="006A150D" w:rsidRPr="00952C24" w:rsidRDefault="006A150D"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Supports</w:t>
            </w:r>
            <w:r w:rsidRPr="00952C24">
              <w:rPr>
                <w:rStyle w:val="apple-converted-space"/>
                <w:rFonts w:ascii="Times New Roman" w:hAnsi="Times New Roman" w:cs="Times New Roman"/>
              </w:rPr>
              <w:t> </w:t>
            </w:r>
            <w:r w:rsidRPr="00952C24">
              <w:rPr>
                <w:rStyle w:val="Strong"/>
                <w:rFonts w:ascii="Times New Roman" w:hAnsi="Times New Roman" w:cs="Times New Roman"/>
              </w:rPr>
              <w:t>positivist, interpretivist, and critical realist</w:t>
            </w:r>
            <w:r w:rsidRPr="00952C24">
              <w:rPr>
                <w:rStyle w:val="apple-converted-space"/>
                <w:rFonts w:ascii="Times New Roman" w:hAnsi="Times New Roman" w:cs="Times New Roman"/>
              </w:rPr>
              <w:t> </w:t>
            </w:r>
            <w:r w:rsidRPr="00952C24">
              <w:rPr>
                <w:rFonts w:ascii="Times New Roman" w:hAnsi="Times New Roman" w:cs="Times New Roman"/>
              </w:rPr>
              <w:t>knowledge claims</w:t>
            </w:r>
          </w:p>
        </w:tc>
      </w:tr>
      <w:tr w:rsidR="006A150D" w:rsidRPr="00952C24" w14:paraId="0518ACC4" w14:textId="77777777">
        <w:trPr>
          <w:tblCellSpacing w:w="15" w:type="dxa"/>
        </w:trPr>
        <w:tc>
          <w:tcPr>
            <w:tcW w:w="0" w:type="auto"/>
            <w:vAlign w:val="center"/>
            <w:hideMark/>
          </w:tcPr>
          <w:p w14:paraId="2BED7810" w14:textId="77777777" w:rsidR="006A150D" w:rsidRPr="00952C24" w:rsidRDefault="006A150D"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Approach</w:t>
            </w:r>
          </w:p>
        </w:tc>
        <w:tc>
          <w:tcPr>
            <w:tcW w:w="0" w:type="auto"/>
            <w:vAlign w:val="center"/>
            <w:hideMark/>
          </w:tcPr>
          <w:p w14:paraId="5023B662" w14:textId="77777777" w:rsidR="006A150D" w:rsidRPr="00952C24" w:rsidRDefault="006A150D"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Enables</w:t>
            </w:r>
            <w:r w:rsidRPr="00952C24">
              <w:rPr>
                <w:rStyle w:val="apple-converted-space"/>
                <w:rFonts w:ascii="Times New Roman" w:hAnsi="Times New Roman" w:cs="Times New Roman"/>
              </w:rPr>
              <w:t> </w:t>
            </w:r>
            <w:r w:rsidRPr="00952C24">
              <w:rPr>
                <w:rStyle w:val="Strong"/>
                <w:rFonts w:ascii="Times New Roman" w:hAnsi="Times New Roman" w:cs="Times New Roman"/>
              </w:rPr>
              <w:t>abductive or mixed-methods</w:t>
            </w:r>
            <w:r w:rsidRPr="00952C24">
              <w:rPr>
                <w:rStyle w:val="apple-converted-space"/>
                <w:rFonts w:ascii="Times New Roman" w:hAnsi="Times New Roman" w:cs="Times New Roman"/>
              </w:rPr>
              <w:t> </w:t>
            </w:r>
            <w:r w:rsidRPr="00952C24">
              <w:rPr>
                <w:rFonts w:ascii="Times New Roman" w:hAnsi="Times New Roman" w:cs="Times New Roman"/>
              </w:rPr>
              <w:t>reasoning</w:t>
            </w:r>
          </w:p>
        </w:tc>
      </w:tr>
      <w:tr w:rsidR="006A150D" w:rsidRPr="00952C24" w14:paraId="6AC60734" w14:textId="77777777">
        <w:trPr>
          <w:tblCellSpacing w:w="15" w:type="dxa"/>
        </w:trPr>
        <w:tc>
          <w:tcPr>
            <w:tcW w:w="0" w:type="auto"/>
            <w:vAlign w:val="center"/>
            <w:hideMark/>
          </w:tcPr>
          <w:p w14:paraId="1EA8828B" w14:textId="77777777" w:rsidR="006A150D" w:rsidRPr="00952C24" w:rsidRDefault="006A150D"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t>DBA Focus</w:t>
            </w:r>
          </w:p>
        </w:tc>
        <w:tc>
          <w:tcPr>
            <w:tcW w:w="0" w:type="auto"/>
            <w:vAlign w:val="center"/>
            <w:hideMark/>
          </w:tcPr>
          <w:p w14:paraId="41A4CFD5" w14:textId="77777777" w:rsidR="006A150D" w:rsidRPr="00952C24" w:rsidRDefault="006A150D" w:rsidP="00952C24">
            <w:pPr>
              <w:spacing w:before="100" w:beforeAutospacing="1" w:line="360" w:lineRule="auto"/>
              <w:jc w:val="both"/>
              <w:rPr>
                <w:rFonts w:ascii="Times New Roman" w:hAnsi="Times New Roman" w:cs="Times New Roman"/>
              </w:rPr>
            </w:pPr>
            <w:proofErr w:type="spellStart"/>
            <w:r w:rsidRPr="00952C24">
              <w:rPr>
                <w:rFonts w:ascii="Times New Roman" w:hAnsi="Times New Roman" w:cs="Times New Roman"/>
              </w:rPr>
              <w:t>Emphasises</w:t>
            </w:r>
            <w:proofErr w:type="spellEnd"/>
            <w:r w:rsidRPr="00952C24">
              <w:rPr>
                <w:rStyle w:val="apple-converted-space"/>
                <w:rFonts w:ascii="Times New Roman" w:hAnsi="Times New Roman" w:cs="Times New Roman"/>
              </w:rPr>
              <w:t> </w:t>
            </w:r>
            <w:r w:rsidRPr="00952C24">
              <w:rPr>
                <w:rStyle w:val="Strong"/>
                <w:rFonts w:ascii="Times New Roman" w:hAnsi="Times New Roman" w:cs="Times New Roman"/>
              </w:rPr>
              <w:t>managerial relevance, ethics, and institutional context</w:t>
            </w:r>
          </w:p>
        </w:tc>
      </w:tr>
    </w:tbl>
    <w:p w14:paraId="2611947D" w14:textId="043F2161" w:rsidR="00057A5A" w:rsidRPr="00952C24" w:rsidRDefault="00057A5A" w:rsidP="00952C24">
      <w:pPr>
        <w:spacing w:before="100" w:beforeAutospacing="1" w:line="360" w:lineRule="auto"/>
        <w:jc w:val="both"/>
        <w:rPr>
          <w:rFonts w:ascii="Times New Roman" w:hAnsi="Times New Roman" w:cs="Times New Roman"/>
        </w:rPr>
      </w:pPr>
    </w:p>
    <w:p w14:paraId="7812A012" w14:textId="09D3C3C0" w:rsidR="00057A5A" w:rsidRPr="008F7E6D" w:rsidRDefault="008F7E6D" w:rsidP="008F7E6D">
      <w:pPr>
        <w:pStyle w:val="Heading1"/>
        <w:pBdr>
          <w:top w:val="single" w:sz="4" w:space="1" w:color="auto"/>
          <w:left w:val="single" w:sz="4" w:space="1" w:color="auto"/>
          <w:bottom w:val="single" w:sz="4" w:space="1" w:color="auto"/>
          <w:right w:val="single" w:sz="4" w:space="1" w:color="auto"/>
          <w:between w:val="single" w:sz="4" w:space="1" w:color="auto"/>
          <w:bar w:val="single" w:sz="4" w:color="auto"/>
        </w:pBdr>
        <w:spacing w:before="100" w:beforeAutospacing="1" w:line="360" w:lineRule="auto"/>
        <w:jc w:val="both"/>
        <w:rPr>
          <w:rFonts w:ascii="Times New Roman" w:hAnsi="Times New Roman" w:cs="Times New Roman"/>
          <w:color w:val="000000"/>
          <w:sz w:val="22"/>
          <w:szCs w:val="22"/>
        </w:rPr>
      </w:pPr>
      <w:bookmarkStart w:id="0" w:name="OLE_LINK1"/>
      <w:r w:rsidRPr="00952C24">
        <w:rPr>
          <w:rFonts w:ascii="Times New Roman" w:hAnsi="Times New Roman" w:cs="Times New Roman"/>
          <w:color w:val="000000"/>
          <w:sz w:val="22"/>
          <w:szCs w:val="22"/>
        </w:rPr>
        <w:t>REVIEW MATRIX TABLE (SEE IN THE APPENDIX)</w:t>
      </w:r>
      <w:bookmarkEnd w:id="0"/>
    </w:p>
    <w:p w14:paraId="34E4E7E4" w14:textId="77777777" w:rsidR="00304B7B" w:rsidRPr="00952C24" w:rsidRDefault="00304B7B" w:rsidP="00952C24">
      <w:pPr>
        <w:pStyle w:val="Heading1"/>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 PHILOSOPHICAL AND METHODOLOGICAL ANALYSIS OF A SELECTED STUDY</w:t>
      </w:r>
    </w:p>
    <w:p w14:paraId="4CA0E241"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4.1 Introduction to the Section and Rationale for Study Selection</w:t>
      </w:r>
    </w:p>
    <w:p w14:paraId="4F7A9964" w14:textId="1D67A92E" w:rsidR="00DD2BB3" w:rsidRPr="00952C24" w:rsidRDefault="00DD2BB3" w:rsidP="00952C24">
      <w:pPr>
        <w:pStyle w:val="NormalWeb"/>
        <w:spacing w:line="360" w:lineRule="auto"/>
        <w:jc w:val="both"/>
        <w:rPr>
          <w:color w:val="000000"/>
          <w:sz w:val="22"/>
          <w:szCs w:val="22"/>
        </w:rPr>
      </w:pPr>
      <w:r w:rsidRPr="00952C24">
        <w:rPr>
          <w:color w:val="000000"/>
          <w:sz w:val="22"/>
          <w:szCs w:val="22"/>
        </w:rPr>
        <w:t>In order to satisfy the criterion to "provide a detailed discussion of one study focussing on research philosophy, ethics, reliability, and validity," this part offers a thorough philosophical and methodological critique of a chosen empirical study. Rahman, Chowdhury, and Haque's (2021) paper, which looks at the connection between Fintech adoption and bank performance in Bangladesh, was chosen for analysis. Because it is located within the same empirical setting as the current research and represents prevalent methodological trends in the Fintech–banking literature within emerging nations, this study is especially pertinent.</w:t>
      </w:r>
    </w:p>
    <w:p w14:paraId="2AAAA389" w14:textId="77777777" w:rsidR="00DD2BB3" w:rsidRPr="00952C24" w:rsidRDefault="00DD2BB3" w:rsidP="00952C24">
      <w:pPr>
        <w:pStyle w:val="Heading2"/>
        <w:spacing w:before="100" w:beforeAutospacing="1" w:line="360" w:lineRule="auto"/>
        <w:jc w:val="both"/>
        <w:rPr>
          <w:rFonts w:ascii="Times New Roman" w:eastAsia="Times New Roman" w:hAnsi="Times New Roman" w:cs="Times New Roman"/>
          <w:b w:val="0"/>
          <w:bCs w:val="0"/>
          <w:color w:val="000000"/>
          <w:sz w:val="22"/>
          <w:szCs w:val="22"/>
          <w:lang w:val="en-BD" w:eastAsia="en-GB" w:bidi="bn-IN"/>
        </w:rPr>
      </w:pPr>
      <w:r w:rsidRPr="00952C24">
        <w:rPr>
          <w:rFonts w:ascii="Times New Roman" w:eastAsia="Times New Roman" w:hAnsi="Times New Roman" w:cs="Times New Roman"/>
          <w:b w:val="0"/>
          <w:bCs w:val="0"/>
          <w:color w:val="000000"/>
          <w:sz w:val="22"/>
          <w:szCs w:val="22"/>
          <w:lang w:val="en-BD" w:eastAsia="en-GB" w:bidi="bn-IN"/>
        </w:rPr>
        <w:lastRenderedPageBreak/>
        <w:t>Saunders, Lewis, and Thornhill's (2019) Research Onion, which offers an organised framework for challenging philosophical presumptions, research methodologies, methodological decisions, and analytical tools, serves as the basis for the analysis. The section critically evaluates how philosophical orientation influences knowledge production, management relevance, and ethical responsibility in Fintech research using a reflexive DBA approach that goes beyond technical examination.</w:t>
      </w:r>
    </w:p>
    <w:p w14:paraId="74B3E8C7" w14:textId="203BA160"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4.2 Overview of the Selected Study</w:t>
      </w:r>
    </w:p>
    <w:p w14:paraId="34F60F55"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4.2.1 Citation and Context</w:t>
      </w:r>
    </w:p>
    <w:p w14:paraId="2966923F" w14:textId="77777777" w:rsidR="00DD2BB3" w:rsidRPr="00952C24" w:rsidRDefault="00DD2BB3" w:rsidP="00952C24">
      <w:pPr>
        <w:pStyle w:val="Heading2"/>
        <w:spacing w:before="100" w:beforeAutospacing="1" w:line="360" w:lineRule="auto"/>
        <w:jc w:val="both"/>
        <w:rPr>
          <w:rFonts w:ascii="Times New Roman" w:eastAsia="Times New Roman" w:hAnsi="Times New Roman" w:cs="Times New Roman"/>
          <w:b w:val="0"/>
          <w:bCs w:val="0"/>
          <w:color w:val="000000"/>
          <w:sz w:val="22"/>
          <w:szCs w:val="22"/>
          <w:lang w:val="en-BD" w:eastAsia="en-GB" w:bidi="bn-IN"/>
        </w:rPr>
      </w:pPr>
      <w:r w:rsidRPr="00952C24">
        <w:rPr>
          <w:rFonts w:ascii="Times New Roman" w:eastAsia="Times New Roman" w:hAnsi="Times New Roman" w:cs="Times New Roman"/>
          <w:b w:val="0"/>
          <w:bCs w:val="0"/>
          <w:color w:val="000000"/>
          <w:sz w:val="22"/>
          <w:szCs w:val="22"/>
          <w:lang w:val="en-BD" w:eastAsia="en-GB" w:bidi="bn-IN"/>
        </w:rPr>
        <w:t>The study is set against the backdrop of Bangladesh's banking industry's fast digitalisation, which is being fuelled by governmental support, pressure from mobile financial service providers, and rising consumer demand for digital services. Bangladesh's significant unbanked population, high mobile penetration, and developing Fintech sector make it an especially pertinent environment.</w:t>
      </w:r>
    </w:p>
    <w:p w14:paraId="11BBE92D" w14:textId="0F14BB6A"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Figure 4.1: The Research Onion – Relevance to This Study</w:t>
      </w:r>
    </w:p>
    <w:p w14:paraId="414280AE" w14:textId="7398CABA" w:rsidR="009F0A79" w:rsidRPr="008F7E6D" w:rsidRDefault="009F0A79" w:rsidP="008F7E6D">
      <w:pPr>
        <w:spacing w:before="100" w:beforeAutospacing="1" w:line="360" w:lineRule="auto"/>
        <w:jc w:val="both"/>
        <w:rPr>
          <w:rFonts w:ascii="Times New Roman" w:hAnsi="Times New Roman" w:cs="Times New Roman"/>
        </w:rPr>
      </w:pPr>
      <w:r w:rsidRPr="00952C24">
        <w:rPr>
          <w:rFonts w:ascii="Times New Roman" w:hAnsi="Times New Roman" w:cs="Times New Roman"/>
          <w:noProof/>
        </w:rPr>
        <w:drawing>
          <wp:inline distT="0" distB="0" distL="0" distR="0" wp14:anchorId="601B580E" wp14:editId="140E006F">
            <wp:extent cx="5445125" cy="3892550"/>
            <wp:effectExtent l="0" t="0" r="3175" b="6350"/>
            <wp:docPr id="4100" name="Picture 4" descr="M04NF001">
              <a:extLst xmlns:a="http://schemas.openxmlformats.org/drawingml/2006/main">
                <a:ext uri="{FF2B5EF4-FFF2-40B4-BE49-F238E27FC236}">
                  <a16:creationId xmlns:a16="http://schemas.microsoft.com/office/drawing/2014/main" id="{EBEDB395-1F29-FA49-8751-A959D2CCEC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M04NF001">
                      <a:extLst>
                        <a:ext uri="{FF2B5EF4-FFF2-40B4-BE49-F238E27FC236}">
                          <a16:creationId xmlns:a16="http://schemas.microsoft.com/office/drawing/2014/main" id="{EBEDB395-1F29-FA49-8751-A959D2CCECD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45125" cy="3892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952C24">
        <w:rPr>
          <w:rFonts w:ascii="Times New Roman" w:hAnsi="Times New Roman" w:cs="Times New Roman"/>
          <w:color w:val="000000"/>
          <w:lang w:val="en-GB"/>
        </w:rPr>
        <w:t xml:space="preserve">Saunders </w:t>
      </w:r>
      <w:r w:rsidRPr="00952C24">
        <w:rPr>
          <w:rFonts w:ascii="Times New Roman" w:hAnsi="Times New Roman" w:cs="Times New Roman"/>
          <w:i/>
          <w:iCs/>
          <w:color w:val="000000"/>
          <w:lang w:val="en-GB"/>
        </w:rPr>
        <w:t>et al</w:t>
      </w:r>
      <w:r w:rsidRPr="00952C24">
        <w:rPr>
          <w:rFonts w:ascii="Times New Roman" w:hAnsi="Times New Roman" w:cs="Times New Roman"/>
          <w:color w:val="000000"/>
          <w:lang w:val="en-GB"/>
        </w:rPr>
        <w:t>, (2008)</w:t>
      </w:r>
    </w:p>
    <w:p w14:paraId="32383996" w14:textId="77777777" w:rsidR="009F0A79" w:rsidRPr="00952C24" w:rsidRDefault="009F0A79" w:rsidP="00952C24">
      <w:pPr>
        <w:pStyle w:val="NormalWeb"/>
        <w:spacing w:line="360" w:lineRule="auto"/>
        <w:jc w:val="both"/>
        <w:rPr>
          <w:color w:val="000000"/>
          <w:sz w:val="22"/>
          <w:szCs w:val="22"/>
        </w:rPr>
      </w:pPr>
    </w:p>
    <w:p w14:paraId="1DEE42DA" w14:textId="77777777" w:rsidR="00DD2BB3" w:rsidRPr="00952C24" w:rsidRDefault="00DD2BB3"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The Research Onion structure, created by Saunders, Lewis, and Thornhill (2019), is commonly used in doctorate business research to show the logical evolution from philosophical presumptions to specific research techniques (Figure 4.1). The main idea of the Research Onion is that fundamental ontological, epistemological, and axiological stances influence research methodologies rather than being neutral technical decisions. This paradigm is especially pertinent to this project, which critically investigates how philosophy influences research methodology in Fintech studies in Bangladesh's banking industry.</w:t>
      </w:r>
    </w:p>
    <w:p w14:paraId="5382E376" w14:textId="54FA35C9"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Outer Layer: Research Philosophy</w:t>
      </w:r>
    </w:p>
    <w:p w14:paraId="65711657" w14:textId="77777777" w:rsidR="00DD2BB3" w:rsidRPr="00952C24" w:rsidRDefault="00DD2BB3" w:rsidP="00952C24">
      <w:pPr>
        <w:pStyle w:val="NormalWeb"/>
        <w:spacing w:line="360" w:lineRule="auto"/>
        <w:jc w:val="both"/>
        <w:rPr>
          <w:color w:val="000000"/>
          <w:sz w:val="22"/>
          <w:szCs w:val="22"/>
        </w:rPr>
      </w:pPr>
      <w:r w:rsidRPr="00952C24">
        <w:rPr>
          <w:color w:val="000000"/>
          <w:sz w:val="22"/>
          <w:szCs w:val="22"/>
        </w:rPr>
        <w:t>The Research Onion's outermost layer emphasises research philosophy, which includes presumptions regarding the nature of reality (ontology), the nature of knowledge (epistemology), and the function of values (axiology). Fintech research in Bangladesh is primarily based on positivist and post-positivist ideologies, as shown by the critical literature analysis and the chosen case study (Rahman et al., 2021). According to these ideologies, banking performance and Fintech acceptance are objective phenomena that can be quantified without regard to social context or human perception.</w:t>
      </w:r>
    </w:p>
    <w:p w14:paraId="537E415C" w14:textId="77777777" w:rsidR="00DD2BB3" w:rsidRPr="00952C24" w:rsidRDefault="00DD2BB3"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In the context of this assignment, this philosophical stance explains why the majority of studies place a higher priority on quantifiable results like efficiency, profitability, and adoption rates while paying less attention to institutional limitations, ethical issues, or user experiences. Thus, the Research Onion offers a conceptual lens for comprehending the lack of philosophical reflexivity in the literature currently in publication and the underutilisation of alternative paradigms, like pragmatism or critical realism, despite their applicability to intricate socio-technical phenomena like Fintech (Bhaskar, 1978; Morgan, 2007).</w:t>
      </w:r>
    </w:p>
    <w:p w14:paraId="4F3F3862" w14:textId="5E328752"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Second Layer: Research Approach</w:t>
      </w:r>
    </w:p>
    <w:p w14:paraId="4762E1F7" w14:textId="2557E137" w:rsidR="007A4413" w:rsidRPr="00952C24" w:rsidRDefault="00DD2BB3" w:rsidP="00952C24">
      <w:pPr>
        <w:pStyle w:val="NormalWeb"/>
        <w:spacing w:line="360" w:lineRule="auto"/>
        <w:jc w:val="both"/>
        <w:rPr>
          <w:color w:val="000000"/>
          <w:sz w:val="22"/>
          <w:szCs w:val="22"/>
        </w:rPr>
      </w:pPr>
      <w:r w:rsidRPr="00952C24">
        <w:rPr>
          <w:color w:val="000000"/>
          <w:sz w:val="22"/>
          <w:szCs w:val="22"/>
        </w:rPr>
        <w:t>The research methodology—specifically, deduction, induction, or abduction—is covered in the second layer of the Research Onion. The chosen study takes a deductive method, starting with accepted theories and developing hypotheses that are tested using empirical evidence, in line with the larger body of literature. This deductive reasoning supports the focus on hypothesis testing and generalisability and is strongly consistent with positivist epistemology</w:t>
      </w:r>
      <w:r w:rsidR="007A4413" w:rsidRPr="00952C24">
        <w:rPr>
          <w:color w:val="000000"/>
          <w:sz w:val="22"/>
          <w:szCs w:val="22"/>
        </w:rPr>
        <w:t>.</w:t>
      </w:r>
    </w:p>
    <w:p w14:paraId="3DF3F988" w14:textId="77777777" w:rsidR="00DD2BB3" w:rsidRPr="00952C24" w:rsidRDefault="00DD2BB3"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lastRenderedPageBreak/>
        <w:t>The Research Onion aids in illuminating how the breadth of inquiry is shaped by deductive reasoning for this task. Deductive research frequently validate preexisting theoretical presumptions by examining predetermined relationships, but they seldom produce novel conceptual discoveries. On the other hand, further investigation of how Fintech adoption occurs in practice within Bangladeshi banks, including unexpected effects and ethical tensions, could be made possible by inductive or abductive methodologies, which are more prevalent in interpretivist or critical realist research (Danermark et al., 2002).</w:t>
      </w:r>
    </w:p>
    <w:p w14:paraId="4F23E0D5" w14:textId="42E3F327"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Third Layer: Research Strategy</w:t>
      </w:r>
    </w:p>
    <w:p w14:paraId="2E751C3A" w14:textId="4A189F2B" w:rsidR="007A4413" w:rsidRPr="00952C24" w:rsidRDefault="00632907" w:rsidP="00952C24">
      <w:pPr>
        <w:pStyle w:val="NormalWeb"/>
        <w:spacing w:line="360" w:lineRule="auto"/>
        <w:jc w:val="both"/>
        <w:rPr>
          <w:color w:val="000000"/>
          <w:sz w:val="22"/>
          <w:szCs w:val="22"/>
        </w:rPr>
      </w:pPr>
      <w:r w:rsidRPr="00952C24">
        <w:rPr>
          <w:color w:val="000000"/>
          <w:sz w:val="22"/>
          <w:szCs w:val="22"/>
        </w:rPr>
        <w:t>The Research Onion determines the overall plan for data collecting and analysis at the strategy level. A survey-based research approach is used in the chosen study, indicating a preference for breadth over depth. This tactic aligns with the prevalent methodology seen in the studied Fintech literature, which prioritises statistical modelling and large samples to bolster assertions of external validity and representativeness.</w:t>
      </w:r>
    </w:p>
    <w:p w14:paraId="5DC8B688" w14:textId="598303B8" w:rsidR="007A4413" w:rsidRPr="00952C24" w:rsidRDefault="00632907" w:rsidP="00952C24">
      <w:pPr>
        <w:pStyle w:val="NormalWeb"/>
        <w:spacing w:line="360" w:lineRule="auto"/>
        <w:jc w:val="both"/>
        <w:rPr>
          <w:color w:val="000000"/>
          <w:sz w:val="22"/>
          <w:szCs w:val="22"/>
        </w:rPr>
      </w:pPr>
      <w:r w:rsidRPr="00952C24">
        <w:rPr>
          <w:color w:val="000000"/>
          <w:sz w:val="22"/>
          <w:szCs w:val="22"/>
        </w:rPr>
        <w:t>The Research Onion explains how this strategy decision restricts involvement with organisational procedures and managerial sensemaking from a DBA standpoint. Surveys are useful for finding trends, but they are not as good at capturing the dynamic, context-specific realities of Fintech adoption in Bangladeshi banks, like managers' ethical quandaries, regulatory ambiguity, or reluctance to change.</w:t>
      </w:r>
    </w:p>
    <w:p w14:paraId="49013DBC" w14:textId="77777777" w:rsidR="009E606C" w:rsidRPr="00952C24" w:rsidRDefault="009E606C"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Fourth Layer: Methodological Choice</w:t>
      </w:r>
    </w:p>
    <w:p w14:paraId="1321A22D" w14:textId="77777777" w:rsidR="00632907" w:rsidRPr="00952C24" w:rsidRDefault="00632907" w:rsidP="00952C24">
      <w:pPr>
        <w:pStyle w:val="NormalWeb"/>
        <w:spacing w:line="360" w:lineRule="auto"/>
        <w:jc w:val="both"/>
        <w:rPr>
          <w:color w:val="000000"/>
          <w:sz w:val="22"/>
          <w:szCs w:val="22"/>
        </w:rPr>
      </w:pPr>
      <w:r w:rsidRPr="00952C24">
        <w:rPr>
          <w:color w:val="000000"/>
          <w:sz w:val="22"/>
          <w:szCs w:val="22"/>
        </w:rPr>
        <w:t>The fourth layer deals with methodological selection, including mixed, qualitative, and quantitative approaches. The chosen study uses structured questionnaires and statistical methods like structural equation modelling (SEM) in its quantitative-only design. The underlying positivist premise that numerical data offers the most reliable type of evidence is reflected in this methodological decision.</w:t>
      </w:r>
    </w:p>
    <w:p w14:paraId="51EA2057" w14:textId="263B081E" w:rsidR="009E606C" w:rsidRPr="00952C24" w:rsidRDefault="00632907" w:rsidP="00952C24">
      <w:pPr>
        <w:pStyle w:val="NormalWeb"/>
        <w:spacing w:line="360" w:lineRule="auto"/>
        <w:jc w:val="both"/>
        <w:rPr>
          <w:color w:val="000000"/>
          <w:sz w:val="22"/>
          <w:szCs w:val="22"/>
        </w:rPr>
      </w:pPr>
      <w:r w:rsidRPr="00952C24">
        <w:rPr>
          <w:color w:val="000000"/>
          <w:sz w:val="22"/>
          <w:szCs w:val="22"/>
        </w:rPr>
        <w:t>This assignment uses the Research Onion to demonstrate how these methodological choices restrict the kind of questions that can be asked. Quantitative designs are very strong at identifying "what" correlations exist, but they are not as good at explaining "why" or "how" these interactions occur. Using mixed-methods methodologies, which are more consistent with pragmatic or critical realist mindsets, DBA researchers could improve practical applicability by combining performance metrics with qualitative insights from managers, regulators, and customers (Creswell and Plano Clark, 2018).</w:t>
      </w:r>
    </w:p>
    <w:p w14:paraId="1DE77EBA" w14:textId="77777777" w:rsidR="009E606C" w:rsidRPr="00952C24" w:rsidRDefault="009E606C"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lastRenderedPageBreak/>
        <w:t>Fifth Layer: Time Horizon</w:t>
      </w:r>
    </w:p>
    <w:p w14:paraId="5988C606" w14:textId="77777777" w:rsidR="00632907" w:rsidRPr="00952C24" w:rsidRDefault="00632907" w:rsidP="00952C24">
      <w:pPr>
        <w:pStyle w:val="NormalWeb"/>
        <w:spacing w:line="360" w:lineRule="auto"/>
        <w:jc w:val="both"/>
        <w:rPr>
          <w:color w:val="000000"/>
          <w:sz w:val="22"/>
          <w:szCs w:val="22"/>
        </w:rPr>
      </w:pPr>
      <w:r w:rsidRPr="00952C24">
        <w:rPr>
          <w:color w:val="000000"/>
          <w:sz w:val="22"/>
          <w:szCs w:val="22"/>
        </w:rPr>
        <w:t>Cross-sectional and longitudinal investigations are distinguished by the temporal horizon layer. The chosen study uses a cross-sectional design to record Fintech performance and uptake at one particular moment in time. This decision is typical in the literature and is consistent with the requirement for statistical analysis and efficiency.</w:t>
      </w:r>
    </w:p>
    <w:p w14:paraId="4A069C54" w14:textId="75FFFFED" w:rsidR="00632907" w:rsidRPr="00952C24" w:rsidRDefault="00632907" w:rsidP="00952C24">
      <w:pPr>
        <w:pStyle w:val="NormalWeb"/>
        <w:spacing w:line="360" w:lineRule="auto"/>
        <w:jc w:val="both"/>
        <w:rPr>
          <w:color w:val="000000"/>
          <w:sz w:val="22"/>
          <w:szCs w:val="22"/>
        </w:rPr>
      </w:pPr>
      <w:r w:rsidRPr="00952C24">
        <w:rPr>
          <w:color w:val="000000"/>
          <w:sz w:val="22"/>
          <w:szCs w:val="22"/>
        </w:rPr>
        <w:t xml:space="preserve">Nevertheless, the Research Onion draws attention to a significant restriction for this assignment: Adoption of fintech is a dynamic and ever-changing process that is impacted by </w:t>
      </w:r>
      <w:r w:rsidR="00006A1D">
        <w:rPr>
          <w:color w:val="000000"/>
          <w:sz w:val="22"/>
          <w:szCs w:val="22"/>
        </w:rPr>
        <w:t>organizational adaptation,</w:t>
      </w:r>
      <w:r w:rsidRPr="00952C24">
        <w:rPr>
          <w:color w:val="000000"/>
          <w:sz w:val="22"/>
          <w:szCs w:val="22"/>
        </w:rPr>
        <w:t xml:space="preserve"> technology advancement, and regulatory change. As a result, cross-sectional approaches have little capacity to capture long-term strategic influence or causality. Longitudinal or process-based designs would better represent managerial reality and enable stronger strategic insights, according to DBAs.</w:t>
      </w:r>
    </w:p>
    <w:p w14:paraId="78C75B5C" w14:textId="793D9193" w:rsidR="005B5B96" w:rsidRPr="00006A1D" w:rsidRDefault="005B5B96" w:rsidP="00952C24">
      <w:pPr>
        <w:pStyle w:val="NormalWeb"/>
        <w:spacing w:line="360" w:lineRule="auto"/>
        <w:jc w:val="both"/>
        <w:rPr>
          <w:b/>
          <w:bCs/>
          <w:color w:val="000000"/>
          <w:sz w:val="22"/>
          <w:szCs w:val="22"/>
        </w:rPr>
      </w:pPr>
      <w:r w:rsidRPr="00006A1D">
        <w:rPr>
          <w:b/>
          <w:bCs/>
          <w:color w:val="000000"/>
          <w:sz w:val="22"/>
          <w:szCs w:val="22"/>
        </w:rPr>
        <w:t>Innermost Layer: Techniques and Procedures</w:t>
      </w:r>
    </w:p>
    <w:p w14:paraId="202E8AA0" w14:textId="77777777" w:rsidR="00632907" w:rsidRPr="00952C24" w:rsidRDefault="00632907"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The Research Onion's innermost layer is devoted to methods and processes, such as data gathering, analysis, and sampling. Data for the chosen study is gathered using standardised questionnaires given to banking professionals, and SEM is used for analysis. These methods promote internal consistency and dependability, but they also come with hazards including insufficient contextual depth and self-report bias.</w:t>
      </w:r>
    </w:p>
    <w:p w14:paraId="0DE59AB0" w14:textId="77777777" w:rsidR="00632907" w:rsidRPr="00952C24" w:rsidRDefault="00632907"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This layer supports the claim that technical rigour by itself does not ensure high-quality research for this assignment. Technically advanced techniques may nonetheless yield biassed or insufficient knowledge in the absence of philosophical reflexivity and ethical reflection.</w:t>
      </w:r>
    </w:p>
    <w:p w14:paraId="2AF0BB81" w14:textId="0103E7F0" w:rsidR="009E606C" w:rsidRPr="00952C24" w:rsidRDefault="009E606C"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Overall Contribution of the Research Onion to This Assignment</w:t>
      </w:r>
    </w:p>
    <w:p w14:paraId="145217B3" w14:textId="77777777" w:rsidR="00632907" w:rsidRPr="00952C24" w:rsidRDefault="00632907" w:rsidP="00952C24">
      <w:pPr>
        <w:pStyle w:val="NormalWeb"/>
        <w:spacing w:line="360" w:lineRule="auto"/>
        <w:jc w:val="both"/>
        <w:rPr>
          <w:color w:val="000000"/>
          <w:sz w:val="22"/>
          <w:szCs w:val="22"/>
        </w:rPr>
      </w:pPr>
      <w:r w:rsidRPr="00952C24">
        <w:rPr>
          <w:color w:val="000000"/>
          <w:sz w:val="22"/>
          <w:szCs w:val="22"/>
        </w:rPr>
        <w:t>In conclusion, by highlighting the relationships between philosophy, technique, and knowledge generation, the Research Onion offers a potent integrative framework for this assignment. It illustrates how positivism's hegemony in Fintech-banking research has methodically influenced research methodologies, giving precedence to prediction and generalisability over contextual awareness, moral participation, and managerial insight.</w:t>
      </w:r>
    </w:p>
    <w:p w14:paraId="02F149DF" w14:textId="6EDD82C5" w:rsidR="00304B7B" w:rsidRPr="00006A1D" w:rsidRDefault="00632907" w:rsidP="00006A1D">
      <w:pPr>
        <w:pStyle w:val="NormalWeb"/>
        <w:spacing w:line="360" w:lineRule="auto"/>
        <w:jc w:val="both"/>
        <w:rPr>
          <w:color w:val="000000"/>
          <w:sz w:val="22"/>
          <w:szCs w:val="22"/>
        </w:rPr>
      </w:pPr>
      <w:r w:rsidRPr="00952C24">
        <w:rPr>
          <w:color w:val="000000"/>
          <w:sz w:val="22"/>
          <w:szCs w:val="22"/>
        </w:rPr>
        <w:t xml:space="preserve">This assignment advances DBA-level understanding by demonstrating how different philosophical decisions—such as pragmatism or critical realism—would result in different research designs, </w:t>
      </w:r>
      <w:r w:rsidRPr="00952C24">
        <w:rPr>
          <w:color w:val="000000"/>
          <w:sz w:val="22"/>
          <w:szCs w:val="22"/>
        </w:rPr>
        <w:lastRenderedPageBreak/>
        <w:t>different types of evidence, and ultimately different managerial implications through the application of the Research Onion to the chosen study. This realisation supports the coursework's main claim, which is that conducting thorough, ethical, and practically applicable research on Fintech in Bangladesh requires philosophical understanding.</w:t>
      </w:r>
    </w:p>
    <w:p w14:paraId="7DABAF66"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4.2.2 Research Purpose and Problem</w:t>
      </w:r>
    </w:p>
    <w:p w14:paraId="015F6999" w14:textId="399286BD" w:rsidR="00C62A69" w:rsidRPr="00952C24" w:rsidRDefault="005A3CFB" w:rsidP="00952C24">
      <w:pPr>
        <w:pStyle w:val="NormalWeb"/>
        <w:spacing w:line="360" w:lineRule="auto"/>
        <w:jc w:val="both"/>
        <w:rPr>
          <w:color w:val="000000"/>
          <w:sz w:val="22"/>
          <w:szCs w:val="22"/>
        </w:rPr>
      </w:pPr>
      <w:r w:rsidRPr="00952C24">
        <w:rPr>
          <w:color w:val="000000"/>
          <w:sz w:val="22"/>
          <w:szCs w:val="22"/>
        </w:rPr>
        <w:t>The chosen study's main goal is to investigate the connection between bank performance and Fintech adoption experimentally. Fintech is positioned as a technical input and bank performance—as determined by efficiency, profitability, and service quality indicators—as a collection of objectively measurable outputs in the instrumentally framed research problem</w:t>
      </w:r>
      <w:r w:rsidR="00C62A69" w:rsidRPr="00952C24">
        <w:rPr>
          <w:color w:val="000000"/>
          <w:sz w:val="22"/>
          <w:szCs w:val="22"/>
        </w:rPr>
        <w:t>.</w:t>
      </w:r>
    </w:p>
    <w:p w14:paraId="47D4B297" w14:textId="77777777" w:rsidR="005A3CFB" w:rsidRPr="00952C24" w:rsidRDefault="005A3CFB" w:rsidP="00952C24">
      <w:pPr>
        <w:pStyle w:val="NormalWeb"/>
        <w:spacing w:line="360" w:lineRule="auto"/>
        <w:jc w:val="both"/>
        <w:rPr>
          <w:color w:val="000000"/>
          <w:sz w:val="22"/>
          <w:szCs w:val="22"/>
        </w:rPr>
      </w:pPr>
      <w:r w:rsidRPr="00952C24">
        <w:rPr>
          <w:color w:val="000000"/>
          <w:sz w:val="22"/>
          <w:szCs w:val="22"/>
        </w:rPr>
        <w:t>This problem formulation emphasises performance optimisation and quantifiable results, reflecting a managerialist and positivist mindset. This kind of framework is consistent with the prevailing streams of financial and management research, which evaluate organisational effectiveness using measurable criteria. However, from a DBA standpoint, this limited conceptualisation restricts the range of research by ignoring more significant institutional, moral, and social aspects of Fintech adoption.</w:t>
      </w:r>
    </w:p>
    <w:p w14:paraId="35E19AEC" w14:textId="77777777" w:rsidR="005A3CFB" w:rsidRPr="00952C24" w:rsidRDefault="005A3CFB" w:rsidP="00952C24">
      <w:pPr>
        <w:pStyle w:val="Heading3"/>
        <w:spacing w:before="100" w:beforeAutospacing="1" w:line="360" w:lineRule="auto"/>
        <w:jc w:val="both"/>
        <w:rPr>
          <w:rFonts w:ascii="Times New Roman" w:eastAsia="Times New Roman" w:hAnsi="Times New Roman" w:cs="Times New Roman"/>
          <w:b w:val="0"/>
          <w:bCs w:val="0"/>
          <w:color w:val="auto"/>
          <w:lang w:val="en-BD" w:eastAsia="en-GB" w:bidi="bn-IN"/>
        </w:rPr>
      </w:pPr>
      <w:r w:rsidRPr="00952C24">
        <w:rPr>
          <w:rFonts w:ascii="Times New Roman" w:eastAsia="Times New Roman" w:hAnsi="Times New Roman" w:cs="Times New Roman"/>
          <w:b w:val="0"/>
          <w:bCs w:val="0"/>
          <w:color w:val="auto"/>
          <w:lang w:val="en-BD" w:eastAsia="en-GB" w:bidi="bn-IN"/>
        </w:rPr>
        <w:t>The study ignores how organisational culture, managerial sense-making, regulatory pressures, and stakeholder values influence Fintech implementation in practice by placing a higher priority on performance outcomes. As a result, although the study produces broadly applicable insights into performance effects, it offers little direction for responsible leadership and context-sensitive decision-making—two major issues in professional research at the PhD level.</w:t>
      </w:r>
    </w:p>
    <w:p w14:paraId="4F84CFD9" w14:textId="6242C08C"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4.2.3 Research Design</w:t>
      </w:r>
    </w:p>
    <w:p w14:paraId="06B871AB" w14:textId="77777777" w:rsidR="00524C8B" w:rsidRPr="00952C24" w:rsidRDefault="00524C8B" w:rsidP="00952C24">
      <w:pPr>
        <w:pStyle w:val="NormalWeb"/>
        <w:spacing w:line="360" w:lineRule="auto"/>
        <w:jc w:val="both"/>
        <w:rPr>
          <w:color w:val="000000"/>
          <w:sz w:val="22"/>
          <w:szCs w:val="22"/>
        </w:rPr>
      </w:pPr>
      <w:r w:rsidRPr="00952C24">
        <w:rPr>
          <w:color w:val="000000"/>
          <w:sz w:val="22"/>
          <w:szCs w:val="22"/>
        </w:rPr>
        <w:t>Banking professionals are given structured questionnaires as part of the study's quantitative, cross-sectional survey design. Structural equation modelling (SEM) is used to analyse data in order to test hypothesised connections between Fintech adoption and performance metrics.</w:t>
      </w:r>
    </w:p>
    <w:p w14:paraId="24A67A09" w14:textId="36481773" w:rsidR="00304B7B" w:rsidRPr="00952C24" w:rsidRDefault="00304B7B" w:rsidP="00952C24">
      <w:pPr>
        <w:pStyle w:val="NormalWeb"/>
        <w:spacing w:line="360" w:lineRule="auto"/>
        <w:jc w:val="both"/>
        <w:rPr>
          <w:color w:val="000000"/>
          <w:sz w:val="22"/>
          <w:szCs w:val="22"/>
        </w:rPr>
      </w:pPr>
      <w:r w:rsidRPr="00952C24">
        <w:rPr>
          <w:color w:val="000000"/>
          <w:sz w:val="22"/>
          <w:szCs w:val="22"/>
        </w:rPr>
        <w:t>Mapped onto the Research Onion, the design reflects:</w:t>
      </w:r>
    </w:p>
    <w:p w14:paraId="21A47B85" w14:textId="77777777" w:rsidR="00304B7B" w:rsidRPr="00952C24" w:rsidRDefault="00304B7B" w:rsidP="00952C24">
      <w:pPr>
        <w:pStyle w:val="NormalWeb"/>
        <w:numPr>
          <w:ilvl w:val="0"/>
          <w:numId w:val="10"/>
        </w:numPr>
        <w:spacing w:line="360" w:lineRule="auto"/>
        <w:jc w:val="both"/>
        <w:rPr>
          <w:color w:val="000000"/>
          <w:sz w:val="22"/>
          <w:szCs w:val="22"/>
        </w:rPr>
      </w:pPr>
      <w:r w:rsidRPr="00952C24">
        <w:rPr>
          <w:rStyle w:val="Strong"/>
          <w:color w:val="000000"/>
          <w:sz w:val="22"/>
          <w:szCs w:val="22"/>
        </w:rPr>
        <w:t>Philosophy</w:t>
      </w:r>
      <w:r w:rsidRPr="00952C24">
        <w:rPr>
          <w:color w:val="000000"/>
          <w:sz w:val="22"/>
          <w:szCs w:val="22"/>
        </w:rPr>
        <w:t>: Positivism / Post-positivism</w:t>
      </w:r>
    </w:p>
    <w:p w14:paraId="3E236566" w14:textId="77777777" w:rsidR="00304B7B" w:rsidRPr="00952C24" w:rsidRDefault="00304B7B" w:rsidP="00952C24">
      <w:pPr>
        <w:pStyle w:val="NormalWeb"/>
        <w:numPr>
          <w:ilvl w:val="0"/>
          <w:numId w:val="10"/>
        </w:numPr>
        <w:spacing w:line="360" w:lineRule="auto"/>
        <w:jc w:val="both"/>
        <w:rPr>
          <w:color w:val="000000"/>
          <w:sz w:val="22"/>
          <w:szCs w:val="22"/>
        </w:rPr>
      </w:pPr>
      <w:r w:rsidRPr="00952C24">
        <w:rPr>
          <w:rStyle w:val="Strong"/>
          <w:color w:val="000000"/>
          <w:sz w:val="22"/>
          <w:szCs w:val="22"/>
        </w:rPr>
        <w:t>Approach</w:t>
      </w:r>
      <w:r w:rsidRPr="00952C24">
        <w:rPr>
          <w:color w:val="000000"/>
          <w:sz w:val="22"/>
          <w:szCs w:val="22"/>
        </w:rPr>
        <w:t>: Deductive</w:t>
      </w:r>
    </w:p>
    <w:p w14:paraId="6EF5C9DA" w14:textId="77777777" w:rsidR="00304B7B" w:rsidRPr="00952C24" w:rsidRDefault="00304B7B" w:rsidP="00952C24">
      <w:pPr>
        <w:pStyle w:val="NormalWeb"/>
        <w:numPr>
          <w:ilvl w:val="0"/>
          <w:numId w:val="10"/>
        </w:numPr>
        <w:spacing w:line="360" w:lineRule="auto"/>
        <w:jc w:val="both"/>
        <w:rPr>
          <w:color w:val="000000"/>
          <w:sz w:val="22"/>
          <w:szCs w:val="22"/>
        </w:rPr>
      </w:pPr>
      <w:r w:rsidRPr="00952C24">
        <w:rPr>
          <w:rStyle w:val="Strong"/>
          <w:color w:val="000000"/>
          <w:sz w:val="22"/>
          <w:szCs w:val="22"/>
        </w:rPr>
        <w:t>Methodological choice</w:t>
      </w:r>
      <w:r w:rsidRPr="00952C24">
        <w:rPr>
          <w:color w:val="000000"/>
          <w:sz w:val="22"/>
          <w:szCs w:val="22"/>
        </w:rPr>
        <w:t>: Mono-method quantitative</w:t>
      </w:r>
    </w:p>
    <w:p w14:paraId="664D9B31" w14:textId="77777777" w:rsidR="00304B7B" w:rsidRPr="00952C24" w:rsidRDefault="00304B7B" w:rsidP="00952C24">
      <w:pPr>
        <w:pStyle w:val="NormalWeb"/>
        <w:numPr>
          <w:ilvl w:val="0"/>
          <w:numId w:val="10"/>
        </w:numPr>
        <w:spacing w:line="360" w:lineRule="auto"/>
        <w:jc w:val="both"/>
        <w:rPr>
          <w:color w:val="000000"/>
          <w:sz w:val="22"/>
          <w:szCs w:val="22"/>
        </w:rPr>
      </w:pPr>
      <w:r w:rsidRPr="00952C24">
        <w:rPr>
          <w:rStyle w:val="Strong"/>
          <w:color w:val="000000"/>
          <w:sz w:val="22"/>
          <w:szCs w:val="22"/>
        </w:rPr>
        <w:lastRenderedPageBreak/>
        <w:t>Strategy</w:t>
      </w:r>
      <w:r w:rsidRPr="00952C24">
        <w:rPr>
          <w:color w:val="000000"/>
          <w:sz w:val="22"/>
          <w:szCs w:val="22"/>
        </w:rPr>
        <w:t>: Survey</w:t>
      </w:r>
    </w:p>
    <w:p w14:paraId="4A478F53" w14:textId="77777777" w:rsidR="00304B7B" w:rsidRPr="00952C24" w:rsidRDefault="00304B7B" w:rsidP="00952C24">
      <w:pPr>
        <w:pStyle w:val="NormalWeb"/>
        <w:numPr>
          <w:ilvl w:val="0"/>
          <w:numId w:val="10"/>
        </w:numPr>
        <w:spacing w:line="360" w:lineRule="auto"/>
        <w:jc w:val="both"/>
        <w:rPr>
          <w:color w:val="000000"/>
          <w:sz w:val="22"/>
          <w:szCs w:val="22"/>
        </w:rPr>
      </w:pPr>
      <w:r w:rsidRPr="00952C24">
        <w:rPr>
          <w:rStyle w:val="Strong"/>
          <w:color w:val="000000"/>
          <w:sz w:val="22"/>
          <w:szCs w:val="22"/>
        </w:rPr>
        <w:t>Time horizon</w:t>
      </w:r>
      <w:r w:rsidRPr="00952C24">
        <w:rPr>
          <w:color w:val="000000"/>
          <w:sz w:val="22"/>
          <w:szCs w:val="22"/>
        </w:rPr>
        <w:t>: Cross-sectional</w:t>
      </w:r>
    </w:p>
    <w:p w14:paraId="36524BE7" w14:textId="77777777" w:rsidR="00304B7B" w:rsidRPr="00952C24" w:rsidRDefault="00304B7B" w:rsidP="00952C24">
      <w:pPr>
        <w:pStyle w:val="NormalWeb"/>
        <w:numPr>
          <w:ilvl w:val="0"/>
          <w:numId w:val="10"/>
        </w:numPr>
        <w:spacing w:line="360" w:lineRule="auto"/>
        <w:jc w:val="both"/>
        <w:rPr>
          <w:color w:val="000000"/>
          <w:sz w:val="22"/>
          <w:szCs w:val="22"/>
        </w:rPr>
      </w:pPr>
      <w:r w:rsidRPr="00952C24">
        <w:rPr>
          <w:rStyle w:val="Strong"/>
          <w:color w:val="000000"/>
          <w:sz w:val="22"/>
          <w:szCs w:val="22"/>
        </w:rPr>
        <w:t>Techniques</w:t>
      </w:r>
      <w:r w:rsidRPr="00952C24">
        <w:rPr>
          <w:color w:val="000000"/>
          <w:sz w:val="22"/>
          <w:szCs w:val="22"/>
        </w:rPr>
        <w:t>: SEM and statistical hypothesis testing</w:t>
      </w:r>
    </w:p>
    <w:p w14:paraId="63AC468B" w14:textId="57C32BF5" w:rsidR="00304B7B" w:rsidRPr="00952C24" w:rsidRDefault="00524C8B"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This arrangement shows implicit philosophical commitments that need to be critically examined, even though it is methodologically sound.</w:t>
      </w:r>
    </w:p>
    <w:p w14:paraId="631B34E9"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4.3 Ontological Assumptions: Nature of Reality</w:t>
      </w:r>
    </w:p>
    <w:p w14:paraId="0F4CB766" w14:textId="77777777" w:rsidR="00524C8B" w:rsidRPr="00952C24" w:rsidRDefault="00524C8B" w:rsidP="00952C24">
      <w:pPr>
        <w:pStyle w:val="NormalWeb"/>
        <w:spacing w:line="360" w:lineRule="auto"/>
        <w:ind w:left="720"/>
        <w:jc w:val="both"/>
        <w:rPr>
          <w:color w:val="000000"/>
          <w:sz w:val="22"/>
          <w:szCs w:val="22"/>
        </w:rPr>
      </w:pPr>
      <w:r w:rsidRPr="00952C24">
        <w:rPr>
          <w:color w:val="000000"/>
          <w:sz w:val="22"/>
          <w:szCs w:val="22"/>
        </w:rPr>
        <w:t>Assumptions regarding the nature of reality are the focus of ontology (Crotty, 1998). An objectivist ontology is implicitly adopted by Rahman et al. (2021), presuming that:</w:t>
      </w:r>
    </w:p>
    <w:p w14:paraId="517FD214" w14:textId="77777777" w:rsidR="00524C8B" w:rsidRPr="00952C24" w:rsidRDefault="00524C8B" w:rsidP="00952C24">
      <w:pPr>
        <w:pStyle w:val="NormalWeb"/>
        <w:numPr>
          <w:ilvl w:val="0"/>
          <w:numId w:val="11"/>
        </w:numPr>
        <w:spacing w:line="360" w:lineRule="auto"/>
        <w:jc w:val="both"/>
        <w:rPr>
          <w:color w:val="000000"/>
          <w:sz w:val="22"/>
          <w:szCs w:val="22"/>
        </w:rPr>
      </w:pPr>
      <w:r w:rsidRPr="00952C24">
        <w:rPr>
          <w:color w:val="000000"/>
          <w:sz w:val="22"/>
          <w:szCs w:val="22"/>
        </w:rPr>
        <w:t>The adoption of fintech is an objective organisational phenomenon.</w:t>
      </w:r>
    </w:p>
    <w:p w14:paraId="1A530692" w14:textId="77777777" w:rsidR="00524C8B" w:rsidRPr="00952C24" w:rsidRDefault="00524C8B" w:rsidP="00952C24">
      <w:pPr>
        <w:pStyle w:val="NormalWeb"/>
        <w:numPr>
          <w:ilvl w:val="0"/>
          <w:numId w:val="11"/>
        </w:numPr>
        <w:spacing w:line="360" w:lineRule="auto"/>
        <w:jc w:val="both"/>
        <w:rPr>
          <w:color w:val="000000"/>
          <w:sz w:val="22"/>
          <w:szCs w:val="22"/>
        </w:rPr>
      </w:pPr>
      <w:r w:rsidRPr="00952C24">
        <w:rPr>
          <w:color w:val="000000"/>
          <w:sz w:val="22"/>
          <w:szCs w:val="22"/>
        </w:rPr>
        <w:t>The social context has no bearing on how well a bank performs.</w:t>
      </w:r>
    </w:p>
    <w:p w14:paraId="51690EAF" w14:textId="77777777" w:rsidR="00524C8B" w:rsidRPr="00952C24" w:rsidRDefault="00524C8B" w:rsidP="00952C24">
      <w:pPr>
        <w:pStyle w:val="NormalWeb"/>
        <w:numPr>
          <w:ilvl w:val="0"/>
          <w:numId w:val="11"/>
        </w:numPr>
        <w:spacing w:line="360" w:lineRule="auto"/>
        <w:jc w:val="both"/>
        <w:rPr>
          <w:color w:val="000000"/>
          <w:sz w:val="22"/>
          <w:szCs w:val="22"/>
        </w:rPr>
      </w:pPr>
      <w:r w:rsidRPr="00952C24">
        <w:rPr>
          <w:color w:val="000000"/>
          <w:sz w:val="22"/>
          <w:szCs w:val="22"/>
        </w:rPr>
        <w:t>Causal relationships between variables are stable and discoverable</w:t>
      </w:r>
    </w:p>
    <w:p w14:paraId="169B39C9" w14:textId="77777777" w:rsidR="00524C8B" w:rsidRPr="00952C24" w:rsidRDefault="00524C8B" w:rsidP="00952C24">
      <w:pPr>
        <w:pStyle w:val="NormalWeb"/>
        <w:spacing w:line="360" w:lineRule="auto"/>
        <w:jc w:val="both"/>
        <w:rPr>
          <w:color w:val="000000"/>
          <w:sz w:val="22"/>
          <w:szCs w:val="22"/>
        </w:rPr>
      </w:pPr>
      <w:r w:rsidRPr="00952C24">
        <w:rPr>
          <w:color w:val="000000"/>
          <w:sz w:val="22"/>
          <w:szCs w:val="22"/>
        </w:rPr>
        <w:t>This ontological stance is consistent with post-positivism, which holds that there is only one reality that can be roughly, though imperfectly, determined by empirical observation (Phillips and Burbules, 2000).</w:t>
      </w:r>
    </w:p>
    <w:p w14:paraId="27C1F041" w14:textId="77777777" w:rsidR="00524C8B" w:rsidRPr="00952C24" w:rsidRDefault="00524C8B" w:rsidP="00952C24">
      <w:pPr>
        <w:pStyle w:val="NormalWeb"/>
        <w:spacing w:line="360" w:lineRule="auto"/>
        <w:jc w:val="both"/>
        <w:rPr>
          <w:color w:val="000000"/>
          <w:sz w:val="22"/>
          <w:szCs w:val="22"/>
        </w:rPr>
      </w:pPr>
      <w:r w:rsidRPr="00952C24">
        <w:rPr>
          <w:color w:val="000000"/>
          <w:sz w:val="22"/>
          <w:szCs w:val="22"/>
        </w:rPr>
        <w:t>However, the socially constructed aspect of Fintech implementation is marginalised by such an ontology. In reality, organisational culture, power dynamics, legislative restrictions, and managerial interpretation all influence Fintech adoption. From a DBA standpoint, considering these events as objective and context-free runs the danger of generating information that is not applicable in real-world situations.</w:t>
      </w:r>
    </w:p>
    <w:p w14:paraId="14A87DD8" w14:textId="757A4A71" w:rsidR="00304B7B" w:rsidRPr="00952C24" w:rsidRDefault="00524C8B"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Fintech systems exist literally, but their impacts are mediated by institutional and human dynamics, according to a critical realism ontology (Bhaskar, 1978). One of the main limitations of the chosen research is its inability to interact with this multilayered world.</w:t>
      </w:r>
    </w:p>
    <w:p w14:paraId="1EF078C6"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4.4 Epistemological Position: Nature of Knowledge</w:t>
      </w:r>
    </w:p>
    <w:p w14:paraId="2950B574" w14:textId="77777777" w:rsidR="00524C8B" w:rsidRPr="00952C24" w:rsidRDefault="00524C8B" w:rsidP="00952C24">
      <w:pPr>
        <w:pStyle w:val="NormalWeb"/>
        <w:spacing w:line="360" w:lineRule="auto"/>
        <w:ind w:left="720"/>
        <w:jc w:val="both"/>
        <w:rPr>
          <w:color w:val="000000"/>
          <w:sz w:val="22"/>
          <w:szCs w:val="22"/>
        </w:rPr>
      </w:pPr>
      <w:r w:rsidRPr="00952C24">
        <w:rPr>
          <w:color w:val="000000"/>
          <w:sz w:val="22"/>
          <w:szCs w:val="22"/>
        </w:rPr>
        <w:t>The creation and validation of knowledge is the subject of epistemology. It is evident that Rahman et al. (2021) favour a positivist epistemology in which knowledge is:</w:t>
      </w:r>
    </w:p>
    <w:p w14:paraId="19D2C0BD" w14:textId="77777777" w:rsidR="00524C8B" w:rsidRPr="00952C24" w:rsidRDefault="00524C8B" w:rsidP="00952C24">
      <w:pPr>
        <w:pStyle w:val="NormalWeb"/>
        <w:numPr>
          <w:ilvl w:val="0"/>
          <w:numId w:val="12"/>
        </w:numPr>
        <w:spacing w:line="360" w:lineRule="auto"/>
        <w:jc w:val="both"/>
        <w:rPr>
          <w:color w:val="000000"/>
          <w:sz w:val="22"/>
          <w:szCs w:val="22"/>
        </w:rPr>
      </w:pPr>
      <w:r w:rsidRPr="00952C24">
        <w:rPr>
          <w:color w:val="000000"/>
          <w:sz w:val="22"/>
          <w:szCs w:val="22"/>
        </w:rPr>
        <w:t>Based on observable data</w:t>
      </w:r>
    </w:p>
    <w:p w14:paraId="6ED39BE9" w14:textId="77777777" w:rsidR="00524C8B" w:rsidRPr="00952C24" w:rsidRDefault="00524C8B" w:rsidP="00952C24">
      <w:pPr>
        <w:pStyle w:val="NormalWeb"/>
        <w:numPr>
          <w:ilvl w:val="0"/>
          <w:numId w:val="12"/>
        </w:numPr>
        <w:spacing w:line="360" w:lineRule="auto"/>
        <w:jc w:val="both"/>
        <w:rPr>
          <w:color w:val="000000"/>
          <w:sz w:val="22"/>
          <w:szCs w:val="22"/>
        </w:rPr>
      </w:pPr>
      <w:r w:rsidRPr="00952C24">
        <w:rPr>
          <w:color w:val="000000"/>
          <w:sz w:val="22"/>
          <w:szCs w:val="22"/>
        </w:rPr>
        <w:t>Verified by statistical significance</w:t>
      </w:r>
    </w:p>
    <w:p w14:paraId="46CC51D6" w14:textId="77777777" w:rsidR="00524C8B" w:rsidRPr="00952C24" w:rsidRDefault="00524C8B" w:rsidP="00952C24">
      <w:pPr>
        <w:pStyle w:val="NormalWeb"/>
        <w:spacing w:line="360" w:lineRule="auto"/>
        <w:jc w:val="both"/>
        <w:rPr>
          <w:color w:val="000000"/>
          <w:sz w:val="22"/>
          <w:szCs w:val="22"/>
        </w:rPr>
      </w:pPr>
      <w:r w:rsidRPr="00952C24">
        <w:rPr>
          <w:color w:val="000000"/>
          <w:sz w:val="22"/>
          <w:szCs w:val="22"/>
        </w:rPr>
        <w:lastRenderedPageBreak/>
        <w:t>Flexible in a variety of circumstancesThe development of hypotheses, the choice of survey instruments, and the interpretation of findings are all influenced by this epistemological position. Knowledge claims are portrayed as impartial, objective, and devoid of values.</w:t>
      </w:r>
    </w:p>
    <w:p w14:paraId="6455D2B7" w14:textId="77777777" w:rsidR="00524C8B" w:rsidRPr="00952C24" w:rsidRDefault="00524C8B" w:rsidP="00952C24">
      <w:pPr>
        <w:pStyle w:val="NormalWeb"/>
        <w:spacing w:line="360" w:lineRule="auto"/>
        <w:jc w:val="both"/>
        <w:rPr>
          <w:color w:val="000000"/>
          <w:sz w:val="22"/>
          <w:szCs w:val="22"/>
        </w:rPr>
      </w:pPr>
      <w:r w:rsidRPr="00952C24">
        <w:rPr>
          <w:color w:val="000000"/>
          <w:sz w:val="22"/>
          <w:szCs w:val="22"/>
        </w:rPr>
        <w:t>Although positivism provides methodological rigour and clarity, it limits understanding of meaning, process, and context. For instance, the report notes that Fintech adoption increases productivity, but it doesn't explain how managers perceive this process or why results differ between institutions.</w:t>
      </w:r>
    </w:p>
    <w:p w14:paraId="585B6C8B" w14:textId="77777777" w:rsidR="00524C8B" w:rsidRPr="00952C24" w:rsidRDefault="00524C8B" w:rsidP="00952C24">
      <w:pPr>
        <w:pStyle w:val="Heading2"/>
        <w:spacing w:before="100" w:beforeAutospacing="1" w:line="360" w:lineRule="auto"/>
        <w:jc w:val="both"/>
        <w:rPr>
          <w:rFonts w:ascii="Times New Roman" w:eastAsia="Times New Roman" w:hAnsi="Times New Roman" w:cs="Times New Roman"/>
          <w:b w:val="0"/>
          <w:bCs w:val="0"/>
          <w:color w:val="000000"/>
          <w:sz w:val="22"/>
          <w:szCs w:val="22"/>
          <w:lang w:val="en-BD" w:eastAsia="en-GB" w:bidi="bn-IN"/>
        </w:rPr>
      </w:pPr>
      <w:r w:rsidRPr="00952C24">
        <w:rPr>
          <w:rFonts w:ascii="Times New Roman" w:eastAsia="Times New Roman" w:hAnsi="Times New Roman" w:cs="Times New Roman"/>
          <w:b w:val="0"/>
          <w:bCs w:val="0"/>
          <w:color w:val="000000"/>
          <w:sz w:val="22"/>
          <w:szCs w:val="22"/>
          <w:lang w:val="en-BD" w:eastAsia="en-GB" w:bidi="bn-IN"/>
        </w:rPr>
        <w:t>While a pragmatist epistemology (Dewey, 1938) would have given priority to practical knowledge for practitioners regardless of methodological purity, an interpretivist epistemology (Schutz, 1967) might have investigated subjective meanings and lived experiences.</w:t>
      </w:r>
    </w:p>
    <w:p w14:paraId="3BF0C5BF" w14:textId="214B146D"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4.5 Research Philosophy and Paradigmatic Positioning</w:t>
      </w:r>
    </w:p>
    <w:p w14:paraId="1EDF04D5"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4.5.1 Positivism and Post-Positivism</w:t>
      </w:r>
    </w:p>
    <w:p w14:paraId="31D44901" w14:textId="77777777" w:rsidR="00B742CF" w:rsidRPr="00952C24" w:rsidRDefault="00B742CF" w:rsidP="00952C24">
      <w:pPr>
        <w:pStyle w:val="NormalWeb"/>
        <w:spacing w:line="360" w:lineRule="auto"/>
        <w:jc w:val="both"/>
        <w:rPr>
          <w:color w:val="000000"/>
          <w:sz w:val="22"/>
          <w:szCs w:val="22"/>
        </w:rPr>
      </w:pPr>
      <w:r w:rsidRPr="00952C24">
        <w:rPr>
          <w:color w:val="000000"/>
          <w:sz w:val="22"/>
          <w:szCs w:val="22"/>
        </w:rPr>
        <w:t>The work is consistent with a post-positivist paradigm that emphasises empirical measurement, probabilistic causality, and hypothesis testing (Guba and Lincoln, 1994). Post-positivism emphasises objectivity and detachment even while it acknowledges measurement error.</w:t>
      </w:r>
    </w:p>
    <w:p w14:paraId="68DD3035" w14:textId="6F86B53A" w:rsidR="00304B7B" w:rsidRPr="00952C24" w:rsidRDefault="00A34D24"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Because it is consistent with economic theory and quantitative performance indicators, this paradigm predominates in Fintech research, especially in banking and finance publications.</w:t>
      </w:r>
    </w:p>
    <w:p w14:paraId="088F4B6E" w14:textId="77777777" w:rsidR="00304B7B" w:rsidRPr="00952C24" w:rsidRDefault="00304B7B" w:rsidP="00952C24">
      <w:pPr>
        <w:pStyle w:val="Heading3"/>
        <w:spacing w:before="100" w:beforeAutospacing="1" w:line="360" w:lineRule="auto"/>
        <w:jc w:val="both"/>
        <w:rPr>
          <w:rFonts w:ascii="Times New Roman" w:hAnsi="Times New Roman" w:cs="Times New Roman"/>
          <w:color w:val="auto"/>
        </w:rPr>
      </w:pPr>
      <w:r w:rsidRPr="00952C24">
        <w:rPr>
          <w:rFonts w:ascii="Times New Roman" w:hAnsi="Times New Roman" w:cs="Times New Roman"/>
          <w:color w:val="auto"/>
        </w:rPr>
        <w:t>4.5.2 Alternative Paradigms</w:t>
      </w:r>
    </w:p>
    <w:p w14:paraId="560B0294" w14:textId="77777777" w:rsidR="00593320" w:rsidRPr="00952C24" w:rsidRDefault="00593320" w:rsidP="00952C24">
      <w:pPr>
        <w:pStyle w:val="NormalWeb"/>
        <w:spacing w:line="360" w:lineRule="auto"/>
        <w:ind w:left="720"/>
        <w:jc w:val="both"/>
        <w:rPr>
          <w:color w:val="000000"/>
          <w:sz w:val="22"/>
          <w:szCs w:val="22"/>
        </w:rPr>
      </w:pPr>
      <w:r w:rsidRPr="00952C24">
        <w:rPr>
          <w:color w:val="000000"/>
          <w:sz w:val="22"/>
          <w:szCs w:val="22"/>
        </w:rPr>
        <w:t>Alternative paradigms provide insightful contrasts from a DBA perspective:</w:t>
      </w:r>
    </w:p>
    <w:p w14:paraId="0A817228" w14:textId="77777777" w:rsidR="00593320" w:rsidRPr="00952C24" w:rsidRDefault="00593320" w:rsidP="00952C24">
      <w:pPr>
        <w:pStyle w:val="NormalWeb"/>
        <w:numPr>
          <w:ilvl w:val="0"/>
          <w:numId w:val="13"/>
        </w:numPr>
        <w:spacing w:line="360" w:lineRule="auto"/>
        <w:jc w:val="both"/>
        <w:rPr>
          <w:rStyle w:val="Strong"/>
          <w:b w:val="0"/>
          <w:bCs w:val="0"/>
          <w:color w:val="000000"/>
          <w:sz w:val="22"/>
          <w:szCs w:val="22"/>
        </w:rPr>
      </w:pPr>
      <w:r w:rsidRPr="00952C24">
        <w:rPr>
          <w:rStyle w:val="Strong"/>
          <w:rFonts w:eastAsiaTheme="majorEastAsia"/>
          <w:b w:val="0"/>
          <w:bCs w:val="0"/>
          <w:color w:val="000000"/>
          <w:sz w:val="22"/>
          <w:szCs w:val="22"/>
        </w:rPr>
        <w:t xml:space="preserve">Because </w:t>
      </w:r>
      <w:r w:rsidRPr="00952C24">
        <w:rPr>
          <w:rStyle w:val="Strong"/>
          <w:rFonts w:eastAsiaTheme="majorEastAsia"/>
          <w:color w:val="000000"/>
          <w:sz w:val="22"/>
          <w:szCs w:val="22"/>
        </w:rPr>
        <w:t>critical realism</w:t>
      </w:r>
      <w:r w:rsidRPr="00952C24">
        <w:rPr>
          <w:rStyle w:val="Strong"/>
          <w:rFonts w:eastAsiaTheme="majorEastAsia"/>
          <w:b w:val="0"/>
          <w:bCs w:val="0"/>
          <w:color w:val="000000"/>
          <w:sz w:val="22"/>
          <w:szCs w:val="22"/>
        </w:rPr>
        <w:t xml:space="preserve"> places a strong emphasis on institutional structures and causal mechanisms, it is a good fit for researching the organisational and regulatory complexity of Fintech adoption.</w:t>
      </w:r>
    </w:p>
    <w:p w14:paraId="4F7BA1B6" w14:textId="77777777" w:rsidR="00593320" w:rsidRPr="00952C24" w:rsidRDefault="00593320" w:rsidP="00952C24">
      <w:pPr>
        <w:pStyle w:val="NormalWeb"/>
        <w:numPr>
          <w:ilvl w:val="0"/>
          <w:numId w:val="13"/>
        </w:numPr>
        <w:spacing w:line="360" w:lineRule="auto"/>
        <w:jc w:val="both"/>
        <w:rPr>
          <w:rStyle w:val="Strong"/>
          <w:b w:val="0"/>
          <w:bCs w:val="0"/>
          <w:color w:val="000000"/>
          <w:sz w:val="22"/>
          <w:szCs w:val="22"/>
        </w:rPr>
      </w:pPr>
      <w:r w:rsidRPr="00952C24">
        <w:rPr>
          <w:rStyle w:val="Strong"/>
          <w:rFonts w:eastAsiaTheme="majorEastAsia"/>
          <w:color w:val="000000"/>
          <w:sz w:val="22"/>
          <w:szCs w:val="22"/>
        </w:rPr>
        <w:t xml:space="preserve">Constructivism </w:t>
      </w:r>
      <w:r w:rsidRPr="00952C24">
        <w:rPr>
          <w:rStyle w:val="Strong"/>
          <w:rFonts w:eastAsiaTheme="majorEastAsia"/>
          <w:b w:val="0"/>
          <w:bCs w:val="0"/>
          <w:color w:val="000000"/>
          <w:sz w:val="22"/>
          <w:szCs w:val="22"/>
        </w:rPr>
        <w:t>emphasises socially constructed meanings, which may shed light on how digital literacy, risk, and trust affect Fintech results.</w:t>
      </w:r>
    </w:p>
    <w:p w14:paraId="2A339C94" w14:textId="77777777" w:rsidR="00593320" w:rsidRPr="00952C24" w:rsidRDefault="00593320" w:rsidP="00952C24">
      <w:pPr>
        <w:pStyle w:val="NormalWeb"/>
        <w:numPr>
          <w:ilvl w:val="0"/>
          <w:numId w:val="13"/>
        </w:numPr>
        <w:spacing w:line="360" w:lineRule="auto"/>
        <w:jc w:val="both"/>
        <w:rPr>
          <w:rStyle w:val="Strong"/>
          <w:b w:val="0"/>
          <w:bCs w:val="0"/>
          <w:color w:val="000000"/>
          <w:sz w:val="22"/>
          <w:szCs w:val="22"/>
        </w:rPr>
      </w:pPr>
      <w:r w:rsidRPr="00952C24">
        <w:rPr>
          <w:rStyle w:val="Strong"/>
          <w:rFonts w:eastAsiaTheme="majorEastAsia"/>
          <w:color w:val="000000"/>
          <w:sz w:val="22"/>
          <w:szCs w:val="22"/>
        </w:rPr>
        <w:t xml:space="preserve">Pragmatism </w:t>
      </w:r>
      <w:r w:rsidRPr="00952C24">
        <w:rPr>
          <w:rStyle w:val="Strong"/>
          <w:rFonts w:eastAsiaTheme="majorEastAsia"/>
          <w:b w:val="0"/>
          <w:bCs w:val="0"/>
          <w:color w:val="000000"/>
          <w:sz w:val="22"/>
          <w:szCs w:val="22"/>
        </w:rPr>
        <w:t>places a high priority on solving real-world problems, which is in line with DBA goals.</w:t>
      </w:r>
    </w:p>
    <w:p w14:paraId="4619D91E" w14:textId="77777777" w:rsidR="00593320" w:rsidRPr="00952C24" w:rsidRDefault="00593320" w:rsidP="00952C24">
      <w:pPr>
        <w:pStyle w:val="NormalWeb"/>
        <w:numPr>
          <w:ilvl w:val="0"/>
          <w:numId w:val="13"/>
        </w:numPr>
        <w:spacing w:line="360" w:lineRule="auto"/>
        <w:jc w:val="both"/>
        <w:rPr>
          <w:rStyle w:val="Strong"/>
          <w:b w:val="0"/>
          <w:bCs w:val="0"/>
          <w:color w:val="000000"/>
          <w:sz w:val="22"/>
          <w:szCs w:val="22"/>
        </w:rPr>
      </w:pPr>
      <w:r w:rsidRPr="00952C24">
        <w:rPr>
          <w:rStyle w:val="Strong"/>
          <w:rFonts w:eastAsiaTheme="majorEastAsia"/>
          <w:b w:val="0"/>
          <w:bCs w:val="0"/>
          <w:color w:val="000000"/>
          <w:sz w:val="22"/>
          <w:szCs w:val="22"/>
        </w:rPr>
        <w:lastRenderedPageBreak/>
        <w:t xml:space="preserve">Although it is still in its infancy, </w:t>
      </w:r>
      <w:r w:rsidRPr="00952C24">
        <w:rPr>
          <w:rStyle w:val="Strong"/>
          <w:rFonts w:eastAsiaTheme="majorEastAsia"/>
          <w:color w:val="000000"/>
          <w:sz w:val="22"/>
          <w:szCs w:val="22"/>
        </w:rPr>
        <w:t>posthumanism</w:t>
      </w:r>
      <w:r w:rsidRPr="00952C24">
        <w:rPr>
          <w:rStyle w:val="Strong"/>
          <w:rFonts w:eastAsiaTheme="majorEastAsia"/>
          <w:b w:val="0"/>
          <w:bCs w:val="0"/>
          <w:color w:val="000000"/>
          <w:sz w:val="22"/>
          <w:szCs w:val="22"/>
        </w:rPr>
        <w:t xml:space="preserve"> questions human-centered presumptions by analysing human–technology assemblages that are pertinent to Fintech algorithmic decision-making.</w:t>
      </w:r>
    </w:p>
    <w:p w14:paraId="08433F78" w14:textId="5FD32E3A" w:rsidR="00304B7B" w:rsidRPr="00952C24" w:rsidRDefault="00593320" w:rsidP="00952C24">
      <w:pPr>
        <w:pStyle w:val="NormalWeb"/>
        <w:spacing w:line="360" w:lineRule="auto"/>
        <w:jc w:val="both"/>
        <w:rPr>
          <w:color w:val="000000"/>
          <w:sz w:val="22"/>
          <w:szCs w:val="22"/>
        </w:rPr>
      </w:pPr>
      <w:r w:rsidRPr="00952C24">
        <w:rPr>
          <w:color w:val="000000"/>
          <w:sz w:val="22"/>
          <w:szCs w:val="22"/>
        </w:rPr>
        <w:t>Rahman et al. (2021) limit theoretical richness by not addressing these paradigms</w:t>
      </w:r>
      <w:r w:rsidR="00304B7B" w:rsidRPr="00952C24">
        <w:rPr>
          <w:color w:val="000000"/>
          <w:sz w:val="22"/>
          <w:szCs w:val="22"/>
        </w:rPr>
        <w:t>.</w:t>
      </w:r>
    </w:p>
    <w:p w14:paraId="1F6EC281" w14:textId="77777777" w:rsidR="00C62A69" w:rsidRPr="00952C24" w:rsidRDefault="00C62A69"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4.6 Research Approach: Deduction, Induction, and Abduction</w:t>
      </w:r>
    </w:p>
    <w:p w14:paraId="11A7BFB5" w14:textId="0C42EDF7" w:rsidR="00593320" w:rsidRPr="00952C24" w:rsidRDefault="00593320" w:rsidP="00952C24">
      <w:pPr>
        <w:pStyle w:val="NormalWeb"/>
        <w:spacing w:line="360" w:lineRule="auto"/>
        <w:jc w:val="both"/>
        <w:rPr>
          <w:color w:val="000000"/>
          <w:sz w:val="22"/>
          <w:szCs w:val="22"/>
        </w:rPr>
      </w:pPr>
      <w:r w:rsidRPr="00952C24">
        <w:rPr>
          <w:color w:val="000000"/>
          <w:sz w:val="22"/>
          <w:szCs w:val="22"/>
        </w:rPr>
        <w:t xml:space="preserve">The chosen study uses a </w:t>
      </w:r>
      <w:r w:rsidRPr="008F7E6D">
        <w:rPr>
          <w:b/>
          <w:bCs/>
          <w:color w:val="000000"/>
          <w:sz w:val="22"/>
          <w:szCs w:val="22"/>
        </w:rPr>
        <w:t>deductive research methodology</w:t>
      </w:r>
      <w:r w:rsidRPr="00952C24">
        <w:rPr>
          <w:color w:val="000000"/>
          <w:sz w:val="22"/>
          <w:szCs w:val="22"/>
        </w:rPr>
        <w:t xml:space="preserve">, in which theories are used to generate hypotheses that are then tested with real evidence. This method is in line with the positivist philosophical orientation of the study, which makes the assumption that it is possible to assess and </w:t>
      </w:r>
      <w:r w:rsidR="008F7E6D">
        <w:rPr>
          <w:color w:val="000000"/>
          <w:sz w:val="22"/>
          <w:szCs w:val="22"/>
        </w:rPr>
        <w:t>generalize</w:t>
      </w:r>
      <w:r w:rsidRPr="00952C24">
        <w:rPr>
          <w:color w:val="000000"/>
          <w:sz w:val="22"/>
          <w:szCs w:val="22"/>
        </w:rPr>
        <w:t xml:space="preserve"> the links between Fintech adoption and bank performance. Researchers can evaluate the strength, direction, and statistical significance of predetermined links using deduction, which is very useful for theory verification.</w:t>
      </w:r>
    </w:p>
    <w:p w14:paraId="6D2A7209" w14:textId="3E47D91A" w:rsidR="00593320" w:rsidRPr="00952C24" w:rsidRDefault="00593320" w:rsidP="00952C24">
      <w:pPr>
        <w:pStyle w:val="NormalWeb"/>
        <w:spacing w:line="360" w:lineRule="auto"/>
        <w:jc w:val="both"/>
        <w:rPr>
          <w:color w:val="000000"/>
          <w:sz w:val="22"/>
          <w:szCs w:val="22"/>
        </w:rPr>
      </w:pPr>
      <w:r w:rsidRPr="00952C24">
        <w:rPr>
          <w:color w:val="000000"/>
          <w:sz w:val="22"/>
          <w:szCs w:val="22"/>
        </w:rPr>
        <w:t xml:space="preserve">Deductive reasoning, however, is intrinsically limited in its ability to produce novel theoretical discoveries, even though it provides analytical </w:t>
      </w:r>
      <w:r w:rsidR="008F7E6D">
        <w:rPr>
          <w:color w:val="000000"/>
          <w:sz w:val="22"/>
          <w:szCs w:val="22"/>
        </w:rPr>
        <w:t>rigor</w:t>
      </w:r>
      <w:r w:rsidRPr="00952C24">
        <w:rPr>
          <w:color w:val="000000"/>
          <w:sz w:val="22"/>
          <w:szCs w:val="22"/>
        </w:rPr>
        <w:t xml:space="preserve"> and clarity. Without adequately examining contextual diversity, unforeseen repercussions, or management sense-making processes, the study runs the risk of replicating prevailing preconceptions about Fintech as a uniformly advantageous technical input by relying on preexisting conceptual frameworks. This is a major drawback from a DBA standpoint because professional doctorate research aims to inform responsible and reflective practice in addition to testing theory.</w:t>
      </w:r>
    </w:p>
    <w:p w14:paraId="77057DBD" w14:textId="77777777" w:rsidR="00593320" w:rsidRPr="00952C24" w:rsidRDefault="00593320" w:rsidP="00952C24">
      <w:pPr>
        <w:pStyle w:val="NormalWeb"/>
        <w:spacing w:line="360" w:lineRule="auto"/>
        <w:jc w:val="both"/>
        <w:rPr>
          <w:color w:val="000000"/>
          <w:sz w:val="22"/>
          <w:szCs w:val="22"/>
        </w:rPr>
      </w:pPr>
      <w:r w:rsidRPr="00952C24">
        <w:rPr>
          <w:color w:val="000000"/>
          <w:sz w:val="22"/>
          <w:szCs w:val="22"/>
        </w:rPr>
        <w:t xml:space="preserve">By documenting how bank managers, regulators, and consumers understand and experience Fintech adoption in the Bangladeshi context, </w:t>
      </w:r>
      <w:r w:rsidRPr="00952C24">
        <w:rPr>
          <w:b/>
          <w:bCs/>
          <w:color w:val="000000"/>
          <w:sz w:val="22"/>
          <w:szCs w:val="22"/>
        </w:rPr>
        <w:t>an inductive approach</w:t>
      </w:r>
      <w:r w:rsidRPr="00952C24">
        <w:rPr>
          <w:color w:val="000000"/>
          <w:sz w:val="22"/>
          <w:szCs w:val="22"/>
        </w:rPr>
        <w:t xml:space="preserve"> based on qualitative engagement with practitioners could have facilitated the construction of theory. An technique like this would be very helpful in identifying institutional constraints, organisational culture, and tacit knowledge that are difficult to quantify.</w:t>
      </w:r>
    </w:p>
    <w:p w14:paraId="3BB333A5" w14:textId="64D101E7" w:rsidR="00593320" w:rsidRPr="00952C24" w:rsidRDefault="00593320" w:rsidP="00952C24">
      <w:pPr>
        <w:pStyle w:val="NormalWeb"/>
        <w:spacing w:line="360" w:lineRule="auto"/>
        <w:jc w:val="both"/>
        <w:rPr>
          <w:color w:val="000000"/>
          <w:sz w:val="22"/>
          <w:szCs w:val="22"/>
        </w:rPr>
      </w:pPr>
      <w:r w:rsidRPr="00952C24">
        <w:rPr>
          <w:color w:val="000000"/>
          <w:sz w:val="22"/>
          <w:szCs w:val="22"/>
        </w:rPr>
        <w:t xml:space="preserve">Similarly, by alternating between empirical observations and theoretical explanation iteratively, </w:t>
      </w:r>
      <w:r w:rsidRPr="00952C24">
        <w:rPr>
          <w:b/>
          <w:bCs/>
          <w:color w:val="000000"/>
          <w:sz w:val="22"/>
          <w:szCs w:val="22"/>
        </w:rPr>
        <w:t>an abductive technique</w:t>
      </w:r>
      <w:r w:rsidRPr="00952C24">
        <w:rPr>
          <w:color w:val="000000"/>
          <w:sz w:val="22"/>
          <w:szCs w:val="22"/>
        </w:rPr>
        <w:t xml:space="preserve"> would have provided a more adaptable and context-sensitive substitute. Abduction is particularly useful for explaining unexpected or contradicting results, like differences in performance outcomes between banks or conflicts between risk exposure and efficiency benefits. An abductive approach would enable academics to improve theoretical explanations in response to new empirical findings, given the dynamic and changing character of Fintech in Bangladesh.</w:t>
      </w:r>
    </w:p>
    <w:p w14:paraId="2820FC98" w14:textId="63187E4D" w:rsidR="00304B7B" w:rsidRPr="00952C24" w:rsidRDefault="00593320"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lastRenderedPageBreak/>
        <w:t>Overall, the study's explanatory depth and practical significance are limited by its only dependence on deduction. By striking a balance between analytical rigour, contextual knowledge, and reflexive learning, a mixed or abductive methodology that is in line with pragmatic or critical realist philosophical frameworks will better enable DBA-level investigation.</w:t>
      </w:r>
    </w:p>
    <w:p w14:paraId="14872352"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4.7 Axiology and Researcher Positionality</w:t>
      </w:r>
    </w:p>
    <w:p w14:paraId="1F62BAF0"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4.7.1 Values in Research</w:t>
      </w:r>
    </w:p>
    <w:p w14:paraId="70C8DEE9" w14:textId="36ABD302" w:rsidR="00053598" w:rsidRPr="00952C24" w:rsidRDefault="00053598" w:rsidP="00952C24">
      <w:pPr>
        <w:pStyle w:val="NormalWeb"/>
        <w:spacing w:line="360" w:lineRule="auto"/>
        <w:ind w:left="720"/>
        <w:jc w:val="both"/>
        <w:rPr>
          <w:color w:val="000000"/>
          <w:sz w:val="22"/>
          <w:szCs w:val="22"/>
        </w:rPr>
      </w:pPr>
      <w:r w:rsidRPr="00952C24">
        <w:rPr>
          <w:color w:val="000000"/>
          <w:sz w:val="22"/>
          <w:szCs w:val="22"/>
        </w:rPr>
        <w:t xml:space="preserve">The importance of values in research is addressed by axiology. In line with positivist traditions, Rahman et al. (2021) implicitly assume value neutrality. Value </w:t>
      </w:r>
      <w:r w:rsidR="00E17D04" w:rsidRPr="00952C24">
        <w:rPr>
          <w:color w:val="000000"/>
          <w:sz w:val="22"/>
          <w:szCs w:val="22"/>
        </w:rPr>
        <w:t>judgments,</w:t>
      </w:r>
      <w:r w:rsidRPr="00952C24">
        <w:rPr>
          <w:color w:val="000000"/>
          <w:sz w:val="22"/>
          <w:szCs w:val="22"/>
        </w:rPr>
        <w:t xml:space="preserve"> however, are ingrained in:</w:t>
      </w:r>
    </w:p>
    <w:p w14:paraId="7667929B" w14:textId="77777777" w:rsidR="00E17D04" w:rsidRPr="00952C24" w:rsidRDefault="00E17D04" w:rsidP="00952C24">
      <w:pPr>
        <w:pStyle w:val="NormalWeb"/>
        <w:numPr>
          <w:ilvl w:val="0"/>
          <w:numId w:val="15"/>
        </w:numPr>
        <w:spacing w:line="360" w:lineRule="auto"/>
        <w:jc w:val="both"/>
        <w:rPr>
          <w:color w:val="000000"/>
          <w:sz w:val="22"/>
          <w:szCs w:val="22"/>
        </w:rPr>
      </w:pPr>
      <w:r w:rsidRPr="00952C24">
        <w:rPr>
          <w:color w:val="000000"/>
          <w:sz w:val="22"/>
          <w:szCs w:val="22"/>
        </w:rPr>
        <w:t>The selection of performance measures</w:t>
      </w:r>
    </w:p>
    <w:p w14:paraId="062CB024" w14:textId="77777777" w:rsidR="00E17D04" w:rsidRPr="00952C24" w:rsidRDefault="00E17D04" w:rsidP="00952C24">
      <w:pPr>
        <w:pStyle w:val="NormalWeb"/>
        <w:numPr>
          <w:ilvl w:val="0"/>
          <w:numId w:val="15"/>
        </w:numPr>
        <w:spacing w:line="360" w:lineRule="auto"/>
        <w:jc w:val="both"/>
        <w:rPr>
          <w:color w:val="000000"/>
          <w:sz w:val="22"/>
          <w:szCs w:val="22"/>
        </w:rPr>
      </w:pPr>
      <w:r w:rsidRPr="00952C24">
        <w:rPr>
          <w:color w:val="000000"/>
          <w:sz w:val="22"/>
          <w:szCs w:val="22"/>
        </w:rPr>
        <w:t>The emphasis on profitability and efficiency</w:t>
      </w:r>
    </w:p>
    <w:p w14:paraId="1704785E" w14:textId="77777777" w:rsidR="00E17D04" w:rsidRPr="00952C24" w:rsidRDefault="00E17D04" w:rsidP="00952C24">
      <w:pPr>
        <w:pStyle w:val="NormalWeb"/>
        <w:numPr>
          <w:ilvl w:val="0"/>
          <w:numId w:val="15"/>
        </w:numPr>
        <w:spacing w:line="360" w:lineRule="auto"/>
        <w:jc w:val="both"/>
        <w:rPr>
          <w:color w:val="000000"/>
          <w:sz w:val="22"/>
          <w:szCs w:val="22"/>
        </w:rPr>
      </w:pPr>
      <w:r w:rsidRPr="00952C24">
        <w:rPr>
          <w:color w:val="000000"/>
          <w:sz w:val="22"/>
          <w:szCs w:val="22"/>
        </w:rPr>
        <w:t>The failure to consider social and ethical consequences</w:t>
      </w:r>
    </w:p>
    <w:p w14:paraId="13E84910" w14:textId="2420D2AA" w:rsidR="00304B7B" w:rsidRPr="00952C24" w:rsidRDefault="00E17D04"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This is indicative of a managerialist value system that prioritises the interests of shareholders over those of stakeholders.</w:t>
      </w:r>
    </w:p>
    <w:p w14:paraId="2E5C3D01" w14:textId="77777777" w:rsidR="00C62A69" w:rsidRPr="00952C24" w:rsidRDefault="00C62A69"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4.7.2 Reflexivity and Positionality</w:t>
      </w:r>
    </w:p>
    <w:p w14:paraId="69888E16" w14:textId="79B5E594" w:rsidR="00E17D04" w:rsidRPr="00952C24" w:rsidRDefault="00E17D04" w:rsidP="00952C24">
      <w:pPr>
        <w:pStyle w:val="NormalWeb"/>
        <w:spacing w:line="360" w:lineRule="auto"/>
        <w:jc w:val="both"/>
        <w:rPr>
          <w:color w:val="000000"/>
          <w:sz w:val="22"/>
          <w:szCs w:val="22"/>
        </w:rPr>
      </w:pPr>
      <w:r w:rsidRPr="00952C24">
        <w:rPr>
          <w:color w:val="000000"/>
          <w:sz w:val="22"/>
          <w:szCs w:val="22"/>
        </w:rPr>
        <w:t>Researcher positionality and other sources of bias are not specifically addressed in the chosen study. This lack of philosophical reflexivity is a major drawback from a DBA standpoint, since reflexivity necessitates that researchers critically assess how their presumptions, professional backgrounds, values, and institutional affiliations affect the research process and the knowledge generated (Alvesson and Sköldberg, 2018).</w:t>
      </w:r>
    </w:p>
    <w:p w14:paraId="6F2B4A7F" w14:textId="77777777" w:rsidR="00E17D04" w:rsidRPr="00952C24" w:rsidRDefault="00E17D04" w:rsidP="00952C24">
      <w:pPr>
        <w:pStyle w:val="NormalWeb"/>
        <w:spacing w:line="360" w:lineRule="auto"/>
        <w:jc w:val="both"/>
        <w:rPr>
          <w:color w:val="000000"/>
          <w:sz w:val="22"/>
          <w:szCs w:val="22"/>
        </w:rPr>
      </w:pPr>
      <w:r w:rsidRPr="00952C24">
        <w:rPr>
          <w:color w:val="000000"/>
          <w:sz w:val="22"/>
          <w:szCs w:val="22"/>
        </w:rPr>
        <w:t>One particularly significant aspect of positionality in this instance is the lead author's broad professional history, which includes more than 16 years of experience in the banking industry. This kind of in-depth sectoral immersion provides useful insider knowledge, such as a practical grasp of banking operations, technological advancements, and regulatory pressures. However, this closeness also raises the possibility of implicit bias in the absence of explicit reflexive engagement, especially when Fintech is framed exclusively as a managerial tool that improves performance rather than as a socially ingrained and ethically contentious phenomena.</w:t>
      </w:r>
    </w:p>
    <w:p w14:paraId="7B3396B6" w14:textId="77777777" w:rsidR="00E17D04" w:rsidRPr="00952C24" w:rsidRDefault="00E17D04" w:rsidP="00952C24">
      <w:pPr>
        <w:pStyle w:val="NormalWeb"/>
        <w:spacing w:line="360" w:lineRule="auto"/>
        <w:jc w:val="both"/>
        <w:rPr>
          <w:color w:val="000000"/>
          <w:sz w:val="22"/>
          <w:szCs w:val="22"/>
        </w:rPr>
      </w:pPr>
      <w:r w:rsidRPr="00952C24">
        <w:rPr>
          <w:color w:val="000000"/>
          <w:sz w:val="22"/>
          <w:szCs w:val="22"/>
        </w:rPr>
        <w:lastRenderedPageBreak/>
        <w:t>Long-term banking experience, for example, may support normative presumptions that digitalisation and Fintech adoption are intrinsically beneficial, efficiency-boosting, and strategically essential. These presumptions may influence study design decisions, such as giving quantitative performance measurements precedence over qualitative investigation of customer vulnerability, employee displacement, or organisational resistance. Furthermore, critical examination of power dynamics, governance issues, or regulatory deficiencies within the Fintech–banking ecosystem may be restricted if industry viewpoints are closely aligned.</w:t>
      </w:r>
    </w:p>
    <w:p w14:paraId="72C97A9D" w14:textId="77777777" w:rsidR="00E17D04" w:rsidRPr="00952C24" w:rsidRDefault="00E17D04" w:rsidP="00952C24">
      <w:pPr>
        <w:pStyle w:val="NormalWeb"/>
        <w:spacing w:line="360" w:lineRule="auto"/>
        <w:jc w:val="both"/>
        <w:rPr>
          <w:color w:val="000000"/>
          <w:sz w:val="22"/>
          <w:szCs w:val="22"/>
        </w:rPr>
      </w:pPr>
      <w:r w:rsidRPr="00952C24">
        <w:rPr>
          <w:color w:val="000000"/>
          <w:sz w:val="22"/>
          <w:szCs w:val="22"/>
        </w:rPr>
        <w:t>In order to take a reflective approach, the authors would need to clearly state these positional effects and explain how their professional experience influenced, limited, or enhanced the research process. This can entail considering how knowledge of the sector influenced the development of study questions, the choice of variables, and the interpretation of results. Such openness is crucial for DBA research since professional doctorates specifically acknowledge practitioner-researchers as situated knowledge producers rather than impartial observers.</w:t>
      </w:r>
    </w:p>
    <w:p w14:paraId="50EC7C96" w14:textId="44DD6AEE" w:rsidR="00304B7B" w:rsidRPr="00952C24" w:rsidRDefault="00E17D04"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The study unintentionally reproduces a positivist ideal of researcher objectivity that undervalues the role of values and experience in knowledge formation by neglecting to interact reflexively with positionality. Increased reflexivity—possibly in line with interpretivist or critical realist paradigms—would improve the study's practical relevance, ethical consciousness, and credibility, improving its contribution to responsible leadership practice and DBA-level scholarship.</w:t>
      </w:r>
    </w:p>
    <w:p w14:paraId="1B746F9E"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4.8 Methodological Quality: Reliability, Validity, and Trustworthiness</w:t>
      </w:r>
    </w:p>
    <w:p w14:paraId="5CEAD42B"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4.8.1 Reliability</w:t>
      </w:r>
    </w:p>
    <w:p w14:paraId="2183E21B" w14:textId="77777777" w:rsidR="00E17D04" w:rsidRPr="00952C24" w:rsidRDefault="00E17D04" w:rsidP="00952C24">
      <w:pPr>
        <w:pStyle w:val="NormalWeb"/>
        <w:spacing w:line="360" w:lineRule="auto"/>
        <w:ind w:left="720"/>
        <w:jc w:val="both"/>
        <w:rPr>
          <w:color w:val="000000"/>
          <w:sz w:val="22"/>
          <w:szCs w:val="22"/>
        </w:rPr>
      </w:pPr>
      <w:r w:rsidRPr="00952C24">
        <w:rPr>
          <w:color w:val="000000"/>
          <w:sz w:val="22"/>
          <w:szCs w:val="22"/>
        </w:rPr>
        <w:t>Internal consistency is indicated by the study's acceptable Cronbach's alpha values. Analytical robustness is improved by SEM. However, the following factors undermine reliability:</w:t>
      </w:r>
    </w:p>
    <w:p w14:paraId="35F31C8A" w14:textId="77777777" w:rsidR="00E17D04" w:rsidRPr="00952C24" w:rsidRDefault="00E17D04" w:rsidP="00952C24">
      <w:pPr>
        <w:pStyle w:val="NormalWeb"/>
        <w:numPr>
          <w:ilvl w:val="0"/>
          <w:numId w:val="16"/>
        </w:numPr>
        <w:spacing w:line="360" w:lineRule="auto"/>
        <w:jc w:val="both"/>
        <w:rPr>
          <w:color w:val="000000"/>
          <w:sz w:val="22"/>
          <w:szCs w:val="22"/>
        </w:rPr>
      </w:pPr>
      <w:r w:rsidRPr="00952C24">
        <w:rPr>
          <w:color w:val="000000"/>
          <w:sz w:val="22"/>
          <w:szCs w:val="22"/>
        </w:rPr>
        <w:t>Self-reported opinions</w:t>
      </w:r>
    </w:p>
    <w:p w14:paraId="3C0623E9" w14:textId="77777777" w:rsidR="00E17D04" w:rsidRPr="00952C24" w:rsidRDefault="00E17D04" w:rsidP="00952C24">
      <w:pPr>
        <w:pStyle w:val="NormalWeb"/>
        <w:numPr>
          <w:ilvl w:val="0"/>
          <w:numId w:val="16"/>
        </w:numPr>
        <w:spacing w:line="360" w:lineRule="auto"/>
        <w:jc w:val="both"/>
        <w:rPr>
          <w:color w:val="000000"/>
          <w:sz w:val="22"/>
          <w:szCs w:val="22"/>
        </w:rPr>
      </w:pPr>
      <w:r w:rsidRPr="00952C24">
        <w:rPr>
          <w:color w:val="000000"/>
          <w:sz w:val="22"/>
          <w:szCs w:val="22"/>
        </w:rPr>
        <w:t>The possibility of social desirability bias</w:t>
      </w:r>
    </w:p>
    <w:p w14:paraId="4527A00E" w14:textId="4CBB4629" w:rsidR="00304B7B" w:rsidRPr="00952C24" w:rsidRDefault="00E17D04" w:rsidP="00952C24">
      <w:pPr>
        <w:pStyle w:val="NormalWeb"/>
        <w:numPr>
          <w:ilvl w:val="0"/>
          <w:numId w:val="16"/>
        </w:numPr>
        <w:spacing w:line="360" w:lineRule="auto"/>
        <w:jc w:val="both"/>
        <w:rPr>
          <w:color w:val="000000"/>
          <w:sz w:val="22"/>
          <w:szCs w:val="22"/>
        </w:rPr>
      </w:pPr>
      <w:r w:rsidRPr="00952C24">
        <w:rPr>
          <w:color w:val="000000"/>
          <w:sz w:val="22"/>
          <w:szCs w:val="22"/>
        </w:rPr>
        <w:t>Variance in common methods</w:t>
      </w:r>
    </w:p>
    <w:p w14:paraId="1C341BC5"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4.8.2 Validity</w:t>
      </w:r>
    </w:p>
    <w:p w14:paraId="161A1083" w14:textId="77777777" w:rsidR="00304B7B" w:rsidRPr="00952C24" w:rsidRDefault="00304B7B" w:rsidP="00952C24">
      <w:pPr>
        <w:pStyle w:val="NormalWeb"/>
        <w:numPr>
          <w:ilvl w:val="0"/>
          <w:numId w:val="17"/>
        </w:numPr>
        <w:spacing w:line="360" w:lineRule="auto"/>
        <w:jc w:val="both"/>
        <w:rPr>
          <w:color w:val="000000"/>
          <w:sz w:val="22"/>
          <w:szCs w:val="22"/>
        </w:rPr>
      </w:pPr>
      <w:r w:rsidRPr="00952C24">
        <w:rPr>
          <w:rStyle w:val="Strong"/>
          <w:color w:val="000000"/>
          <w:sz w:val="22"/>
          <w:szCs w:val="22"/>
        </w:rPr>
        <w:t>Construct validity</w:t>
      </w:r>
      <w:r w:rsidRPr="00952C24">
        <w:rPr>
          <w:rStyle w:val="apple-converted-space"/>
          <w:color w:val="000000"/>
          <w:sz w:val="22"/>
          <w:szCs w:val="22"/>
        </w:rPr>
        <w:t> </w:t>
      </w:r>
      <w:r w:rsidRPr="00952C24">
        <w:rPr>
          <w:color w:val="000000"/>
          <w:sz w:val="22"/>
          <w:szCs w:val="22"/>
        </w:rPr>
        <w:t>is supported through established scales.</w:t>
      </w:r>
    </w:p>
    <w:p w14:paraId="00F8310F" w14:textId="77777777" w:rsidR="00304B7B" w:rsidRPr="00952C24" w:rsidRDefault="00304B7B" w:rsidP="00952C24">
      <w:pPr>
        <w:pStyle w:val="NormalWeb"/>
        <w:numPr>
          <w:ilvl w:val="0"/>
          <w:numId w:val="17"/>
        </w:numPr>
        <w:spacing w:line="360" w:lineRule="auto"/>
        <w:jc w:val="both"/>
        <w:rPr>
          <w:color w:val="000000"/>
          <w:sz w:val="22"/>
          <w:szCs w:val="22"/>
        </w:rPr>
      </w:pPr>
      <w:r w:rsidRPr="00952C24">
        <w:rPr>
          <w:rStyle w:val="Strong"/>
          <w:color w:val="000000"/>
          <w:sz w:val="22"/>
          <w:szCs w:val="22"/>
        </w:rPr>
        <w:lastRenderedPageBreak/>
        <w:t>Internal validity</w:t>
      </w:r>
      <w:r w:rsidRPr="00952C24">
        <w:rPr>
          <w:rStyle w:val="apple-converted-space"/>
          <w:color w:val="000000"/>
          <w:sz w:val="22"/>
          <w:szCs w:val="22"/>
        </w:rPr>
        <w:t> </w:t>
      </w:r>
      <w:r w:rsidRPr="00952C24">
        <w:rPr>
          <w:color w:val="000000"/>
          <w:sz w:val="22"/>
          <w:szCs w:val="22"/>
        </w:rPr>
        <w:t>is limited by the cross-sectional design.</w:t>
      </w:r>
    </w:p>
    <w:p w14:paraId="4C7EBA28" w14:textId="77777777" w:rsidR="00304B7B" w:rsidRPr="00952C24" w:rsidRDefault="00304B7B" w:rsidP="00952C24">
      <w:pPr>
        <w:pStyle w:val="NormalWeb"/>
        <w:numPr>
          <w:ilvl w:val="0"/>
          <w:numId w:val="17"/>
        </w:numPr>
        <w:spacing w:line="360" w:lineRule="auto"/>
        <w:jc w:val="both"/>
        <w:rPr>
          <w:color w:val="000000"/>
          <w:sz w:val="22"/>
          <w:szCs w:val="22"/>
        </w:rPr>
      </w:pPr>
      <w:r w:rsidRPr="00952C24">
        <w:rPr>
          <w:rStyle w:val="Strong"/>
          <w:color w:val="000000"/>
          <w:sz w:val="22"/>
          <w:szCs w:val="22"/>
        </w:rPr>
        <w:t>External validity</w:t>
      </w:r>
      <w:r w:rsidRPr="00952C24">
        <w:rPr>
          <w:rStyle w:val="apple-converted-space"/>
          <w:color w:val="000000"/>
          <w:sz w:val="22"/>
          <w:szCs w:val="22"/>
        </w:rPr>
        <w:t> </w:t>
      </w:r>
      <w:r w:rsidRPr="00952C24">
        <w:rPr>
          <w:color w:val="000000"/>
          <w:sz w:val="22"/>
          <w:szCs w:val="22"/>
        </w:rPr>
        <w:t>is constrained by the single-country context.</w:t>
      </w:r>
    </w:p>
    <w:p w14:paraId="354CA5FE" w14:textId="77777777" w:rsidR="00342EB0" w:rsidRPr="00952C24" w:rsidRDefault="00342EB0"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A critical realism viewpoint holds that statistical correlation does not imply causal explanation.</w:t>
      </w:r>
    </w:p>
    <w:p w14:paraId="7CE83557" w14:textId="34DA49C4"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4.8.3 Trustworthiness (Alternative Criteria)</w:t>
      </w:r>
    </w:p>
    <w:p w14:paraId="4FC4D726" w14:textId="77777777" w:rsidR="00342EB0" w:rsidRPr="00952C24" w:rsidRDefault="00342EB0" w:rsidP="00952C24">
      <w:pPr>
        <w:pStyle w:val="NormalWeb"/>
        <w:spacing w:line="360" w:lineRule="auto"/>
        <w:ind w:left="720"/>
        <w:jc w:val="both"/>
        <w:rPr>
          <w:color w:val="000000"/>
          <w:sz w:val="22"/>
          <w:szCs w:val="22"/>
        </w:rPr>
      </w:pPr>
      <w:r w:rsidRPr="00952C24">
        <w:rPr>
          <w:color w:val="000000"/>
          <w:sz w:val="22"/>
          <w:szCs w:val="22"/>
        </w:rPr>
        <w:t>Trustworthiness criteria show what is lacking, even though they do not apply to quantitative designs:</w:t>
      </w:r>
    </w:p>
    <w:p w14:paraId="263A8F69" w14:textId="77777777" w:rsidR="00342EB0" w:rsidRPr="00952C24" w:rsidRDefault="00342EB0" w:rsidP="00952C24">
      <w:pPr>
        <w:pStyle w:val="NormalWeb"/>
        <w:numPr>
          <w:ilvl w:val="0"/>
          <w:numId w:val="18"/>
        </w:numPr>
        <w:spacing w:line="360" w:lineRule="auto"/>
        <w:jc w:val="both"/>
        <w:rPr>
          <w:color w:val="000000"/>
          <w:sz w:val="22"/>
          <w:szCs w:val="22"/>
        </w:rPr>
      </w:pPr>
      <w:r w:rsidRPr="00952C24">
        <w:rPr>
          <w:color w:val="000000"/>
          <w:sz w:val="22"/>
          <w:szCs w:val="22"/>
        </w:rPr>
        <w:t>Participant voice lacks credibility</w:t>
      </w:r>
    </w:p>
    <w:p w14:paraId="0F8C7C0E" w14:textId="77777777" w:rsidR="00080B44" w:rsidRPr="00952C24" w:rsidRDefault="00080B44" w:rsidP="00952C24">
      <w:pPr>
        <w:pStyle w:val="NormalWeb"/>
        <w:numPr>
          <w:ilvl w:val="0"/>
          <w:numId w:val="18"/>
        </w:numPr>
        <w:spacing w:line="360" w:lineRule="auto"/>
        <w:jc w:val="both"/>
        <w:rPr>
          <w:color w:val="000000"/>
          <w:sz w:val="22"/>
          <w:szCs w:val="22"/>
        </w:rPr>
      </w:pPr>
      <w:r w:rsidRPr="00952C24">
        <w:rPr>
          <w:color w:val="000000"/>
          <w:sz w:val="22"/>
          <w:szCs w:val="22"/>
        </w:rPr>
        <w:t>Limited context-specific transferability</w:t>
      </w:r>
    </w:p>
    <w:p w14:paraId="57ADEAA5" w14:textId="24D8D074" w:rsidR="00304B7B" w:rsidRPr="00952C24" w:rsidRDefault="00080B44" w:rsidP="00952C24">
      <w:pPr>
        <w:pStyle w:val="NormalWeb"/>
        <w:numPr>
          <w:ilvl w:val="0"/>
          <w:numId w:val="18"/>
        </w:numPr>
        <w:spacing w:line="360" w:lineRule="auto"/>
        <w:jc w:val="both"/>
        <w:rPr>
          <w:color w:val="000000"/>
          <w:sz w:val="22"/>
          <w:szCs w:val="22"/>
        </w:rPr>
      </w:pPr>
      <w:r w:rsidRPr="00952C24">
        <w:rPr>
          <w:color w:val="000000"/>
          <w:sz w:val="22"/>
          <w:szCs w:val="22"/>
        </w:rPr>
        <w:t>Lack of reliability tests</w:t>
      </w:r>
    </w:p>
    <w:p w14:paraId="460FB3D4"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4.9 Ethical Considerations</w:t>
      </w:r>
    </w:p>
    <w:p w14:paraId="1BEBD95B" w14:textId="77777777" w:rsidR="00080B44" w:rsidRPr="00952C24" w:rsidRDefault="00080B44" w:rsidP="00952C24">
      <w:pPr>
        <w:pStyle w:val="NormalWeb"/>
        <w:spacing w:line="360" w:lineRule="auto"/>
        <w:ind w:left="720"/>
        <w:jc w:val="both"/>
        <w:rPr>
          <w:color w:val="000000"/>
          <w:sz w:val="22"/>
          <w:szCs w:val="22"/>
        </w:rPr>
      </w:pPr>
      <w:r w:rsidRPr="00952C24">
        <w:rPr>
          <w:color w:val="000000"/>
          <w:sz w:val="22"/>
          <w:szCs w:val="22"/>
        </w:rPr>
        <w:t>Instead of being addressed substantively, ethical issues are handled procedurally. Although consent and anonymity are discussed, more general ethical concerns are not addressed, such as:</w:t>
      </w:r>
    </w:p>
    <w:p w14:paraId="6CDF8910" w14:textId="77777777" w:rsidR="00080B44" w:rsidRPr="00952C24" w:rsidRDefault="00080B44" w:rsidP="00952C24">
      <w:pPr>
        <w:pStyle w:val="NormalWeb"/>
        <w:numPr>
          <w:ilvl w:val="0"/>
          <w:numId w:val="19"/>
        </w:numPr>
        <w:spacing w:line="360" w:lineRule="auto"/>
        <w:jc w:val="both"/>
        <w:rPr>
          <w:color w:val="000000"/>
          <w:sz w:val="22"/>
          <w:szCs w:val="22"/>
        </w:rPr>
      </w:pPr>
      <w:r w:rsidRPr="00952C24">
        <w:rPr>
          <w:color w:val="000000"/>
          <w:sz w:val="22"/>
          <w:szCs w:val="22"/>
        </w:rPr>
        <w:t>Risks to data privacy in Fintech systems</w:t>
      </w:r>
    </w:p>
    <w:p w14:paraId="5FE109D0" w14:textId="23396B8B" w:rsidR="00304B7B" w:rsidRPr="00952C24" w:rsidRDefault="00304B7B" w:rsidP="00952C24">
      <w:pPr>
        <w:pStyle w:val="NormalWeb"/>
        <w:numPr>
          <w:ilvl w:val="0"/>
          <w:numId w:val="19"/>
        </w:numPr>
        <w:spacing w:line="360" w:lineRule="auto"/>
        <w:jc w:val="both"/>
        <w:rPr>
          <w:color w:val="000000"/>
          <w:sz w:val="22"/>
          <w:szCs w:val="22"/>
        </w:rPr>
      </w:pPr>
      <w:r w:rsidRPr="00952C24">
        <w:rPr>
          <w:color w:val="000000"/>
          <w:sz w:val="22"/>
          <w:szCs w:val="22"/>
        </w:rPr>
        <w:t>Algorithmic bias</w:t>
      </w:r>
    </w:p>
    <w:p w14:paraId="0013EA80" w14:textId="77777777" w:rsidR="00080B44" w:rsidRPr="00952C24" w:rsidRDefault="00080B44" w:rsidP="00952C24">
      <w:pPr>
        <w:pStyle w:val="NormalWeb"/>
        <w:numPr>
          <w:ilvl w:val="0"/>
          <w:numId w:val="19"/>
        </w:numPr>
        <w:spacing w:line="360" w:lineRule="auto"/>
        <w:jc w:val="both"/>
        <w:rPr>
          <w:color w:val="000000"/>
          <w:sz w:val="22"/>
          <w:szCs w:val="22"/>
        </w:rPr>
      </w:pPr>
      <w:r w:rsidRPr="00952C24">
        <w:rPr>
          <w:color w:val="000000"/>
          <w:sz w:val="22"/>
          <w:szCs w:val="22"/>
        </w:rPr>
        <w:t>Digital disparities leading to financial exclusion</w:t>
      </w:r>
    </w:p>
    <w:p w14:paraId="7DDF44CA"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4.10 Critical Appraisal and Comparison with Alternative Approaches</w:t>
      </w:r>
    </w:p>
    <w:p w14:paraId="795EF4DD"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4.10.1 Strengths</w:t>
      </w:r>
    </w:p>
    <w:p w14:paraId="4AE4A950" w14:textId="77777777" w:rsidR="00304B7B" w:rsidRPr="00952C24" w:rsidRDefault="00304B7B" w:rsidP="00952C24">
      <w:pPr>
        <w:pStyle w:val="NormalWeb"/>
        <w:numPr>
          <w:ilvl w:val="0"/>
          <w:numId w:val="20"/>
        </w:numPr>
        <w:spacing w:line="360" w:lineRule="auto"/>
        <w:jc w:val="both"/>
        <w:rPr>
          <w:color w:val="000000"/>
          <w:sz w:val="22"/>
          <w:szCs w:val="22"/>
        </w:rPr>
      </w:pPr>
      <w:r w:rsidRPr="00952C24">
        <w:rPr>
          <w:color w:val="000000"/>
          <w:sz w:val="22"/>
          <w:szCs w:val="22"/>
        </w:rPr>
        <w:t>Empirical rigour</w:t>
      </w:r>
    </w:p>
    <w:p w14:paraId="4140329C" w14:textId="77777777" w:rsidR="00304B7B" w:rsidRPr="00952C24" w:rsidRDefault="00304B7B" w:rsidP="00952C24">
      <w:pPr>
        <w:pStyle w:val="NormalWeb"/>
        <w:numPr>
          <w:ilvl w:val="0"/>
          <w:numId w:val="20"/>
        </w:numPr>
        <w:spacing w:line="360" w:lineRule="auto"/>
        <w:jc w:val="both"/>
        <w:rPr>
          <w:color w:val="000000"/>
          <w:sz w:val="22"/>
          <w:szCs w:val="22"/>
        </w:rPr>
      </w:pPr>
      <w:r w:rsidRPr="00952C24">
        <w:rPr>
          <w:color w:val="000000"/>
          <w:sz w:val="22"/>
          <w:szCs w:val="22"/>
        </w:rPr>
        <w:t>Contextual relevance</w:t>
      </w:r>
    </w:p>
    <w:p w14:paraId="56E26EA0" w14:textId="77777777" w:rsidR="00304B7B" w:rsidRPr="00952C24" w:rsidRDefault="00304B7B" w:rsidP="00952C24">
      <w:pPr>
        <w:pStyle w:val="NormalWeb"/>
        <w:numPr>
          <w:ilvl w:val="0"/>
          <w:numId w:val="20"/>
        </w:numPr>
        <w:spacing w:line="360" w:lineRule="auto"/>
        <w:jc w:val="both"/>
        <w:rPr>
          <w:color w:val="000000"/>
          <w:sz w:val="22"/>
          <w:szCs w:val="22"/>
        </w:rPr>
      </w:pPr>
      <w:r w:rsidRPr="00952C24">
        <w:rPr>
          <w:color w:val="000000"/>
          <w:sz w:val="22"/>
          <w:szCs w:val="22"/>
        </w:rPr>
        <w:t>Clear managerial implications</w:t>
      </w:r>
    </w:p>
    <w:p w14:paraId="47BAD5CD"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4.10.2 Weaknesses</w:t>
      </w:r>
    </w:p>
    <w:p w14:paraId="65A905F8" w14:textId="77777777" w:rsidR="00304B7B" w:rsidRPr="00952C24" w:rsidRDefault="00304B7B" w:rsidP="00952C24">
      <w:pPr>
        <w:pStyle w:val="NormalWeb"/>
        <w:numPr>
          <w:ilvl w:val="0"/>
          <w:numId w:val="21"/>
        </w:numPr>
        <w:spacing w:line="360" w:lineRule="auto"/>
        <w:jc w:val="both"/>
        <w:rPr>
          <w:color w:val="000000"/>
          <w:sz w:val="22"/>
          <w:szCs w:val="22"/>
        </w:rPr>
      </w:pPr>
      <w:r w:rsidRPr="00952C24">
        <w:rPr>
          <w:color w:val="000000"/>
          <w:sz w:val="22"/>
          <w:szCs w:val="22"/>
        </w:rPr>
        <w:t>Implicit philosophy</w:t>
      </w:r>
    </w:p>
    <w:p w14:paraId="2056D589" w14:textId="77777777" w:rsidR="00304B7B" w:rsidRPr="00952C24" w:rsidRDefault="00304B7B" w:rsidP="00952C24">
      <w:pPr>
        <w:pStyle w:val="NormalWeb"/>
        <w:numPr>
          <w:ilvl w:val="0"/>
          <w:numId w:val="21"/>
        </w:numPr>
        <w:spacing w:line="360" w:lineRule="auto"/>
        <w:jc w:val="both"/>
        <w:rPr>
          <w:color w:val="000000"/>
          <w:sz w:val="22"/>
          <w:szCs w:val="22"/>
        </w:rPr>
      </w:pPr>
      <w:r w:rsidRPr="00952C24">
        <w:rPr>
          <w:color w:val="000000"/>
          <w:sz w:val="22"/>
          <w:szCs w:val="22"/>
        </w:rPr>
        <w:t>Limited reflexivity</w:t>
      </w:r>
    </w:p>
    <w:p w14:paraId="3E4AA576" w14:textId="77777777" w:rsidR="00304B7B" w:rsidRPr="00952C24" w:rsidRDefault="00304B7B" w:rsidP="00952C24">
      <w:pPr>
        <w:pStyle w:val="NormalWeb"/>
        <w:numPr>
          <w:ilvl w:val="0"/>
          <w:numId w:val="21"/>
        </w:numPr>
        <w:spacing w:line="360" w:lineRule="auto"/>
        <w:jc w:val="both"/>
        <w:rPr>
          <w:color w:val="000000"/>
          <w:sz w:val="22"/>
          <w:szCs w:val="22"/>
        </w:rPr>
      </w:pPr>
      <w:r w:rsidRPr="00952C24">
        <w:rPr>
          <w:color w:val="000000"/>
          <w:sz w:val="22"/>
          <w:szCs w:val="22"/>
        </w:rPr>
        <w:t>Underdeveloped ethics</w:t>
      </w:r>
    </w:p>
    <w:p w14:paraId="50BA7EA7" w14:textId="77777777" w:rsidR="00304B7B" w:rsidRPr="00952C24" w:rsidRDefault="00304B7B" w:rsidP="00952C24">
      <w:pPr>
        <w:pStyle w:val="NormalWeb"/>
        <w:numPr>
          <w:ilvl w:val="0"/>
          <w:numId w:val="21"/>
        </w:numPr>
        <w:spacing w:line="360" w:lineRule="auto"/>
        <w:jc w:val="both"/>
        <w:rPr>
          <w:color w:val="000000"/>
          <w:sz w:val="22"/>
          <w:szCs w:val="22"/>
        </w:rPr>
      </w:pPr>
      <w:r w:rsidRPr="00952C24">
        <w:rPr>
          <w:color w:val="000000"/>
          <w:sz w:val="22"/>
          <w:szCs w:val="22"/>
        </w:rPr>
        <w:lastRenderedPageBreak/>
        <w:t>Mono-method design</w:t>
      </w:r>
    </w:p>
    <w:p w14:paraId="1D999DE5" w14:textId="77777777" w:rsidR="00304B7B" w:rsidRPr="00952C24" w:rsidRDefault="00304B7B"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4.10.3 Alternative Designs</w:t>
      </w:r>
    </w:p>
    <w:p w14:paraId="294B09C6" w14:textId="77777777" w:rsidR="00304B7B" w:rsidRPr="00952C24" w:rsidRDefault="00304B7B" w:rsidP="00952C24">
      <w:pPr>
        <w:pStyle w:val="NormalWeb"/>
        <w:spacing w:line="360" w:lineRule="auto"/>
        <w:jc w:val="both"/>
        <w:rPr>
          <w:color w:val="000000"/>
          <w:sz w:val="22"/>
          <w:szCs w:val="22"/>
        </w:rPr>
      </w:pPr>
      <w:r w:rsidRPr="00952C24">
        <w:rPr>
          <w:color w:val="000000"/>
          <w:sz w:val="22"/>
          <w:szCs w:val="22"/>
        </w:rPr>
        <w:t>A</w:t>
      </w:r>
      <w:r w:rsidRPr="00952C24">
        <w:rPr>
          <w:rStyle w:val="apple-converted-space"/>
          <w:color w:val="000000"/>
          <w:sz w:val="22"/>
          <w:szCs w:val="22"/>
        </w:rPr>
        <w:t> </w:t>
      </w:r>
      <w:r w:rsidRPr="00952C24">
        <w:rPr>
          <w:rStyle w:val="Strong"/>
          <w:rFonts w:eastAsiaTheme="majorEastAsia"/>
          <w:color w:val="000000"/>
          <w:sz w:val="22"/>
          <w:szCs w:val="22"/>
        </w:rPr>
        <w:t>mixed-methods critical realist design</w:t>
      </w:r>
      <w:r w:rsidRPr="00952C24">
        <w:rPr>
          <w:rStyle w:val="apple-converted-space"/>
          <w:color w:val="000000"/>
          <w:sz w:val="22"/>
          <w:szCs w:val="22"/>
        </w:rPr>
        <w:t> </w:t>
      </w:r>
      <w:r w:rsidRPr="00952C24">
        <w:rPr>
          <w:color w:val="000000"/>
          <w:sz w:val="22"/>
          <w:szCs w:val="22"/>
        </w:rPr>
        <w:t>could:</w:t>
      </w:r>
    </w:p>
    <w:p w14:paraId="2627501B" w14:textId="77777777" w:rsidR="00C11972" w:rsidRPr="00952C24" w:rsidRDefault="00C11972" w:rsidP="00952C24">
      <w:pPr>
        <w:pStyle w:val="NormalWeb"/>
        <w:numPr>
          <w:ilvl w:val="0"/>
          <w:numId w:val="22"/>
        </w:numPr>
        <w:spacing w:line="360" w:lineRule="auto"/>
        <w:jc w:val="both"/>
        <w:rPr>
          <w:color w:val="000000"/>
          <w:sz w:val="22"/>
          <w:szCs w:val="22"/>
        </w:rPr>
      </w:pPr>
      <w:r w:rsidRPr="00952C24">
        <w:rPr>
          <w:color w:val="000000"/>
          <w:sz w:val="22"/>
          <w:szCs w:val="22"/>
        </w:rPr>
        <w:t>Integrate interviews with performance metrics</w:t>
      </w:r>
    </w:p>
    <w:p w14:paraId="587C72B0" w14:textId="3948B90F" w:rsidR="00C11972" w:rsidRPr="00952C24" w:rsidRDefault="00C11972" w:rsidP="00952C24">
      <w:pPr>
        <w:pStyle w:val="NormalWeb"/>
        <w:numPr>
          <w:ilvl w:val="0"/>
          <w:numId w:val="22"/>
        </w:numPr>
        <w:spacing w:line="360" w:lineRule="auto"/>
        <w:jc w:val="both"/>
        <w:rPr>
          <w:color w:val="000000"/>
          <w:sz w:val="22"/>
          <w:szCs w:val="22"/>
        </w:rPr>
      </w:pPr>
      <w:r w:rsidRPr="00952C24">
        <w:rPr>
          <w:color w:val="000000"/>
          <w:sz w:val="22"/>
          <w:szCs w:val="22"/>
        </w:rPr>
        <w:t>Investigate causal mechanisms</w:t>
      </w:r>
    </w:p>
    <w:p w14:paraId="61D20303" w14:textId="77777777" w:rsidR="00C11972" w:rsidRPr="00952C24" w:rsidRDefault="00C11972" w:rsidP="00952C24">
      <w:pPr>
        <w:pStyle w:val="NormalWeb"/>
        <w:spacing w:line="360" w:lineRule="auto"/>
        <w:jc w:val="both"/>
        <w:rPr>
          <w:color w:val="000000"/>
          <w:sz w:val="22"/>
          <w:szCs w:val="22"/>
        </w:rPr>
      </w:pPr>
      <w:r w:rsidRPr="00952C24">
        <w:rPr>
          <w:color w:val="000000"/>
          <w:sz w:val="22"/>
          <w:szCs w:val="22"/>
        </w:rPr>
        <w:t>Increase the practical significance</w:t>
      </w:r>
    </w:p>
    <w:p w14:paraId="3655992E" w14:textId="1DE36CBB" w:rsidR="00304B7B" w:rsidRPr="00952C24" w:rsidRDefault="00C11972"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 xml:space="preserve">To help with decision-making, </w:t>
      </w:r>
      <w:r w:rsidRPr="00952C24">
        <w:rPr>
          <w:rFonts w:ascii="Times New Roman" w:eastAsia="Times New Roman" w:hAnsi="Times New Roman" w:cs="Times New Roman"/>
          <w:b/>
          <w:bCs/>
          <w:color w:val="000000"/>
          <w:lang w:val="en-BD" w:eastAsia="en-GB" w:bidi="bn-IN"/>
        </w:rPr>
        <w:t>a pragmatic design</w:t>
      </w:r>
      <w:r w:rsidRPr="00952C24">
        <w:rPr>
          <w:rFonts w:ascii="Times New Roman" w:eastAsia="Times New Roman" w:hAnsi="Times New Roman" w:cs="Times New Roman"/>
          <w:color w:val="000000"/>
          <w:lang w:val="en-BD" w:eastAsia="en-GB" w:bidi="bn-IN"/>
        </w:rPr>
        <w:t xml:space="preserve"> might incorporate managerial, consumer, and regulatory viewpoints.</w:t>
      </w:r>
    </w:p>
    <w:p w14:paraId="0731580A" w14:textId="77777777" w:rsidR="00C62A69" w:rsidRPr="00952C24" w:rsidRDefault="00C62A69"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4.11 Implications for DBA Research Design</w:t>
      </w:r>
    </w:p>
    <w:p w14:paraId="38063655" w14:textId="77777777" w:rsidR="00C11972" w:rsidRPr="00952C24" w:rsidRDefault="00C11972" w:rsidP="00952C24">
      <w:pPr>
        <w:pStyle w:val="NormalWeb"/>
        <w:spacing w:line="360" w:lineRule="auto"/>
        <w:jc w:val="both"/>
        <w:rPr>
          <w:color w:val="000000"/>
          <w:sz w:val="22"/>
          <w:szCs w:val="22"/>
        </w:rPr>
      </w:pPr>
      <w:r w:rsidRPr="00952C24">
        <w:rPr>
          <w:color w:val="000000"/>
          <w:sz w:val="22"/>
          <w:szCs w:val="22"/>
        </w:rPr>
        <w:t>The design of Doctor of Business Administration (DBA) research in the Fintech and banking fields is affected in a number of significant ways by this examination. DBA investigation, in contrast to standard PhD research, is specifically focused on professional practice, necessitating methodological rigour in addition to contextual sensitivity, ethical awareness, and practical relevance.</w:t>
      </w:r>
    </w:p>
    <w:p w14:paraId="05AA6C72" w14:textId="77777777" w:rsidR="00C11972" w:rsidRPr="00952C24" w:rsidRDefault="00C11972" w:rsidP="00952C24">
      <w:pPr>
        <w:pStyle w:val="NormalWeb"/>
        <w:spacing w:line="360" w:lineRule="auto"/>
        <w:jc w:val="both"/>
        <w:rPr>
          <w:color w:val="000000"/>
          <w:sz w:val="22"/>
          <w:szCs w:val="22"/>
        </w:rPr>
      </w:pPr>
      <w:r w:rsidRPr="00952C24">
        <w:rPr>
          <w:color w:val="000000"/>
          <w:sz w:val="22"/>
          <w:szCs w:val="22"/>
        </w:rPr>
        <w:t>First, philosophical presumptions should be made clear in DBA research. Because these presumptions influence research questions, methodological decisions, and interpretations of findings, researchers must explicitly state their ontological and epistemological stances, such as whether reality is seen as objective, socially created, or stratified. In addition to improving transparency, reflexivity, and coherence, explicit engagement with research philosophy helps practitioners and examiners assess the validity and applicability of the research.</w:t>
      </w:r>
    </w:p>
    <w:p w14:paraId="606DBA22" w14:textId="77777777" w:rsidR="00C11972" w:rsidRPr="00952C24" w:rsidRDefault="00C11972" w:rsidP="00952C24">
      <w:pPr>
        <w:pStyle w:val="NormalWeb"/>
        <w:spacing w:line="360" w:lineRule="auto"/>
        <w:jc w:val="both"/>
        <w:rPr>
          <w:color w:val="000000"/>
          <w:sz w:val="22"/>
          <w:szCs w:val="22"/>
        </w:rPr>
      </w:pPr>
      <w:r w:rsidRPr="00952C24">
        <w:rPr>
          <w:color w:val="000000"/>
          <w:sz w:val="22"/>
          <w:szCs w:val="22"/>
        </w:rPr>
        <w:t>Second, methodological pluralism should be incorporated into DBA research. Explanatory depth and useful insight are limited by the predominance of positivist, single-method methods in current Fintech research. Researchers can combine quantitative performance analysis with qualitative investigation of organisational processes, management sense-making, and institutional restrictions using mixed-methods, abductive, or critical realist approaches. In complicated and dynamic environments like the banking industry in Bangladesh, where sociocultural, technological, and regulatory elements interact constantly, such diversity is especially beneficial.</w:t>
      </w:r>
    </w:p>
    <w:p w14:paraId="709F3C1A"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lastRenderedPageBreak/>
        <w:t>Third, rather than being incidental issues, DBA research needs to incorporate ethics and reflexivity as key design factors. Significant ethical concerns about algorithmic prejudice, financial exclusion, cybersecurity, and data privacy are brought up by fintech. Since DBA researchers are frequently positioned as practitioner-scholars, they should be aware of how their own professional backgrounds, values, and power dynamics affect the creation of information. Integrating ethical reflexivity promotes responsible leadership practices and enhances the integrity of research.</w:t>
      </w:r>
    </w:p>
    <w:p w14:paraId="6B09AB0C"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Lastly, practice-relevant knowledge should be given priority in DBA research. The key benefit of DBA research is its ability to influence organisational transformation, policy formulation, and strategic decision-making, even though theoretical contributions are still significant. Therefore, research designs that address practical issues like governance frameworks, capability development, and sustainable Fintech integration should produce useful insights for managers, regulators, and policymakers.</w:t>
      </w:r>
    </w:p>
    <w:p w14:paraId="1E614992" w14:textId="729152B4" w:rsidR="00304B7B" w:rsidRPr="00952C24" w:rsidRDefault="00943C22" w:rsidP="00952C24">
      <w:pPr>
        <w:pStyle w:val="NormalWeb"/>
        <w:spacing w:line="360" w:lineRule="auto"/>
        <w:jc w:val="both"/>
        <w:rPr>
          <w:color w:val="000000"/>
          <w:sz w:val="22"/>
          <w:szCs w:val="22"/>
        </w:rPr>
      </w:pPr>
      <w:r w:rsidRPr="00952C24">
        <w:rPr>
          <w:color w:val="000000"/>
          <w:sz w:val="22"/>
          <w:szCs w:val="22"/>
        </w:rPr>
        <w:t>All of these issues highlight the necessity of DBA research designs that strike a balance between methodological flexibility, ethical sensitivity, managerial relevance, and philosophical rigour. This strategy improves DBA scholarship's contribution to professional practice and scholarly understanding in the quickly evolving Fintech-banking sector.</w:t>
      </w:r>
    </w:p>
    <w:p w14:paraId="401DABF6" w14:textId="77777777" w:rsidR="00304B7B" w:rsidRPr="00952C24" w:rsidRDefault="00304B7B"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4.12 Conclusion</w:t>
      </w:r>
    </w:p>
    <w:p w14:paraId="589ABF34" w14:textId="63B0D1CC" w:rsidR="00304B7B" w:rsidRPr="00952C24" w:rsidRDefault="00943C22" w:rsidP="00952C24">
      <w:pPr>
        <w:pStyle w:val="NormalWeb"/>
        <w:spacing w:line="360" w:lineRule="auto"/>
        <w:jc w:val="both"/>
        <w:rPr>
          <w:color w:val="000000"/>
          <w:sz w:val="22"/>
          <w:szCs w:val="22"/>
        </w:rPr>
      </w:pPr>
      <w:r w:rsidRPr="00952C24">
        <w:rPr>
          <w:color w:val="000000"/>
          <w:sz w:val="22"/>
          <w:szCs w:val="22"/>
        </w:rPr>
        <w:t>This thorough examination reveals that although Rahman et al. (2021) provide insightful empirical data, their research is restricted by positivist presumptions, a lack of reflexivity, and a limited ethical engagement. To produce significant insight into Fintech's impact in Bangladesh's banking industry, DBA research must adopt a more methodologically pluralist and philosophically informed approach.</w:t>
      </w:r>
    </w:p>
    <w:p w14:paraId="50246DA5" w14:textId="7F1AF6E2" w:rsidR="00304B7B" w:rsidRPr="00952C24" w:rsidRDefault="00304B7B" w:rsidP="00952C24">
      <w:pPr>
        <w:spacing w:before="100" w:beforeAutospacing="1" w:line="360" w:lineRule="auto"/>
        <w:jc w:val="both"/>
        <w:rPr>
          <w:rFonts w:ascii="Times New Roman" w:hAnsi="Times New Roman" w:cs="Times New Roman"/>
        </w:rPr>
      </w:pPr>
    </w:p>
    <w:p w14:paraId="259BD12E" w14:textId="77777777" w:rsidR="007A4413" w:rsidRPr="00952C24" w:rsidRDefault="007A4413" w:rsidP="00952C24">
      <w:pPr>
        <w:pStyle w:val="Heading1"/>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 Discussion and Contribution</w:t>
      </w:r>
    </w:p>
    <w:p w14:paraId="65B4A913"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5.1 Introduction</w:t>
      </w:r>
    </w:p>
    <w:p w14:paraId="4D6171FA"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 xml:space="preserve">In order to create a cohesive and reflective understanding of how research philosophy influences knowledge production in Fintech-banking research, especially in emerging economies like Bangladesh, this chapter incorporates insights from the critical literature review (Section 3) and the </w:t>
      </w:r>
      <w:r w:rsidRPr="00952C24">
        <w:rPr>
          <w:color w:val="000000"/>
          <w:sz w:val="22"/>
          <w:szCs w:val="22"/>
        </w:rPr>
        <w:lastRenderedPageBreak/>
        <w:t>philosophical and methodological analysis of the chosen study (Section 4). Such integration is crucial at the DBA level since the goal is to produce practice-relevant, morally sound, and context-sensitive insights for senior decision-makers in addition to expanding academic knowledge (Saunders, Lewis, and Thornhill, 2019).</w:t>
      </w:r>
    </w:p>
    <w:p w14:paraId="0D1B66AB" w14:textId="2EE83F77" w:rsidR="007A4413" w:rsidRPr="00952C24" w:rsidRDefault="00943C22"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The essay makes the case that the prevailing positivist paradigm in the Fintech literature has had a significant impact on what is investigated, how it is studied, and how results are evaluated. This paradigm has limited theoretical advancement, methodological diversity, and ethical engagement while simultaneously producing quantifiable proof of efficiency gains, inclusion results, and performance impacts. This chapter makes a unique contribution by combining philosophical critique with empirical evidence to show that philosophical awareness is a practical determinant of research quality, relevance, and responsibility rather than an abstract worry.</w:t>
      </w:r>
    </w:p>
    <w:p w14:paraId="6F3E54A2"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5.2 Integrating Insights from the Literature and Case Study Analysis</w:t>
      </w:r>
    </w:p>
    <w:p w14:paraId="4541B2A1" w14:textId="77777777"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5.2.1 Empirical Convergence and Philosophical Uniformity</w:t>
      </w:r>
    </w:p>
    <w:p w14:paraId="66A6E079"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Three major themes emerge from the literature reviewed in Section 3: risk and regulation, financial inclusion, and operational efficiency. Studies carried out in Bangladesh and similar emerging economies consistently support these themes (Rahman et al., 2021; Hasan et al., 2022; Kou et al., 2021). This convergence is demonstrated both practically and intellectually by the case study examined in Section 4.</w:t>
      </w:r>
    </w:p>
    <w:p w14:paraId="456313BA" w14:textId="77777777" w:rsidR="00943C22" w:rsidRPr="00952C24" w:rsidRDefault="00943C22"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But when taken as a whole, the literature shows a startling level of philosophical consistency. The vast majority of research uses deductive reasoning, objectivist ontologies, and positivist epistemologies. According to Easterby-Smith, Thorpe, and Jackson (2018), this alignment has led to a research landscape where Fintech is predominantly conceptualised as a technical and economic phenomenon rather than a socially entrenched and ethically disputed one.</w:t>
      </w:r>
    </w:p>
    <w:p w14:paraId="56BB6AA9" w14:textId="2ED1E5A1"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5.2.2 Knowledge Accumulation versus Knowledge Depth</w:t>
      </w:r>
    </w:p>
    <w:p w14:paraId="6BAF7DB9"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According to one viewpoint, this consistency has made it possible to accumulate cumulative knowledge through comparability and replication. Benchmarking, trend analysis, and policy review are all made possible by quantitative measures. However, Flyvbjerg (2006) contends that social science knowledge that emphasises generality frequently forfeits contextual understanding and depth.</w:t>
      </w:r>
    </w:p>
    <w:p w14:paraId="167ACD3E" w14:textId="1100E43A" w:rsidR="007A4413" w:rsidRPr="00952C24" w:rsidRDefault="00943C22"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lastRenderedPageBreak/>
        <w:t>This tension is amply demonstrated in the case study. Although Rahman et al. (2021) present statistically sound evidence that Fintech adoption is associated with bank performance, their findings provide little information on how these results are achieved, who benefits from them, and when they could fail. In Bangladesh, where institutional instability, deficiencies in digital literacy, and regulatory capability greatly influence Fintech results, this constraint becomes especially apparent (World Bank, 2023).</w:t>
      </w:r>
    </w:p>
    <w:p w14:paraId="002092A7"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5.3 How Philosophy Shapes Research Practice in This Field</w:t>
      </w:r>
    </w:p>
    <w:p w14:paraId="7CA6BCF2" w14:textId="77777777"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5.3.1 Ontology: Constructing the Reality of Fintech</w:t>
      </w:r>
    </w:p>
    <w:p w14:paraId="11A1308D"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The way that academics conceptualise the reality they are trying to study is based on ontological presumptions. The majority of the Fintech-banking literature treats reality as quantifiable, objective, and stable. Financial ratios and efficiency indicators are used to measure performance, whereas indices, usage rates, or investment levels are used to operationalise fintech adoption (Bunea, Kogan, and Stolin, 2021).</w:t>
      </w:r>
    </w:p>
    <w:p w14:paraId="7BBFACC4" w14:textId="77777777" w:rsidR="00943C22" w:rsidRPr="00952C24" w:rsidRDefault="00943C22"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Although this objectivist ontology makes analysis easier, it runs the risk of making Fintech a uniform phenomena. Fintech acceptance is actually uneven, contentious, and influenced by cultural norms, organisational politics, and regulatory interpretation (Orlikowski, 2007). According to Bhaskar (1978), a critical realism ontology would recognise that observed results are merely outward expressions of deeper causal mechanisms like managerial skill, institutional trust, and regulatory enforcement.</w:t>
      </w:r>
    </w:p>
    <w:p w14:paraId="3AB4CC07" w14:textId="7B656424"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5.3.2 Epistemology: What Counts as Legitimate Knowledge</w:t>
      </w:r>
    </w:p>
    <w:p w14:paraId="61E4D7FD"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In terms of epistemology, positivism rules the field, giving statistical significance, hypothesis testing, and predictive modelling top priority. By marginalising qualitative and interpretive kinds of information, this has influenced research practice. Consequently, analysis frequently ignores user experiences, employee sensemaking, and ethical quandaries (Crotty, 1998).</w:t>
      </w:r>
    </w:p>
    <w:p w14:paraId="2B73911E" w14:textId="77777777" w:rsidR="00943C22" w:rsidRPr="00952C24" w:rsidRDefault="00943C22"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lastRenderedPageBreak/>
        <w:t>Understanding phenomena like consumer mistrust of digital platforms, organisational change resistance, or the unofficial workarounds employed by frontline employees is hampered by the lack of interpretivist viewpoints. This constitutes a major epistemic gap for DBA research, which emphasises practical insight over abstract generalisation (Starkey and Madan, 2001).</w:t>
      </w:r>
    </w:p>
    <w:p w14:paraId="0B8CB7E2" w14:textId="2A020B2D"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5.3.3 Axiology: Values, Power, and Ethical Blind Spots</w:t>
      </w:r>
    </w:p>
    <w:p w14:paraId="6B5158DF"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The literature mostly ignores axiological issues. The truth that research decisions reflect normative priorities—particularly the prioritisation of efficiency, profitability, and competitiveness—is obscured by claims of value neutrality. Data privacy, algorithmic prejudice, and financial vulnerability are examples of ethical challenges that are frequently only partially acknowledged (Ahmed and Uddin, 2023).</w:t>
      </w:r>
    </w:p>
    <w:p w14:paraId="2FAE1657" w14:textId="38CF02BF" w:rsidR="007A4413" w:rsidRPr="00952C24" w:rsidRDefault="00943C22"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This lack of axiological engagement is problematic from a DBA standpoint. Fintech systems shift the balance of power between technology companies, banks, consumers, and regulators. Ignoring these dynamics runs the risk of generating information that marginalises vulnerable stakeholders and supports dominant interests (Alvesson and Deetz, 2000).</w:t>
      </w:r>
    </w:p>
    <w:p w14:paraId="449BD59B"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5.4 Implications for Theory</w:t>
      </w:r>
    </w:p>
    <w:p w14:paraId="295E7885" w14:textId="77777777"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5.4.1 Reassessing Dominant Theoretical Lenses</w:t>
      </w:r>
    </w:p>
    <w:p w14:paraId="4844993F" w14:textId="77777777" w:rsidR="00943C22" w:rsidRPr="00952C24" w:rsidRDefault="00943C22" w:rsidP="00952C24">
      <w:pPr>
        <w:pStyle w:val="NormalWeb"/>
        <w:spacing w:line="360" w:lineRule="auto"/>
        <w:jc w:val="both"/>
        <w:rPr>
          <w:color w:val="000000"/>
          <w:sz w:val="22"/>
          <w:szCs w:val="22"/>
        </w:rPr>
      </w:pPr>
      <w:r w:rsidRPr="00952C24">
        <w:rPr>
          <w:color w:val="000000"/>
          <w:sz w:val="22"/>
          <w:szCs w:val="22"/>
        </w:rPr>
        <w:t>Functionalist presumptions underpin theoretical frameworks that are often used in the literature, such as innovation diffusion theory and technological acceptance models. Although helpful in analysing adoption behaviour, they frequently overlook institutional limitations, structural inequity, and ethical issues (Venkatesh et al., 2012).</w:t>
      </w:r>
    </w:p>
    <w:p w14:paraId="68EFF718" w14:textId="77777777" w:rsidR="00943C22" w:rsidRPr="00952C24" w:rsidRDefault="00943C22"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According to the synthesis, theoretical creativity has been constrained by reliance on existing frameworks. With gradual empirical contributions rather than conceptual breakthroughs, the area runs the risk of becoming theoretically stagnant.</w:t>
      </w:r>
    </w:p>
    <w:p w14:paraId="5B474E77" w14:textId="3C24C03F"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5.4.2 Contribution to Theory through Philosophical Pluralism</w:t>
      </w:r>
    </w:p>
    <w:p w14:paraId="51FAA943" w14:textId="77777777" w:rsidR="00BA3C33" w:rsidRPr="00952C24" w:rsidRDefault="00BA3C33" w:rsidP="00952C24">
      <w:pPr>
        <w:pStyle w:val="NormalWeb"/>
        <w:spacing w:line="360" w:lineRule="auto"/>
        <w:jc w:val="both"/>
        <w:rPr>
          <w:color w:val="000000"/>
          <w:sz w:val="22"/>
          <w:szCs w:val="22"/>
        </w:rPr>
      </w:pPr>
      <w:r w:rsidRPr="00952C24">
        <w:rPr>
          <w:color w:val="000000"/>
          <w:sz w:val="22"/>
          <w:szCs w:val="22"/>
        </w:rPr>
        <w:t xml:space="preserve">By promoting philosophical diversity, this study makes a theoretical contribution. While pragmatism would encourage the creation of theories based on management problem-solving, </w:t>
      </w:r>
      <w:r w:rsidRPr="00952C24">
        <w:rPr>
          <w:color w:val="000000"/>
          <w:sz w:val="22"/>
          <w:szCs w:val="22"/>
        </w:rPr>
        <w:lastRenderedPageBreak/>
        <w:t>critical realism would allow academics to go beyond correlation towards explanation (Morgan, 2007).</w:t>
      </w:r>
    </w:p>
    <w:p w14:paraId="3C9F1FE8" w14:textId="418C275F" w:rsidR="007A4413" w:rsidRPr="00952C24" w:rsidRDefault="00BA3C33"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Constructivist viewpoints may also shed light on how adoption and results are influenced by meanings associated with Fintech, such as legitimacy, risk, or trust. This kind of integration would improve theory and make it more applicable to situations involving rising economies.</w:t>
      </w:r>
    </w:p>
    <w:p w14:paraId="3F97E910"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5.5 Implications for Methodological Choices</w:t>
      </w:r>
    </w:p>
    <w:p w14:paraId="662364F2" w14:textId="77777777" w:rsidR="00C62A69" w:rsidRPr="00952C24" w:rsidRDefault="00C62A69"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5.5.1 Moving Beyond Positivist Dominance</w:t>
      </w:r>
    </w:p>
    <w:p w14:paraId="1F9603D8" w14:textId="77777777" w:rsidR="00724663" w:rsidRPr="00952C24" w:rsidRDefault="00724663" w:rsidP="00952C24">
      <w:pPr>
        <w:pStyle w:val="NormalWeb"/>
        <w:spacing w:line="360" w:lineRule="auto"/>
        <w:jc w:val="both"/>
        <w:rPr>
          <w:color w:val="000000"/>
          <w:sz w:val="22"/>
          <w:szCs w:val="22"/>
        </w:rPr>
      </w:pPr>
      <w:r w:rsidRPr="00952C24">
        <w:rPr>
          <w:color w:val="000000"/>
          <w:sz w:val="22"/>
          <w:szCs w:val="22"/>
        </w:rPr>
        <w:t>A strong positivist approach that emphasises measurement, prediction, and statistical generalisability is seen in the Fintech-banking literature's prevalence of quantitative, cross-sectional study designs. These methods are useful for finding relationships between Fintech adoption and performance metrics, but they severely restrict contextual understanding and causal inference. Because cross-sectional data only records relationships at one particular moment in time, it is difficult to explain how and why Fintech initiatives create specific results or why similar technologies provide different outcomes in different organisational contexts.</w:t>
      </w:r>
    </w:p>
    <w:p w14:paraId="1862DF62" w14:textId="77777777" w:rsidR="00724663" w:rsidRPr="00952C24" w:rsidRDefault="00724663" w:rsidP="00952C24">
      <w:pPr>
        <w:pStyle w:val="NormalWeb"/>
        <w:spacing w:line="360" w:lineRule="auto"/>
        <w:jc w:val="both"/>
        <w:rPr>
          <w:color w:val="000000"/>
          <w:sz w:val="22"/>
          <w:szCs w:val="22"/>
        </w:rPr>
      </w:pPr>
      <w:r w:rsidRPr="00952C24">
        <w:rPr>
          <w:color w:val="000000"/>
          <w:sz w:val="22"/>
          <w:szCs w:val="22"/>
        </w:rPr>
        <w:t>Because professional practice is intrinsically dynamic, socially grounded, and affected by institutional restrictions, this methodological dominance is problematic from a DBA standpoint. Positivist designs frequently regard organisations as homogeneous units, ignoring the importance of stakeholder relationships, organisational culture, managerial judgement, and regulatory pressures. For practitioners looking to strategically and responsibly apply Fintech within particular organisational settings, the results may therefore provide little assistance.</w:t>
      </w:r>
    </w:p>
    <w:p w14:paraId="5604AC7A" w14:textId="77777777" w:rsidR="00724663" w:rsidRPr="00952C24" w:rsidRDefault="00724663" w:rsidP="00952C24">
      <w:pPr>
        <w:pStyle w:val="NormalWeb"/>
        <w:spacing w:line="360" w:lineRule="auto"/>
        <w:jc w:val="both"/>
        <w:rPr>
          <w:color w:val="000000"/>
          <w:sz w:val="22"/>
          <w:szCs w:val="22"/>
        </w:rPr>
      </w:pPr>
      <w:r w:rsidRPr="00952C24">
        <w:rPr>
          <w:color w:val="000000"/>
          <w:sz w:val="22"/>
          <w:szCs w:val="22"/>
        </w:rPr>
        <w:t xml:space="preserve">Using </w:t>
      </w:r>
      <w:r w:rsidRPr="00952C24">
        <w:rPr>
          <w:b/>
          <w:bCs/>
          <w:color w:val="000000"/>
          <w:sz w:val="22"/>
          <w:szCs w:val="22"/>
        </w:rPr>
        <w:t>mixed-methods approaches</w:t>
      </w:r>
      <w:r w:rsidRPr="00952C24">
        <w:rPr>
          <w:color w:val="000000"/>
          <w:sz w:val="22"/>
          <w:szCs w:val="22"/>
        </w:rPr>
        <w:t xml:space="preserve"> offers a workable option to get around these restrictions. Researchers can triangulate empirical findings and create more comprehensive interpretations of observed trends by combining quantitative surveys with qualitative interviews, focus groups, or case studies (Creswell and Plano Clark, 2018). While qualitative insights shed light on underlying mechanisms, decision-making processes, and environmental contingencies, quantitative data can determine the extent and direction of relationships. For instance, managerial interviews that describe how workflow redesign, staff capabilities, or vendor relationships contribute to efficiency benefits might be used to supplement survey results.</w:t>
      </w:r>
    </w:p>
    <w:p w14:paraId="7BC0BE76" w14:textId="77777777" w:rsidR="00724663" w:rsidRPr="00952C24" w:rsidRDefault="00724663"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lastRenderedPageBreak/>
        <w:t>Furthermore, pragmatic and critical realism philosophical frameworks, which acknowledge both observable results and underlying causal mechanisms, are closely aligned with mixed-methods designs. Because they encourage problem-centered inquiry and provide information that is both theoretically sound and practically applicable, these paradigms are especially well suited to DBA research. Therefore, overcoming positivist dominance strengthens the total contribution of Fintech research to doctoral-level business practice by improving methodological robustness, ethical sensitivity, and practical relevance.</w:t>
      </w:r>
    </w:p>
    <w:p w14:paraId="1A2B0EB4" w14:textId="4260198B"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5.5.2 Critical Realist and Abductive Designs</w:t>
      </w:r>
    </w:p>
    <w:p w14:paraId="483EAD4F" w14:textId="77777777" w:rsidR="009537DB" w:rsidRPr="00952C24" w:rsidRDefault="009537DB"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Fintech research is especially well-suited to critical realist approaches that use abductive and retroductive reasoning. These methods allow researchers to hypothesise about unobservable mechanisms that produce observable results, like institutional trust or regulatory capability (Danermark et al., 2002).</w:t>
      </w:r>
    </w:p>
    <w:p w14:paraId="22B3D6CA" w14:textId="4505E79D"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 xml:space="preserve">5.5.3 Enhancing </w:t>
      </w:r>
      <w:r w:rsidR="008F7E6D" w:rsidRPr="00952C24">
        <w:rPr>
          <w:rFonts w:ascii="Times New Roman" w:hAnsi="Times New Roman" w:cs="Times New Roman"/>
          <w:color w:val="000000"/>
        </w:rPr>
        <w:t>Rigor</w:t>
      </w:r>
      <w:r w:rsidRPr="00952C24">
        <w:rPr>
          <w:rFonts w:ascii="Times New Roman" w:hAnsi="Times New Roman" w:cs="Times New Roman"/>
          <w:color w:val="000000"/>
        </w:rPr>
        <w:t xml:space="preserve"> and Trustworthiness</w:t>
      </w:r>
    </w:p>
    <w:p w14:paraId="0ADBDB4E" w14:textId="55303356" w:rsidR="007A4413" w:rsidRPr="00952C24" w:rsidRDefault="009537DB"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Additionally, methodological diversity would improve the calibre of the research. The overall reliability of results can be strengthened by adding qualitative credibility, dependability, and transferability to quantitative validity (Lincoln and Guba, 1985).</w:t>
      </w:r>
    </w:p>
    <w:p w14:paraId="2F78E3AD"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lastRenderedPageBreak/>
        <w:t>5.6 Implications for Management and Practice</w:t>
      </w:r>
    </w:p>
    <w:p w14:paraId="4BC3415C" w14:textId="77777777"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5.6.1 Rethinking Strategic Narratives</w:t>
      </w:r>
    </w:p>
    <w:p w14:paraId="0E66F107" w14:textId="77777777" w:rsidR="009537DB" w:rsidRPr="00952C24" w:rsidRDefault="009537DB"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The results warn bank executives against considering Fintech adoption as an investment that only improves performance. Alignment with organisational culture, staff competency, and moral governance frameworks are essential for strategic success (Porter and Heppelmann, 2015).</w:t>
      </w:r>
    </w:p>
    <w:p w14:paraId="087530B5" w14:textId="69FC481A"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5.6.2 Ethical and Responsible Management</w:t>
      </w:r>
    </w:p>
    <w:p w14:paraId="4E6DCD0C" w14:textId="77777777" w:rsidR="009537DB" w:rsidRPr="00952C24" w:rsidRDefault="009537DB"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Data privacy, algorithmic transparency, and financial exclusion are just a few of the ethical challenges that managers need to actively address. Ethics-focused research can enhance long-term legitimacy and responsible decision-making (Floridi et al., 2018).</w:t>
      </w:r>
    </w:p>
    <w:p w14:paraId="5B54B477" w14:textId="7291621C" w:rsidR="007A4413" w:rsidRPr="00952C24" w:rsidRDefault="007A4413" w:rsidP="00952C24">
      <w:pPr>
        <w:pStyle w:val="Heading3"/>
        <w:spacing w:before="100" w:beforeAutospacing="1" w:line="360" w:lineRule="auto"/>
        <w:jc w:val="both"/>
        <w:rPr>
          <w:rFonts w:ascii="Times New Roman" w:hAnsi="Times New Roman" w:cs="Times New Roman"/>
          <w:color w:val="000000"/>
        </w:rPr>
      </w:pPr>
      <w:r w:rsidRPr="00952C24">
        <w:rPr>
          <w:rFonts w:ascii="Times New Roman" w:hAnsi="Times New Roman" w:cs="Times New Roman"/>
          <w:color w:val="000000"/>
        </w:rPr>
        <w:t>5.6.3 Regulatory and Policy Relevance</w:t>
      </w:r>
    </w:p>
    <w:p w14:paraId="0F6BD601" w14:textId="136BF525" w:rsidR="007A4413" w:rsidRPr="00952C24" w:rsidRDefault="009537DB"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Philosophically grounded research provides policymakers with a more sophisticated understanding of regulation design. Regulators demand anticipatory governance based on institutional and ethical analysis rather than reactive compliance frameworks (Arner, Barberis, and Buckley, 2017).</w:t>
      </w:r>
    </w:p>
    <w:p w14:paraId="36FDA614"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5.7 Implications for DBA-Level Research Design</w:t>
      </w:r>
    </w:p>
    <w:p w14:paraId="167A95AD" w14:textId="77777777" w:rsidR="000231AD" w:rsidRPr="00952C24" w:rsidRDefault="000231AD"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5.7.1 Distinctive Contribution of DBA Research</w:t>
      </w:r>
    </w:p>
    <w:p w14:paraId="2E671E9D" w14:textId="77777777" w:rsidR="009537DB" w:rsidRPr="00952C24" w:rsidRDefault="009537DB" w:rsidP="00952C24">
      <w:pPr>
        <w:pStyle w:val="NormalWeb"/>
        <w:spacing w:line="360" w:lineRule="auto"/>
        <w:jc w:val="both"/>
        <w:rPr>
          <w:color w:val="000000"/>
          <w:sz w:val="22"/>
          <w:szCs w:val="22"/>
        </w:rPr>
      </w:pPr>
      <w:r w:rsidRPr="00952C24">
        <w:rPr>
          <w:color w:val="000000"/>
          <w:sz w:val="22"/>
          <w:szCs w:val="22"/>
        </w:rPr>
        <w:t>The unique characteristics of Doctor of Business Administration (DBA) research, which are essentially practice-oriented, reflective, and ethically involved, are further supported by this study. DBA investigation is specifically intended to solve difficult administrative problems located within actual organisational and societal contexts, in contrast to typical PhD research, which frequently prioritises theory building and methodological creativity. According to Bourner, Bowden, and Laing (2001), DBA research has to explicitly address professional judgement, managerial values, and the wider ramifications of corporate decision-making.</w:t>
      </w:r>
    </w:p>
    <w:p w14:paraId="18B534F1" w14:textId="77777777" w:rsidR="009537DB" w:rsidRPr="00952C24" w:rsidRDefault="009537DB" w:rsidP="00952C24">
      <w:pPr>
        <w:pStyle w:val="NormalWeb"/>
        <w:spacing w:line="360" w:lineRule="auto"/>
        <w:jc w:val="both"/>
        <w:rPr>
          <w:color w:val="000000"/>
          <w:sz w:val="22"/>
          <w:szCs w:val="22"/>
        </w:rPr>
      </w:pPr>
      <w:r w:rsidRPr="00952C24">
        <w:rPr>
          <w:color w:val="000000"/>
          <w:sz w:val="22"/>
          <w:szCs w:val="22"/>
        </w:rPr>
        <w:t xml:space="preserve">This divide is especially important when it comes to Fintech and banking. Adoption of fintech entails not just technology innovation but also strategic decisions that have far-reaching effects on workers, clients, authorities, and communities that are financially susceptible. Therefore, it is the duty of DBA research to go beyond specific performance indicators and investigate how </w:t>
      </w:r>
      <w:r w:rsidRPr="00952C24">
        <w:rPr>
          <w:color w:val="000000"/>
          <w:sz w:val="22"/>
          <w:szCs w:val="22"/>
        </w:rPr>
        <w:lastRenderedPageBreak/>
        <w:t>institutional constraints, conflicting stakeholder interests, and ethical issues influence managerial decisions.</w:t>
      </w:r>
    </w:p>
    <w:p w14:paraId="45687FAE" w14:textId="77777777" w:rsidR="009537DB" w:rsidRPr="00952C24" w:rsidRDefault="009537DB" w:rsidP="00952C24">
      <w:pPr>
        <w:pStyle w:val="NormalWeb"/>
        <w:spacing w:line="360" w:lineRule="auto"/>
        <w:jc w:val="both"/>
        <w:rPr>
          <w:color w:val="000000"/>
          <w:sz w:val="22"/>
          <w:szCs w:val="22"/>
        </w:rPr>
      </w:pPr>
      <w:r w:rsidRPr="00952C24">
        <w:rPr>
          <w:color w:val="000000"/>
          <w:sz w:val="22"/>
          <w:szCs w:val="22"/>
        </w:rPr>
        <w:t>Reflexivity is a characteristic of DBA research, particularly in areas where the roles of researcher and practitioner converge. Research design and interpretation are frequently influenced by DBA candidates' personal work experiences. When combined with critical self-awareness and a clear recognition of positionality, this embeddedness is a strength rather than a weakness. Reflexive DBA research acknowledges that knowledge is not found through objective observation, but rather is co-produced through interaction between theory and practice.</w:t>
      </w:r>
    </w:p>
    <w:p w14:paraId="5E848661" w14:textId="77777777" w:rsidR="009537DB" w:rsidRPr="00952C24" w:rsidRDefault="009537DB" w:rsidP="00952C24">
      <w:pPr>
        <w:pStyle w:val="NormalWeb"/>
        <w:spacing w:line="360" w:lineRule="auto"/>
        <w:jc w:val="both"/>
        <w:rPr>
          <w:color w:val="000000"/>
          <w:sz w:val="22"/>
          <w:szCs w:val="22"/>
        </w:rPr>
      </w:pPr>
      <w:r w:rsidRPr="00952C24">
        <w:rPr>
          <w:color w:val="000000"/>
          <w:sz w:val="22"/>
          <w:szCs w:val="22"/>
        </w:rPr>
        <w:t>Additionally, by producing useful knowledge that influences organisational change and leadership practice, DBA research makes a unique contribution. DBA outcomes are anticipated to assist responsible decision-making, policy formation, and sustainable business models, as opposed to abstract theoretical generalisation. This involves tackling ethical issues including data privacy, digital exclusion, and regulatory responsibility in addition to efficiency and innovation in Bangladesh's banking industry.</w:t>
      </w:r>
    </w:p>
    <w:p w14:paraId="639F9812" w14:textId="77777777" w:rsidR="009537DB" w:rsidRPr="00952C24" w:rsidRDefault="009537DB"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Overall</w:t>
      </w:r>
      <w:r w:rsidRPr="00952C24">
        <w:rPr>
          <w:rFonts w:ascii="Times New Roman" w:eastAsia="Times New Roman" w:hAnsi="Times New Roman" w:cs="Times New Roman"/>
          <w:b w:val="0"/>
          <w:bCs w:val="0"/>
          <w:color w:val="auto"/>
          <w:lang w:val="en-BD" w:eastAsia="en-GB" w:bidi="bn-IN"/>
        </w:rPr>
        <w:t>, this study shows that the value of DBA research is found in its capacity to combine methodological variety, philosophical rigour, and ethical awareness to generate knowledge that is both practically and academically significant. This unique approach contributes to the changing character of DBA scholarship and enhances the applicability of Fintech research for modern management practice.</w:t>
      </w:r>
    </w:p>
    <w:p w14:paraId="2C5271F3" w14:textId="280BB15A" w:rsidR="000231AD" w:rsidRPr="00952C24" w:rsidRDefault="000231AD"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5.7.2 Designing Reflexive DBA Studies</w:t>
      </w:r>
    </w:p>
    <w:p w14:paraId="7365616B" w14:textId="44CCB6CC" w:rsidR="00822865" w:rsidRPr="00952C24" w:rsidRDefault="00822865" w:rsidP="00952C24">
      <w:pPr>
        <w:pStyle w:val="NormalWeb"/>
        <w:spacing w:line="360" w:lineRule="auto"/>
        <w:jc w:val="both"/>
        <w:rPr>
          <w:color w:val="000000"/>
          <w:sz w:val="22"/>
          <w:szCs w:val="22"/>
        </w:rPr>
      </w:pPr>
      <w:r w:rsidRPr="00952C24">
        <w:rPr>
          <w:color w:val="000000"/>
          <w:sz w:val="22"/>
          <w:szCs w:val="22"/>
        </w:rPr>
        <w:t xml:space="preserve">Future DBA researchers should have a deliberately reflective approach to research design, clearly stating their philosophical stance, defending methodological decisions, and critically examining their own institutional and professional positionality. Because DBA researchers frequently have dual roles as practitioners and scholars, personal experience, values, and </w:t>
      </w:r>
      <w:r w:rsidR="008F7E6D">
        <w:rPr>
          <w:color w:val="000000"/>
          <w:sz w:val="22"/>
          <w:szCs w:val="22"/>
        </w:rPr>
        <w:t>organizational</w:t>
      </w:r>
      <w:r w:rsidRPr="00952C24">
        <w:rPr>
          <w:color w:val="000000"/>
          <w:sz w:val="22"/>
          <w:szCs w:val="22"/>
        </w:rPr>
        <w:t xml:space="preserve"> affiliations invariably influence the research process and the information generated. This is why reflexivity is so important.</w:t>
      </w:r>
    </w:p>
    <w:p w14:paraId="74B57C0C" w14:textId="1475501D" w:rsidR="00D53D74" w:rsidRPr="00952C24" w:rsidRDefault="00D53D74" w:rsidP="00952C24">
      <w:pPr>
        <w:pStyle w:val="NormalWeb"/>
        <w:spacing w:line="360" w:lineRule="auto"/>
        <w:jc w:val="both"/>
        <w:rPr>
          <w:sz w:val="22"/>
          <w:szCs w:val="22"/>
        </w:rPr>
      </w:pPr>
      <w:r w:rsidRPr="00952C24">
        <w:rPr>
          <w:sz w:val="22"/>
          <w:szCs w:val="22"/>
        </w:rPr>
        <w:t xml:space="preserve">Conceptual clarity and methodological coherence are improved by articulating philosophical positioning, which includes ontological presumptions about the nature of </w:t>
      </w:r>
      <w:r w:rsidR="008F7E6D">
        <w:rPr>
          <w:sz w:val="22"/>
          <w:szCs w:val="22"/>
        </w:rPr>
        <w:t>organizational</w:t>
      </w:r>
      <w:r w:rsidRPr="00952C24">
        <w:rPr>
          <w:sz w:val="22"/>
          <w:szCs w:val="22"/>
        </w:rPr>
        <w:t xml:space="preserve"> reality and epistemological ideas about how knowledge may be produced. A critical realism perspective, for instance, </w:t>
      </w:r>
      <w:r w:rsidR="008F7E6D">
        <w:rPr>
          <w:sz w:val="22"/>
          <w:szCs w:val="22"/>
        </w:rPr>
        <w:t>recognizes</w:t>
      </w:r>
      <w:r w:rsidRPr="00952C24">
        <w:rPr>
          <w:sz w:val="22"/>
          <w:szCs w:val="22"/>
        </w:rPr>
        <w:t xml:space="preserve"> both observable results (like performance measures) and underlying causal </w:t>
      </w:r>
      <w:r w:rsidRPr="00952C24">
        <w:rPr>
          <w:sz w:val="22"/>
          <w:szCs w:val="22"/>
        </w:rPr>
        <w:lastRenderedPageBreak/>
        <w:t>mechanisms (including organisational culture, managerial decision-making, and regulatory restrictions). Readers are better able to comprehend the extent, constraints, and reliability of research findings when these presumptions are made clear.</w:t>
      </w:r>
    </w:p>
    <w:p w14:paraId="361986D4" w14:textId="6E34C2F3" w:rsidR="000231AD" w:rsidRPr="00952C24" w:rsidRDefault="00255355" w:rsidP="00952C24">
      <w:pPr>
        <w:pStyle w:val="NormalWeb"/>
        <w:spacing w:line="360" w:lineRule="auto"/>
        <w:jc w:val="both"/>
        <w:rPr>
          <w:color w:val="000000"/>
          <w:sz w:val="22"/>
          <w:szCs w:val="22"/>
        </w:rPr>
      </w:pPr>
      <w:r w:rsidRPr="00952C24">
        <w:rPr>
          <w:color w:val="000000"/>
          <w:sz w:val="22"/>
          <w:szCs w:val="22"/>
        </w:rPr>
        <w:t>Justifying methodological decisions is just as crucial. By choosing approaches that are suitable for the study problem rather than relying on prevailing paradigms, reflexive DBA research goes above methodological convention. For complicated and dynamic phenomena like the adoption of Fintech in banking, mixed-methods, longitudinal designs, or abductive procedures may be especially appropriate. Explicit justification promotes alignment between study topics, data collecting, and analytical methods and shows rigour.</w:t>
      </w:r>
      <w:r w:rsidR="000231AD" w:rsidRPr="00952C24">
        <w:rPr>
          <w:color w:val="000000"/>
          <w:sz w:val="22"/>
          <w:szCs w:val="22"/>
        </w:rPr>
        <w:t>Reflection on</w:t>
      </w:r>
      <w:r w:rsidR="000231AD" w:rsidRPr="00952C24">
        <w:rPr>
          <w:rStyle w:val="apple-converted-space"/>
          <w:color w:val="000000"/>
          <w:sz w:val="22"/>
          <w:szCs w:val="22"/>
        </w:rPr>
        <w:t> </w:t>
      </w:r>
      <w:r w:rsidR="000231AD" w:rsidRPr="00952C24">
        <w:rPr>
          <w:rStyle w:val="Strong"/>
          <w:color w:val="000000"/>
          <w:sz w:val="22"/>
          <w:szCs w:val="22"/>
        </w:rPr>
        <w:t>researcher positionality</w:t>
      </w:r>
      <w:r w:rsidR="000231AD" w:rsidRPr="00952C24">
        <w:rPr>
          <w:rStyle w:val="apple-converted-space"/>
          <w:color w:val="000000"/>
          <w:sz w:val="22"/>
          <w:szCs w:val="22"/>
        </w:rPr>
        <w:t> </w:t>
      </w:r>
      <w:r w:rsidR="000231AD" w:rsidRPr="00952C24">
        <w:rPr>
          <w:color w:val="000000"/>
          <w:sz w:val="22"/>
          <w:szCs w:val="22"/>
        </w:rPr>
        <w:t>further strengthens DBA research by acknowledging how professional background, power relations, and normative assumptions influence research framing and interpretation. For practitioner-researchers in banking, this may involve examining assumptions about efficiency, innovation, and digital transformation, and considering how these shape interactions with participants and the interpretation of empirical data.</w:t>
      </w:r>
    </w:p>
    <w:p w14:paraId="0FEF2B9E" w14:textId="77777777" w:rsidR="00255355" w:rsidRPr="00952C24" w:rsidRDefault="00255355" w:rsidP="00952C24">
      <w:pPr>
        <w:pStyle w:val="Heading3"/>
        <w:spacing w:before="100" w:beforeAutospacing="1" w:line="360" w:lineRule="auto"/>
        <w:jc w:val="both"/>
        <w:rPr>
          <w:rFonts w:ascii="Times New Roman" w:eastAsia="Times New Roman" w:hAnsi="Times New Roman" w:cs="Times New Roman"/>
          <w:b w:val="0"/>
          <w:bCs w:val="0"/>
          <w:color w:val="000000"/>
          <w:lang w:val="en-BD" w:eastAsia="en-GB" w:bidi="bn-IN"/>
        </w:rPr>
      </w:pPr>
      <w:r w:rsidRPr="00952C24">
        <w:rPr>
          <w:rFonts w:ascii="Times New Roman" w:eastAsia="Times New Roman" w:hAnsi="Times New Roman" w:cs="Times New Roman"/>
          <w:b w:val="0"/>
          <w:bCs w:val="0"/>
          <w:color w:val="000000"/>
          <w:lang w:val="en-BD" w:eastAsia="en-GB" w:bidi="bn-IN"/>
        </w:rPr>
        <w:t>By showing how philosophical commitments at the outer layers influence methodological choices at each subsequent stage, the Research Onion (Saunders et al., 2019) offers a useful integrative framework for creating reflexive DBA studies. Researchers may guarantee internal coherence, improve transparency, and generate practice-relevant information that is academically sound, morally conscious, and philosophically informed by using the Research Onion reflexively.</w:t>
      </w:r>
    </w:p>
    <w:p w14:paraId="647285EB" w14:textId="12BA4B80" w:rsidR="000231AD" w:rsidRPr="00952C24" w:rsidRDefault="000231AD" w:rsidP="00952C24">
      <w:pPr>
        <w:pStyle w:val="Heading3"/>
        <w:spacing w:before="100" w:beforeAutospacing="1" w:line="360" w:lineRule="auto"/>
        <w:jc w:val="both"/>
        <w:rPr>
          <w:rFonts w:ascii="Times New Roman" w:hAnsi="Times New Roman" w:cs="Times New Roman"/>
          <w:color w:val="000000"/>
        </w:rPr>
      </w:pPr>
      <w:r w:rsidRPr="00952C24">
        <w:rPr>
          <w:rStyle w:val="Strong"/>
          <w:rFonts w:ascii="Times New Roman" w:hAnsi="Times New Roman" w:cs="Times New Roman"/>
          <w:b/>
          <w:bCs/>
          <w:color w:val="000000"/>
        </w:rPr>
        <w:t>5.7.3 Original Contribution to Professional Knowledge</w:t>
      </w:r>
    </w:p>
    <w:p w14:paraId="297247D8"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This study's unique contribution is proving that philosophical reflexivity is a practical facilitator of thorough and significant DBA research rather than just a theoretical issue. This study demonstrates how reflexivity enhances academic legitimacy and professional relevance in Fintech and banking research by methodically analysing and making clear ontological, epistemological, and axiological assumptions.</w:t>
      </w:r>
    </w:p>
    <w:p w14:paraId="668A6175"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 xml:space="preserve">Philosophical reflexivity improves conceptual clarity, methodological consistency, and transparency, all of which contribute to increased rigour from an academic standpoint. Research designs can be assessed not just on technical grounds but also in terms of their underlying assumptions and constraints when philosophical orientation is explicitly articulated. By making it </w:t>
      </w:r>
      <w:r w:rsidRPr="00952C24">
        <w:rPr>
          <w:color w:val="000000"/>
          <w:sz w:val="22"/>
          <w:szCs w:val="22"/>
        </w:rPr>
        <w:lastRenderedPageBreak/>
        <w:t>clear what kinds of statements are acceptable, this helps to develop stronger theories by preventing overgeneralisation and unchecked bias.</w:t>
      </w:r>
    </w:p>
    <w:p w14:paraId="515BB8F2"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Reflexive DBA research produces information that is actionable, morally sound, and context-sensitive from the standpoint of professional practice. Managerial choices are influenced by institutional limitations, conflicting stakeholder interests, and regulatory ambiguity in complex domains like Fintech adoption in Bangladesh's banking industry. Reflexive research supports responsible leadership and strategic decision-making by recognising these realities and offering insights that more accurately represent practitioners' lived experiences.</w:t>
      </w:r>
    </w:p>
    <w:p w14:paraId="1E771138"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By redefining Fintech as a socially embedded activity influenced by values, power dynamics, and ethical considerations rather than just a technology or performance-driven phenomenon, this work significantly advances professional understanding. This change makes it possible for DBA researchers and practitioners to evaluate critically not just whether Fintech enhances performance but also for whom, in what circumstances, and at what expense.</w:t>
      </w:r>
    </w:p>
    <w:p w14:paraId="2EBB526F" w14:textId="78A937CB" w:rsidR="007A4413" w:rsidRPr="00952C24" w:rsidRDefault="00255355"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Overall, the study shows that by bridging the gap between theory and practice, philosophical reflexivity increases the influence of DBA scholarship. DBA researchers may generate information that is credible in academic discourse, ethically responsible, and useful for professional practice by being clear about their assumptions and critically interacting with values and environment.</w:t>
      </w:r>
    </w:p>
    <w:p w14:paraId="6356383A" w14:textId="77777777" w:rsidR="007A4413" w:rsidRPr="00952C24" w:rsidRDefault="007A4413"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5.8 Summary of Contributions</w:t>
      </w:r>
    </w:p>
    <w:p w14:paraId="7DB7E2FB" w14:textId="77777777" w:rsidR="007A4413" w:rsidRPr="00952C24" w:rsidRDefault="007A4413" w:rsidP="00952C24">
      <w:pPr>
        <w:pStyle w:val="NormalWeb"/>
        <w:spacing w:line="360" w:lineRule="auto"/>
        <w:jc w:val="both"/>
        <w:rPr>
          <w:color w:val="000000"/>
          <w:sz w:val="22"/>
          <w:szCs w:val="22"/>
        </w:rPr>
      </w:pPr>
      <w:r w:rsidRPr="00952C24">
        <w:rPr>
          <w:color w:val="000000"/>
          <w:sz w:val="22"/>
          <w:szCs w:val="22"/>
        </w:rPr>
        <w:t>This chapter makes four interrelated contributions:</w:t>
      </w:r>
    </w:p>
    <w:p w14:paraId="128BB631" w14:textId="77777777" w:rsidR="007A4413" w:rsidRPr="00952C24" w:rsidRDefault="007A4413" w:rsidP="00952C24">
      <w:pPr>
        <w:pStyle w:val="NormalWeb"/>
        <w:numPr>
          <w:ilvl w:val="0"/>
          <w:numId w:val="24"/>
        </w:numPr>
        <w:spacing w:line="360" w:lineRule="auto"/>
        <w:jc w:val="both"/>
        <w:rPr>
          <w:color w:val="000000"/>
          <w:sz w:val="22"/>
          <w:szCs w:val="22"/>
        </w:rPr>
      </w:pPr>
      <w:r w:rsidRPr="00952C24">
        <w:rPr>
          <w:rStyle w:val="Strong"/>
          <w:rFonts w:eastAsiaTheme="majorEastAsia"/>
          <w:color w:val="000000"/>
          <w:sz w:val="22"/>
          <w:szCs w:val="22"/>
        </w:rPr>
        <w:t>Philosophical</w:t>
      </w:r>
      <w:r w:rsidRPr="00952C24">
        <w:rPr>
          <w:color w:val="000000"/>
          <w:sz w:val="22"/>
          <w:szCs w:val="22"/>
        </w:rPr>
        <w:t>: It demonstrates how ontological, epistemological, and axiological assumptions shape Fintech research practice.</w:t>
      </w:r>
    </w:p>
    <w:p w14:paraId="14D924C9" w14:textId="77777777" w:rsidR="007A4413" w:rsidRPr="00952C24" w:rsidRDefault="007A4413" w:rsidP="00952C24">
      <w:pPr>
        <w:pStyle w:val="NormalWeb"/>
        <w:numPr>
          <w:ilvl w:val="0"/>
          <w:numId w:val="24"/>
        </w:numPr>
        <w:spacing w:line="360" w:lineRule="auto"/>
        <w:jc w:val="both"/>
        <w:rPr>
          <w:color w:val="000000"/>
          <w:sz w:val="22"/>
          <w:szCs w:val="22"/>
        </w:rPr>
      </w:pPr>
      <w:r w:rsidRPr="00952C24">
        <w:rPr>
          <w:rStyle w:val="Strong"/>
          <w:rFonts w:eastAsiaTheme="majorEastAsia"/>
          <w:color w:val="000000"/>
          <w:sz w:val="22"/>
          <w:szCs w:val="22"/>
        </w:rPr>
        <w:t>Theoretical</w:t>
      </w:r>
      <w:r w:rsidRPr="00952C24">
        <w:rPr>
          <w:color w:val="000000"/>
          <w:sz w:val="22"/>
          <w:szCs w:val="22"/>
        </w:rPr>
        <w:t>: It calls for pluralist, context-sensitive theory development.</w:t>
      </w:r>
    </w:p>
    <w:p w14:paraId="6964E239" w14:textId="77777777" w:rsidR="007A4413" w:rsidRPr="00952C24" w:rsidRDefault="007A4413" w:rsidP="00952C24">
      <w:pPr>
        <w:pStyle w:val="NormalWeb"/>
        <w:numPr>
          <w:ilvl w:val="0"/>
          <w:numId w:val="24"/>
        </w:numPr>
        <w:spacing w:line="360" w:lineRule="auto"/>
        <w:jc w:val="both"/>
        <w:rPr>
          <w:color w:val="000000"/>
          <w:sz w:val="22"/>
          <w:szCs w:val="22"/>
        </w:rPr>
      </w:pPr>
      <w:r w:rsidRPr="00952C24">
        <w:rPr>
          <w:rStyle w:val="Strong"/>
          <w:rFonts w:eastAsiaTheme="majorEastAsia"/>
          <w:color w:val="000000"/>
          <w:sz w:val="22"/>
          <w:szCs w:val="22"/>
        </w:rPr>
        <w:t>Methodological</w:t>
      </w:r>
      <w:r w:rsidRPr="00952C24">
        <w:rPr>
          <w:color w:val="000000"/>
          <w:sz w:val="22"/>
          <w:szCs w:val="22"/>
        </w:rPr>
        <w:t>: It advocates for mixed-methods and critical realist approaches.</w:t>
      </w:r>
    </w:p>
    <w:p w14:paraId="5E478F2E" w14:textId="77777777" w:rsidR="007A4413" w:rsidRPr="00952C24" w:rsidRDefault="007A4413" w:rsidP="00952C24">
      <w:pPr>
        <w:pStyle w:val="NormalWeb"/>
        <w:numPr>
          <w:ilvl w:val="0"/>
          <w:numId w:val="24"/>
        </w:numPr>
        <w:spacing w:line="360" w:lineRule="auto"/>
        <w:jc w:val="both"/>
        <w:rPr>
          <w:color w:val="000000"/>
          <w:sz w:val="22"/>
          <w:szCs w:val="22"/>
        </w:rPr>
      </w:pPr>
      <w:r w:rsidRPr="00952C24">
        <w:rPr>
          <w:rStyle w:val="Strong"/>
          <w:rFonts w:eastAsiaTheme="majorEastAsia"/>
          <w:color w:val="000000"/>
          <w:sz w:val="22"/>
          <w:szCs w:val="22"/>
        </w:rPr>
        <w:t>Professional/DBA</w:t>
      </w:r>
      <w:r w:rsidRPr="00952C24">
        <w:rPr>
          <w:color w:val="000000"/>
          <w:sz w:val="22"/>
          <w:szCs w:val="22"/>
        </w:rPr>
        <w:t>: It strengthens reflexivity, ethical awareness, and managerial relevance.</w:t>
      </w:r>
    </w:p>
    <w:p w14:paraId="13A0B0CD" w14:textId="6E599310" w:rsidR="00C5429A" w:rsidRPr="00952C24" w:rsidRDefault="00C5429A" w:rsidP="00952C24">
      <w:pPr>
        <w:spacing w:before="100" w:beforeAutospacing="1" w:line="360" w:lineRule="auto"/>
        <w:jc w:val="both"/>
        <w:rPr>
          <w:rFonts w:ascii="Times New Roman" w:hAnsi="Times New Roman" w:cs="Times New Roman"/>
        </w:rPr>
      </w:pPr>
    </w:p>
    <w:p w14:paraId="44F550E6" w14:textId="77777777" w:rsidR="009E606C" w:rsidRPr="00952C24" w:rsidRDefault="009E606C" w:rsidP="00952C24">
      <w:pPr>
        <w:pStyle w:val="Heading2"/>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lastRenderedPageBreak/>
        <w:t>6. Conclusion</w:t>
      </w:r>
    </w:p>
    <w:p w14:paraId="7ED2052F" w14:textId="1592D540" w:rsidR="00255355" w:rsidRPr="00952C24" w:rsidRDefault="00255355" w:rsidP="00952C24">
      <w:pPr>
        <w:pStyle w:val="NormalWeb"/>
        <w:spacing w:line="360" w:lineRule="auto"/>
        <w:jc w:val="both"/>
        <w:rPr>
          <w:color w:val="000000"/>
          <w:sz w:val="22"/>
          <w:szCs w:val="22"/>
        </w:rPr>
      </w:pPr>
      <w:r w:rsidRPr="00952C24">
        <w:rPr>
          <w:color w:val="000000"/>
          <w:sz w:val="22"/>
          <w:szCs w:val="22"/>
        </w:rPr>
        <w:t xml:space="preserve">Through a philosophical and methodological lens, this coursework aimed to critically investigate the extent and function of Fintech in Bangladesh's banking industry. The study integrated a thorough philosophical and methodological examination of a chosen empirical study with a critical evaluation of recent literature in accordance with the requirements of </w:t>
      </w:r>
      <w:r w:rsidR="00006A1D">
        <w:rPr>
          <w:color w:val="000000"/>
          <w:sz w:val="22"/>
          <w:szCs w:val="22"/>
        </w:rPr>
        <w:t>my proposed research</w:t>
      </w:r>
      <w:r w:rsidRPr="00952C24">
        <w:rPr>
          <w:color w:val="000000"/>
          <w:sz w:val="22"/>
          <w:szCs w:val="22"/>
        </w:rPr>
        <w:t xml:space="preserve">. The main objective was to examine the ontological, epistemological, and axiological presumptions influencing research practice in this area in addition to </w:t>
      </w:r>
      <w:r w:rsidR="00006A1D">
        <w:rPr>
          <w:color w:val="000000"/>
          <w:sz w:val="22"/>
          <w:szCs w:val="22"/>
        </w:rPr>
        <w:t>synthesizing</w:t>
      </w:r>
      <w:r w:rsidRPr="00952C24">
        <w:rPr>
          <w:color w:val="000000"/>
          <w:sz w:val="22"/>
          <w:szCs w:val="22"/>
        </w:rPr>
        <w:t xml:space="preserve"> empirical findings.</w:t>
      </w:r>
    </w:p>
    <w:p w14:paraId="570F323A"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The analysis showed that the majority of current research presents Fintech as a force that improves performance and promotes inclusivity in the banking industry. Fintech adoption is positively correlated with operational effectiveness, service quality, and financial inclusion, especially through mobile financial services, according to empirical research. Nonetheless, positivist, quantitative, and cross-sectional study designs showed a considerable methodological and conceptual convergence, according to the literature assessment. Although this method has produced statistically sound data, it has also limited the field of study by giving quantitative results precedence over contextual knowledge, moral issues, and processual dynamics.</w:t>
      </w:r>
    </w:p>
    <w:p w14:paraId="45408188"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The chosen study's philosophical and methodological examination further demonstrated how positivist epistemologies and objectivist ontological presumptions influence research topics, approaches, and interpretations. Fintech is viewed as a technological input rather than a socially ingrained and ethically contentious phenomenon, which is reinforced by the predominance of deductive thinking and quantitative methodologies. Both theoretical advancement and managerial relevance are hampered by this lack of philosophical reflexivity, especially in developing economy situations marked by institutional complexity and socioeconomic inequality.</w:t>
      </w:r>
    </w:p>
    <w:p w14:paraId="5BABB3D3"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In terms of academic contribution, this coursework enhances knowledge by showing how research philosophy is crucial in influencing the creation of knowledge in Fintech-banking research. The work adds to discussions on methodological pluralism and context-sensitive theory creation by outlining philosophical presumptions. It draws attention to how alternative paradigms, including pragmatism and critical realism, might enhance theoretical explanation by revealing underlying causal mechanisms and addressing institutional and ethical aspects that are still understudied in the body of current work.</w:t>
      </w:r>
    </w:p>
    <w:p w14:paraId="7748217C"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lastRenderedPageBreak/>
        <w:t>The study significantly advances DBA research practice by highlighting the significance of reflexivity, ethical consciousness, and practical relevance. DBA investigation necessitates interaction with managerial realities and societal consequences, in contrast to typical academic research. By coordinating philosophical stance with methodological decisions and study goals, frameworks like the study Onion can promote cogent research design, as this coursework illustrates. It also emphasises the necessity for DBA researchers to go above methodological convenience in favour of designs that provide knowledge that is accountable, actionable, and culturally grounded.</w:t>
      </w:r>
    </w:p>
    <w:p w14:paraId="4FA34D18" w14:textId="77777777" w:rsidR="00255355" w:rsidRPr="00952C24" w:rsidRDefault="00255355" w:rsidP="00952C24">
      <w:pPr>
        <w:pStyle w:val="NormalWeb"/>
        <w:spacing w:line="360" w:lineRule="auto"/>
        <w:jc w:val="both"/>
        <w:rPr>
          <w:color w:val="000000"/>
          <w:sz w:val="22"/>
          <w:szCs w:val="22"/>
        </w:rPr>
      </w:pPr>
      <w:r w:rsidRPr="00952C24">
        <w:rPr>
          <w:color w:val="000000"/>
          <w:sz w:val="22"/>
          <w:szCs w:val="22"/>
        </w:rPr>
        <w:t>The study's conclusions have significant ramifications for further investigation. First, more methodological diversity is obviously needed, especially through mixed-methods and longitudinal designs that highlight the processual and dynamic nature of Fintech adoption. Second, as ethical and governance concerns—such as data privacy, cybersecurity, and financial vulnerability—are essential to the long-term growth of Fintech, future research should clearly address these issues. Third, interpretivist and critical realist perspectives may shed more light on how user trust, organisational culture, and regulatory capability influence Fintech results in Bangladesh and other developing nations.</w:t>
      </w:r>
    </w:p>
    <w:p w14:paraId="16AB544F" w14:textId="11F041F1" w:rsidR="00C5429A" w:rsidRPr="00952C24" w:rsidRDefault="00255355" w:rsidP="00952C24">
      <w:pPr>
        <w:spacing w:before="100" w:beforeAutospacing="1" w:line="360" w:lineRule="auto"/>
        <w:jc w:val="both"/>
        <w:rPr>
          <w:rFonts w:ascii="Times New Roman" w:hAnsi="Times New Roman" w:cs="Times New Roman"/>
        </w:rPr>
      </w:pPr>
      <w:r w:rsidRPr="00952C24">
        <w:rPr>
          <w:rFonts w:ascii="Times New Roman" w:eastAsia="Times New Roman" w:hAnsi="Times New Roman" w:cs="Times New Roman"/>
          <w:color w:val="000000"/>
          <w:lang w:val="en-BD" w:eastAsia="en-GB" w:bidi="bn-IN"/>
        </w:rPr>
        <w:t>In summary, this coursework shows that prolonged philosophical reflection in addition to empirical research is necessary to advance knowledge in the fields of Fintech and banking. The work advances more rigorous, reflective, and influential DBA-level research by fusing empirical data with critical philosophical interpretation. In an increasingly digitised financial environment, such a strategy is crucial for promoting responsible innovation and well-informed managerial decision-making.</w:t>
      </w:r>
    </w:p>
    <w:p w14:paraId="301FCD99" w14:textId="77777777" w:rsidR="00CC2D2A" w:rsidRPr="00006A1D" w:rsidRDefault="00000000" w:rsidP="00952C24">
      <w:pPr>
        <w:pStyle w:val="NormalWeb"/>
        <w:spacing w:line="360" w:lineRule="auto"/>
        <w:jc w:val="both"/>
        <w:rPr>
          <w:b/>
          <w:bCs/>
          <w:sz w:val="22"/>
          <w:szCs w:val="22"/>
        </w:rPr>
      </w:pPr>
      <w:r w:rsidRPr="00006A1D">
        <w:rPr>
          <w:b/>
          <w:bCs/>
          <w:sz w:val="22"/>
          <w:szCs w:val="22"/>
        </w:rPr>
        <w:t xml:space="preserve">REFERENCES </w:t>
      </w:r>
    </w:p>
    <w:p w14:paraId="5E552D13" w14:textId="2F6AD2A5" w:rsidR="00CC2D2A" w:rsidRPr="00952C24" w:rsidRDefault="00CC2D2A" w:rsidP="00952C24">
      <w:pPr>
        <w:pStyle w:val="NormalWeb"/>
        <w:spacing w:line="360" w:lineRule="auto"/>
        <w:jc w:val="both"/>
        <w:rPr>
          <w:color w:val="000000"/>
          <w:sz w:val="22"/>
          <w:szCs w:val="22"/>
        </w:rPr>
      </w:pPr>
      <w:r w:rsidRPr="00952C24">
        <w:rPr>
          <w:color w:val="000000"/>
          <w:sz w:val="22"/>
          <w:szCs w:val="22"/>
        </w:rPr>
        <w:t>Ahmed, S. and Uddin, M. (2023) ‘Regulatory challenges of Fintech adoption in emerging economies: evidence from Bangladesh’,</w:t>
      </w:r>
      <w:r w:rsidRPr="00952C24">
        <w:rPr>
          <w:rStyle w:val="apple-converted-space"/>
          <w:color w:val="000000"/>
          <w:sz w:val="22"/>
          <w:szCs w:val="22"/>
        </w:rPr>
        <w:t> </w:t>
      </w:r>
      <w:r w:rsidRPr="00952C24">
        <w:rPr>
          <w:rStyle w:val="Emphasis"/>
          <w:color w:val="000000"/>
          <w:sz w:val="22"/>
          <w:szCs w:val="22"/>
        </w:rPr>
        <w:t>Journal of Financial Regulation</w:t>
      </w:r>
      <w:r w:rsidRPr="00952C24">
        <w:rPr>
          <w:color w:val="000000"/>
          <w:sz w:val="22"/>
          <w:szCs w:val="22"/>
        </w:rPr>
        <w:t>, 9(2), pp. 145–162.</w:t>
      </w:r>
    </w:p>
    <w:p w14:paraId="04AF1F14"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Al-Mahrouq, M. and Al-Tamimi, H. (2021) ‘Digital transformation and banking performance: strategic implications for emerging markets’,</w:t>
      </w:r>
      <w:r w:rsidRPr="00952C24">
        <w:rPr>
          <w:rStyle w:val="apple-converted-space"/>
          <w:color w:val="000000"/>
          <w:sz w:val="22"/>
          <w:szCs w:val="22"/>
        </w:rPr>
        <w:t> </w:t>
      </w:r>
      <w:r w:rsidRPr="00952C24">
        <w:rPr>
          <w:rStyle w:val="Emphasis"/>
          <w:color w:val="000000"/>
          <w:sz w:val="22"/>
          <w:szCs w:val="22"/>
        </w:rPr>
        <w:t>International Journal of Financial Services Management</w:t>
      </w:r>
      <w:r w:rsidRPr="00952C24">
        <w:rPr>
          <w:color w:val="000000"/>
          <w:sz w:val="22"/>
          <w:szCs w:val="22"/>
        </w:rPr>
        <w:t>, 12(3), pp. 201–218.</w:t>
      </w:r>
    </w:p>
    <w:p w14:paraId="4D47E854"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Alvesson, M. and Deetz, S. (2000)</w:t>
      </w:r>
      <w:r w:rsidRPr="00952C24">
        <w:rPr>
          <w:rStyle w:val="apple-converted-space"/>
          <w:color w:val="000000"/>
          <w:sz w:val="22"/>
          <w:szCs w:val="22"/>
        </w:rPr>
        <w:t> </w:t>
      </w:r>
      <w:r w:rsidRPr="00952C24">
        <w:rPr>
          <w:rStyle w:val="Emphasis"/>
          <w:color w:val="000000"/>
          <w:sz w:val="22"/>
          <w:szCs w:val="22"/>
        </w:rPr>
        <w:t>Doing critical management research</w:t>
      </w:r>
      <w:r w:rsidRPr="00952C24">
        <w:rPr>
          <w:color w:val="000000"/>
          <w:sz w:val="22"/>
          <w:szCs w:val="22"/>
        </w:rPr>
        <w:t>. London: SAGE.</w:t>
      </w:r>
    </w:p>
    <w:p w14:paraId="5AA8C2D8"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lastRenderedPageBreak/>
        <w:t>Alvesson, M. and Sköldberg, K. (2018)</w:t>
      </w:r>
      <w:r w:rsidRPr="00952C24">
        <w:rPr>
          <w:rStyle w:val="apple-converted-space"/>
          <w:color w:val="000000"/>
          <w:sz w:val="22"/>
          <w:szCs w:val="22"/>
        </w:rPr>
        <w:t> </w:t>
      </w:r>
      <w:r w:rsidRPr="00952C24">
        <w:rPr>
          <w:rStyle w:val="Emphasis"/>
          <w:color w:val="000000"/>
          <w:sz w:val="22"/>
          <w:szCs w:val="22"/>
        </w:rPr>
        <w:t>Reflexive methodology: New vistas for qualitative research</w:t>
      </w:r>
      <w:r w:rsidRPr="00952C24">
        <w:rPr>
          <w:color w:val="000000"/>
          <w:sz w:val="22"/>
          <w:szCs w:val="22"/>
        </w:rPr>
        <w:t>. 3rd edn. London: SAGE.</w:t>
      </w:r>
    </w:p>
    <w:p w14:paraId="1747BAA1"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Arner, D.W., Barberis, J. and Buckley, R.P. (2017) ‘FinTech, RegTech and the reconceptualisation of financial regulation’,</w:t>
      </w:r>
      <w:r w:rsidRPr="00952C24">
        <w:rPr>
          <w:rStyle w:val="apple-converted-space"/>
          <w:color w:val="000000"/>
          <w:sz w:val="22"/>
          <w:szCs w:val="22"/>
        </w:rPr>
        <w:t> </w:t>
      </w:r>
      <w:r w:rsidRPr="00952C24">
        <w:rPr>
          <w:rStyle w:val="Emphasis"/>
          <w:color w:val="000000"/>
          <w:sz w:val="22"/>
          <w:szCs w:val="22"/>
        </w:rPr>
        <w:t>Northwestern Journal of International Law &amp; Business</w:t>
      </w:r>
      <w:r w:rsidRPr="00952C24">
        <w:rPr>
          <w:color w:val="000000"/>
          <w:sz w:val="22"/>
          <w:szCs w:val="22"/>
        </w:rPr>
        <w:t>, 37(3), pp. 371–413.</w:t>
      </w:r>
    </w:p>
    <w:p w14:paraId="35CF6404"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Bhaskar, R. (1978)</w:t>
      </w:r>
      <w:r w:rsidRPr="00952C24">
        <w:rPr>
          <w:rStyle w:val="apple-converted-space"/>
          <w:color w:val="000000"/>
          <w:sz w:val="22"/>
          <w:szCs w:val="22"/>
        </w:rPr>
        <w:t> </w:t>
      </w:r>
      <w:r w:rsidRPr="00952C24">
        <w:rPr>
          <w:rStyle w:val="Emphasis"/>
          <w:color w:val="000000"/>
          <w:sz w:val="22"/>
          <w:szCs w:val="22"/>
        </w:rPr>
        <w:t>A realist theory of science</w:t>
      </w:r>
      <w:r w:rsidRPr="00952C24">
        <w:rPr>
          <w:color w:val="000000"/>
          <w:sz w:val="22"/>
          <w:szCs w:val="22"/>
        </w:rPr>
        <w:t>. London: Routledge.</w:t>
      </w:r>
    </w:p>
    <w:p w14:paraId="703CC9C3"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Bourner, T., Bowden, R. and Laing, S. (2001) ‘Professional doctorates in England’,</w:t>
      </w:r>
      <w:r w:rsidRPr="00952C24">
        <w:rPr>
          <w:rStyle w:val="apple-converted-space"/>
          <w:color w:val="000000"/>
          <w:sz w:val="22"/>
          <w:szCs w:val="22"/>
        </w:rPr>
        <w:t> </w:t>
      </w:r>
      <w:r w:rsidRPr="00952C24">
        <w:rPr>
          <w:rStyle w:val="Emphasis"/>
          <w:color w:val="000000"/>
          <w:sz w:val="22"/>
          <w:szCs w:val="22"/>
        </w:rPr>
        <w:t>Studies in Higher Education</w:t>
      </w:r>
      <w:r w:rsidRPr="00952C24">
        <w:rPr>
          <w:color w:val="000000"/>
          <w:sz w:val="22"/>
          <w:szCs w:val="22"/>
        </w:rPr>
        <w:t>, 26(1), pp. 65–83.</w:t>
      </w:r>
    </w:p>
    <w:p w14:paraId="671535A6"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Bunea, S., Kogan, B. and Stolin, D. (2021) ‘Banks versus FinTech: at last, it’s official’,</w:t>
      </w:r>
      <w:r w:rsidRPr="00952C24">
        <w:rPr>
          <w:rStyle w:val="apple-converted-space"/>
          <w:color w:val="000000"/>
          <w:sz w:val="22"/>
          <w:szCs w:val="22"/>
        </w:rPr>
        <w:t> </w:t>
      </w:r>
      <w:r w:rsidRPr="00952C24">
        <w:rPr>
          <w:rStyle w:val="Emphasis"/>
          <w:color w:val="000000"/>
          <w:sz w:val="22"/>
          <w:szCs w:val="22"/>
        </w:rPr>
        <w:t>Journal of Financial Intermediation</w:t>
      </w:r>
      <w:r w:rsidRPr="00952C24">
        <w:rPr>
          <w:color w:val="000000"/>
          <w:sz w:val="22"/>
          <w:szCs w:val="22"/>
        </w:rPr>
        <w:t>, 47, 100870.</w:t>
      </w:r>
    </w:p>
    <w:p w14:paraId="33B80C3A"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Creswell, J.W. and Plano Clark, V.L. (2018)</w:t>
      </w:r>
      <w:r w:rsidRPr="00952C24">
        <w:rPr>
          <w:rStyle w:val="apple-converted-space"/>
          <w:color w:val="000000"/>
          <w:sz w:val="22"/>
          <w:szCs w:val="22"/>
        </w:rPr>
        <w:t> </w:t>
      </w:r>
      <w:r w:rsidRPr="00952C24">
        <w:rPr>
          <w:rStyle w:val="Emphasis"/>
          <w:color w:val="000000"/>
          <w:sz w:val="22"/>
          <w:szCs w:val="22"/>
        </w:rPr>
        <w:t>Designing and conducting mixed methods research</w:t>
      </w:r>
      <w:r w:rsidRPr="00952C24">
        <w:rPr>
          <w:color w:val="000000"/>
          <w:sz w:val="22"/>
          <w:szCs w:val="22"/>
        </w:rPr>
        <w:t>. 3rd edn. Thousand Oaks, CA: SAGE.</w:t>
      </w:r>
    </w:p>
    <w:p w14:paraId="36B9EEA1"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Crotty, M. (1998)</w:t>
      </w:r>
      <w:r w:rsidRPr="00952C24">
        <w:rPr>
          <w:rStyle w:val="apple-converted-space"/>
          <w:color w:val="000000"/>
          <w:sz w:val="22"/>
          <w:szCs w:val="22"/>
        </w:rPr>
        <w:t> </w:t>
      </w:r>
      <w:r w:rsidRPr="00952C24">
        <w:rPr>
          <w:rStyle w:val="Emphasis"/>
          <w:color w:val="000000"/>
          <w:sz w:val="22"/>
          <w:szCs w:val="22"/>
        </w:rPr>
        <w:t>The foundations of social research: Meaning and perspective in the research process</w:t>
      </w:r>
      <w:r w:rsidRPr="00952C24">
        <w:rPr>
          <w:color w:val="000000"/>
          <w:sz w:val="22"/>
          <w:szCs w:val="22"/>
        </w:rPr>
        <w:t>. London: SAGE.</w:t>
      </w:r>
    </w:p>
    <w:p w14:paraId="16045D00"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Danermark, B., Ekström, M., Jakobsen, L. and Karlsson, J.C. (2002)</w:t>
      </w:r>
      <w:r w:rsidRPr="00952C24">
        <w:rPr>
          <w:rStyle w:val="apple-converted-space"/>
          <w:color w:val="000000"/>
          <w:sz w:val="22"/>
          <w:szCs w:val="22"/>
        </w:rPr>
        <w:t> </w:t>
      </w:r>
      <w:r w:rsidRPr="00952C24">
        <w:rPr>
          <w:rStyle w:val="Emphasis"/>
          <w:color w:val="000000"/>
          <w:sz w:val="22"/>
          <w:szCs w:val="22"/>
        </w:rPr>
        <w:t>Explaining society: Critical realism in the social sciences</w:t>
      </w:r>
      <w:r w:rsidRPr="00952C24">
        <w:rPr>
          <w:color w:val="000000"/>
          <w:sz w:val="22"/>
          <w:szCs w:val="22"/>
        </w:rPr>
        <w:t>. London: Routledge.</w:t>
      </w:r>
    </w:p>
    <w:p w14:paraId="4070798E"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Dewey, J. (1938)</w:t>
      </w:r>
      <w:r w:rsidRPr="00952C24">
        <w:rPr>
          <w:rStyle w:val="apple-converted-space"/>
          <w:color w:val="000000"/>
          <w:sz w:val="22"/>
          <w:szCs w:val="22"/>
        </w:rPr>
        <w:t> </w:t>
      </w:r>
      <w:r w:rsidRPr="00952C24">
        <w:rPr>
          <w:rStyle w:val="Emphasis"/>
          <w:color w:val="000000"/>
          <w:sz w:val="22"/>
          <w:szCs w:val="22"/>
        </w:rPr>
        <w:t>Logic: The theory of inquiry</w:t>
      </w:r>
      <w:r w:rsidRPr="00952C24">
        <w:rPr>
          <w:color w:val="000000"/>
          <w:sz w:val="22"/>
          <w:szCs w:val="22"/>
        </w:rPr>
        <w:t>. New York: Holt.</w:t>
      </w:r>
    </w:p>
    <w:p w14:paraId="35F40B09"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Easterby-Smith, M., Thorpe, R. and Jackson, P.R. (2018)</w:t>
      </w:r>
      <w:r w:rsidRPr="00952C24">
        <w:rPr>
          <w:rStyle w:val="apple-converted-space"/>
          <w:color w:val="000000"/>
          <w:sz w:val="22"/>
          <w:szCs w:val="22"/>
        </w:rPr>
        <w:t> </w:t>
      </w:r>
      <w:r w:rsidRPr="00952C24">
        <w:rPr>
          <w:rStyle w:val="Emphasis"/>
          <w:color w:val="000000"/>
          <w:sz w:val="22"/>
          <w:szCs w:val="22"/>
        </w:rPr>
        <w:t>Management and business research</w:t>
      </w:r>
      <w:r w:rsidRPr="00952C24">
        <w:rPr>
          <w:color w:val="000000"/>
          <w:sz w:val="22"/>
          <w:szCs w:val="22"/>
        </w:rPr>
        <w:t>. 5th edn. London: SAGE.</w:t>
      </w:r>
    </w:p>
    <w:p w14:paraId="6E5838ED"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Flyvbjerg, B. (2006) ‘Five misunderstandings about case-study research’,</w:t>
      </w:r>
      <w:r w:rsidRPr="00952C24">
        <w:rPr>
          <w:rStyle w:val="apple-converted-space"/>
          <w:color w:val="000000"/>
          <w:sz w:val="22"/>
          <w:szCs w:val="22"/>
        </w:rPr>
        <w:t> </w:t>
      </w:r>
      <w:r w:rsidRPr="00952C24">
        <w:rPr>
          <w:rStyle w:val="Emphasis"/>
          <w:color w:val="000000"/>
          <w:sz w:val="22"/>
          <w:szCs w:val="22"/>
        </w:rPr>
        <w:t>Qualitative Inquiry</w:t>
      </w:r>
      <w:r w:rsidRPr="00952C24">
        <w:rPr>
          <w:color w:val="000000"/>
          <w:sz w:val="22"/>
          <w:szCs w:val="22"/>
        </w:rPr>
        <w:t>, 12(2), pp. 219–245.</w:t>
      </w:r>
    </w:p>
    <w:p w14:paraId="498CC213"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Gomber, P., Koch, J. and Siering, M. (2018) ‘Digital finance and FinTech: current research and future research directions’,</w:t>
      </w:r>
      <w:r w:rsidRPr="00952C24">
        <w:rPr>
          <w:rStyle w:val="apple-converted-space"/>
          <w:color w:val="000000"/>
          <w:sz w:val="22"/>
          <w:szCs w:val="22"/>
        </w:rPr>
        <w:t> </w:t>
      </w:r>
      <w:r w:rsidRPr="00952C24">
        <w:rPr>
          <w:rStyle w:val="Emphasis"/>
          <w:color w:val="000000"/>
          <w:sz w:val="22"/>
          <w:szCs w:val="22"/>
        </w:rPr>
        <w:t>Journal of Business Economics</w:t>
      </w:r>
      <w:r w:rsidRPr="00952C24">
        <w:rPr>
          <w:color w:val="000000"/>
          <w:sz w:val="22"/>
          <w:szCs w:val="22"/>
        </w:rPr>
        <w:t>, 87(5), pp. 537–580.</w:t>
      </w:r>
    </w:p>
    <w:p w14:paraId="37FE34FC"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Grix, J. (2010)</w:t>
      </w:r>
      <w:r w:rsidRPr="00952C24">
        <w:rPr>
          <w:rStyle w:val="apple-converted-space"/>
          <w:color w:val="000000"/>
          <w:sz w:val="22"/>
          <w:szCs w:val="22"/>
        </w:rPr>
        <w:t> </w:t>
      </w:r>
      <w:r w:rsidRPr="00952C24">
        <w:rPr>
          <w:rStyle w:val="Emphasis"/>
          <w:color w:val="000000"/>
          <w:sz w:val="22"/>
          <w:szCs w:val="22"/>
        </w:rPr>
        <w:t>The foundations of research</w:t>
      </w:r>
      <w:r w:rsidRPr="00952C24">
        <w:rPr>
          <w:color w:val="000000"/>
          <w:sz w:val="22"/>
          <w:szCs w:val="22"/>
        </w:rPr>
        <w:t>. 2nd edn. Basingstoke: Palgrave Macmillan.</w:t>
      </w:r>
    </w:p>
    <w:p w14:paraId="2E437879"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lastRenderedPageBreak/>
        <w:t>Guba, E.G. and Lincoln, Y.S. (1994) ‘Competing paradigms in qualitative research’, in Denzin, N.K. and Lincoln, Y.S. (eds.)</w:t>
      </w:r>
      <w:r w:rsidRPr="00952C24">
        <w:rPr>
          <w:rStyle w:val="apple-converted-space"/>
          <w:color w:val="000000"/>
          <w:sz w:val="22"/>
          <w:szCs w:val="22"/>
        </w:rPr>
        <w:t> </w:t>
      </w:r>
      <w:r w:rsidRPr="00952C24">
        <w:rPr>
          <w:rStyle w:val="Emphasis"/>
          <w:color w:val="000000"/>
          <w:sz w:val="22"/>
          <w:szCs w:val="22"/>
        </w:rPr>
        <w:t>Handbook of qualitative research</w:t>
      </w:r>
      <w:r w:rsidRPr="00952C24">
        <w:rPr>
          <w:color w:val="000000"/>
          <w:sz w:val="22"/>
          <w:szCs w:val="22"/>
        </w:rPr>
        <w:t>. London: SAGE, pp. 105–117.</w:t>
      </w:r>
    </w:p>
    <w:p w14:paraId="6D717406"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Hasan, M., Rahman, T. and Hossain, S. (2022) ‘Mobile financial services and financial inclusion: evidence from Bangladesh’,</w:t>
      </w:r>
      <w:r w:rsidRPr="00952C24">
        <w:rPr>
          <w:rStyle w:val="apple-converted-space"/>
          <w:color w:val="000000"/>
          <w:sz w:val="22"/>
          <w:szCs w:val="22"/>
        </w:rPr>
        <w:t> </w:t>
      </w:r>
      <w:r w:rsidRPr="00952C24">
        <w:rPr>
          <w:rStyle w:val="Emphasis"/>
          <w:color w:val="000000"/>
          <w:sz w:val="22"/>
          <w:szCs w:val="22"/>
        </w:rPr>
        <w:t>International Journal of Bank Marketing</w:t>
      </w:r>
      <w:r w:rsidRPr="00952C24">
        <w:rPr>
          <w:color w:val="000000"/>
          <w:sz w:val="22"/>
          <w:szCs w:val="22"/>
        </w:rPr>
        <w:t>, 40(3), pp. 512–530.</w:t>
      </w:r>
    </w:p>
    <w:p w14:paraId="347D019E"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Islam, R., Ahmed, S. and Khan, M. (2020) ‘FinTech and banking transformation in Bangladesh: opportunities and challenges’,</w:t>
      </w:r>
      <w:r w:rsidRPr="00952C24">
        <w:rPr>
          <w:rStyle w:val="apple-converted-space"/>
          <w:color w:val="000000"/>
          <w:sz w:val="22"/>
          <w:szCs w:val="22"/>
        </w:rPr>
        <w:t> </w:t>
      </w:r>
      <w:r w:rsidRPr="00952C24">
        <w:rPr>
          <w:rStyle w:val="Emphasis"/>
          <w:color w:val="000000"/>
          <w:sz w:val="22"/>
          <w:szCs w:val="22"/>
        </w:rPr>
        <w:t>Asian Journal of Business Research</w:t>
      </w:r>
      <w:r w:rsidRPr="00952C24">
        <w:rPr>
          <w:color w:val="000000"/>
          <w:sz w:val="22"/>
          <w:szCs w:val="22"/>
        </w:rPr>
        <w:t>, 10(1), pp. 45–62.</w:t>
      </w:r>
    </w:p>
    <w:p w14:paraId="3AB3D268"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Kou, G., Akdeniz, O.O., Dinçer, H. and Yüksel, S. (2021) ‘FinTech investments in banking: a multi-criteria decision-making perspective’,</w:t>
      </w:r>
      <w:r w:rsidRPr="00952C24">
        <w:rPr>
          <w:rStyle w:val="apple-converted-space"/>
          <w:color w:val="000000"/>
          <w:sz w:val="22"/>
          <w:szCs w:val="22"/>
        </w:rPr>
        <w:t> </w:t>
      </w:r>
      <w:r w:rsidRPr="00952C24">
        <w:rPr>
          <w:rStyle w:val="Emphasis"/>
          <w:color w:val="000000"/>
          <w:sz w:val="22"/>
          <w:szCs w:val="22"/>
        </w:rPr>
        <w:t>Financial Innovation</w:t>
      </w:r>
      <w:r w:rsidRPr="00952C24">
        <w:rPr>
          <w:color w:val="000000"/>
          <w:sz w:val="22"/>
          <w:szCs w:val="22"/>
        </w:rPr>
        <w:t>, 7(1), pp. 1–24.</w:t>
      </w:r>
    </w:p>
    <w:p w14:paraId="1F9BA89D"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Lincoln, Y.S. and Guba, E.G. (1985)</w:t>
      </w:r>
      <w:r w:rsidRPr="00952C24">
        <w:rPr>
          <w:rStyle w:val="apple-converted-space"/>
          <w:color w:val="000000"/>
          <w:sz w:val="22"/>
          <w:szCs w:val="22"/>
        </w:rPr>
        <w:t> </w:t>
      </w:r>
      <w:r w:rsidRPr="00952C24">
        <w:rPr>
          <w:rStyle w:val="Emphasis"/>
          <w:color w:val="000000"/>
          <w:sz w:val="22"/>
          <w:szCs w:val="22"/>
        </w:rPr>
        <w:t>Naturalistic inquiry</w:t>
      </w:r>
      <w:r w:rsidRPr="00952C24">
        <w:rPr>
          <w:color w:val="000000"/>
          <w:sz w:val="22"/>
          <w:szCs w:val="22"/>
        </w:rPr>
        <w:t>. Beverly Hills, CA: SAGE.</w:t>
      </w:r>
    </w:p>
    <w:p w14:paraId="31A057CB"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Morgan, D.L. (2007) ‘Paradigms lost and pragmatism regained’,</w:t>
      </w:r>
      <w:r w:rsidRPr="00952C24">
        <w:rPr>
          <w:rStyle w:val="apple-converted-space"/>
          <w:color w:val="000000"/>
          <w:sz w:val="22"/>
          <w:szCs w:val="22"/>
        </w:rPr>
        <w:t> </w:t>
      </w:r>
      <w:r w:rsidRPr="00952C24">
        <w:rPr>
          <w:rStyle w:val="Emphasis"/>
          <w:color w:val="000000"/>
          <w:sz w:val="22"/>
          <w:szCs w:val="22"/>
        </w:rPr>
        <w:t>Journal of Mixed Methods Research</w:t>
      </w:r>
      <w:r w:rsidRPr="00952C24">
        <w:rPr>
          <w:color w:val="000000"/>
          <w:sz w:val="22"/>
          <w:szCs w:val="22"/>
        </w:rPr>
        <w:t>, 1(1), pp. 48–76.</w:t>
      </w:r>
    </w:p>
    <w:p w14:paraId="6F54C888"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Phillips, D.C. and Burbules, N.C. (2000)</w:t>
      </w:r>
      <w:r w:rsidRPr="00952C24">
        <w:rPr>
          <w:rStyle w:val="apple-converted-space"/>
          <w:color w:val="000000"/>
          <w:sz w:val="22"/>
          <w:szCs w:val="22"/>
        </w:rPr>
        <w:t> </w:t>
      </w:r>
      <w:r w:rsidRPr="00952C24">
        <w:rPr>
          <w:rStyle w:val="Emphasis"/>
          <w:color w:val="000000"/>
          <w:sz w:val="22"/>
          <w:szCs w:val="22"/>
        </w:rPr>
        <w:t>Postpositivism and educational research</w:t>
      </w:r>
      <w:r w:rsidRPr="00952C24">
        <w:rPr>
          <w:color w:val="000000"/>
          <w:sz w:val="22"/>
          <w:szCs w:val="22"/>
        </w:rPr>
        <w:t>. Lanham: Rowman &amp; Littlefield.</w:t>
      </w:r>
    </w:p>
    <w:p w14:paraId="229DF5AE"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Porter, M.E. and Heppelmann, J.E. (2015) ‘How smart, connected products are transforming companies’,</w:t>
      </w:r>
      <w:r w:rsidRPr="00952C24">
        <w:rPr>
          <w:rStyle w:val="apple-converted-space"/>
          <w:color w:val="000000"/>
          <w:sz w:val="22"/>
          <w:szCs w:val="22"/>
        </w:rPr>
        <w:t> </w:t>
      </w:r>
      <w:r w:rsidRPr="00952C24">
        <w:rPr>
          <w:rStyle w:val="Emphasis"/>
          <w:color w:val="000000"/>
          <w:sz w:val="22"/>
          <w:szCs w:val="22"/>
        </w:rPr>
        <w:t>Harvard Business Review</w:t>
      </w:r>
      <w:r w:rsidRPr="00952C24">
        <w:rPr>
          <w:color w:val="000000"/>
          <w:sz w:val="22"/>
          <w:szCs w:val="22"/>
        </w:rPr>
        <w:t>, 93(10), pp. 96–114.</w:t>
      </w:r>
    </w:p>
    <w:p w14:paraId="20E6D9D2"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Rahman, M., Chowdhury, A. and Haque, M. (2021) ‘FinTech adoption and bank performance: empirical evidence from Bangladesh’,</w:t>
      </w:r>
      <w:r w:rsidRPr="00952C24">
        <w:rPr>
          <w:rStyle w:val="apple-converted-space"/>
          <w:color w:val="000000"/>
          <w:sz w:val="22"/>
          <w:szCs w:val="22"/>
        </w:rPr>
        <w:t> </w:t>
      </w:r>
      <w:r w:rsidRPr="00952C24">
        <w:rPr>
          <w:rStyle w:val="Emphasis"/>
          <w:color w:val="000000"/>
          <w:sz w:val="22"/>
          <w:szCs w:val="22"/>
        </w:rPr>
        <w:t>Journal of Asian Finance, Economics and Business</w:t>
      </w:r>
      <w:r w:rsidRPr="00952C24">
        <w:rPr>
          <w:color w:val="000000"/>
          <w:sz w:val="22"/>
          <w:szCs w:val="22"/>
        </w:rPr>
        <w:t>, 8(4), pp. 123–134.</w:t>
      </w:r>
    </w:p>
    <w:p w14:paraId="533F1D50"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Saunders, M., Lewis, P. and Thornhill, A. (2019)</w:t>
      </w:r>
      <w:r w:rsidRPr="00952C24">
        <w:rPr>
          <w:rStyle w:val="apple-converted-space"/>
          <w:color w:val="000000"/>
          <w:sz w:val="22"/>
          <w:szCs w:val="22"/>
        </w:rPr>
        <w:t> </w:t>
      </w:r>
      <w:r w:rsidRPr="00952C24">
        <w:rPr>
          <w:rStyle w:val="Emphasis"/>
          <w:color w:val="000000"/>
          <w:sz w:val="22"/>
          <w:szCs w:val="22"/>
        </w:rPr>
        <w:t>Research methods for business students</w:t>
      </w:r>
      <w:r w:rsidRPr="00952C24">
        <w:rPr>
          <w:color w:val="000000"/>
          <w:sz w:val="22"/>
          <w:szCs w:val="22"/>
        </w:rPr>
        <w:t>. 8th edn. Harlow: Pearson Education.</w:t>
      </w:r>
    </w:p>
    <w:p w14:paraId="37545F9A"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Siddiqui, M.H. and Rehman, S. (2021) ‘Mobile financial services and inclusive growth in Bangladesh’,</w:t>
      </w:r>
      <w:r w:rsidRPr="00952C24">
        <w:rPr>
          <w:rStyle w:val="apple-converted-space"/>
          <w:color w:val="000000"/>
          <w:sz w:val="22"/>
          <w:szCs w:val="22"/>
        </w:rPr>
        <w:t> </w:t>
      </w:r>
      <w:r w:rsidRPr="00952C24">
        <w:rPr>
          <w:rStyle w:val="Emphasis"/>
          <w:color w:val="000000"/>
          <w:sz w:val="22"/>
          <w:szCs w:val="22"/>
        </w:rPr>
        <w:t>Journal of Developing Areas</w:t>
      </w:r>
      <w:r w:rsidRPr="00952C24">
        <w:rPr>
          <w:color w:val="000000"/>
          <w:sz w:val="22"/>
          <w:szCs w:val="22"/>
        </w:rPr>
        <w:t>, 55(4), pp. 77–93.</w:t>
      </w:r>
    </w:p>
    <w:p w14:paraId="3AE4731C"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Thakor, A.V. (2020) ‘Fintech and banking: what do we know?’,</w:t>
      </w:r>
      <w:r w:rsidRPr="00952C24">
        <w:rPr>
          <w:rStyle w:val="apple-converted-space"/>
          <w:color w:val="000000"/>
          <w:sz w:val="22"/>
          <w:szCs w:val="22"/>
        </w:rPr>
        <w:t> </w:t>
      </w:r>
      <w:r w:rsidRPr="00952C24">
        <w:rPr>
          <w:rStyle w:val="Emphasis"/>
          <w:color w:val="000000"/>
          <w:sz w:val="22"/>
          <w:szCs w:val="22"/>
        </w:rPr>
        <w:t>Journal of Financial Intermediation</w:t>
      </w:r>
      <w:r w:rsidRPr="00952C24">
        <w:rPr>
          <w:color w:val="000000"/>
          <w:sz w:val="22"/>
          <w:szCs w:val="22"/>
        </w:rPr>
        <w:t>, 41, 100833.</w:t>
      </w:r>
    </w:p>
    <w:p w14:paraId="6920BCAE"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lastRenderedPageBreak/>
        <w:t>Vives, X. (2019) ‘Digital disruption in banking’,</w:t>
      </w:r>
      <w:r w:rsidRPr="00952C24">
        <w:rPr>
          <w:rStyle w:val="apple-converted-space"/>
          <w:color w:val="000000"/>
          <w:sz w:val="22"/>
          <w:szCs w:val="22"/>
        </w:rPr>
        <w:t> </w:t>
      </w:r>
      <w:r w:rsidRPr="00952C24">
        <w:rPr>
          <w:rStyle w:val="Emphasis"/>
          <w:color w:val="000000"/>
          <w:sz w:val="22"/>
          <w:szCs w:val="22"/>
        </w:rPr>
        <w:t>Annual Review of Financial Economics</w:t>
      </w:r>
      <w:r w:rsidRPr="00952C24">
        <w:rPr>
          <w:color w:val="000000"/>
          <w:sz w:val="22"/>
          <w:szCs w:val="22"/>
        </w:rPr>
        <w:t>, 11, pp. 243–272.</w:t>
      </w:r>
    </w:p>
    <w:p w14:paraId="27F3524D" w14:textId="77777777" w:rsidR="00CC2D2A" w:rsidRPr="00952C24" w:rsidRDefault="00CC2D2A" w:rsidP="00952C24">
      <w:pPr>
        <w:pStyle w:val="NormalWeb"/>
        <w:spacing w:line="360" w:lineRule="auto"/>
        <w:jc w:val="both"/>
        <w:rPr>
          <w:color w:val="000000"/>
          <w:sz w:val="22"/>
          <w:szCs w:val="22"/>
        </w:rPr>
      </w:pPr>
      <w:r w:rsidRPr="00952C24">
        <w:rPr>
          <w:color w:val="000000"/>
          <w:sz w:val="22"/>
          <w:szCs w:val="22"/>
        </w:rPr>
        <w:t>World Bank (2023)</w:t>
      </w:r>
      <w:r w:rsidRPr="00952C24">
        <w:rPr>
          <w:rStyle w:val="apple-converted-space"/>
          <w:color w:val="000000"/>
          <w:sz w:val="22"/>
          <w:szCs w:val="22"/>
        </w:rPr>
        <w:t> </w:t>
      </w:r>
      <w:r w:rsidRPr="00952C24">
        <w:rPr>
          <w:rStyle w:val="Emphasis"/>
          <w:color w:val="000000"/>
          <w:sz w:val="22"/>
          <w:szCs w:val="22"/>
        </w:rPr>
        <w:t>Financial consumer protection and FinTech regulation in South Asia</w:t>
      </w:r>
      <w:r w:rsidRPr="00952C24">
        <w:rPr>
          <w:color w:val="000000"/>
          <w:sz w:val="22"/>
          <w:szCs w:val="22"/>
        </w:rPr>
        <w:t>. Washington, DC: World Bank.</w:t>
      </w:r>
    </w:p>
    <w:p w14:paraId="56229AE9" w14:textId="3CA92DD0" w:rsidR="003D383A" w:rsidRPr="00952C24" w:rsidRDefault="003D383A" w:rsidP="00952C24">
      <w:pPr>
        <w:spacing w:before="100" w:beforeAutospacing="1" w:line="360" w:lineRule="auto"/>
        <w:jc w:val="both"/>
        <w:rPr>
          <w:rFonts w:ascii="Times New Roman" w:hAnsi="Times New Roman" w:cs="Times New Roman"/>
          <w:color w:val="000000"/>
        </w:rPr>
        <w:sectPr w:rsidR="003D383A" w:rsidRPr="00952C24" w:rsidSect="00837C63">
          <w:pgSz w:w="12240" w:h="15840"/>
          <w:pgMar w:top="1440" w:right="1800" w:bottom="1440" w:left="1800" w:header="720" w:footer="720" w:gutter="0"/>
          <w:cols w:space="720"/>
          <w:docGrid w:linePitch="360"/>
        </w:sectPr>
      </w:pPr>
    </w:p>
    <w:p w14:paraId="54F94645" w14:textId="65310A32" w:rsidR="00006A1D" w:rsidRDefault="00006A1D" w:rsidP="00006A1D">
      <w:pPr>
        <w:pStyle w:val="Heading1"/>
        <w:pBdr>
          <w:top w:val="single" w:sz="4" w:space="1" w:color="auto"/>
          <w:left w:val="single" w:sz="4" w:space="1" w:color="auto"/>
          <w:bottom w:val="single" w:sz="4" w:space="1" w:color="auto"/>
          <w:right w:val="single" w:sz="4" w:space="1" w:color="auto"/>
          <w:between w:val="single" w:sz="4" w:space="1" w:color="auto"/>
          <w:bar w:val="single" w:sz="4" w:color="auto"/>
        </w:pBdr>
        <w:spacing w:before="100" w:beforeAutospacing="1" w:line="360" w:lineRule="auto"/>
        <w:jc w:val="both"/>
        <w:rPr>
          <w:rFonts w:ascii="Times New Roman" w:hAnsi="Times New Roman" w:cs="Times New Roman"/>
          <w:color w:val="000000"/>
          <w:sz w:val="22"/>
          <w:szCs w:val="22"/>
        </w:rPr>
      </w:pPr>
      <w:r>
        <w:rPr>
          <w:rFonts w:ascii="Times New Roman" w:hAnsi="Times New Roman" w:cs="Times New Roman"/>
          <w:color w:val="000000"/>
          <w:sz w:val="22"/>
          <w:szCs w:val="22"/>
        </w:rPr>
        <w:lastRenderedPageBreak/>
        <w:t>Appendix:</w:t>
      </w:r>
    </w:p>
    <w:p w14:paraId="2E6D3BAD" w14:textId="256109D1" w:rsidR="003D383A" w:rsidRPr="00006A1D" w:rsidRDefault="003D383A" w:rsidP="00006A1D">
      <w:pPr>
        <w:pStyle w:val="Heading1"/>
        <w:pBdr>
          <w:top w:val="single" w:sz="4" w:space="1" w:color="auto"/>
          <w:left w:val="single" w:sz="4" w:space="1" w:color="auto"/>
          <w:bottom w:val="single" w:sz="4" w:space="1" w:color="auto"/>
          <w:right w:val="single" w:sz="4" w:space="1" w:color="auto"/>
          <w:between w:val="single" w:sz="4" w:space="1" w:color="auto"/>
          <w:bar w:val="single" w:sz="4" w:color="auto"/>
        </w:pBdr>
        <w:spacing w:before="100" w:beforeAutospacing="1" w:line="360" w:lineRule="auto"/>
        <w:jc w:val="both"/>
        <w:rPr>
          <w:rFonts w:ascii="Times New Roman" w:hAnsi="Times New Roman" w:cs="Times New Roman"/>
          <w:color w:val="000000"/>
          <w:sz w:val="22"/>
          <w:szCs w:val="22"/>
        </w:rPr>
      </w:pPr>
      <w:r w:rsidRPr="00952C24">
        <w:rPr>
          <w:rFonts w:ascii="Times New Roman" w:hAnsi="Times New Roman" w:cs="Times New Roman"/>
          <w:color w:val="000000"/>
          <w:sz w:val="22"/>
          <w:szCs w:val="22"/>
        </w:rPr>
        <w:t>Review Matrix Table (15 Key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16"/>
        <w:gridCol w:w="545"/>
        <w:gridCol w:w="1388"/>
        <w:gridCol w:w="1037"/>
        <w:gridCol w:w="1234"/>
        <w:gridCol w:w="1233"/>
        <w:gridCol w:w="1316"/>
        <w:gridCol w:w="1261"/>
        <w:gridCol w:w="1379"/>
        <w:gridCol w:w="1282"/>
        <w:gridCol w:w="1259"/>
      </w:tblGrid>
      <w:tr w:rsidR="003D383A" w:rsidRPr="00952C24" w14:paraId="633A37D8" w14:textId="77777777" w:rsidTr="002701C3">
        <w:trPr>
          <w:tblHeader/>
          <w:tblCellSpacing w:w="15" w:type="dxa"/>
        </w:trPr>
        <w:tc>
          <w:tcPr>
            <w:tcW w:w="0" w:type="auto"/>
            <w:vAlign w:val="center"/>
            <w:hideMark/>
          </w:tcPr>
          <w:p w14:paraId="2F97388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Author(s)</w:t>
            </w:r>
          </w:p>
        </w:tc>
        <w:tc>
          <w:tcPr>
            <w:tcW w:w="0" w:type="auto"/>
            <w:vAlign w:val="center"/>
            <w:hideMark/>
          </w:tcPr>
          <w:p w14:paraId="5760ADB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Year</w:t>
            </w:r>
          </w:p>
        </w:tc>
        <w:tc>
          <w:tcPr>
            <w:tcW w:w="0" w:type="auto"/>
            <w:vAlign w:val="center"/>
            <w:hideMark/>
          </w:tcPr>
          <w:p w14:paraId="32F45BE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Title</w:t>
            </w:r>
          </w:p>
        </w:tc>
        <w:tc>
          <w:tcPr>
            <w:tcW w:w="0" w:type="auto"/>
            <w:vAlign w:val="center"/>
            <w:hideMark/>
          </w:tcPr>
          <w:p w14:paraId="6376AFB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Journal</w:t>
            </w:r>
          </w:p>
        </w:tc>
        <w:tc>
          <w:tcPr>
            <w:tcW w:w="0" w:type="auto"/>
            <w:vAlign w:val="center"/>
            <w:hideMark/>
          </w:tcPr>
          <w:p w14:paraId="5B40EB6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Research Problem</w:t>
            </w:r>
          </w:p>
        </w:tc>
        <w:tc>
          <w:tcPr>
            <w:tcW w:w="0" w:type="auto"/>
            <w:vAlign w:val="center"/>
            <w:hideMark/>
          </w:tcPr>
          <w:p w14:paraId="6493D76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Theoretical Framework</w:t>
            </w:r>
          </w:p>
        </w:tc>
        <w:tc>
          <w:tcPr>
            <w:tcW w:w="0" w:type="auto"/>
            <w:vAlign w:val="center"/>
            <w:hideMark/>
          </w:tcPr>
          <w:p w14:paraId="16BACC4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Methodology</w:t>
            </w:r>
          </w:p>
        </w:tc>
        <w:tc>
          <w:tcPr>
            <w:tcW w:w="0" w:type="auto"/>
            <w:vAlign w:val="center"/>
            <w:hideMark/>
          </w:tcPr>
          <w:p w14:paraId="173C8FE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Key Findings</w:t>
            </w:r>
          </w:p>
        </w:tc>
        <w:tc>
          <w:tcPr>
            <w:tcW w:w="0" w:type="auto"/>
            <w:vAlign w:val="center"/>
            <w:hideMark/>
          </w:tcPr>
          <w:p w14:paraId="096A246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Gaps / Future Research</w:t>
            </w:r>
          </w:p>
        </w:tc>
        <w:tc>
          <w:tcPr>
            <w:tcW w:w="0" w:type="auto"/>
            <w:vAlign w:val="center"/>
            <w:hideMark/>
          </w:tcPr>
          <w:p w14:paraId="480465A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Relevance to This Study</w:t>
            </w:r>
          </w:p>
        </w:tc>
        <w:tc>
          <w:tcPr>
            <w:tcW w:w="0" w:type="auto"/>
            <w:vAlign w:val="center"/>
            <w:hideMark/>
          </w:tcPr>
          <w:p w14:paraId="6BBD964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b/>
                <w:bCs/>
                <w:lang w:val="en-BD" w:eastAsia="en-GB" w:bidi="bn-IN"/>
              </w:rPr>
            </w:pPr>
            <w:r w:rsidRPr="00952C24">
              <w:rPr>
                <w:rFonts w:ascii="Times New Roman" w:eastAsia="Times New Roman" w:hAnsi="Times New Roman" w:cs="Times New Roman"/>
                <w:b/>
                <w:bCs/>
                <w:lang w:val="en-BD" w:eastAsia="en-GB" w:bidi="bn-IN"/>
              </w:rPr>
              <w:t>Comments</w:t>
            </w:r>
          </w:p>
        </w:tc>
      </w:tr>
      <w:tr w:rsidR="003D383A" w:rsidRPr="00952C24" w14:paraId="4613B6C9" w14:textId="77777777" w:rsidTr="002701C3">
        <w:trPr>
          <w:tblCellSpacing w:w="15" w:type="dxa"/>
        </w:trPr>
        <w:tc>
          <w:tcPr>
            <w:tcW w:w="0" w:type="auto"/>
            <w:vAlign w:val="center"/>
            <w:hideMark/>
          </w:tcPr>
          <w:p w14:paraId="4B7D397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Rahman et al.</w:t>
            </w:r>
          </w:p>
        </w:tc>
        <w:tc>
          <w:tcPr>
            <w:tcW w:w="0" w:type="auto"/>
            <w:vAlign w:val="center"/>
            <w:hideMark/>
          </w:tcPr>
          <w:p w14:paraId="1E11E4C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2021</w:t>
            </w:r>
          </w:p>
        </w:tc>
        <w:tc>
          <w:tcPr>
            <w:tcW w:w="0" w:type="auto"/>
            <w:vAlign w:val="center"/>
            <w:hideMark/>
          </w:tcPr>
          <w:p w14:paraId="2F8213F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adoption and bank performance in Bangladesh</w:t>
            </w:r>
          </w:p>
        </w:tc>
        <w:tc>
          <w:tcPr>
            <w:tcW w:w="0" w:type="auto"/>
            <w:vAlign w:val="center"/>
            <w:hideMark/>
          </w:tcPr>
          <w:p w14:paraId="2C43A4C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JAFEB</w:t>
            </w:r>
          </w:p>
        </w:tc>
        <w:tc>
          <w:tcPr>
            <w:tcW w:w="0" w:type="auto"/>
            <w:vAlign w:val="center"/>
            <w:hideMark/>
          </w:tcPr>
          <w:p w14:paraId="3A14F77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Impact on bank performance</w:t>
            </w:r>
          </w:p>
        </w:tc>
        <w:tc>
          <w:tcPr>
            <w:tcW w:w="0" w:type="auto"/>
            <w:vAlign w:val="center"/>
            <w:hideMark/>
          </w:tcPr>
          <w:p w14:paraId="5165E77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Positivist</w:t>
            </w:r>
          </w:p>
        </w:tc>
        <w:tc>
          <w:tcPr>
            <w:tcW w:w="0" w:type="auto"/>
            <w:vAlign w:val="center"/>
            <w:hideMark/>
          </w:tcPr>
          <w:p w14:paraId="4D6DC7A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Survey + SEM</w:t>
            </w:r>
          </w:p>
        </w:tc>
        <w:tc>
          <w:tcPr>
            <w:tcW w:w="0" w:type="auto"/>
            <w:vAlign w:val="center"/>
            <w:hideMark/>
          </w:tcPr>
          <w:p w14:paraId="0790279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improves efficiency</w:t>
            </w:r>
          </w:p>
        </w:tc>
        <w:tc>
          <w:tcPr>
            <w:tcW w:w="0" w:type="auto"/>
            <w:vAlign w:val="center"/>
            <w:hideMark/>
          </w:tcPr>
          <w:p w14:paraId="404B4C8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No qualitative insight</w:t>
            </w:r>
          </w:p>
        </w:tc>
        <w:tc>
          <w:tcPr>
            <w:tcW w:w="0" w:type="auto"/>
            <w:vAlign w:val="center"/>
            <w:hideMark/>
          </w:tcPr>
          <w:p w14:paraId="23C3C93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Core Bangladesh evidence</w:t>
            </w:r>
          </w:p>
        </w:tc>
        <w:tc>
          <w:tcPr>
            <w:tcW w:w="0" w:type="auto"/>
            <w:vAlign w:val="center"/>
            <w:hideMark/>
          </w:tcPr>
          <w:p w14:paraId="290BD5B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Cross-sectional</w:t>
            </w:r>
          </w:p>
        </w:tc>
      </w:tr>
      <w:tr w:rsidR="003D383A" w:rsidRPr="00952C24" w14:paraId="41533E35" w14:textId="77777777" w:rsidTr="002701C3">
        <w:trPr>
          <w:tblCellSpacing w:w="15" w:type="dxa"/>
        </w:trPr>
        <w:tc>
          <w:tcPr>
            <w:tcW w:w="0" w:type="auto"/>
            <w:vAlign w:val="center"/>
            <w:hideMark/>
          </w:tcPr>
          <w:p w14:paraId="7D5811E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Islam et al.</w:t>
            </w:r>
          </w:p>
        </w:tc>
        <w:tc>
          <w:tcPr>
            <w:tcW w:w="0" w:type="auto"/>
            <w:vAlign w:val="center"/>
            <w:hideMark/>
          </w:tcPr>
          <w:p w14:paraId="36B4102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2020</w:t>
            </w:r>
          </w:p>
        </w:tc>
        <w:tc>
          <w:tcPr>
            <w:tcW w:w="0" w:type="auto"/>
            <w:vAlign w:val="center"/>
            <w:hideMark/>
          </w:tcPr>
          <w:p w14:paraId="34DB9ED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and banking transformation</w:t>
            </w:r>
          </w:p>
        </w:tc>
        <w:tc>
          <w:tcPr>
            <w:tcW w:w="0" w:type="auto"/>
            <w:vAlign w:val="center"/>
            <w:hideMark/>
          </w:tcPr>
          <w:p w14:paraId="6868E08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AJBR</w:t>
            </w:r>
          </w:p>
        </w:tc>
        <w:tc>
          <w:tcPr>
            <w:tcW w:w="0" w:type="auto"/>
            <w:vAlign w:val="center"/>
            <w:hideMark/>
          </w:tcPr>
          <w:p w14:paraId="1A79F5F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Banking digitalisation</w:t>
            </w:r>
          </w:p>
        </w:tc>
        <w:tc>
          <w:tcPr>
            <w:tcW w:w="0" w:type="auto"/>
            <w:vAlign w:val="center"/>
            <w:hideMark/>
          </w:tcPr>
          <w:p w14:paraId="53DD6ED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Descriptive</w:t>
            </w:r>
          </w:p>
        </w:tc>
        <w:tc>
          <w:tcPr>
            <w:tcW w:w="0" w:type="auto"/>
            <w:vAlign w:val="center"/>
            <w:hideMark/>
          </w:tcPr>
          <w:p w14:paraId="70F2798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Survey</w:t>
            </w:r>
          </w:p>
        </w:tc>
        <w:tc>
          <w:tcPr>
            <w:tcW w:w="0" w:type="auto"/>
            <w:vAlign w:val="center"/>
            <w:hideMark/>
          </w:tcPr>
          <w:p w14:paraId="212D5C8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Operational gains</w:t>
            </w:r>
          </w:p>
        </w:tc>
        <w:tc>
          <w:tcPr>
            <w:tcW w:w="0" w:type="auto"/>
            <w:vAlign w:val="center"/>
            <w:hideMark/>
          </w:tcPr>
          <w:p w14:paraId="6443862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Lacks theory depth</w:t>
            </w:r>
          </w:p>
        </w:tc>
        <w:tc>
          <w:tcPr>
            <w:tcW w:w="0" w:type="auto"/>
            <w:vAlign w:val="center"/>
            <w:hideMark/>
          </w:tcPr>
          <w:p w14:paraId="0D7D66B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Contextual relevance</w:t>
            </w:r>
          </w:p>
        </w:tc>
        <w:tc>
          <w:tcPr>
            <w:tcW w:w="0" w:type="auto"/>
            <w:vAlign w:val="center"/>
            <w:hideMark/>
          </w:tcPr>
          <w:p w14:paraId="1EDA8CA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Exploratory</w:t>
            </w:r>
          </w:p>
        </w:tc>
      </w:tr>
      <w:tr w:rsidR="003D383A" w:rsidRPr="00952C24" w14:paraId="2145FF74" w14:textId="77777777" w:rsidTr="002701C3">
        <w:trPr>
          <w:tblCellSpacing w:w="15" w:type="dxa"/>
        </w:trPr>
        <w:tc>
          <w:tcPr>
            <w:tcW w:w="0" w:type="auto"/>
            <w:vAlign w:val="center"/>
            <w:hideMark/>
          </w:tcPr>
          <w:p w14:paraId="3186590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Bunea et al.</w:t>
            </w:r>
          </w:p>
        </w:tc>
        <w:tc>
          <w:tcPr>
            <w:tcW w:w="0" w:type="auto"/>
            <w:vAlign w:val="center"/>
            <w:hideMark/>
          </w:tcPr>
          <w:p w14:paraId="0A1289B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2021</w:t>
            </w:r>
          </w:p>
        </w:tc>
        <w:tc>
          <w:tcPr>
            <w:tcW w:w="0" w:type="auto"/>
            <w:vAlign w:val="center"/>
            <w:hideMark/>
          </w:tcPr>
          <w:p w14:paraId="0438C92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Banks vs Fintech</w:t>
            </w:r>
          </w:p>
        </w:tc>
        <w:tc>
          <w:tcPr>
            <w:tcW w:w="0" w:type="auto"/>
            <w:vAlign w:val="center"/>
            <w:hideMark/>
          </w:tcPr>
          <w:p w14:paraId="1188C69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JFI</w:t>
            </w:r>
          </w:p>
        </w:tc>
        <w:tc>
          <w:tcPr>
            <w:tcW w:w="0" w:type="auto"/>
            <w:vAlign w:val="center"/>
            <w:hideMark/>
          </w:tcPr>
          <w:p w14:paraId="4736586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Competition effects</w:t>
            </w:r>
          </w:p>
        </w:tc>
        <w:tc>
          <w:tcPr>
            <w:tcW w:w="0" w:type="auto"/>
            <w:vAlign w:val="center"/>
            <w:hideMark/>
          </w:tcPr>
          <w:p w14:paraId="0AEA5C4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Economic theory</w:t>
            </w:r>
          </w:p>
        </w:tc>
        <w:tc>
          <w:tcPr>
            <w:tcW w:w="0" w:type="auto"/>
            <w:vAlign w:val="center"/>
            <w:hideMark/>
          </w:tcPr>
          <w:p w14:paraId="5BE403F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Secondary data</w:t>
            </w:r>
          </w:p>
        </w:tc>
        <w:tc>
          <w:tcPr>
            <w:tcW w:w="0" w:type="auto"/>
            <w:vAlign w:val="center"/>
            <w:hideMark/>
          </w:tcPr>
          <w:p w14:paraId="5578D63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both complements &amp; disrupts</w:t>
            </w:r>
          </w:p>
        </w:tc>
        <w:tc>
          <w:tcPr>
            <w:tcW w:w="0" w:type="auto"/>
            <w:vAlign w:val="center"/>
            <w:hideMark/>
          </w:tcPr>
          <w:p w14:paraId="17BF2B1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Emerging markets ignored</w:t>
            </w:r>
          </w:p>
        </w:tc>
        <w:tc>
          <w:tcPr>
            <w:tcW w:w="0" w:type="auto"/>
            <w:vAlign w:val="center"/>
            <w:hideMark/>
          </w:tcPr>
          <w:p w14:paraId="1BE4D7C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Frames competition</w:t>
            </w:r>
          </w:p>
        </w:tc>
        <w:tc>
          <w:tcPr>
            <w:tcW w:w="0" w:type="auto"/>
            <w:vAlign w:val="center"/>
            <w:hideMark/>
          </w:tcPr>
          <w:p w14:paraId="3537305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Conceptual</w:t>
            </w:r>
          </w:p>
        </w:tc>
      </w:tr>
      <w:tr w:rsidR="003D383A" w:rsidRPr="00952C24" w14:paraId="2D66562D" w14:textId="77777777" w:rsidTr="002701C3">
        <w:trPr>
          <w:tblCellSpacing w:w="15" w:type="dxa"/>
        </w:trPr>
        <w:tc>
          <w:tcPr>
            <w:tcW w:w="0" w:type="auto"/>
            <w:vAlign w:val="center"/>
            <w:hideMark/>
          </w:tcPr>
          <w:p w14:paraId="1565BF1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Hasan et al.</w:t>
            </w:r>
          </w:p>
        </w:tc>
        <w:tc>
          <w:tcPr>
            <w:tcW w:w="0" w:type="auto"/>
            <w:vAlign w:val="center"/>
            <w:hideMark/>
          </w:tcPr>
          <w:p w14:paraId="7B5F8BF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2022</w:t>
            </w:r>
          </w:p>
        </w:tc>
        <w:tc>
          <w:tcPr>
            <w:tcW w:w="0" w:type="auto"/>
            <w:vAlign w:val="center"/>
            <w:hideMark/>
          </w:tcPr>
          <w:p w14:paraId="1B88B98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MFS and financial inclusion</w:t>
            </w:r>
          </w:p>
        </w:tc>
        <w:tc>
          <w:tcPr>
            <w:tcW w:w="0" w:type="auto"/>
            <w:vAlign w:val="center"/>
            <w:hideMark/>
          </w:tcPr>
          <w:p w14:paraId="6742383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IJBM</w:t>
            </w:r>
          </w:p>
        </w:tc>
        <w:tc>
          <w:tcPr>
            <w:tcW w:w="0" w:type="auto"/>
            <w:vAlign w:val="center"/>
            <w:hideMark/>
          </w:tcPr>
          <w:p w14:paraId="7272D34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Inclusion impact</w:t>
            </w:r>
          </w:p>
        </w:tc>
        <w:tc>
          <w:tcPr>
            <w:tcW w:w="0" w:type="auto"/>
            <w:vAlign w:val="center"/>
            <w:hideMark/>
          </w:tcPr>
          <w:p w14:paraId="3A20CB2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DOI (implicit)</w:t>
            </w:r>
          </w:p>
        </w:tc>
        <w:tc>
          <w:tcPr>
            <w:tcW w:w="0" w:type="auto"/>
            <w:vAlign w:val="center"/>
            <w:hideMark/>
          </w:tcPr>
          <w:p w14:paraId="171D4D3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Quantitative</w:t>
            </w:r>
          </w:p>
        </w:tc>
        <w:tc>
          <w:tcPr>
            <w:tcW w:w="0" w:type="auto"/>
            <w:vAlign w:val="center"/>
            <w:hideMark/>
          </w:tcPr>
          <w:p w14:paraId="5A28E2F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MFS increases inclusion</w:t>
            </w:r>
          </w:p>
        </w:tc>
        <w:tc>
          <w:tcPr>
            <w:tcW w:w="0" w:type="auto"/>
            <w:vAlign w:val="center"/>
            <w:hideMark/>
          </w:tcPr>
          <w:p w14:paraId="6D990F3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Empowerment ignored</w:t>
            </w:r>
          </w:p>
        </w:tc>
        <w:tc>
          <w:tcPr>
            <w:tcW w:w="0" w:type="auto"/>
            <w:vAlign w:val="center"/>
            <w:hideMark/>
          </w:tcPr>
          <w:p w14:paraId="23E90B1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Inclusion theme</w:t>
            </w:r>
          </w:p>
        </w:tc>
        <w:tc>
          <w:tcPr>
            <w:tcW w:w="0" w:type="auto"/>
            <w:vAlign w:val="center"/>
            <w:hideMark/>
          </w:tcPr>
          <w:p w14:paraId="3E5A687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Adoption-focused</w:t>
            </w:r>
          </w:p>
        </w:tc>
      </w:tr>
      <w:tr w:rsidR="003D383A" w:rsidRPr="00952C24" w14:paraId="0976CF46" w14:textId="77777777" w:rsidTr="002701C3">
        <w:trPr>
          <w:tblCellSpacing w:w="15" w:type="dxa"/>
        </w:trPr>
        <w:tc>
          <w:tcPr>
            <w:tcW w:w="0" w:type="auto"/>
            <w:vAlign w:val="center"/>
            <w:hideMark/>
          </w:tcPr>
          <w:p w14:paraId="4A04D7F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lastRenderedPageBreak/>
              <w:t>Siddiqui &amp; Rehman</w:t>
            </w:r>
          </w:p>
        </w:tc>
        <w:tc>
          <w:tcPr>
            <w:tcW w:w="0" w:type="auto"/>
            <w:vAlign w:val="center"/>
            <w:hideMark/>
          </w:tcPr>
          <w:p w14:paraId="36DEBE0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2021</w:t>
            </w:r>
          </w:p>
        </w:tc>
        <w:tc>
          <w:tcPr>
            <w:tcW w:w="0" w:type="auto"/>
            <w:vAlign w:val="center"/>
            <w:hideMark/>
          </w:tcPr>
          <w:p w14:paraId="1A2C15F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MFS and inclusive growth</w:t>
            </w:r>
          </w:p>
        </w:tc>
        <w:tc>
          <w:tcPr>
            <w:tcW w:w="0" w:type="auto"/>
            <w:vAlign w:val="center"/>
            <w:hideMark/>
          </w:tcPr>
          <w:p w14:paraId="28526F6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JDA</w:t>
            </w:r>
          </w:p>
        </w:tc>
        <w:tc>
          <w:tcPr>
            <w:tcW w:w="0" w:type="auto"/>
            <w:vAlign w:val="center"/>
            <w:hideMark/>
          </w:tcPr>
          <w:p w14:paraId="7D88ACB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Growth outcomes</w:t>
            </w:r>
          </w:p>
        </w:tc>
        <w:tc>
          <w:tcPr>
            <w:tcW w:w="0" w:type="auto"/>
            <w:vAlign w:val="center"/>
            <w:hideMark/>
          </w:tcPr>
          <w:p w14:paraId="7F57C53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Functionalist</w:t>
            </w:r>
          </w:p>
        </w:tc>
        <w:tc>
          <w:tcPr>
            <w:tcW w:w="0" w:type="auto"/>
            <w:vAlign w:val="center"/>
            <w:hideMark/>
          </w:tcPr>
          <w:p w14:paraId="6534F6A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Secondary data</w:t>
            </w:r>
          </w:p>
        </w:tc>
        <w:tc>
          <w:tcPr>
            <w:tcW w:w="0" w:type="auto"/>
            <w:vAlign w:val="center"/>
            <w:hideMark/>
          </w:tcPr>
          <w:p w14:paraId="3BE6C59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Positive growth</w:t>
            </w:r>
          </w:p>
        </w:tc>
        <w:tc>
          <w:tcPr>
            <w:tcW w:w="0" w:type="auto"/>
            <w:vAlign w:val="center"/>
            <w:hideMark/>
          </w:tcPr>
          <w:p w14:paraId="1F3663A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Gender issues absent</w:t>
            </w:r>
          </w:p>
        </w:tc>
        <w:tc>
          <w:tcPr>
            <w:tcW w:w="0" w:type="auto"/>
            <w:vAlign w:val="center"/>
            <w:hideMark/>
          </w:tcPr>
          <w:p w14:paraId="0498FF6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Policy relevance</w:t>
            </w:r>
          </w:p>
        </w:tc>
        <w:tc>
          <w:tcPr>
            <w:tcW w:w="0" w:type="auto"/>
            <w:vAlign w:val="center"/>
            <w:hideMark/>
          </w:tcPr>
          <w:p w14:paraId="7C8B5CD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Macro-level</w:t>
            </w:r>
          </w:p>
        </w:tc>
      </w:tr>
      <w:tr w:rsidR="003D383A" w:rsidRPr="00952C24" w14:paraId="78A96A9C" w14:textId="77777777" w:rsidTr="002701C3">
        <w:trPr>
          <w:tblCellSpacing w:w="15" w:type="dxa"/>
        </w:trPr>
        <w:tc>
          <w:tcPr>
            <w:tcW w:w="0" w:type="auto"/>
            <w:vAlign w:val="center"/>
            <w:hideMark/>
          </w:tcPr>
          <w:p w14:paraId="2DFA7870"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World Bank</w:t>
            </w:r>
          </w:p>
        </w:tc>
        <w:tc>
          <w:tcPr>
            <w:tcW w:w="0" w:type="auto"/>
            <w:vAlign w:val="center"/>
            <w:hideMark/>
          </w:tcPr>
          <w:p w14:paraId="7CEB298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2023</w:t>
            </w:r>
          </w:p>
        </w:tc>
        <w:tc>
          <w:tcPr>
            <w:tcW w:w="0" w:type="auto"/>
            <w:vAlign w:val="center"/>
            <w:hideMark/>
          </w:tcPr>
          <w:p w14:paraId="64A49C1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regulation in South Asia</w:t>
            </w:r>
          </w:p>
        </w:tc>
        <w:tc>
          <w:tcPr>
            <w:tcW w:w="0" w:type="auto"/>
            <w:vAlign w:val="center"/>
            <w:hideMark/>
          </w:tcPr>
          <w:p w14:paraId="1A0446C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World Bank</w:t>
            </w:r>
          </w:p>
        </w:tc>
        <w:tc>
          <w:tcPr>
            <w:tcW w:w="0" w:type="auto"/>
            <w:vAlign w:val="center"/>
            <w:hideMark/>
          </w:tcPr>
          <w:p w14:paraId="311B9A1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Consumer protection</w:t>
            </w:r>
          </w:p>
        </w:tc>
        <w:tc>
          <w:tcPr>
            <w:tcW w:w="0" w:type="auto"/>
            <w:vAlign w:val="center"/>
            <w:hideMark/>
          </w:tcPr>
          <w:p w14:paraId="0AF2D90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Institutional</w:t>
            </w:r>
          </w:p>
        </w:tc>
        <w:tc>
          <w:tcPr>
            <w:tcW w:w="0" w:type="auto"/>
            <w:vAlign w:val="center"/>
            <w:hideMark/>
          </w:tcPr>
          <w:p w14:paraId="217D446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Report analysis</w:t>
            </w:r>
          </w:p>
        </w:tc>
        <w:tc>
          <w:tcPr>
            <w:tcW w:w="0" w:type="auto"/>
            <w:vAlign w:val="center"/>
            <w:hideMark/>
          </w:tcPr>
          <w:p w14:paraId="5DB6E3B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Regulatory gaps</w:t>
            </w:r>
          </w:p>
        </w:tc>
        <w:tc>
          <w:tcPr>
            <w:tcW w:w="0" w:type="auto"/>
            <w:vAlign w:val="center"/>
            <w:hideMark/>
          </w:tcPr>
          <w:p w14:paraId="4C4B90D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Needs empirical work</w:t>
            </w:r>
          </w:p>
        </w:tc>
        <w:tc>
          <w:tcPr>
            <w:tcW w:w="0" w:type="auto"/>
            <w:vAlign w:val="center"/>
            <w:hideMark/>
          </w:tcPr>
          <w:p w14:paraId="0A00776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Governance context</w:t>
            </w:r>
          </w:p>
        </w:tc>
        <w:tc>
          <w:tcPr>
            <w:tcW w:w="0" w:type="auto"/>
            <w:vAlign w:val="center"/>
            <w:hideMark/>
          </w:tcPr>
          <w:p w14:paraId="4EF06D9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Practitioner focus</w:t>
            </w:r>
          </w:p>
        </w:tc>
      </w:tr>
      <w:tr w:rsidR="003D383A" w:rsidRPr="00952C24" w14:paraId="529615EB" w14:textId="77777777" w:rsidTr="002701C3">
        <w:trPr>
          <w:tblCellSpacing w:w="15" w:type="dxa"/>
        </w:trPr>
        <w:tc>
          <w:tcPr>
            <w:tcW w:w="0" w:type="auto"/>
            <w:vAlign w:val="center"/>
            <w:hideMark/>
          </w:tcPr>
          <w:p w14:paraId="166BCF5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Ahmed &amp; Uddin</w:t>
            </w:r>
          </w:p>
        </w:tc>
        <w:tc>
          <w:tcPr>
            <w:tcW w:w="0" w:type="auto"/>
            <w:vAlign w:val="center"/>
            <w:hideMark/>
          </w:tcPr>
          <w:p w14:paraId="40FD3EC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2023</w:t>
            </w:r>
          </w:p>
        </w:tc>
        <w:tc>
          <w:tcPr>
            <w:tcW w:w="0" w:type="auto"/>
            <w:vAlign w:val="center"/>
            <w:hideMark/>
          </w:tcPr>
          <w:p w14:paraId="4E5F194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Regulatory challenges</w:t>
            </w:r>
          </w:p>
        </w:tc>
        <w:tc>
          <w:tcPr>
            <w:tcW w:w="0" w:type="auto"/>
            <w:vAlign w:val="center"/>
            <w:hideMark/>
          </w:tcPr>
          <w:p w14:paraId="3159E50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JFR</w:t>
            </w:r>
          </w:p>
        </w:tc>
        <w:tc>
          <w:tcPr>
            <w:tcW w:w="0" w:type="auto"/>
            <w:vAlign w:val="center"/>
            <w:hideMark/>
          </w:tcPr>
          <w:p w14:paraId="60B5144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Regulatory lag</w:t>
            </w:r>
          </w:p>
        </w:tc>
        <w:tc>
          <w:tcPr>
            <w:tcW w:w="0" w:type="auto"/>
            <w:vAlign w:val="center"/>
            <w:hideMark/>
          </w:tcPr>
          <w:p w14:paraId="1DD747C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Institutional theory</w:t>
            </w:r>
          </w:p>
        </w:tc>
        <w:tc>
          <w:tcPr>
            <w:tcW w:w="0" w:type="auto"/>
            <w:vAlign w:val="center"/>
            <w:hideMark/>
          </w:tcPr>
          <w:p w14:paraId="66EA47C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Qualitative review</w:t>
            </w:r>
          </w:p>
        </w:tc>
        <w:tc>
          <w:tcPr>
            <w:tcW w:w="0" w:type="auto"/>
            <w:vAlign w:val="center"/>
            <w:hideMark/>
          </w:tcPr>
          <w:p w14:paraId="44D19CD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Weak frameworks</w:t>
            </w:r>
          </w:p>
        </w:tc>
        <w:tc>
          <w:tcPr>
            <w:tcW w:w="0" w:type="auto"/>
            <w:vAlign w:val="center"/>
            <w:hideMark/>
          </w:tcPr>
          <w:p w14:paraId="387B2A1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No bank-level data</w:t>
            </w:r>
          </w:p>
        </w:tc>
        <w:tc>
          <w:tcPr>
            <w:tcW w:w="0" w:type="auto"/>
            <w:vAlign w:val="center"/>
            <w:hideMark/>
          </w:tcPr>
          <w:p w14:paraId="6809A3F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Risk theme</w:t>
            </w:r>
          </w:p>
        </w:tc>
        <w:tc>
          <w:tcPr>
            <w:tcW w:w="0" w:type="auto"/>
            <w:vAlign w:val="center"/>
            <w:hideMark/>
          </w:tcPr>
          <w:p w14:paraId="54E43A1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Normative</w:t>
            </w:r>
          </w:p>
        </w:tc>
      </w:tr>
      <w:tr w:rsidR="003D383A" w:rsidRPr="00952C24" w14:paraId="400579A1" w14:textId="77777777" w:rsidTr="002701C3">
        <w:trPr>
          <w:tblCellSpacing w:w="15" w:type="dxa"/>
        </w:trPr>
        <w:tc>
          <w:tcPr>
            <w:tcW w:w="0" w:type="auto"/>
            <w:vAlign w:val="center"/>
            <w:hideMark/>
          </w:tcPr>
          <w:p w14:paraId="62D3B8B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Arner et al.</w:t>
            </w:r>
          </w:p>
        </w:tc>
        <w:tc>
          <w:tcPr>
            <w:tcW w:w="0" w:type="auto"/>
            <w:vAlign w:val="center"/>
            <w:hideMark/>
          </w:tcPr>
          <w:p w14:paraId="6F62A80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2017</w:t>
            </w:r>
          </w:p>
        </w:tc>
        <w:tc>
          <w:tcPr>
            <w:tcW w:w="0" w:type="auto"/>
            <w:vAlign w:val="center"/>
            <w:hideMark/>
          </w:tcPr>
          <w:p w14:paraId="36D553C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and regulation</w:t>
            </w:r>
          </w:p>
        </w:tc>
        <w:tc>
          <w:tcPr>
            <w:tcW w:w="0" w:type="auto"/>
            <w:vAlign w:val="center"/>
            <w:hideMark/>
          </w:tcPr>
          <w:p w14:paraId="30FB284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NJILB</w:t>
            </w:r>
          </w:p>
        </w:tc>
        <w:tc>
          <w:tcPr>
            <w:tcW w:w="0" w:type="auto"/>
            <w:vAlign w:val="center"/>
            <w:hideMark/>
          </w:tcPr>
          <w:p w14:paraId="2E45B7E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Regulatory change</w:t>
            </w:r>
          </w:p>
        </w:tc>
        <w:tc>
          <w:tcPr>
            <w:tcW w:w="0" w:type="auto"/>
            <w:vAlign w:val="center"/>
            <w:hideMark/>
          </w:tcPr>
          <w:p w14:paraId="43AC55D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Legal-institutional</w:t>
            </w:r>
          </w:p>
        </w:tc>
        <w:tc>
          <w:tcPr>
            <w:tcW w:w="0" w:type="auto"/>
            <w:vAlign w:val="center"/>
            <w:hideMark/>
          </w:tcPr>
          <w:p w14:paraId="45669CF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Conceptual</w:t>
            </w:r>
          </w:p>
        </w:tc>
        <w:tc>
          <w:tcPr>
            <w:tcW w:w="0" w:type="auto"/>
            <w:vAlign w:val="center"/>
            <w:hideMark/>
          </w:tcPr>
          <w:p w14:paraId="0CA03A2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Need adaptive regulation</w:t>
            </w:r>
          </w:p>
        </w:tc>
        <w:tc>
          <w:tcPr>
            <w:tcW w:w="0" w:type="auto"/>
            <w:vAlign w:val="center"/>
            <w:hideMark/>
          </w:tcPr>
          <w:p w14:paraId="79E380C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Country studies needed</w:t>
            </w:r>
          </w:p>
        </w:tc>
        <w:tc>
          <w:tcPr>
            <w:tcW w:w="0" w:type="auto"/>
            <w:vAlign w:val="center"/>
            <w:hideMark/>
          </w:tcPr>
          <w:p w14:paraId="27D0E66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Theoretical grounding</w:t>
            </w:r>
          </w:p>
        </w:tc>
        <w:tc>
          <w:tcPr>
            <w:tcW w:w="0" w:type="auto"/>
            <w:vAlign w:val="center"/>
            <w:hideMark/>
          </w:tcPr>
          <w:p w14:paraId="1423E49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Highly cited</w:t>
            </w:r>
          </w:p>
        </w:tc>
      </w:tr>
      <w:tr w:rsidR="003D383A" w:rsidRPr="00952C24" w14:paraId="07ECA44A" w14:textId="77777777" w:rsidTr="002701C3">
        <w:trPr>
          <w:tblCellSpacing w:w="15" w:type="dxa"/>
        </w:trPr>
        <w:tc>
          <w:tcPr>
            <w:tcW w:w="0" w:type="auto"/>
            <w:vAlign w:val="center"/>
            <w:hideMark/>
          </w:tcPr>
          <w:p w14:paraId="2D17EA3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Thakor</w:t>
            </w:r>
          </w:p>
        </w:tc>
        <w:tc>
          <w:tcPr>
            <w:tcW w:w="0" w:type="auto"/>
            <w:vAlign w:val="center"/>
            <w:hideMark/>
          </w:tcPr>
          <w:p w14:paraId="0981C3F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2020</w:t>
            </w:r>
          </w:p>
        </w:tc>
        <w:tc>
          <w:tcPr>
            <w:tcW w:w="0" w:type="auto"/>
            <w:vAlign w:val="center"/>
            <w:hideMark/>
          </w:tcPr>
          <w:p w14:paraId="5248594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and banking</w:t>
            </w:r>
          </w:p>
        </w:tc>
        <w:tc>
          <w:tcPr>
            <w:tcW w:w="0" w:type="auto"/>
            <w:vAlign w:val="center"/>
            <w:hideMark/>
          </w:tcPr>
          <w:p w14:paraId="3C953A7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JFI</w:t>
            </w:r>
          </w:p>
        </w:tc>
        <w:tc>
          <w:tcPr>
            <w:tcW w:w="0" w:type="auto"/>
            <w:vAlign w:val="center"/>
            <w:hideMark/>
          </w:tcPr>
          <w:p w14:paraId="43F0492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Bank–Fintech relationship</w:t>
            </w:r>
          </w:p>
        </w:tc>
        <w:tc>
          <w:tcPr>
            <w:tcW w:w="0" w:type="auto"/>
            <w:vAlign w:val="center"/>
            <w:hideMark/>
          </w:tcPr>
          <w:p w14:paraId="7434702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Economic</w:t>
            </w:r>
          </w:p>
        </w:tc>
        <w:tc>
          <w:tcPr>
            <w:tcW w:w="0" w:type="auto"/>
            <w:vAlign w:val="center"/>
            <w:hideMark/>
          </w:tcPr>
          <w:p w14:paraId="1ABE9CF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Conceptual</w:t>
            </w:r>
          </w:p>
        </w:tc>
        <w:tc>
          <w:tcPr>
            <w:tcW w:w="0" w:type="auto"/>
            <w:vAlign w:val="center"/>
            <w:hideMark/>
          </w:tcPr>
          <w:p w14:paraId="1D97CC9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Complement + disrupt</w:t>
            </w:r>
          </w:p>
        </w:tc>
        <w:tc>
          <w:tcPr>
            <w:tcW w:w="0" w:type="auto"/>
            <w:vAlign w:val="center"/>
            <w:hideMark/>
          </w:tcPr>
          <w:p w14:paraId="6390FDD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Contextual analysis</w:t>
            </w:r>
          </w:p>
        </w:tc>
        <w:tc>
          <w:tcPr>
            <w:tcW w:w="0" w:type="auto"/>
            <w:vAlign w:val="center"/>
            <w:hideMark/>
          </w:tcPr>
          <w:p w14:paraId="4C682A4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Frames debate</w:t>
            </w:r>
          </w:p>
        </w:tc>
        <w:tc>
          <w:tcPr>
            <w:tcW w:w="0" w:type="auto"/>
            <w:vAlign w:val="center"/>
            <w:hideMark/>
          </w:tcPr>
          <w:p w14:paraId="5329DC1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Influential</w:t>
            </w:r>
          </w:p>
        </w:tc>
      </w:tr>
      <w:tr w:rsidR="003D383A" w:rsidRPr="00952C24" w14:paraId="05C1F4C6" w14:textId="77777777" w:rsidTr="002701C3">
        <w:trPr>
          <w:tblCellSpacing w:w="15" w:type="dxa"/>
        </w:trPr>
        <w:tc>
          <w:tcPr>
            <w:tcW w:w="0" w:type="auto"/>
            <w:vAlign w:val="center"/>
            <w:hideMark/>
          </w:tcPr>
          <w:p w14:paraId="1C67672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Kou et al.</w:t>
            </w:r>
          </w:p>
        </w:tc>
        <w:tc>
          <w:tcPr>
            <w:tcW w:w="0" w:type="auto"/>
            <w:vAlign w:val="center"/>
            <w:hideMark/>
          </w:tcPr>
          <w:p w14:paraId="45EC11F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2021</w:t>
            </w:r>
          </w:p>
        </w:tc>
        <w:tc>
          <w:tcPr>
            <w:tcW w:w="0" w:type="auto"/>
            <w:vAlign w:val="center"/>
            <w:hideMark/>
          </w:tcPr>
          <w:p w14:paraId="0C79F45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investment decisions</w:t>
            </w:r>
          </w:p>
        </w:tc>
        <w:tc>
          <w:tcPr>
            <w:tcW w:w="0" w:type="auto"/>
            <w:vAlign w:val="center"/>
            <w:hideMark/>
          </w:tcPr>
          <w:p w14:paraId="3D9E9B1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Financial Innovation</w:t>
            </w:r>
          </w:p>
        </w:tc>
        <w:tc>
          <w:tcPr>
            <w:tcW w:w="0" w:type="auto"/>
            <w:vAlign w:val="center"/>
            <w:hideMark/>
          </w:tcPr>
          <w:p w14:paraId="08B1C9F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Risk assessment</w:t>
            </w:r>
          </w:p>
        </w:tc>
        <w:tc>
          <w:tcPr>
            <w:tcW w:w="0" w:type="auto"/>
            <w:vAlign w:val="center"/>
            <w:hideMark/>
          </w:tcPr>
          <w:p w14:paraId="279E743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Decision theory</w:t>
            </w:r>
          </w:p>
        </w:tc>
        <w:tc>
          <w:tcPr>
            <w:tcW w:w="0" w:type="auto"/>
            <w:vAlign w:val="center"/>
            <w:hideMark/>
          </w:tcPr>
          <w:p w14:paraId="04DDD14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MCDM</w:t>
            </w:r>
          </w:p>
        </w:tc>
        <w:tc>
          <w:tcPr>
            <w:tcW w:w="0" w:type="auto"/>
            <w:vAlign w:val="center"/>
            <w:hideMark/>
          </w:tcPr>
          <w:p w14:paraId="4CB356F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Risk varies by context</w:t>
            </w:r>
          </w:p>
        </w:tc>
        <w:tc>
          <w:tcPr>
            <w:tcW w:w="0" w:type="auto"/>
            <w:vAlign w:val="center"/>
            <w:hideMark/>
          </w:tcPr>
          <w:p w14:paraId="171BC2A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Social impact ignored</w:t>
            </w:r>
          </w:p>
        </w:tc>
        <w:tc>
          <w:tcPr>
            <w:tcW w:w="0" w:type="auto"/>
            <w:vAlign w:val="center"/>
            <w:hideMark/>
          </w:tcPr>
          <w:p w14:paraId="1F067B3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Risk evaluation</w:t>
            </w:r>
          </w:p>
        </w:tc>
        <w:tc>
          <w:tcPr>
            <w:tcW w:w="0" w:type="auto"/>
            <w:vAlign w:val="center"/>
            <w:hideMark/>
          </w:tcPr>
          <w:p w14:paraId="56B2004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Technical</w:t>
            </w:r>
          </w:p>
        </w:tc>
      </w:tr>
      <w:tr w:rsidR="003D383A" w:rsidRPr="00952C24" w14:paraId="6DC0D52E" w14:textId="77777777" w:rsidTr="002701C3">
        <w:trPr>
          <w:tblCellSpacing w:w="15" w:type="dxa"/>
        </w:trPr>
        <w:tc>
          <w:tcPr>
            <w:tcW w:w="0" w:type="auto"/>
            <w:vAlign w:val="center"/>
            <w:hideMark/>
          </w:tcPr>
          <w:p w14:paraId="7CD7F3E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lastRenderedPageBreak/>
              <w:t>Vives</w:t>
            </w:r>
          </w:p>
        </w:tc>
        <w:tc>
          <w:tcPr>
            <w:tcW w:w="0" w:type="auto"/>
            <w:vAlign w:val="center"/>
            <w:hideMark/>
          </w:tcPr>
          <w:p w14:paraId="03B4793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2019</w:t>
            </w:r>
          </w:p>
        </w:tc>
        <w:tc>
          <w:tcPr>
            <w:tcW w:w="0" w:type="auto"/>
            <w:vAlign w:val="center"/>
            <w:hideMark/>
          </w:tcPr>
          <w:p w14:paraId="3D9B623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Digital disruption</w:t>
            </w:r>
          </w:p>
        </w:tc>
        <w:tc>
          <w:tcPr>
            <w:tcW w:w="0" w:type="auto"/>
            <w:vAlign w:val="center"/>
            <w:hideMark/>
          </w:tcPr>
          <w:p w14:paraId="0D14928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ARFE</w:t>
            </w:r>
          </w:p>
        </w:tc>
        <w:tc>
          <w:tcPr>
            <w:tcW w:w="0" w:type="auto"/>
            <w:vAlign w:val="center"/>
            <w:hideMark/>
          </w:tcPr>
          <w:p w14:paraId="6946331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Banking disruption</w:t>
            </w:r>
          </w:p>
        </w:tc>
        <w:tc>
          <w:tcPr>
            <w:tcW w:w="0" w:type="auto"/>
            <w:vAlign w:val="center"/>
            <w:hideMark/>
          </w:tcPr>
          <w:p w14:paraId="4523B2D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Industrial economics</w:t>
            </w:r>
          </w:p>
        </w:tc>
        <w:tc>
          <w:tcPr>
            <w:tcW w:w="0" w:type="auto"/>
            <w:vAlign w:val="center"/>
            <w:hideMark/>
          </w:tcPr>
          <w:p w14:paraId="059154C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Conceptual</w:t>
            </w:r>
          </w:p>
        </w:tc>
        <w:tc>
          <w:tcPr>
            <w:tcW w:w="0" w:type="auto"/>
            <w:vAlign w:val="center"/>
            <w:hideMark/>
          </w:tcPr>
          <w:p w14:paraId="336EFCC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Strategy must adapt</w:t>
            </w:r>
          </w:p>
        </w:tc>
        <w:tc>
          <w:tcPr>
            <w:tcW w:w="0" w:type="auto"/>
            <w:vAlign w:val="center"/>
            <w:hideMark/>
          </w:tcPr>
          <w:p w14:paraId="43E398D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Emerging markets absent</w:t>
            </w:r>
          </w:p>
        </w:tc>
        <w:tc>
          <w:tcPr>
            <w:tcW w:w="0" w:type="auto"/>
            <w:vAlign w:val="center"/>
            <w:hideMark/>
          </w:tcPr>
          <w:p w14:paraId="0D6B14F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Strategic insight</w:t>
            </w:r>
          </w:p>
        </w:tc>
        <w:tc>
          <w:tcPr>
            <w:tcW w:w="0" w:type="auto"/>
            <w:vAlign w:val="center"/>
            <w:hideMark/>
          </w:tcPr>
          <w:p w14:paraId="6010560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Macro focus</w:t>
            </w:r>
          </w:p>
        </w:tc>
      </w:tr>
      <w:tr w:rsidR="003D383A" w:rsidRPr="00952C24" w14:paraId="32AF31A2" w14:textId="77777777" w:rsidTr="002701C3">
        <w:trPr>
          <w:tblCellSpacing w:w="15" w:type="dxa"/>
        </w:trPr>
        <w:tc>
          <w:tcPr>
            <w:tcW w:w="0" w:type="auto"/>
            <w:vAlign w:val="center"/>
            <w:hideMark/>
          </w:tcPr>
          <w:p w14:paraId="19BF3DF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Gomber et al.</w:t>
            </w:r>
          </w:p>
        </w:tc>
        <w:tc>
          <w:tcPr>
            <w:tcW w:w="0" w:type="auto"/>
            <w:vAlign w:val="center"/>
            <w:hideMark/>
          </w:tcPr>
          <w:p w14:paraId="58B94176"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2018</w:t>
            </w:r>
          </w:p>
        </w:tc>
        <w:tc>
          <w:tcPr>
            <w:tcW w:w="0" w:type="auto"/>
            <w:vAlign w:val="center"/>
            <w:hideMark/>
          </w:tcPr>
          <w:p w14:paraId="56113B0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Digital finance</w:t>
            </w:r>
          </w:p>
        </w:tc>
        <w:tc>
          <w:tcPr>
            <w:tcW w:w="0" w:type="auto"/>
            <w:vAlign w:val="center"/>
            <w:hideMark/>
          </w:tcPr>
          <w:p w14:paraId="6E139D91"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JBE</w:t>
            </w:r>
          </w:p>
        </w:tc>
        <w:tc>
          <w:tcPr>
            <w:tcW w:w="0" w:type="auto"/>
            <w:vAlign w:val="center"/>
            <w:hideMark/>
          </w:tcPr>
          <w:p w14:paraId="0190ABD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evolution</w:t>
            </w:r>
          </w:p>
        </w:tc>
        <w:tc>
          <w:tcPr>
            <w:tcW w:w="0" w:type="auto"/>
            <w:vAlign w:val="center"/>
            <w:hideMark/>
          </w:tcPr>
          <w:p w14:paraId="261CA9E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Systems view</w:t>
            </w:r>
          </w:p>
        </w:tc>
        <w:tc>
          <w:tcPr>
            <w:tcW w:w="0" w:type="auto"/>
            <w:vAlign w:val="center"/>
            <w:hideMark/>
          </w:tcPr>
          <w:p w14:paraId="34AFAEA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Review</w:t>
            </w:r>
          </w:p>
        </w:tc>
        <w:tc>
          <w:tcPr>
            <w:tcW w:w="0" w:type="auto"/>
            <w:vAlign w:val="center"/>
            <w:hideMark/>
          </w:tcPr>
          <w:p w14:paraId="52CB516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Fintech reshapes finance</w:t>
            </w:r>
          </w:p>
        </w:tc>
        <w:tc>
          <w:tcPr>
            <w:tcW w:w="0" w:type="auto"/>
            <w:vAlign w:val="center"/>
            <w:hideMark/>
          </w:tcPr>
          <w:p w14:paraId="5CFEEF1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Ethics underexplored</w:t>
            </w:r>
          </w:p>
        </w:tc>
        <w:tc>
          <w:tcPr>
            <w:tcW w:w="0" w:type="auto"/>
            <w:vAlign w:val="center"/>
            <w:hideMark/>
          </w:tcPr>
          <w:p w14:paraId="3B27219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Conceptual base</w:t>
            </w:r>
          </w:p>
        </w:tc>
        <w:tc>
          <w:tcPr>
            <w:tcW w:w="0" w:type="auto"/>
            <w:vAlign w:val="center"/>
            <w:hideMark/>
          </w:tcPr>
          <w:p w14:paraId="67408EB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Pre-2019</w:t>
            </w:r>
          </w:p>
        </w:tc>
      </w:tr>
      <w:tr w:rsidR="003D383A" w:rsidRPr="00952C24" w14:paraId="2AF71785" w14:textId="77777777" w:rsidTr="002701C3">
        <w:trPr>
          <w:tblCellSpacing w:w="15" w:type="dxa"/>
        </w:trPr>
        <w:tc>
          <w:tcPr>
            <w:tcW w:w="0" w:type="auto"/>
            <w:vAlign w:val="center"/>
            <w:hideMark/>
          </w:tcPr>
          <w:p w14:paraId="060FEE1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Saunders et al.</w:t>
            </w:r>
          </w:p>
        </w:tc>
        <w:tc>
          <w:tcPr>
            <w:tcW w:w="0" w:type="auto"/>
            <w:vAlign w:val="center"/>
            <w:hideMark/>
          </w:tcPr>
          <w:p w14:paraId="2C2CD05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2019</w:t>
            </w:r>
          </w:p>
        </w:tc>
        <w:tc>
          <w:tcPr>
            <w:tcW w:w="0" w:type="auto"/>
            <w:vAlign w:val="center"/>
            <w:hideMark/>
          </w:tcPr>
          <w:p w14:paraId="4E40EB4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Research methods</w:t>
            </w:r>
          </w:p>
        </w:tc>
        <w:tc>
          <w:tcPr>
            <w:tcW w:w="0" w:type="auto"/>
            <w:vAlign w:val="center"/>
            <w:hideMark/>
          </w:tcPr>
          <w:p w14:paraId="2B8FB91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Pearson</w:t>
            </w:r>
          </w:p>
        </w:tc>
        <w:tc>
          <w:tcPr>
            <w:tcW w:w="0" w:type="auto"/>
            <w:vAlign w:val="center"/>
            <w:hideMark/>
          </w:tcPr>
          <w:p w14:paraId="43BBC80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Research philosophy</w:t>
            </w:r>
          </w:p>
        </w:tc>
        <w:tc>
          <w:tcPr>
            <w:tcW w:w="0" w:type="auto"/>
            <w:vAlign w:val="center"/>
            <w:hideMark/>
          </w:tcPr>
          <w:p w14:paraId="15F64C6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Pragmatism</w:t>
            </w:r>
          </w:p>
        </w:tc>
        <w:tc>
          <w:tcPr>
            <w:tcW w:w="0" w:type="auto"/>
            <w:vAlign w:val="center"/>
            <w:hideMark/>
          </w:tcPr>
          <w:p w14:paraId="24DDCF4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Textbook</w:t>
            </w:r>
          </w:p>
        </w:tc>
        <w:tc>
          <w:tcPr>
            <w:tcW w:w="0" w:type="auto"/>
            <w:vAlign w:val="center"/>
            <w:hideMark/>
          </w:tcPr>
          <w:p w14:paraId="6C66AC8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Guides DBA research</w:t>
            </w:r>
          </w:p>
        </w:tc>
        <w:tc>
          <w:tcPr>
            <w:tcW w:w="0" w:type="auto"/>
            <w:vAlign w:val="center"/>
            <w:hideMark/>
          </w:tcPr>
          <w:p w14:paraId="39F615B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Applied examples</w:t>
            </w:r>
          </w:p>
        </w:tc>
        <w:tc>
          <w:tcPr>
            <w:tcW w:w="0" w:type="auto"/>
            <w:vAlign w:val="center"/>
            <w:hideMark/>
          </w:tcPr>
          <w:p w14:paraId="30AC7A7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Philosophical anchor</w:t>
            </w:r>
          </w:p>
        </w:tc>
        <w:tc>
          <w:tcPr>
            <w:tcW w:w="0" w:type="auto"/>
            <w:vAlign w:val="center"/>
            <w:hideMark/>
          </w:tcPr>
          <w:p w14:paraId="63E38877"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Core DBA</w:t>
            </w:r>
          </w:p>
        </w:tc>
      </w:tr>
      <w:tr w:rsidR="003D383A" w:rsidRPr="00952C24" w14:paraId="7078B424" w14:textId="77777777" w:rsidTr="002701C3">
        <w:trPr>
          <w:tblCellSpacing w:w="15" w:type="dxa"/>
        </w:trPr>
        <w:tc>
          <w:tcPr>
            <w:tcW w:w="0" w:type="auto"/>
            <w:vAlign w:val="center"/>
            <w:hideMark/>
          </w:tcPr>
          <w:p w14:paraId="644E1E6F"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Easterby-Smith et al.</w:t>
            </w:r>
          </w:p>
        </w:tc>
        <w:tc>
          <w:tcPr>
            <w:tcW w:w="0" w:type="auto"/>
            <w:vAlign w:val="center"/>
            <w:hideMark/>
          </w:tcPr>
          <w:p w14:paraId="23F26F5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2018</w:t>
            </w:r>
          </w:p>
        </w:tc>
        <w:tc>
          <w:tcPr>
            <w:tcW w:w="0" w:type="auto"/>
            <w:vAlign w:val="center"/>
            <w:hideMark/>
          </w:tcPr>
          <w:p w14:paraId="26A6A02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Management research</w:t>
            </w:r>
          </w:p>
        </w:tc>
        <w:tc>
          <w:tcPr>
            <w:tcW w:w="0" w:type="auto"/>
            <w:vAlign w:val="center"/>
            <w:hideMark/>
          </w:tcPr>
          <w:p w14:paraId="615B6E9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SAGE</w:t>
            </w:r>
          </w:p>
        </w:tc>
        <w:tc>
          <w:tcPr>
            <w:tcW w:w="0" w:type="auto"/>
            <w:vAlign w:val="center"/>
            <w:hideMark/>
          </w:tcPr>
          <w:p w14:paraId="0BAF1A1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Research paradigms</w:t>
            </w:r>
          </w:p>
        </w:tc>
        <w:tc>
          <w:tcPr>
            <w:tcW w:w="0" w:type="auto"/>
            <w:vAlign w:val="center"/>
            <w:hideMark/>
          </w:tcPr>
          <w:p w14:paraId="578969EE"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Pluralist</w:t>
            </w:r>
          </w:p>
        </w:tc>
        <w:tc>
          <w:tcPr>
            <w:tcW w:w="0" w:type="auto"/>
            <w:vAlign w:val="center"/>
            <w:hideMark/>
          </w:tcPr>
          <w:p w14:paraId="4DB1AD6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Textbook</w:t>
            </w:r>
          </w:p>
        </w:tc>
        <w:tc>
          <w:tcPr>
            <w:tcW w:w="0" w:type="auto"/>
            <w:vAlign w:val="center"/>
            <w:hideMark/>
          </w:tcPr>
          <w:p w14:paraId="3456D98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Explains paradigms</w:t>
            </w:r>
          </w:p>
        </w:tc>
        <w:tc>
          <w:tcPr>
            <w:tcW w:w="0" w:type="auto"/>
            <w:vAlign w:val="center"/>
            <w:hideMark/>
          </w:tcPr>
          <w:p w14:paraId="02E4135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Not Fintech-specific</w:t>
            </w:r>
          </w:p>
        </w:tc>
        <w:tc>
          <w:tcPr>
            <w:tcW w:w="0" w:type="auto"/>
            <w:vAlign w:val="center"/>
            <w:hideMark/>
          </w:tcPr>
          <w:p w14:paraId="02C5ED4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Method guidance</w:t>
            </w:r>
          </w:p>
        </w:tc>
        <w:tc>
          <w:tcPr>
            <w:tcW w:w="0" w:type="auto"/>
            <w:vAlign w:val="center"/>
            <w:hideMark/>
          </w:tcPr>
          <w:p w14:paraId="7E2BC6DB"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Foundational</w:t>
            </w:r>
          </w:p>
        </w:tc>
      </w:tr>
      <w:tr w:rsidR="003D383A" w:rsidRPr="00952C24" w14:paraId="1FCA5DA1" w14:textId="77777777" w:rsidTr="002701C3">
        <w:trPr>
          <w:tblCellSpacing w:w="15" w:type="dxa"/>
        </w:trPr>
        <w:tc>
          <w:tcPr>
            <w:tcW w:w="0" w:type="auto"/>
            <w:vAlign w:val="center"/>
            <w:hideMark/>
          </w:tcPr>
          <w:p w14:paraId="61A3B38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Al-Mahrouq &amp; Al-Tamimi</w:t>
            </w:r>
          </w:p>
        </w:tc>
        <w:tc>
          <w:tcPr>
            <w:tcW w:w="0" w:type="auto"/>
            <w:vAlign w:val="center"/>
            <w:hideMark/>
          </w:tcPr>
          <w:p w14:paraId="602C0668"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2021</w:t>
            </w:r>
          </w:p>
        </w:tc>
        <w:tc>
          <w:tcPr>
            <w:tcW w:w="0" w:type="auto"/>
            <w:vAlign w:val="center"/>
            <w:hideMark/>
          </w:tcPr>
          <w:p w14:paraId="13FEA9FD"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Digital transformation</w:t>
            </w:r>
          </w:p>
        </w:tc>
        <w:tc>
          <w:tcPr>
            <w:tcW w:w="0" w:type="auto"/>
            <w:vAlign w:val="center"/>
            <w:hideMark/>
          </w:tcPr>
          <w:p w14:paraId="2BCBF919"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IJFSM</w:t>
            </w:r>
          </w:p>
        </w:tc>
        <w:tc>
          <w:tcPr>
            <w:tcW w:w="0" w:type="auto"/>
            <w:vAlign w:val="center"/>
            <w:hideMark/>
          </w:tcPr>
          <w:p w14:paraId="4B1FF1AC"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Strategy &amp; performance</w:t>
            </w:r>
          </w:p>
        </w:tc>
        <w:tc>
          <w:tcPr>
            <w:tcW w:w="0" w:type="auto"/>
            <w:vAlign w:val="center"/>
            <w:hideMark/>
          </w:tcPr>
          <w:p w14:paraId="2387392A"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Strategic mgmt</w:t>
            </w:r>
          </w:p>
        </w:tc>
        <w:tc>
          <w:tcPr>
            <w:tcW w:w="0" w:type="auto"/>
            <w:vAlign w:val="center"/>
            <w:hideMark/>
          </w:tcPr>
          <w:p w14:paraId="15A8C66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Survey</w:t>
            </w:r>
          </w:p>
        </w:tc>
        <w:tc>
          <w:tcPr>
            <w:tcW w:w="0" w:type="auto"/>
            <w:vAlign w:val="center"/>
            <w:hideMark/>
          </w:tcPr>
          <w:p w14:paraId="06CFC4C5"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Digital improves performance</w:t>
            </w:r>
          </w:p>
        </w:tc>
        <w:tc>
          <w:tcPr>
            <w:tcW w:w="0" w:type="auto"/>
            <w:vAlign w:val="center"/>
            <w:hideMark/>
          </w:tcPr>
          <w:p w14:paraId="6BBC7642"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Culture ignored</w:t>
            </w:r>
          </w:p>
        </w:tc>
        <w:tc>
          <w:tcPr>
            <w:tcW w:w="0" w:type="auto"/>
            <w:vAlign w:val="center"/>
            <w:hideMark/>
          </w:tcPr>
          <w:p w14:paraId="3811A0C3"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Managerial relevance</w:t>
            </w:r>
          </w:p>
        </w:tc>
        <w:tc>
          <w:tcPr>
            <w:tcW w:w="0" w:type="auto"/>
            <w:vAlign w:val="center"/>
            <w:hideMark/>
          </w:tcPr>
          <w:p w14:paraId="17512A24" w14:textId="77777777" w:rsidR="003D383A" w:rsidRPr="00952C24" w:rsidRDefault="003D383A" w:rsidP="00952C24">
            <w:pPr>
              <w:spacing w:before="100" w:beforeAutospacing="1" w:after="0" w:line="360" w:lineRule="auto"/>
              <w:jc w:val="both"/>
              <w:rPr>
                <w:rFonts w:ascii="Times New Roman" w:eastAsia="Times New Roman" w:hAnsi="Times New Roman" w:cs="Times New Roman"/>
                <w:lang w:val="en-BD" w:eastAsia="en-GB" w:bidi="bn-IN"/>
              </w:rPr>
            </w:pPr>
            <w:r w:rsidRPr="00952C24">
              <w:rPr>
                <w:rFonts w:ascii="Times New Roman" w:eastAsia="Times New Roman" w:hAnsi="Times New Roman" w:cs="Times New Roman"/>
                <w:lang w:val="en-BD" w:eastAsia="en-GB" w:bidi="bn-IN"/>
              </w:rPr>
              <w:t>Emerging markets</w:t>
            </w:r>
          </w:p>
        </w:tc>
      </w:tr>
    </w:tbl>
    <w:p w14:paraId="27B99F16" w14:textId="77777777" w:rsidR="003D383A" w:rsidRPr="00952C24" w:rsidRDefault="003D383A" w:rsidP="00952C24">
      <w:pPr>
        <w:pStyle w:val="NormalWeb"/>
        <w:spacing w:line="360" w:lineRule="auto"/>
        <w:jc w:val="both"/>
        <w:rPr>
          <w:color w:val="000000"/>
          <w:sz w:val="22"/>
          <w:szCs w:val="22"/>
        </w:rPr>
        <w:sectPr w:rsidR="003D383A" w:rsidRPr="00952C24" w:rsidSect="003D383A">
          <w:pgSz w:w="15840" w:h="12240" w:orient="landscape"/>
          <w:pgMar w:top="1800" w:right="1440" w:bottom="1800" w:left="1440" w:header="720" w:footer="720" w:gutter="0"/>
          <w:cols w:space="720"/>
          <w:docGrid w:linePitch="360"/>
        </w:sectPr>
      </w:pPr>
    </w:p>
    <w:p w14:paraId="7EF95B84" w14:textId="77777777" w:rsidR="0047689E" w:rsidRPr="00952C24" w:rsidRDefault="0047689E" w:rsidP="00952C24">
      <w:pPr>
        <w:spacing w:before="100" w:beforeAutospacing="1" w:after="100" w:afterAutospacing="1" w:line="360" w:lineRule="auto"/>
        <w:jc w:val="both"/>
        <w:rPr>
          <w:rFonts w:ascii="Times New Roman" w:eastAsia="Times New Roman" w:hAnsi="Times New Roman" w:cs="Times New Roman"/>
          <w:color w:val="000000"/>
          <w:lang w:val="en-BD" w:eastAsia="en-GB" w:bidi="bn-IN"/>
        </w:rPr>
      </w:pPr>
    </w:p>
    <w:p w14:paraId="7C3EE338" w14:textId="354B1E4D" w:rsidR="00C5429A" w:rsidRPr="00952C24" w:rsidRDefault="00000000" w:rsidP="00952C24">
      <w:pPr>
        <w:spacing w:before="100" w:beforeAutospacing="1" w:line="360" w:lineRule="auto"/>
        <w:jc w:val="both"/>
        <w:rPr>
          <w:rFonts w:ascii="Times New Roman" w:hAnsi="Times New Roman" w:cs="Times New Roman"/>
        </w:rPr>
      </w:pPr>
      <w:r w:rsidRPr="00952C24">
        <w:rPr>
          <w:rFonts w:ascii="Times New Roman" w:hAnsi="Times New Roman" w:cs="Times New Roman"/>
        </w:rPr>
        <w:br/>
      </w:r>
    </w:p>
    <w:p w14:paraId="69B09D85" w14:textId="77777777" w:rsidR="002E08EB" w:rsidRPr="00952C24" w:rsidRDefault="002E08EB" w:rsidP="00952C24">
      <w:pPr>
        <w:spacing w:before="100" w:beforeAutospacing="1" w:line="360" w:lineRule="auto"/>
        <w:jc w:val="both"/>
        <w:rPr>
          <w:rFonts w:ascii="Times New Roman" w:hAnsi="Times New Roman" w:cs="Times New Roman"/>
        </w:rPr>
      </w:pPr>
    </w:p>
    <w:sectPr w:rsidR="002E08EB" w:rsidRPr="00952C24" w:rsidSect="003D383A">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0DF7D20"/>
    <w:multiLevelType w:val="multilevel"/>
    <w:tmpl w:val="3140F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5422F6"/>
    <w:multiLevelType w:val="multilevel"/>
    <w:tmpl w:val="D61EC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FC5116"/>
    <w:multiLevelType w:val="multilevel"/>
    <w:tmpl w:val="EF9CE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6935B0"/>
    <w:multiLevelType w:val="multilevel"/>
    <w:tmpl w:val="D6AC1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C57DD0"/>
    <w:multiLevelType w:val="multilevel"/>
    <w:tmpl w:val="B1606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09729D"/>
    <w:multiLevelType w:val="multilevel"/>
    <w:tmpl w:val="62FC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387B13"/>
    <w:multiLevelType w:val="multilevel"/>
    <w:tmpl w:val="D1F67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836798"/>
    <w:multiLevelType w:val="multilevel"/>
    <w:tmpl w:val="FD7C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AD4274"/>
    <w:multiLevelType w:val="multilevel"/>
    <w:tmpl w:val="5CC42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09311C"/>
    <w:multiLevelType w:val="multilevel"/>
    <w:tmpl w:val="5AFE4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5F726A"/>
    <w:multiLevelType w:val="multilevel"/>
    <w:tmpl w:val="20D6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58412F"/>
    <w:multiLevelType w:val="multilevel"/>
    <w:tmpl w:val="D7A0A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1D24AD"/>
    <w:multiLevelType w:val="multilevel"/>
    <w:tmpl w:val="6A66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2E6637"/>
    <w:multiLevelType w:val="multilevel"/>
    <w:tmpl w:val="14BCB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1342A1"/>
    <w:multiLevelType w:val="multilevel"/>
    <w:tmpl w:val="AE965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CF6327"/>
    <w:multiLevelType w:val="multilevel"/>
    <w:tmpl w:val="50925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8373903">
    <w:abstractNumId w:val="8"/>
  </w:num>
  <w:num w:numId="2" w16cid:durableId="1173837439">
    <w:abstractNumId w:val="6"/>
  </w:num>
  <w:num w:numId="3" w16cid:durableId="499539665">
    <w:abstractNumId w:val="5"/>
  </w:num>
  <w:num w:numId="4" w16cid:durableId="263610725">
    <w:abstractNumId w:val="4"/>
  </w:num>
  <w:num w:numId="5" w16cid:durableId="1549678827">
    <w:abstractNumId w:val="7"/>
  </w:num>
  <w:num w:numId="6" w16cid:durableId="814107525">
    <w:abstractNumId w:val="3"/>
  </w:num>
  <w:num w:numId="7" w16cid:durableId="1146971412">
    <w:abstractNumId w:val="2"/>
  </w:num>
  <w:num w:numId="8" w16cid:durableId="2129621647">
    <w:abstractNumId w:val="1"/>
  </w:num>
  <w:num w:numId="9" w16cid:durableId="138691853">
    <w:abstractNumId w:val="0"/>
  </w:num>
  <w:num w:numId="10" w16cid:durableId="786703140">
    <w:abstractNumId w:val="10"/>
  </w:num>
  <w:num w:numId="11" w16cid:durableId="1104351330">
    <w:abstractNumId w:val="17"/>
  </w:num>
  <w:num w:numId="12" w16cid:durableId="1321500296">
    <w:abstractNumId w:val="18"/>
  </w:num>
  <w:num w:numId="13" w16cid:durableId="81336542">
    <w:abstractNumId w:val="20"/>
  </w:num>
  <w:num w:numId="14" w16cid:durableId="1817650411">
    <w:abstractNumId w:val="16"/>
  </w:num>
  <w:num w:numId="15" w16cid:durableId="1347636192">
    <w:abstractNumId w:val="23"/>
  </w:num>
  <w:num w:numId="16" w16cid:durableId="1701083154">
    <w:abstractNumId w:val="22"/>
  </w:num>
  <w:num w:numId="17" w16cid:durableId="1381245663">
    <w:abstractNumId w:val="12"/>
  </w:num>
  <w:num w:numId="18" w16cid:durableId="587230759">
    <w:abstractNumId w:val="19"/>
  </w:num>
  <w:num w:numId="19" w16cid:durableId="839737159">
    <w:abstractNumId w:val="9"/>
  </w:num>
  <w:num w:numId="20" w16cid:durableId="1950234782">
    <w:abstractNumId w:val="11"/>
  </w:num>
  <w:num w:numId="21" w16cid:durableId="111945362">
    <w:abstractNumId w:val="13"/>
  </w:num>
  <w:num w:numId="22" w16cid:durableId="976028866">
    <w:abstractNumId w:val="21"/>
  </w:num>
  <w:num w:numId="23" w16cid:durableId="1201868540">
    <w:abstractNumId w:val="15"/>
  </w:num>
  <w:num w:numId="24" w16cid:durableId="1165511916">
    <w:abstractNumId w:val="24"/>
  </w:num>
  <w:num w:numId="25" w16cid:durableId="12757490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8D3"/>
    <w:rsid w:val="00006A1D"/>
    <w:rsid w:val="000231AD"/>
    <w:rsid w:val="00034616"/>
    <w:rsid w:val="00053598"/>
    <w:rsid w:val="00057A5A"/>
    <w:rsid w:val="0006063C"/>
    <w:rsid w:val="0006461F"/>
    <w:rsid w:val="00080B44"/>
    <w:rsid w:val="0015074B"/>
    <w:rsid w:val="00185C8B"/>
    <w:rsid w:val="00255355"/>
    <w:rsid w:val="0029639D"/>
    <w:rsid w:val="002C2E11"/>
    <w:rsid w:val="002E08EB"/>
    <w:rsid w:val="00304B7B"/>
    <w:rsid w:val="00305FC6"/>
    <w:rsid w:val="00326F90"/>
    <w:rsid w:val="00342EB0"/>
    <w:rsid w:val="003D2850"/>
    <w:rsid w:val="003D383A"/>
    <w:rsid w:val="00402CD0"/>
    <w:rsid w:val="004045DA"/>
    <w:rsid w:val="0047689E"/>
    <w:rsid w:val="00524C8B"/>
    <w:rsid w:val="00593320"/>
    <w:rsid w:val="005A3CFB"/>
    <w:rsid w:val="005B5B96"/>
    <w:rsid w:val="005E5A8E"/>
    <w:rsid w:val="00632907"/>
    <w:rsid w:val="006A150D"/>
    <w:rsid w:val="00724663"/>
    <w:rsid w:val="007A4413"/>
    <w:rsid w:val="00806FBE"/>
    <w:rsid w:val="00822865"/>
    <w:rsid w:val="00837C63"/>
    <w:rsid w:val="008B2875"/>
    <w:rsid w:val="008E3569"/>
    <w:rsid w:val="008F7E6D"/>
    <w:rsid w:val="009140F1"/>
    <w:rsid w:val="00942091"/>
    <w:rsid w:val="00943C22"/>
    <w:rsid w:val="00952C24"/>
    <w:rsid w:val="009537DB"/>
    <w:rsid w:val="00954125"/>
    <w:rsid w:val="009E606C"/>
    <w:rsid w:val="009F0A79"/>
    <w:rsid w:val="00A34D24"/>
    <w:rsid w:val="00A86CC9"/>
    <w:rsid w:val="00AA1D8D"/>
    <w:rsid w:val="00AE25CE"/>
    <w:rsid w:val="00B47730"/>
    <w:rsid w:val="00B47F19"/>
    <w:rsid w:val="00B742CF"/>
    <w:rsid w:val="00BA3C33"/>
    <w:rsid w:val="00C11972"/>
    <w:rsid w:val="00C140FD"/>
    <w:rsid w:val="00C21D96"/>
    <w:rsid w:val="00C5429A"/>
    <w:rsid w:val="00C62A69"/>
    <w:rsid w:val="00C841A1"/>
    <w:rsid w:val="00CB0664"/>
    <w:rsid w:val="00CC2D2A"/>
    <w:rsid w:val="00D53D74"/>
    <w:rsid w:val="00D7228B"/>
    <w:rsid w:val="00DA7A88"/>
    <w:rsid w:val="00DD2BB3"/>
    <w:rsid w:val="00DE0A25"/>
    <w:rsid w:val="00E17D04"/>
    <w:rsid w:val="00F23A6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0633E2"/>
  <w14:defaultImageDpi w14:val="300"/>
  <w15:docId w15:val="{BE68C8DF-F34F-0346-921E-CAFB6C43A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83A"/>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DE0A25"/>
    <w:pPr>
      <w:spacing w:before="100" w:beforeAutospacing="1" w:after="100" w:afterAutospacing="1" w:line="240" w:lineRule="auto"/>
    </w:pPr>
    <w:rPr>
      <w:rFonts w:ascii="Times New Roman" w:eastAsia="Times New Roman" w:hAnsi="Times New Roman" w:cs="Times New Roman"/>
      <w:sz w:val="24"/>
      <w:szCs w:val="24"/>
      <w:lang w:val="en-BD" w:eastAsia="en-GB" w:bidi="bn-IN"/>
    </w:rPr>
  </w:style>
  <w:style w:type="character" w:customStyle="1" w:styleId="apple-converted-space">
    <w:name w:val="apple-converted-space"/>
    <w:basedOn w:val="DefaultParagraphFont"/>
    <w:rsid w:val="00DE0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TotalTime>
  <Pages>42</Pages>
  <Words>11030</Words>
  <Characters>62874</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73757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Tazrian Farjeen</cp:lastModifiedBy>
  <cp:revision>31</cp:revision>
  <dcterms:created xsi:type="dcterms:W3CDTF">2026-01-04T22:20:00Z</dcterms:created>
  <dcterms:modified xsi:type="dcterms:W3CDTF">2026-01-06T19:49:00Z</dcterms:modified>
  <cp:category/>
</cp:coreProperties>
</file>