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2AF19" w14:textId="77777777" w:rsidR="007F6599" w:rsidRDefault="007F6599">
      <w:pPr>
        <w:spacing w:before="2400" w:after="200"/>
        <w:jc w:val="center"/>
        <w:rPr>
          <w:b/>
          <w:bCs/>
          <w:sz w:val="28"/>
          <w:szCs w:val="28"/>
        </w:rPr>
      </w:pPr>
    </w:p>
    <w:p w14:paraId="501F09AE" w14:textId="77777777" w:rsidR="007F6599" w:rsidRDefault="007F6599">
      <w:pPr>
        <w:spacing w:before="2400" w:after="200"/>
        <w:jc w:val="center"/>
        <w:rPr>
          <w:b/>
          <w:bCs/>
          <w:sz w:val="28"/>
          <w:szCs w:val="28"/>
        </w:rPr>
      </w:pPr>
    </w:p>
    <w:p w14:paraId="2051E274" w14:textId="0069395C" w:rsidR="007F6599" w:rsidRDefault="007F6599" w:rsidP="007F6599">
      <w:pPr>
        <w:spacing w:before="2400" w:after="200"/>
        <w:jc w:val="center"/>
        <w:rPr>
          <w:b/>
          <w:bCs/>
          <w:sz w:val="28"/>
          <w:szCs w:val="28"/>
        </w:rPr>
      </w:pPr>
      <w:r>
        <w:rPr>
          <w:b/>
          <w:bCs/>
          <w:sz w:val="28"/>
          <w:szCs w:val="28"/>
        </w:rPr>
        <w:t xml:space="preserve">Lenuta Raducanu </w:t>
      </w:r>
    </w:p>
    <w:p w14:paraId="4362B5E1" w14:textId="0C667947" w:rsidR="00FB1B72" w:rsidRDefault="007F6599" w:rsidP="00FB1B72">
      <w:pPr>
        <w:spacing w:after="120"/>
        <w:jc w:val="center"/>
      </w:pPr>
      <w:r>
        <w:t>Module: HPRS</w:t>
      </w:r>
      <w:r w:rsidR="00DF5AB4">
        <w:t>5</w:t>
      </w:r>
      <w:r>
        <w:t>90</w:t>
      </w:r>
      <w:r w:rsidR="00FB1B72">
        <w:t>7</w:t>
      </w:r>
      <w:r w:rsidR="00FB1B72">
        <w:t xml:space="preserve"> – Interpreting the Hebrew Bible from Contemporary Perspective</w:t>
      </w:r>
    </w:p>
    <w:p w14:paraId="3AF205FB" w14:textId="3CE8628A" w:rsidR="007F6599" w:rsidRDefault="007F6599" w:rsidP="007F6599">
      <w:pPr>
        <w:spacing w:after="80"/>
        <w:jc w:val="center"/>
      </w:pPr>
    </w:p>
    <w:p w14:paraId="71DC36DC" w14:textId="352293B8" w:rsidR="007F6599" w:rsidRDefault="007F6599" w:rsidP="007F6599">
      <w:pPr>
        <w:spacing w:after="80"/>
        <w:jc w:val="center"/>
      </w:pPr>
      <w:r>
        <w:t>Assessment Two</w:t>
      </w:r>
    </w:p>
    <w:p w14:paraId="1F679CA5" w14:textId="68192F0C" w:rsidR="001F3985" w:rsidRDefault="00000000" w:rsidP="007F6599">
      <w:pPr>
        <w:spacing w:before="2400" w:after="200"/>
        <w:jc w:val="center"/>
      </w:pPr>
      <w:r>
        <w:rPr>
          <w:b/>
          <w:bCs/>
          <w:sz w:val="28"/>
          <w:szCs w:val="28"/>
        </w:rPr>
        <w:t>How Effective Are Social-Scientific Methods for Interpreting Biblical Texts?</w:t>
      </w:r>
    </w:p>
    <w:p w14:paraId="62EEED82" w14:textId="77777777" w:rsidR="001F3985" w:rsidRDefault="00000000">
      <w:r>
        <w:br w:type="page"/>
      </w:r>
    </w:p>
    <w:p w14:paraId="031A8B37" w14:textId="77777777" w:rsidR="001F3985" w:rsidRDefault="00000000">
      <w:pPr>
        <w:pStyle w:val="Heading1"/>
      </w:pPr>
      <w:r>
        <w:lastRenderedPageBreak/>
        <w:t>Introduction</w:t>
      </w:r>
    </w:p>
    <w:p w14:paraId="2C5B818B" w14:textId="77777777" w:rsidR="001F3985" w:rsidRDefault="00000000">
      <w:pPr>
        <w:spacing w:after="200" w:line="360" w:lineRule="auto"/>
        <w:jc w:val="both"/>
      </w:pPr>
      <w:r>
        <w:t>The application of social-scientific methods to biblical texts represents one of the most significant methodological developments in twentieth-century biblical scholarship. Emerging from dissatisfaction with the perceived limitations of purely historical-critical and literary approaches, social-scientific criticism seeks to illuminate the social, cultural, and economic contexts within which biblical texts were produced, transmitted, and received.</w:t>
      </w:r>
      <w:r>
        <w:rPr>
          <w:rStyle w:val="FootnoteReference"/>
        </w:rPr>
        <w:footnoteReference w:id="1"/>
      </w:r>
      <w:r>
        <w:t xml:space="preserve"> By drawing upon models and theories from sociology, cultural anthropology, and related disciplines, scholars such as Norman Gottwald, Bruce Malina, and Philip Esler have argued that the interpretative horizon of biblical studies can be substantially widened.</w:t>
      </w:r>
      <w:r>
        <w:rPr>
          <w:rStyle w:val="FootnoteReference"/>
        </w:rPr>
        <w:footnoteReference w:id="2"/>
      </w:r>
      <w:r>
        <w:t xml:space="preserve"> Yet the effectiveness of such methods remains a subject of sustained debate. Critics have questioned whether models derived from modern social-scientific inquiry can be legitimately applied to ancient Near Eastern societies for which the available data are fragmentary and culturally remote.</w:t>
      </w:r>
      <w:r>
        <w:rPr>
          <w:rStyle w:val="FootnoteReference"/>
        </w:rPr>
        <w:footnoteReference w:id="3"/>
      </w:r>
    </w:p>
    <w:p w14:paraId="4D856CB1" w14:textId="0F2A368A" w:rsidR="001F3985" w:rsidRDefault="00000000">
      <w:pPr>
        <w:spacing w:after="200" w:line="360" w:lineRule="auto"/>
        <w:jc w:val="both"/>
      </w:pPr>
      <w:r>
        <w:t xml:space="preserve">This essay critically assesses the effectiveness of social-scientific methods for interpreting biblical texts, with </w:t>
      </w:r>
      <w:r w:rsidR="007F6599">
        <w:t>reference</w:t>
      </w:r>
      <w:r>
        <w:t xml:space="preserve"> to Hebrew Bible scholarship. It begins by tracing the development of social-scientific approaches within the discipline, before examining two prominent case studies: Norman Gottwald's sociological reading of Israel's origins and the application of honour-shame models to patriarchal narratives in Genesis. It then evaluates the principal critiques levelled against these </w:t>
      </w:r>
      <w:r w:rsidR="007F6599">
        <w:t>methods and</w:t>
      </w:r>
      <w:r>
        <w:t xml:space="preserve"> considers the extent to which social-scientific criticism is most effective when employed in dialogue with other interpretative approaches, including feminist, postcolonial, and ethical perspectives. The essay argues that social-scientific methods are demonstrably effective in opening new dimensions of meaning within Hebrew Bible texts, but that their effectiveness is contingent upon methodological self-awareness, sensitivity to the limits of the available evidence, and a willingness to integrate insights from complementary hermeneutical traditions.</w:t>
      </w:r>
    </w:p>
    <w:p w14:paraId="12A79FD0" w14:textId="77777777" w:rsidR="001F3985" w:rsidRDefault="00000000">
      <w:pPr>
        <w:pStyle w:val="Heading1"/>
        <w:spacing w:before="360"/>
      </w:pPr>
      <w:r>
        <w:t>The Development of Social-Scientific Approaches</w:t>
      </w:r>
    </w:p>
    <w:p w14:paraId="43AABC6A" w14:textId="77777777" w:rsidR="001F3985" w:rsidRDefault="00000000">
      <w:pPr>
        <w:spacing w:after="200" w:line="360" w:lineRule="auto"/>
        <w:jc w:val="both"/>
      </w:pPr>
      <w:r>
        <w:t xml:space="preserve">Social-scientific criticism of the Bible did not emerge in a vacuum. Its intellectual roots can be traced to the sociological work of Max Weber, whose studies of ancient Israelite religion in the </w:t>
      </w:r>
      <w:r>
        <w:lastRenderedPageBreak/>
        <w:t>early twentieth century applied concepts such as charismatic authority and social stratification to the Hebrew Bible.</w:t>
      </w:r>
      <w:r>
        <w:rPr>
          <w:rStyle w:val="FootnoteReference"/>
        </w:rPr>
        <w:footnoteReference w:id="4"/>
      </w:r>
      <w:r>
        <w:t xml:space="preserve"> However, the systematic application of social-scientific models to biblical texts gained momentum in the 1970s and 1980s, particularly through the work of Gottwald, who employed neo-Marxist sociological theory to reinterpret the Israelite settlement in Canaan, and Malina, whose cultural-anthropological models of Mediterranean honour-shame societies proved influential for New Testament studies and, by extension, for Hebrew Bible scholarship.</w:t>
      </w:r>
      <w:r>
        <w:rPr>
          <w:rStyle w:val="FootnoteReference"/>
        </w:rPr>
        <w:footnoteReference w:id="5"/>
      </w:r>
    </w:p>
    <w:p w14:paraId="080AFDC9" w14:textId="77777777" w:rsidR="001F3985" w:rsidRDefault="00000000">
      <w:pPr>
        <w:spacing w:after="200" w:line="360" w:lineRule="auto"/>
        <w:jc w:val="both"/>
      </w:pPr>
      <w:r>
        <w:t>Philip Esler has helpfully distinguished between two broad orientations within social-scientific criticism: the use of social description, which attempts to reconstruct the social world behind a text using available historical data, and the use of social-scientific models, which bring explicit theoretical frameworks from the social sciences to bear upon textual interpretation.</w:t>
      </w:r>
      <w:r>
        <w:rPr>
          <w:rStyle w:val="FootnoteReference"/>
        </w:rPr>
        <w:footnoteReference w:id="6"/>
      </w:r>
      <w:r>
        <w:t xml:space="preserve"> It is the latter orientation that has proved both the most innovative and the most contested. As David Chalcraft has observed, the importation of cross-cultural models into biblical studies raises fundamental questions about the commensurability of ancient and modern social categories.</w:t>
      </w:r>
      <w:r>
        <w:rPr>
          <w:rStyle w:val="FootnoteReference"/>
        </w:rPr>
        <w:footnoteReference w:id="7"/>
      </w:r>
      <w:r>
        <w:t xml:space="preserve"> Nonetheless, the proliferation of social-scientific studies from the 1990s onwards, including the work of Victor Matthews and Don Benjamin on the social world of ancient Israel, testifies to the perceived fruitfulness of the enterprise.</w:t>
      </w:r>
      <w:r>
        <w:rPr>
          <w:rStyle w:val="FootnoteReference"/>
        </w:rPr>
        <w:footnoteReference w:id="8"/>
      </w:r>
    </w:p>
    <w:p w14:paraId="28B6C23E" w14:textId="77777777" w:rsidR="001F3985" w:rsidRDefault="00000000">
      <w:pPr>
        <w:pStyle w:val="Heading1"/>
        <w:spacing w:before="360"/>
      </w:pPr>
      <w:r>
        <w:t>Case Study One: Gottwald and the Origins of Israel</w:t>
      </w:r>
    </w:p>
    <w:p w14:paraId="06467D2C" w14:textId="77777777" w:rsidR="001F3985" w:rsidRDefault="00000000">
      <w:pPr>
        <w:spacing w:after="200" w:line="360" w:lineRule="auto"/>
        <w:jc w:val="both"/>
      </w:pPr>
      <w:r>
        <w:t xml:space="preserve">Perhaps the most celebrated and controversial application of social-scientific method to the Hebrew Bible is Norman Gottwald's </w:t>
      </w:r>
      <w:r>
        <w:rPr>
          <w:i/>
          <w:iCs/>
        </w:rPr>
        <w:t>The Tribes of Yahweh</w:t>
      </w:r>
      <w:r>
        <w:t xml:space="preserve"> (1979). Gottwald rejected the prevailing conquest and peaceful-infiltration models of Israelite settlement and proposed instead a 'peasant revolt' hypothesis, arguing that early Israel emerged from an internal social revolution within Canaan, in which marginalized agrarian communities withdrew from oppressive Canaanite city-state structures and coalesced around the egalitarian worship of </w:t>
      </w:r>
      <w:r>
        <w:lastRenderedPageBreak/>
        <w:t>Yahweh.</w:t>
      </w:r>
      <w:r>
        <w:rPr>
          <w:rStyle w:val="FootnoteReference"/>
        </w:rPr>
        <w:footnoteReference w:id="9"/>
      </w:r>
      <w:r>
        <w:t xml:space="preserve"> Drawing upon Marxian categories of class analysis and the sociological concept of retribalization, Gottwald argued that the earliest Israelite social formation was a consciously egalitarian, segmentary tribal society organized in opposition to centralized political and economic power.</w:t>
      </w:r>
      <w:r>
        <w:rPr>
          <w:rStyle w:val="FootnoteReference"/>
        </w:rPr>
        <w:footnoteReference w:id="10"/>
      </w:r>
    </w:p>
    <w:p w14:paraId="593CC0BF" w14:textId="77777777" w:rsidR="001F3985" w:rsidRDefault="00000000">
      <w:pPr>
        <w:spacing w:after="200" w:line="360" w:lineRule="auto"/>
        <w:jc w:val="both"/>
      </w:pPr>
      <w:r>
        <w:t>The effectiveness of Gottwald's approach lies in its capacity to foreground social and material dimensions of the biblical text that purely literary or theological readings tend to overlook. By reading the Book of Joshua and the early chapters of Judges through the lens of socio-economic conflict, Gottwald drew attention to the political implications of Yahwistic religion and to the material conditions that shaped the production of Israel's founding narratives. His work thus demonstrated that social-scientific models could generate genuinely new readings of well-studied texts.</w:t>
      </w:r>
    </w:p>
    <w:p w14:paraId="0ABB4F55" w14:textId="77777777" w:rsidR="001F3985" w:rsidRDefault="00000000">
      <w:pPr>
        <w:spacing w:after="200" w:line="360" w:lineRule="auto"/>
        <w:jc w:val="both"/>
      </w:pPr>
      <w:r>
        <w:t>However, Gottwald's thesis has attracted substantial criticism. Niels Peter Lemche, while sympathetic to a sociological approach, argued that Gottwald's reliance on a neo-Marxist framework led him to impose a modern ideological template upon ancient evidence, and that the archaeological record does not straightforwardly support the revolt hypothesis.</w:t>
      </w:r>
      <w:r>
        <w:rPr>
          <w:rStyle w:val="FootnoteReference"/>
        </w:rPr>
        <w:footnoteReference w:id="11"/>
      </w:r>
      <w:r>
        <w:t xml:space="preserve"> Mark Sneed has further noted that Gottwald's model risks reducing the theological dimensions of the text to mere superstructural reflections of material conditions, thereby obscuring the genuine religious motivations that may have shaped Israelite identity.</w:t>
      </w:r>
      <w:r>
        <w:rPr>
          <w:rStyle w:val="FootnoteReference"/>
        </w:rPr>
        <w:footnoteReference w:id="12"/>
      </w:r>
      <w:r>
        <w:t xml:space="preserve"> This case study thus illustrates both the generative potential and the attendant dangers of applying social-scientific models to the Hebrew Bible: effectiveness is real, but it is qualified by the risk of reductionism and the perennial difficulty of extrapolating sociological theory from one cultural context to another.</w:t>
      </w:r>
    </w:p>
    <w:p w14:paraId="4EDF3197" w14:textId="77777777" w:rsidR="001F3985" w:rsidRDefault="00000000">
      <w:pPr>
        <w:pStyle w:val="Heading1"/>
        <w:spacing w:before="360"/>
      </w:pPr>
      <w:r>
        <w:t>Case Study Two: Honour-Shame Models and the Patriarchal Narratives</w:t>
      </w:r>
    </w:p>
    <w:p w14:paraId="637E5328" w14:textId="24017CB5" w:rsidR="001F3985" w:rsidRDefault="00000000">
      <w:pPr>
        <w:spacing w:after="200" w:line="360" w:lineRule="auto"/>
        <w:jc w:val="both"/>
      </w:pPr>
      <w:r>
        <w:t xml:space="preserve">A second significant application of social-scientific method concerns the use of honour-shame models, derived primarily from Mediterranean cultural anthropology, to interpret the patriarchal narratives of Genesis. Bruce Malina's characterization of the ancient Mediterranean world as fundamentally oriented around the pivotal values of honour and shame has been </w:t>
      </w:r>
      <w:r>
        <w:lastRenderedPageBreak/>
        <w:t xml:space="preserve">widely adopted in biblical </w:t>
      </w:r>
      <w:r w:rsidR="00B45286">
        <w:t>studies and</w:t>
      </w:r>
      <w:r>
        <w:t xml:space="preserve"> has proved particularly illuminating when applied to narratives involving reputation, deception, and gender relations.</w:t>
      </w:r>
      <w:r>
        <w:rPr>
          <w:rStyle w:val="FootnoteReference"/>
        </w:rPr>
        <w:footnoteReference w:id="13"/>
      </w:r>
    </w:p>
    <w:p w14:paraId="0049158E" w14:textId="77777777" w:rsidR="001F3985" w:rsidRDefault="00000000">
      <w:pPr>
        <w:spacing w:after="200" w:line="360" w:lineRule="auto"/>
        <w:jc w:val="both"/>
      </w:pPr>
      <w:r>
        <w:t>Consider, for example, the narrative of Tamar and Judah in Genesis 38. Read through a conventional moral-theological lens, Tamar's deception of Judah might appear primarily as an episode of sexual transgression. However, read through the lens of honour-shame dynamics, the narrative becomes intelligible as a contest over honour: Tamar acts to reclaim the social honour that has been unjustly denied her by Judah's failure to fulfil his levirate obligation. Judah's public acknowledgement that 'she is more righteous than I' (Genesis 38:26) functions not merely as a moral judgement but as a formal recognition that Tamar has successfully restored her honour within the social matrix. Saul Olyan's work on social inequality and ritual distinction in the Hebrew Bible further demonstrates how such models can illuminate the dynamics of inclusion and exclusion that structure biblical narratives.</w:t>
      </w:r>
      <w:r>
        <w:rPr>
          <w:rStyle w:val="FootnoteReference"/>
        </w:rPr>
        <w:footnoteReference w:id="14"/>
      </w:r>
    </w:p>
    <w:p w14:paraId="0ECC8AE8" w14:textId="77777777" w:rsidR="001F3985" w:rsidRDefault="00000000">
      <w:pPr>
        <w:spacing w:after="200" w:line="360" w:lineRule="auto"/>
        <w:jc w:val="both"/>
      </w:pPr>
      <w:r>
        <w:t>The effectiveness of the honour-shame model in this context is considerable: it makes visible a social logic that is largely invisible to readers formed within modern Western individualist cultures. Nevertheless, Thomas Overholt has cautioned against the uncritical application of any single anthropological model, noting that ancient Israelite society was not monolithic and that the honour-shame paradigm, while illuminating, can flatten the diversity of social values operative in different periods and regions of ancient Israel.</w:t>
      </w:r>
      <w:r>
        <w:rPr>
          <w:rStyle w:val="FootnoteReference"/>
        </w:rPr>
        <w:footnoteReference w:id="15"/>
      </w:r>
      <w:r>
        <w:t xml:space="preserve"> The model is most effective, therefore, when used heuristically rather than deterministically, as a lens that generates new questions rather than a template that forecloses them.</w:t>
      </w:r>
    </w:p>
    <w:p w14:paraId="57F9A11A" w14:textId="77777777" w:rsidR="001F3985" w:rsidRDefault="00000000">
      <w:pPr>
        <w:pStyle w:val="Heading1"/>
        <w:spacing w:before="360"/>
      </w:pPr>
      <w:r>
        <w:t>Critiques and Limitations of Social-Scientific Methods</w:t>
      </w:r>
    </w:p>
    <w:p w14:paraId="1EA63AD8" w14:textId="77777777" w:rsidR="001F3985" w:rsidRDefault="00000000">
      <w:pPr>
        <w:spacing w:after="200" w:line="360" w:lineRule="auto"/>
        <w:jc w:val="both"/>
      </w:pPr>
      <w:r>
        <w:t xml:space="preserve">The critiques levelled against social-scientific biblical criticism may be organized under three principal headings. First, there is the problem of anachronism: the models employed are invariably products of modern Western social science, and their applicability to the ancient Near East cannot be taken for granted. As Sneed has observed, the temptation to treat social-scientific models as universally valid rather than as culturally situated heuristic tools is a </w:t>
      </w:r>
      <w:r>
        <w:lastRenderedPageBreak/>
        <w:t>persistent methodological hazard.</w:t>
      </w:r>
      <w:r>
        <w:rPr>
          <w:rStyle w:val="FootnoteReference"/>
        </w:rPr>
        <w:footnoteReference w:id="16"/>
      </w:r>
      <w:r>
        <w:t xml:space="preserve"> Second, there is the problem of data scarcity: the social world behind the biblical text must be reconstructed from limited and often ambiguous textual and archaeological evidence, which imposes inherent constraints upon the plausibility of any sociological reconstruction.</w:t>
      </w:r>
      <w:r>
        <w:rPr>
          <w:rStyle w:val="FootnoteReference"/>
        </w:rPr>
        <w:footnoteReference w:id="17"/>
      </w:r>
    </w:p>
    <w:p w14:paraId="6A2C38B3" w14:textId="77777777" w:rsidR="001F3985" w:rsidRDefault="00000000">
      <w:pPr>
        <w:spacing w:after="200" w:line="360" w:lineRule="auto"/>
        <w:jc w:val="both"/>
      </w:pPr>
      <w:r>
        <w:t>Third, and perhaps most significantly, there is the question of reductionism. Social-scientific approaches, by their nature, tend to foreground material, social, and cultural factors at the expense of theological, literary, and aesthetic dimensions. This concern has been articulated not only by conservative theological critics but also by scholars within the social-scientific tradition itself. Chalcraft, for instance, has argued that the most rigorous social-scientific criticism is that which remains conscious of its own limitations and does not claim to provide a comprehensive interpretation of texts whose meaning is irreducibly multidimensional.</w:t>
      </w:r>
      <w:r>
        <w:rPr>
          <w:rStyle w:val="FootnoteReference"/>
        </w:rPr>
        <w:footnoteReference w:id="18"/>
      </w:r>
    </w:p>
    <w:p w14:paraId="3D8808C3" w14:textId="77777777" w:rsidR="001F3985" w:rsidRDefault="00000000">
      <w:pPr>
        <w:spacing w:after="200" w:line="360" w:lineRule="auto"/>
        <w:jc w:val="both"/>
      </w:pPr>
      <w:r>
        <w:t>These critiques are serious but not, in themselves, fatal. Every hermeneutical method has its limitations, and the appropriate response is not to abandon the method but to employ it with due self-awareness and in constructive dialogue with other approaches.</w:t>
      </w:r>
    </w:p>
    <w:p w14:paraId="26C50399" w14:textId="77777777" w:rsidR="001F3985" w:rsidRDefault="00000000">
      <w:pPr>
        <w:pStyle w:val="Heading1"/>
        <w:spacing w:before="360"/>
      </w:pPr>
      <w:r>
        <w:t>Social-Scientific Methods in Dialogue with Other Approaches</w:t>
      </w:r>
    </w:p>
    <w:p w14:paraId="6F27C77E" w14:textId="77777777" w:rsidR="001F3985" w:rsidRDefault="00000000">
      <w:pPr>
        <w:spacing w:after="200" w:line="360" w:lineRule="auto"/>
        <w:jc w:val="both"/>
      </w:pPr>
      <w:r>
        <w:t>The effectiveness of social-scientific methods is arguably greatest when they are employed not in isolation but in dialogue with other interpretative frameworks. Gale Yee's intersectional approach to the Hebrew Bible demonstrates how social-scientific analysis of class, gender, and ethnicity can be integrated with feminist hermeneutics to produce readings that are both socially grounded and attentive to the experiences of marginalized communities.</w:t>
      </w:r>
      <w:r>
        <w:rPr>
          <w:rStyle w:val="FootnoteReference"/>
        </w:rPr>
        <w:footnoteReference w:id="19"/>
      </w:r>
      <w:r>
        <w:t xml:space="preserve"> Yee's work on the 'foreign woman' motif in Proverbs, for example, combines class analysis with gender criticism to argue that the figure of the 'strange woman' functions as a literary displacement of anxieties about social and economic boundaries in post-exilic Judah.</w:t>
      </w:r>
      <w:r>
        <w:rPr>
          <w:rStyle w:val="FootnoteReference"/>
        </w:rPr>
        <w:footnoteReference w:id="20"/>
      </w:r>
    </w:p>
    <w:p w14:paraId="641D0E7A" w14:textId="77777777" w:rsidR="001F3985" w:rsidRDefault="00000000">
      <w:pPr>
        <w:spacing w:after="200" w:line="360" w:lineRule="auto"/>
        <w:jc w:val="both"/>
      </w:pPr>
      <w:r>
        <w:t xml:space="preserve">Similarly, postcolonial critics such as Fernando Segovia have drawn upon social-scientific insights to interrogate the power dynamics embedded in both biblical texts and the history of </w:t>
      </w:r>
      <w:r>
        <w:lastRenderedPageBreak/>
        <w:t>their interpretation. Segovia's call for a hermeneutics that attends simultaneously to the social world of the text and to the social location of the interpreter represents a fruitful convergence of social-scientific and postcolonial concerns.</w:t>
      </w:r>
      <w:r>
        <w:rPr>
          <w:rStyle w:val="FootnoteReference"/>
        </w:rPr>
        <w:footnoteReference w:id="21"/>
      </w:r>
      <w:r>
        <w:t xml:space="preserve"> From the perspective of ethical interpretation, Elisabeth Schüssler Fiorenza has argued that all biblical scholarship is socially located and that interpreters bear an ethical responsibility to make their social and ideological commitments explicit; social-scientific methods, by foregrounding the social dimensions of both texts and interpretations, are well placed to contribute to this task.</w:t>
      </w:r>
      <w:r>
        <w:rPr>
          <w:rStyle w:val="FootnoteReference"/>
        </w:rPr>
        <w:footnoteReference w:id="22"/>
      </w:r>
    </w:p>
    <w:p w14:paraId="49C15921" w14:textId="77777777" w:rsidR="001F3985" w:rsidRDefault="00000000">
      <w:pPr>
        <w:spacing w:after="200" w:line="360" w:lineRule="auto"/>
        <w:jc w:val="both"/>
      </w:pPr>
      <w:r>
        <w:t>It is also worth noting that social-scientific approaches need not be perceived as incompatible with the concerns of Jewish biblical interpretation. Jonathan Magonet has observed that the rabbinic tradition's sensitivity to the multiple meanings latent within Scripture resonates with the social-scientific insistence that texts are produced and received within specific social contexts, even if the two traditions differ markedly in their underlying presuppositions about the nature of the biblical text.</w:t>
      </w:r>
      <w:r>
        <w:rPr>
          <w:rStyle w:val="FootnoteReference"/>
        </w:rPr>
        <w:footnoteReference w:id="23"/>
      </w:r>
      <w:r>
        <w:t xml:space="preserve"> The capacity of social-scientific criticism to engage productively with such diverse hermeneutical partners testifies to its fundamental methodological flexibility and, by extension, to its effectiveness as a component of a comprehensive interpretative toolkit.</w:t>
      </w:r>
    </w:p>
    <w:p w14:paraId="198515AA" w14:textId="77777777" w:rsidR="001F3985" w:rsidRDefault="00000000">
      <w:pPr>
        <w:pStyle w:val="Heading1"/>
        <w:spacing w:before="360"/>
      </w:pPr>
      <w:r>
        <w:t>Conclusion</w:t>
      </w:r>
    </w:p>
    <w:p w14:paraId="219CE9F6" w14:textId="77777777" w:rsidR="001F3985" w:rsidRDefault="00000000">
      <w:pPr>
        <w:spacing w:after="200" w:line="360" w:lineRule="auto"/>
        <w:jc w:val="both"/>
      </w:pPr>
      <w:r>
        <w:t>This essay has argued that social-scientific methods are demonstrably effective for interpreting biblical texts, but that their effectiveness is neither unconditional nor unlimited. The case studies of Gottwald's sociological reading of Israel's origins and the application of honour-shame models to the patriarchal narratives illustrate the capacity of social-scientific criticism to generate genuinely new and illuminating readings of Hebrew Bible texts by foregrounding social, economic, and cultural dynamics that other approaches tend to overlook. At the same time, the critiques of anachronism, data scarcity, and reductionism impose real constraints upon the method's applicability and compel interpreters to exercise careful methodological self-reflection.</w:t>
      </w:r>
    </w:p>
    <w:p w14:paraId="1BC8359F" w14:textId="77777777" w:rsidR="001F3985" w:rsidRDefault="00000000">
      <w:pPr>
        <w:spacing w:after="200" w:line="360" w:lineRule="auto"/>
        <w:jc w:val="both"/>
      </w:pPr>
      <w:r>
        <w:lastRenderedPageBreak/>
        <w:t>The most effective deployment of social-scientific methods, as this essay has sought to demonstrate, occurs when they are employed in conscious dialogue with other approaches, including feminist, postcolonial, ethical, and even Jewish interpretative traditions. In this mode, social-scientific criticism functions not as a master hermeneutic but as a powerful and flexible tool within a broader interpretative repertoire. As Sneed has rightly emphasized, the value of social-scientific approaches lies precisely in their capacity to provoke new questions, to challenge settled assumptions, and to enlarge the interpretative conversation.</w:t>
      </w:r>
      <w:r>
        <w:rPr>
          <w:rStyle w:val="FootnoteReference"/>
        </w:rPr>
        <w:footnoteReference w:id="24"/>
      </w:r>
      <w:r>
        <w:t xml:space="preserve"> In an era of increasing methodological pluralism within biblical studies, the effectiveness of social-scientific methods is best understood not in terms of their capacity to deliver definitive interpretations, but in terms of their contribution to a richer, more socially aware, and more ethically responsible engagement with the biblical text.</w:t>
      </w:r>
      <w:r>
        <w:rPr>
          <w:rStyle w:val="FootnoteReference"/>
        </w:rPr>
        <w:footnoteReference w:id="25"/>
      </w:r>
    </w:p>
    <w:p w14:paraId="6ABDD187" w14:textId="77777777" w:rsidR="001F3985" w:rsidRDefault="00000000">
      <w:r>
        <w:br w:type="page"/>
      </w:r>
    </w:p>
    <w:p w14:paraId="0F1C0DCD" w14:textId="77777777" w:rsidR="001F3985" w:rsidRDefault="00000000">
      <w:pPr>
        <w:pStyle w:val="Heading1"/>
        <w:spacing w:after="300"/>
      </w:pPr>
      <w:r>
        <w:lastRenderedPageBreak/>
        <w:t>Bibliography</w:t>
      </w:r>
    </w:p>
    <w:p w14:paraId="424A1836" w14:textId="77777777" w:rsidR="001F3985" w:rsidRDefault="00000000">
      <w:pPr>
        <w:spacing w:after="160"/>
        <w:ind w:left="720" w:hanging="720"/>
      </w:pPr>
      <w:r>
        <w:t xml:space="preserve">Chalcraft, David J., 'Bringing the Social Sciences to Biblical Studies', in </w:t>
      </w:r>
      <w:r>
        <w:rPr>
          <w:i/>
          <w:iCs/>
        </w:rPr>
        <w:t>Social-Scientific Old Testament Criticism</w:t>
      </w:r>
      <w:r>
        <w:t>, ed. by David J. Chalcraft (Sheffield: Sheffield Academic Press, 1997), pp. 15–43</w:t>
      </w:r>
    </w:p>
    <w:p w14:paraId="2F8FA5F0" w14:textId="77777777" w:rsidR="001F3985" w:rsidRDefault="00000000">
      <w:pPr>
        <w:spacing w:after="160"/>
        <w:ind w:left="720" w:hanging="720"/>
      </w:pPr>
      <w:r>
        <w:t xml:space="preserve">Esler, Philip F., 'Social-Scientific Models in Biblical Interpretation', in </w:t>
      </w:r>
      <w:r>
        <w:rPr>
          <w:i/>
          <w:iCs/>
        </w:rPr>
        <w:t>Ancient Israel: The Old Testament in Its Social Context</w:t>
      </w:r>
      <w:r>
        <w:t>, ed. by Philip F. Esler (London: SCM Press, 2005), pp. 3–14</w:t>
      </w:r>
    </w:p>
    <w:p w14:paraId="34DDA541" w14:textId="77777777" w:rsidR="001F3985" w:rsidRDefault="00000000">
      <w:pPr>
        <w:spacing w:after="160"/>
        <w:ind w:left="720" w:hanging="720"/>
      </w:pPr>
      <w:r>
        <w:t xml:space="preserve">Fiorenza, Elisabeth Schüssler, 'The Ethics of Biblical Interpretation: Decentering Biblical Scholarship', </w:t>
      </w:r>
      <w:r>
        <w:rPr>
          <w:i/>
          <w:iCs/>
        </w:rPr>
        <w:t>Journal of Biblical Literature</w:t>
      </w:r>
      <w:r>
        <w:t>, 107.1 (1988), 3–17</w:t>
      </w:r>
    </w:p>
    <w:p w14:paraId="361989E0" w14:textId="77777777" w:rsidR="001F3985" w:rsidRDefault="00000000">
      <w:pPr>
        <w:spacing w:after="160"/>
        <w:ind w:left="720" w:hanging="720"/>
      </w:pPr>
      <w:r>
        <w:t xml:space="preserve">Gottwald, Norman K., </w:t>
      </w:r>
      <w:r>
        <w:rPr>
          <w:i/>
          <w:iCs/>
        </w:rPr>
        <w:t>The Tribes of Yahweh: A Sociology of the Religion of Liberated Israel, 1250–1050 B.C.E.</w:t>
      </w:r>
      <w:r>
        <w:t xml:space="preserve"> (Maryknoll, NY: Orbis Books, 1979)</w:t>
      </w:r>
    </w:p>
    <w:p w14:paraId="0CCB395C" w14:textId="77777777" w:rsidR="001F3985" w:rsidRDefault="00000000">
      <w:pPr>
        <w:spacing w:after="160"/>
        <w:ind w:left="720" w:hanging="720"/>
      </w:pPr>
      <w:r>
        <w:t xml:space="preserve">Lemche, Niels Peter, </w:t>
      </w:r>
      <w:r>
        <w:rPr>
          <w:i/>
          <w:iCs/>
        </w:rPr>
        <w:t>Early Israel: Anthropological and Historical Studies on the Israelite Society Before the Monarchy</w:t>
      </w:r>
      <w:r>
        <w:t xml:space="preserve"> (Leiden: Brill, 1985)</w:t>
      </w:r>
    </w:p>
    <w:p w14:paraId="6B642FDF" w14:textId="77777777" w:rsidR="001F3985" w:rsidRDefault="00000000">
      <w:pPr>
        <w:spacing w:after="160"/>
        <w:ind w:left="720" w:hanging="720"/>
      </w:pPr>
      <w:r>
        <w:t xml:space="preserve">Magonet, Jonathan, 'Jewish Interpretation of the Bible', in </w:t>
      </w:r>
      <w:r>
        <w:rPr>
          <w:i/>
          <w:iCs/>
        </w:rPr>
        <w:t>The Oxford Handbook of Biblical Studies</w:t>
      </w:r>
      <w:r>
        <w:t>, ed. by J. W. Rogerson and Judith M. Lieu (Oxford: Oxford University Press, 2006), pp. 754–74</w:t>
      </w:r>
    </w:p>
    <w:p w14:paraId="7D8D79B7" w14:textId="77777777" w:rsidR="001F3985" w:rsidRDefault="00000000">
      <w:pPr>
        <w:spacing w:after="160"/>
        <w:ind w:left="720" w:hanging="720"/>
      </w:pPr>
      <w:r>
        <w:t xml:space="preserve">Malina, Bruce J., </w:t>
      </w:r>
      <w:r>
        <w:rPr>
          <w:i/>
          <w:iCs/>
        </w:rPr>
        <w:t>The New Testament World: Insights from Cultural Anthropology</w:t>
      </w:r>
      <w:r>
        <w:t>, 3rd edn (Louisville, KY: Westminster John Knox Press, 2001)</w:t>
      </w:r>
    </w:p>
    <w:p w14:paraId="37835D7D" w14:textId="77777777" w:rsidR="001F3985" w:rsidRDefault="00000000">
      <w:pPr>
        <w:spacing w:after="160"/>
        <w:ind w:left="720" w:hanging="720"/>
      </w:pPr>
      <w:r>
        <w:t xml:space="preserve">Matthews, Victor H., and Don C. Benjamin, </w:t>
      </w:r>
      <w:r>
        <w:rPr>
          <w:i/>
          <w:iCs/>
        </w:rPr>
        <w:t>Social World of Ancient Israel, 1250–587 BCE</w:t>
      </w:r>
      <w:r>
        <w:t xml:space="preserve"> (Peabody, MA: Hendrickson, 1993)</w:t>
      </w:r>
    </w:p>
    <w:p w14:paraId="45A64F90" w14:textId="77777777" w:rsidR="001F3985" w:rsidRDefault="00000000">
      <w:pPr>
        <w:spacing w:after="160"/>
        <w:ind w:left="720" w:hanging="720"/>
      </w:pPr>
      <w:r>
        <w:t xml:space="preserve">Olyan, Saul M., </w:t>
      </w:r>
      <w:r>
        <w:rPr>
          <w:i/>
          <w:iCs/>
        </w:rPr>
        <w:t>Social Inequality in the World of the Text: The Significance of Ritual and Social Distinctions in the Hebrew Bible</w:t>
      </w:r>
      <w:r>
        <w:t xml:space="preserve"> (Göttingen: Vandenhoeck &amp; Ruprecht, 2011)</w:t>
      </w:r>
    </w:p>
    <w:p w14:paraId="18472846" w14:textId="77777777" w:rsidR="001F3985" w:rsidRDefault="00000000">
      <w:pPr>
        <w:spacing w:after="160"/>
        <w:ind w:left="720" w:hanging="720"/>
      </w:pPr>
      <w:r>
        <w:t xml:space="preserve">Overholt, Thomas W., </w:t>
      </w:r>
      <w:r>
        <w:rPr>
          <w:i/>
          <w:iCs/>
        </w:rPr>
        <w:t>Cultural Anthropology and the Old Testament</w:t>
      </w:r>
      <w:r>
        <w:t xml:space="preserve"> (Minneapolis: Fortress Press, 1996)</w:t>
      </w:r>
    </w:p>
    <w:p w14:paraId="7CE0BA8D" w14:textId="77777777" w:rsidR="001F3985" w:rsidRDefault="00000000">
      <w:pPr>
        <w:spacing w:after="160"/>
        <w:ind w:left="720" w:hanging="720"/>
      </w:pPr>
      <w:r>
        <w:t xml:space="preserve">Segovia, Fernando F., 'Biblical Studies and Postcolonial Studies', in </w:t>
      </w:r>
      <w:r>
        <w:rPr>
          <w:i/>
          <w:iCs/>
        </w:rPr>
        <w:t>The Postcolonial Biblical Reader</w:t>
      </w:r>
      <w:r>
        <w:t>, ed. by R. S. Sugirtharajah (Oxford: Blackwell, 2006), pp. 33–44</w:t>
      </w:r>
    </w:p>
    <w:p w14:paraId="5461AB1B" w14:textId="77777777" w:rsidR="001F3985" w:rsidRDefault="00000000">
      <w:pPr>
        <w:spacing w:after="160"/>
        <w:ind w:left="720" w:hanging="720"/>
      </w:pPr>
      <w:r>
        <w:t xml:space="preserve">Sneed, Mark, 'Teaching &amp; Learning Guide for: Social Science Approach to the Hebrew Bible', </w:t>
      </w:r>
      <w:r>
        <w:rPr>
          <w:i/>
          <w:iCs/>
        </w:rPr>
        <w:t>Religion Compass</w:t>
      </w:r>
      <w:r>
        <w:t>, 4.2 (2010), 124–29</w:t>
      </w:r>
    </w:p>
    <w:p w14:paraId="41EE1CA0" w14:textId="77777777" w:rsidR="001F3985" w:rsidRDefault="00000000">
      <w:pPr>
        <w:spacing w:after="160"/>
        <w:ind w:left="720" w:hanging="720"/>
      </w:pPr>
      <w:r>
        <w:t xml:space="preserve">Weber, Max, </w:t>
      </w:r>
      <w:r>
        <w:rPr>
          <w:i/>
          <w:iCs/>
        </w:rPr>
        <w:t>Ancient Judaism</w:t>
      </w:r>
      <w:r>
        <w:t>, trans. by Hans H. Gerth and Don Martindale (New York: Free Press, 1952)</w:t>
      </w:r>
    </w:p>
    <w:p w14:paraId="66CCFC97" w14:textId="77777777" w:rsidR="001F3985" w:rsidRDefault="00000000">
      <w:pPr>
        <w:spacing w:after="160"/>
        <w:ind w:left="720" w:hanging="720"/>
      </w:pPr>
      <w:r>
        <w:t xml:space="preserve">Yee, Gale A., </w:t>
      </w:r>
      <w:r>
        <w:rPr>
          <w:i/>
          <w:iCs/>
        </w:rPr>
        <w:t>The Hebrew Bible: Feminist and Intersectional Perspectives</w:t>
      </w:r>
      <w:r>
        <w:t xml:space="preserve"> (Minneapolis: Fortress Press, 2018)</w:t>
      </w:r>
    </w:p>
    <w:sectPr w:rsidR="001F398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81A3B" w14:textId="77777777" w:rsidR="009C648D" w:rsidRDefault="009C648D">
      <w:r>
        <w:separator/>
      </w:r>
    </w:p>
  </w:endnote>
  <w:endnote w:type="continuationSeparator" w:id="0">
    <w:p w14:paraId="0BC7C2BE" w14:textId="77777777" w:rsidR="009C648D" w:rsidRDefault="009C6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F4D88" w14:textId="77777777" w:rsidR="009C648D" w:rsidRDefault="009C648D">
      <w:r>
        <w:separator/>
      </w:r>
    </w:p>
  </w:footnote>
  <w:footnote w:type="continuationSeparator" w:id="0">
    <w:p w14:paraId="49FEB89B" w14:textId="77777777" w:rsidR="009C648D" w:rsidRDefault="009C648D">
      <w:r>
        <w:continuationSeparator/>
      </w:r>
    </w:p>
  </w:footnote>
  <w:footnote w:id="1">
    <w:p w14:paraId="0774479B" w14:textId="77777777" w:rsidR="001F3985" w:rsidRDefault="00000000">
      <w:pPr>
        <w:spacing w:after="60"/>
      </w:pPr>
      <w:r>
        <w:rPr>
          <w:rStyle w:val="FootnoteReference"/>
        </w:rPr>
        <w:footnoteRef/>
      </w:r>
      <w:r>
        <w:rPr>
          <w:sz w:val="20"/>
          <w:szCs w:val="20"/>
        </w:rPr>
        <w:t xml:space="preserve">Norman K. Gottwald, </w:t>
      </w:r>
      <w:r>
        <w:rPr>
          <w:i/>
          <w:iCs/>
          <w:sz w:val="20"/>
          <w:szCs w:val="20"/>
        </w:rPr>
        <w:t>The Tribes of Yahweh: A Sociology of the Religion of Liberated Israel, 1250–1050 B.C.E.</w:t>
      </w:r>
      <w:r>
        <w:rPr>
          <w:sz w:val="20"/>
          <w:szCs w:val="20"/>
        </w:rPr>
        <w:t xml:space="preserve"> (Maryknoll, NY: Orbis Books, 1979), pp. 1–17.</w:t>
      </w:r>
    </w:p>
  </w:footnote>
  <w:footnote w:id="2">
    <w:p w14:paraId="12EBB99D" w14:textId="77777777" w:rsidR="001F3985" w:rsidRDefault="00000000">
      <w:pPr>
        <w:spacing w:after="60"/>
      </w:pPr>
      <w:r>
        <w:rPr>
          <w:rStyle w:val="FootnoteReference"/>
        </w:rPr>
        <w:footnoteRef/>
      </w:r>
      <w:r>
        <w:rPr>
          <w:sz w:val="20"/>
          <w:szCs w:val="20"/>
        </w:rPr>
        <w:t xml:space="preserve">Bruce J. Malina, </w:t>
      </w:r>
      <w:r>
        <w:rPr>
          <w:i/>
          <w:iCs/>
          <w:sz w:val="20"/>
          <w:szCs w:val="20"/>
        </w:rPr>
        <w:t>The New Testament World: Insights from Cultural Anthropology</w:t>
      </w:r>
      <w:r>
        <w:rPr>
          <w:sz w:val="20"/>
          <w:szCs w:val="20"/>
        </w:rPr>
        <w:t>, 3rd edn (Louisville, KY: Westminster John Knox Press, 2001), pp. 27–57.</w:t>
      </w:r>
    </w:p>
  </w:footnote>
  <w:footnote w:id="3">
    <w:p w14:paraId="783C6744" w14:textId="77777777" w:rsidR="001F3985" w:rsidRDefault="00000000">
      <w:pPr>
        <w:spacing w:after="60"/>
      </w:pPr>
      <w:r>
        <w:rPr>
          <w:rStyle w:val="FootnoteReference"/>
        </w:rPr>
        <w:footnoteRef/>
      </w:r>
      <w:r>
        <w:rPr>
          <w:sz w:val="20"/>
          <w:szCs w:val="20"/>
        </w:rPr>
        <w:t xml:space="preserve">Mark Sneed, 'Teaching &amp; Learning Guide for: Social Science Approach to the Hebrew Bible', </w:t>
      </w:r>
      <w:r>
        <w:rPr>
          <w:i/>
          <w:iCs/>
          <w:sz w:val="20"/>
          <w:szCs w:val="20"/>
        </w:rPr>
        <w:t>Religion Compass</w:t>
      </w:r>
      <w:r>
        <w:rPr>
          <w:sz w:val="20"/>
          <w:szCs w:val="20"/>
        </w:rPr>
        <w:t>, 4.2 (2010), 124–29 (p. 124).</w:t>
      </w:r>
    </w:p>
  </w:footnote>
  <w:footnote w:id="4">
    <w:p w14:paraId="4052947D" w14:textId="77777777" w:rsidR="001F3985" w:rsidRDefault="00000000">
      <w:pPr>
        <w:spacing w:after="60"/>
      </w:pPr>
      <w:r>
        <w:rPr>
          <w:rStyle w:val="FootnoteReference"/>
        </w:rPr>
        <w:footnoteRef/>
      </w:r>
      <w:r>
        <w:rPr>
          <w:sz w:val="20"/>
          <w:szCs w:val="20"/>
        </w:rPr>
        <w:t xml:space="preserve">Max Weber, </w:t>
      </w:r>
      <w:r>
        <w:rPr>
          <w:i/>
          <w:iCs/>
          <w:sz w:val="20"/>
          <w:szCs w:val="20"/>
        </w:rPr>
        <w:t>Ancient Judaism</w:t>
      </w:r>
      <w:r>
        <w:rPr>
          <w:sz w:val="20"/>
          <w:szCs w:val="20"/>
        </w:rPr>
        <w:t>, trans. by Hans H. Gerth and Don Martindale (New York: Free Press, 1952), pp. 61–89.</w:t>
      </w:r>
    </w:p>
  </w:footnote>
  <w:footnote w:id="5">
    <w:p w14:paraId="3B1751C2" w14:textId="77777777" w:rsidR="001F3985" w:rsidRDefault="00000000">
      <w:pPr>
        <w:spacing w:after="60"/>
      </w:pPr>
      <w:r>
        <w:rPr>
          <w:rStyle w:val="FootnoteReference"/>
        </w:rPr>
        <w:footnoteRef/>
      </w:r>
      <w:r>
        <w:rPr>
          <w:sz w:val="20"/>
          <w:szCs w:val="20"/>
        </w:rPr>
        <w:t xml:space="preserve">Malina, </w:t>
      </w:r>
      <w:r>
        <w:rPr>
          <w:i/>
          <w:iCs/>
          <w:sz w:val="20"/>
          <w:szCs w:val="20"/>
        </w:rPr>
        <w:t>The New Testament World</w:t>
      </w:r>
      <w:r>
        <w:rPr>
          <w:sz w:val="20"/>
          <w:szCs w:val="20"/>
        </w:rPr>
        <w:t>, pp. 28–32.</w:t>
      </w:r>
    </w:p>
  </w:footnote>
  <w:footnote w:id="6">
    <w:p w14:paraId="08A84ADC" w14:textId="77777777" w:rsidR="001F3985" w:rsidRDefault="00000000">
      <w:pPr>
        <w:spacing w:after="60"/>
      </w:pPr>
      <w:r>
        <w:rPr>
          <w:rStyle w:val="FootnoteReference"/>
        </w:rPr>
        <w:footnoteRef/>
      </w:r>
      <w:r>
        <w:rPr>
          <w:sz w:val="20"/>
          <w:szCs w:val="20"/>
        </w:rPr>
        <w:t xml:space="preserve">Philip F. Esler, 'Social-Scientific Models in Biblical Interpretation', in </w:t>
      </w:r>
      <w:r>
        <w:rPr>
          <w:i/>
          <w:iCs/>
          <w:sz w:val="20"/>
          <w:szCs w:val="20"/>
        </w:rPr>
        <w:t>Ancient Israel: The Old Testament in Its Social Context</w:t>
      </w:r>
      <w:r>
        <w:rPr>
          <w:sz w:val="20"/>
          <w:szCs w:val="20"/>
        </w:rPr>
        <w:t>, ed. by Philip F. Esler (London: SCM Press, 2005), pp. 3–14 (p. 5).</w:t>
      </w:r>
    </w:p>
  </w:footnote>
  <w:footnote w:id="7">
    <w:p w14:paraId="3B4C830F" w14:textId="77777777" w:rsidR="001F3985" w:rsidRDefault="00000000">
      <w:pPr>
        <w:spacing w:after="60"/>
      </w:pPr>
      <w:r>
        <w:rPr>
          <w:rStyle w:val="FootnoteReference"/>
        </w:rPr>
        <w:footnoteRef/>
      </w:r>
      <w:r>
        <w:rPr>
          <w:sz w:val="20"/>
          <w:szCs w:val="20"/>
        </w:rPr>
        <w:t xml:space="preserve">David J. Chalcraft, 'Bringing the Social Sciences to Biblical Studies', in </w:t>
      </w:r>
      <w:r>
        <w:rPr>
          <w:i/>
          <w:iCs/>
          <w:sz w:val="20"/>
          <w:szCs w:val="20"/>
        </w:rPr>
        <w:t>Social-Scientific Old Testament Criticism</w:t>
      </w:r>
      <w:r>
        <w:rPr>
          <w:sz w:val="20"/>
          <w:szCs w:val="20"/>
        </w:rPr>
        <w:t>, ed. by David J. Chalcraft (Sheffield: Sheffield Academic Press, 1997), pp. 15–43 (p. 21).</w:t>
      </w:r>
    </w:p>
  </w:footnote>
  <w:footnote w:id="8">
    <w:p w14:paraId="014CA594" w14:textId="77777777" w:rsidR="001F3985" w:rsidRDefault="00000000">
      <w:pPr>
        <w:spacing w:after="60"/>
      </w:pPr>
      <w:r>
        <w:rPr>
          <w:rStyle w:val="FootnoteReference"/>
        </w:rPr>
        <w:footnoteRef/>
      </w:r>
      <w:r>
        <w:rPr>
          <w:sz w:val="20"/>
          <w:szCs w:val="20"/>
        </w:rPr>
        <w:t xml:space="preserve">Victor H. Matthews and Don C. Benjamin, </w:t>
      </w:r>
      <w:r>
        <w:rPr>
          <w:i/>
          <w:iCs/>
          <w:sz w:val="20"/>
          <w:szCs w:val="20"/>
        </w:rPr>
        <w:t>Social World of Ancient Israel, 1250–587 BCE</w:t>
      </w:r>
      <w:r>
        <w:rPr>
          <w:sz w:val="20"/>
          <w:szCs w:val="20"/>
        </w:rPr>
        <w:t xml:space="preserve"> (Peabody, MA: Hendrickson, 1993), pp. 1–25.</w:t>
      </w:r>
    </w:p>
  </w:footnote>
  <w:footnote w:id="9">
    <w:p w14:paraId="7478CB0C" w14:textId="77777777" w:rsidR="001F3985" w:rsidRDefault="00000000">
      <w:pPr>
        <w:spacing w:after="60"/>
      </w:pPr>
      <w:r>
        <w:rPr>
          <w:rStyle w:val="FootnoteReference"/>
        </w:rPr>
        <w:footnoteRef/>
      </w:r>
      <w:r>
        <w:rPr>
          <w:sz w:val="20"/>
          <w:szCs w:val="20"/>
        </w:rPr>
        <w:t xml:space="preserve">Gottwald, </w:t>
      </w:r>
      <w:r>
        <w:rPr>
          <w:i/>
          <w:iCs/>
          <w:sz w:val="20"/>
          <w:szCs w:val="20"/>
        </w:rPr>
        <w:t>The Tribes of Yahweh</w:t>
      </w:r>
      <w:r>
        <w:rPr>
          <w:sz w:val="20"/>
          <w:szCs w:val="20"/>
        </w:rPr>
        <w:t>, pp. 489–97.</w:t>
      </w:r>
    </w:p>
  </w:footnote>
  <w:footnote w:id="10">
    <w:p w14:paraId="5912729C" w14:textId="77777777" w:rsidR="001F3985" w:rsidRDefault="00000000">
      <w:pPr>
        <w:spacing w:after="60"/>
      </w:pPr>
      <w:r>
        <w:rPr>
          <w:rStyle w:val="FootnoteReference"/>
        </w:rPr>
        <w:footnoteRef/>
      </w:r>
      <w:r>
        <w:rPr>
          <w:sz w:val="20"/>
          <w:szCs w:val="20"/>
        </w:rPr>
        <w:t xml:space="preserve">Gottwald, </w:t>
      </w:r>
      <w:r>
        <w:rPr>
          <w:i/>
          <w:iCs/>
          <w:sz w:val="20"/>
          <w:szCs w:val="20"/>
        </w:rPr>
        <w:t>The Tribes of Yahweh</w:t>
      </w:r>
      <w:r>
        <w:rPr>
          <w:sz w:val="20"/>
          <w:szCs w:val="20"/>
        </w:rPr>
        <w:t>, pp. 210–19.</w:t>
      </w:r>
    </w:p>
  </w:footnote>
  <w:footnote w:id="11">
    <w:p w14:paraId="33C3BB97" w14:textId="77777777" w:rsidR="001F3985" w:rsidRDefault="00000000">
      <w:pPr>
        <w:spacing w:after="60"/>
      </w:pPr>
      <w:r>
        <w:rPr>
          <w:rStyle w:val="FootnoteReference"/>
        </w:rPr>
        <w:footnoteRef/>
      </w:r>
      <w:r>
        <w:rPr>
          <w:sz w:val="20"/>
          <w:szCs w:val="20"/>
        </w:rPr>
        <w:t xml:space="preserve">Niels Peter Lemche, </w:t>
      </w:r>
      <w:r>
        <w:rPr>
          <w:i/>
          <w:iCs/>
          <w:sz w:val="20"/>
          <w:szCs w:val="20"/>
        </w:rPr>
        <w:t>Early Israel: Anthropological and Historical Studies on the Israelite Society Before the Monarchy</w:t>
      </w:r>
      <w:r>
        <w:rPr>
          <w:sz w:val="20"/>
          <w:szCs w:val="20"/>
        </w:rPr>
        <w:t xml:space="preserve"> (Leiden: Brill, 1985), pp. 291–315.</w:t>
      </w:r>
    </w:p>
  </w:footnote>
  <w:footnote w:id="12">
    <w:p w14:paraId="77005F6D" w14:textId="77777777" w:rsidR="007F6599" w:rsidRDefault="007F6599"/>
    <w:p w14:paraId="6459D50D" w14:textId="77777777" w:rsidR="002C30BE" w:rsidRDefault="002C30BE"/>
  </w:footnote>
  <w:footnote w:id="13">
    <w:p w14:paraId="654F48AF" w14:textId="77777777" w:rsidR="001F3985" w:rsidRDefault="00000000">
      <w:pPr>
        <w:spacing w:after="60"/>
      </w:pPr>
      <w:r>
        <w:rPr>
          <w:rStyle w:val="FootnoteReference"/>
        </w:rPr>
        <w:footnoteRef/>
      </w:r>
      <w:r>
        <w:rPr>
          <w:sz w:val="20"/>
          <w:szCs w:val="20"/>
        </w:rPr>
        <w:t xml:space="preserve">Malina, </w:t>
      </w:r>
      <w:r>
        <w:rPr>
          <w:i/>
          <w:iCs/>
          <w:sz w:val="20"/>
          <w:szCs w:val="20"/>
        </w:rPr>
        <w:t>The New Testament World</w:t>
      </w:r>
      <w:r>
        <w:rPr>
          <w:sz w:val="20"/>
          <w:szCs w:val="20"/>
        </w:rPr>
        <w:t>, pp. 33–40.</w:t>
      </w:r>
    </w:p>
  </w:footnote>
  <w:footnote w:id="14">
    <w:p w14:paraId="2DA4502B" w14:textId="77777777" w:rsidR="001F3985" w:rsidRDefault="00000000">
      <w:pPr>
        <w:spacing w:after="60"/>
      </w:pPr>
      <w:r>
        <w:rPr>
          <w:rStyle w:val="FootnoteReference"/>
        </w:rPr>
        <w:footnoteRef/>
      </w:r>
      <w:r>
        <w:rPr>
          <w:sz w:val="20"/>
          <w:szCs w:val="20"/>
        </w:rPr>
        <w:t xml:space="preserve">Saul M. Olyan, </w:t>
      </w:r>
      <w:r>
        <w:rPr>
          <w:i/>
          <w:iCs/>
          <w:sz w:val="20"/>
          <w:szCs w:val="20"/>
        </w:rPr>
        <w:t>Social Inequality in the World of the Text: The Significance of Ritual and Social Distinctions in the Hebrew Bible</w:t>
      </w:r>
      <w:r>
        <w:rPr>
          <w:sz w:val="20"/>
          <w:szCs w:val="20"/>
        </w:rPr>
        <w:t xml:space="preserve"> (Göttingen: Vandenhoeck &amp; Ruprecht, 2011), pp. 13–30.</w:t>
      </w:r>
    </w:p>
  </w:footnote>
  <w:footnote w:id="15">
    <w:p w14:paraId="13A45F5C" w14:textId="77777777" w:rsidR="001F3985" w:rsidRDefault="00000000">
      <w:pPr>
        <w:spacing w:after="60"/>
      </w:pPr>
      <w:r>
        <w:rPr>
          <w:rStyle w:val="FootnoteReference"/>
        </w:rPr>
        <w:footnoteRef/>
      </w:r>
      <w:r>
        <w:rPr>
          <w:sz w:val="20"/>
          <w:szCs w:val="20"/>
        </w:rPr>
        <w:t xml:space="preserve">Thomas W. Overholt, </w:t>
      </w:r>
      <w:r>
        <w:rPr>
          <w:i/>
          <w:iCs/>
          <w:sz w:val="20"/>
          <w:szCs w:val="20"/>
        </w:rPr>
        <w:t>Cultural Anthropology and the Old Testament</w:t>
      </w:r>
      <w:r>
        <w:rPr>
          <w:sz w:val="20"/>
          <w:szCs w:val="20"/>
        </w:rPr>
        <w:t xml:space="preserve"> (Minneapolis: Fortress Press, 1996), pp. 3–18.</w:t>
      </w:r>
    </w:p>
  </w:footnote>
  <w:footnote w:id="16">
    <w:p w14:paraId="23EB08D1" w14:textId="77777777" w:rsidR="001F3985" w:rsidRDefault="00000000">
      <w:pPr>
        <w:spacing w:after="60"/>
      </w:pPr>
      <w:r>
        <w:rPr>
          <w:rStyle w:val="FootnoteReference"/>
        </w:rPr>
        <w:footnoteRef/>
      </w:r>
      <w:r>
        <w:rPr>
          <w:sz w:val="20"/>
          <w:szCs w:val="20"/>
        </w:rPr>
        <w:t>Sneed, 'Teaching &amp; Learning Guide', p. 126.</w:t>
      </w:r>
    </w:p>
  </w:footnote>
  <w:footnote w:id="17">
    <w:p w14:paraId="0ABDFCD7" w14:textId="77777777" w:rsidR="001F3985" w:rsidRDefault="00000000">
      <w:pPr>
        <w:spacing w:after="60"/>
      </w:pPr>
      <w:r>
        <w:rPr>
          <w:rStyle w:val="FootnoteReference"/>
        </w:rPr>
        <w:footnoteRef/>
      </w:r>
      <w:r>
        <w:rPr>
          <w:sz w:val="20"/>
          <w:szCs w:val="20"/>
        </w:rPr>
        <w:t>Esler, 'Social-Scientific Models', pp. 8–10.</w:t>
      </w:r>
    </w:p>
  </w:footnote>
  <w:footnote w:id="18">
    <w:p w14:paraId="35997F73" w14:textId="77777777" w:rsidR="001F3985" w:rsidRDefault="00000000">
      <w:pPr>
        <w:spacing w:after="60"/>
      </w:pPr>
      <w:r>
        <w:rPr>
          <w:rStyle w:val="FootnoteReference"/>
        </w:rPr>
        <w:footnoteRef/>
      </w:r>
      <w:r>
        <w:rPr>
          <w:sz w:val="20"/>
          <w:szCs w:val="20"/>
        </w:rPr>
        <w:t>Chalcraft, 'Bringing the Social Sciences', pp. 35–38.</w:t>
      </w:r>
    </w:p>
  </w:footnote>
  <w:footnote w:id="19">
    <w:p w14:paraId="5CBB3338" w14:textId="77777777" w:rsidR="001F3985" w:rsidRDefault="00000000">
      <w:pPr>
        <w:spacing w:after="60"/>
      </w:pPr>
      <w:r>
        <w:rPr>
          <w:rStyle w:val="FootnoteReference"/>
        </w:rPr>
        <w:footnoteRef/>
      </w:r>
      <w:r>
        <w:rPr>
          <w:sz w:val="20"/>
          <w:szCs w:val="20"/>
        </w:rPr>
        <w:t xml:space="preserve">Gale A. Yee, </w:t>
      </w:r>
      <w:r>
        <w:rPr>
          <w:i/>
          <w:iCs/>
          <w:sz w:val="20"/>
          <w:szCs w:val="20"/>
        </w:rPr>
        <w:t>The Hebrew Bible: Feminist and Intersectional Perspectives</w:t>
      </w:r>
      <w:r>
        <w:rPr>
          <w:sz w:val="20"/>
          <w:szCs w:val="20"/>
        </w:rPr>
        <w:t xml:space="preserve"> (Minneapolis: Fortress Press, 2018), pp. 71–98.</w:t>
      </w:r>
    </w:p>
  </w:footnote>
  <w:footnote w:id="20">
    <w:p w14:paraId="14A8E062" w14:textId="77777777" w:rsidR="001F3985" w:rsidRDefault="00000000">
      <w:pPr>
        <w:spacing w:after="60"/>
      </w:pPr>
      <w:r>
        <w:rPr>
          <w:rStyle w:val="FootnoteReference"/>
        </w:rPr>
        <w:footnoteRef/>
      </w:r>
      <w:r>
        <w:rPr>
          <w:sz w:val="20"/>
          <w:szCs w:val="20"/>
        </w:rPr>
        <w:t xml:space="preserve">Yee, </w:t>
      </w:r>
      <w:r>
        <w:rPr>
          <w:i/>
          <w:iCs/>
          <w:sz w:val="20"/>
          <w:szCs w:val="20"/>
        </w:rPr>
        <w:t>Feminist and Intersectional Perspectives</w:t>
      </w:r>
      <w:r>
        <w:rPr>
          <w:sz w:val="20"/>
          <w:szCs w:val="20"/>
        </w:rPr>
        <w:t>, pp. 102–15.</w:t>
      </w:r>
    </w:p>
  </w:footnote>
  <w:footnote w:id="21">
    <w:p w14:paraId="2DB4DECD" w14:textId="77777777" w:rsidR="001F3985" w:rsidRDefault="00000000">
      <w:pPr>
        <w:spacing w:after="60"/>
      </w:pPr>
      <w:r>
        <w:rPr>
          <w:rStyle w:val="FootnoteReference"/>
        </w:rPr>
        <w:footnoteRef/>
      </w:r>
      <w:r>
        <w:rPr>
          <w:sz w:val="20"/>
          <w:szCs w:val="20"/>
        </w:rPr>
        <w:t xml:space="preserve">Fernando F. Segovia, 'Biblical Studies and Postcolonial Studies', in </w:t>
      </w:r>
      <w:r>
        <w:rPr>
          <w:i/>
          <w:iCs/>
          <w:sz w:val="20"/>
          <w:szCs w:val="20"/>
        </w:rPr>
        <w:t>The Postcolonial Biblical Reader</w:t>
      </w:r>
      <w:r>
        <w:rPr>
          <w:sz w:val="20"/>
          <w:szCs w:val="20"/>
        </w:rPr>
        <w:t>, ed. by R. S. Sugirtharajah (Oxford: Blackwell, 2006), pp. 33–44 (pp. 37–38).</w:t>
      </w:r>
    </w:p>
  </w:footnote>
  <w:footnote w:id="22">
    <w:p w14:paraId="0ED43817" w14:textId="77777777" w:rsidR="001F3985" w:rsidRDefault="00000000">
      <w:pPr>
        <w:spacing w:after="60"/>
      </w:pPr>
      <w:r>
        <w:rPr>
          <w:rStyle w:val="FootnoteReference"/>
        </w:rPr>
        <w:footnoteRef/>
      </w:r>
      <w:r>
        <w:rPr>
          <w:sz w:val="20"/>
          <w:szCs w:val="20"/>
        </w:rPr>
        <w:t xml:space="preserve">Elisabeth Schüssler Fiorenza, 'The Ethics of Biblical Interpretation: Decentering Biblical Scholarship', </w:t>
      </w:r>
      <w:r>
        <w:rPr>
          <w:i/>
          <w:iCs/>
          <w:sz w:val="20"/>
          <w:szCs w:val="20"/>
        </w:rPr>
        <w:t>Journal of Biblical Literature</w:t>
      </w:r>
      <w:r>
        <w:rPr>
          <w:sz w:val="20"/>
          <w:szCs w:val="20"/>
        </w:rPr>
        <w:t>, 107.1 (1988), 3–17 (pp. 9–11).</w:t>
      </w:r>
    </w:p>
  </w:footnote>
  <w:footnote w:id="23">
    <w:p w14:paraId="7E78871E" w14:textId="77777777" w:rsidR="001F3985" w:rsidRDefault="00000000">
      <w:pPr>
        <w:spacing w:after="60"/>
      </w:pPr>
      <w:r>
        <w:rPr>
          <w:rStyle w:val="FootnoteReference"/>
        </w:rPr>
        <w:footnoteRef/>
      </w:r>
      <w:r>
        <w:rPr>
          <w:sz w:val="20"/>
          <w:szCs w:val="20"/>
        </w:rPr>
        <w:t xml:space="preserve">Jonathan Magonet, 'Jewish Interpretation of the Bible', in </w:t>
      </w:r>
      <w:r>
        <w:rPr>
          <w:i/>
          <w:iCs/>
          <w:sz w:val="20"/>
          <w:szCs w:val="20"/>
        </w:rPr>
        <w:t>The Oxford Handbook of Biblical Studies</w:t>
      </w:r>
      <w:r>
        <w:rPr>
          <w:sz w:val="20"/>
          <w:szCs w:val="20"/>
        </w:rPr>
        <w:t>, ed. by J. W. Rogerson and Judith M. Lieu (Oxford: Oxford University Press, 2006), pp. 754–74 (p. 756).</w:t>
      </w:r>
    </w:p>
  </w:footnote>
  <w:footnote w:id="24">
    <w:p w14:paraId="70E49603" w14:textId="77777777" w:rsidR="001F3985" w:rsidRDefault="00000000">
      <w:pPr>
        <w:spacing w:after="60"/>
      </w:pPr>
      <w:r>
        <w:rPr>
          <w:rStyle w:val="FootnoteReference"/>
        </w:rPr>
        <w:footnoteRef/>
      </w:r>
      <w:r>
        <w:rPr>
          <w:sz w:val="20"/>
          <w:szCs w:val="20"/>
        </w:rPr>
        <w:t>Sneed, 'Teaching &amp; Learning Guide', pp. 127–28.</w:t>
      </w:r>
    </w:p>
  </w:footnote>
  <w:footnote w:id="25">
    <w:p w14:paraId="0C5BE4B5" w14:textId="77777777" w:rsidR="001F3985" w:rsidRDefault="00000000">
      <w:pPr>
        <w:spacing w:after="60"/>
      </w:pPr>
      <w:r>
        <w:rPr>
          <w:rStyle w:val="FootnoteReference"/>
        </w:rPr>
        <w:footnoteRef/>
      </w:r>
      <w:r>
        <w:rPr>
          <w:sz w:val="20"/>
          <w:szCs w:val="20"/>
        </w:rPr>
        <w:t xml:space="preserve">Overholt, </w:t>
      </w:r>
      <w:r>
        <w:rPr>
          <w:i/>
          <w:iCs/>
          <w:sz w:val="20"/>
          <w:szCs w:val="20"/>
        </w:rPr>
        <w:t>Cultural Anthropology and the Old Testament</w:t>
      </w:r>
      <w:r>
        <w:rPr>
          <w:sz w:val="20"/>
          <w:szCs w:val="20"/>
        </w:rPr>
        <w:t>, pp. 14–16.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423B58"/>
    <w:multiLevelType w:val="hybridMultilevel"/>
    <w:tmpl w:val="ABF0C8D8"/>
    <w:lvl w:ilvl="0" w:tplc="87AA1B28">
      <w:start w:val="1"/>
      <w:numFmt w:val="bullet"/>
      <w:lvlText w:val="●"/>
      <w:lvlJc w:val="left"/>
      <w:pPr>
        <w:ind w:left="720" w:hanging="360"/>
      </w:pPr>
    </w:lvl>
    <w:lvl w:ilvl="1" w:tplc="116A5D5A">
      <w:start w:val="1"/>
      <w:numFmt w:val="bullet"/>
      <w:lvlText w:val="○"/>
      <w:lvlJc w:val="left"/>
      <w:pPr>
        <w:ind w:left="1440" w:hanging="360"/>
      </w:pPr>
    </w:lvl>
    <w:lvl w:ilvl="2" w:tplc="D5C6C2AE">
      <w:start w:val="1"/>
      <w:numFmt w:val="bullet"/>
      <w:lvlText w:val="■"/>
      <w:lvlJc w:val="left"/>
      <w:pPr>
        <w:ind w:left="2160" w:hanging="360"/>
      </w:pPr>
    </w:lvl>
    <w:lvl w:ilvl="3" w:tplc="0C72ABCA">
      <w:start w:val="1"/>
      <w:numFmt w:val="bullet"/>
      <w:lvlText w:val="●"/>
      <w:lvlJc w:val="left"/>
      <w:pPr>
        <w:ind w:left="2880" w:hanging="360"/>
      </w:pPr>
    </w:lvl>
    <w:lvl w:ilvl="4" w:tplc="0B9A7510">
      <w:start w:val="1"/>
      <w:numFmt w:val="bullet"/>
      <w:lvlText w:val="○"/>
      <w:lvlJc w:val="left"/>
      <w:pPr>
        <w:ind w:left="3600" w:hanging="360"/>
      </w:pPr>
    </w:lvl>
    <w:lvl w:ilvl="5" w:tplc="5194FAB6">
      <w:start w:val="1"/>
      <w:numFmt w:val="bullet"/>
      <w:lvlText w:val="■"/>
      <w:lvlJc w:val="left"/>
      <w:pPr>
        <w:ind w:left="4320" w:hanging="360"/>
      </w:pPr>
    </w:lvl>
    <w:lvl w:ilvl="6" w:tplc="AD1EE7EA">
      <w:start w:val="1"/>
      <w:numFmt w:val="bullet"/>
      <w:lvlText w:val="●"/>
      <w:lvlJc w:val="left"/>
      <w:pPr>
        <w:ind w:left="5040" w:hanging="360"/>
      </w:pPr>
    </w:lvl>
    <w:lvl w:ilvl="7" w:tplc="8C46D112">
      <w:start w:val="1"/>
      <w:numFmt w:val="bullet"/>
      <w:lvlText w:val="●"/>
      <w:lvlJc w:val="left"/>
      <w:pPr>
        <w:ind w:left="5760" w:hanging="360"/>
      </w:pPr>
    </w:lvl>
    <w:lvl w:ilvl="8" w:tplc="5FD847D6">
      <w:start w:val="1"/>
      <w:numFmt w:val="bullet"/>
      <w:lvlText w:val="●"/>
      <w:lvlJc w:val="left"/>
      <w:pPr>
        <w:ind w:left="6480" w:hanging="360"/>
      </w:pPr>
    </w:lvl>
  </w:abstractNum>
  <w:num w:numId="1" w16cid:durableId="33275839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985"/>
    <w:rsid w:val="001F3985"/>
    <w:rsid w:val="002C30BE"/>
    <w:rsid w:val="005A28A9"/>
    <w:rsid w:val="006034B1"/>
    <w:rsid w:val="007F6599"/>
    <w:rsid w:val="009733DB"/>
    <w:rsid w:val="009C648D"/>
    <w:rsid w:val="00B45286"/>
    <w:rsid w:val="00DF5AB4"/>
    <w:rsid w:val="00FB1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E5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200"/>
      <w:outlineLvl w:val="0"/>
    </w:pPr>
    <w:rPr>
      <w:b/>
      <w:bCs/>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DF5AB4"/>
    <w:pPr>
      <w:tabs>
        <w:tab w:val="center" w:pos="4513"/>
        <w:tab w:val="right" w:pos="9026"/>
      </w:tabs>
    </w:pPr>
  </w:style>
  <w:style w:type="character" w:customStyle="1" w:styleId="HeaderChar">
    <w:name w:val="Header Char"/>
    <w:basedOn w:val="DefaultParagraphFont"/>
    <w:link w:val="Header"/>
    <w:uiPriority w:val="99"/>
    <w:rsid w:val="00DF5AB4"/>
  </w:style>
  <w:style w:type="paragraph" w:styleId="Footer">
    <w:name w:val="footer"/>
    <w:basedOn w:val="Normal"/>
    <w:link w:val="FooterChar"/>
    <w:uiPriority w:val="99"/>
    <w:unhideWhenUsed/>
    <w:rsid w:val="00DF5AB4"/>
    <w:pPr>
      <w:tabs>
        <w:tab w:val="center" w:pos="4513"/>
        <w:tab w:val="right" w:pos="9026"/>
      </w:tabs>
    </w:pPr>
  </w:style>
  <w:style w:type="character" w:customStyle="1" w:styleId="FooterChar">
    <w:name w:val="Footer Char"/>
    <w:basedOn w:val="DefaultParagraphFont"/>
    <w:link w:val="Footer"/>
    <w:uiPriority w:val="99"/>
    <w:rsid w:val="00DF5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2275</Words>
  <Characters>14287</Characters>
  <Application>Microsoft Office Word</Application>
  <DocSecurity>0</DocSecurity>
  <Lines>207</Lines>
  <Paragraphs>50</Paragraphs>
  <ScaleCrop>false</ScaleCrop>
  <Company/>
  <LinksUpToDate>false</LinksUpToDate>
  <CharactersWithSpaces>16512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2026-03-15T21:30:00Z</dcterms:created>
  <dcterms:modified xsi:type="dcterms:W3CDTF">2026-03-15T21:45:00Z</dcterms:modified>
</cp:coreProperties>
</file>