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7C777" w14:textId="17C9DA97" w:rsidR="2D09AC78" w:rsidRDefault="000A1E4C" w:rsidP="2D09AC78">
      <w:pPr>
        <w:spacing w:line="480" w:lineRule="auto"/>
        <w:jc w:val="center"/>
        <w:rPr>
          <w:rFonts w:ascii="Times New Roman" w:eastAsia="Times New Roman" w:hAnsi="Times New Roman" w:cs="Times New Roman"/>
          <w:sz w:val="72"/>
          <w:szCs w:val="72"/>
        </w:rPr>
      </w:pPr>
      <w:r>
        <w:rPr>
          <w:noProof/>
        </w:rPr>
        <w:drawing>
          <wp:anchor distT="0" distB="0" distL="114300" distR="114300" simplePos="0" relativeHeight="251661312" behindDoc="1" locked="0" layoutInCell="1" allowOverlap="1" wp14:anchorId="53A3EC26" wp14:editId="5846FF0E">
            <wp:simplePos x="0" y="0"/>
            <wp:positionH relativeFrom="page">
              <wp:align>left</wp:align>
            </wp:positionH>
            <wp:positionV relativeFrom="paragraph">
              <wp:posOffset>-914400</wp:posOffset>
            </wp:positionV>
            <wp:extent cx="7543800" cy="9677400"/>
            <wp:effectExtent l="0" t="0" r="0" b="0"/>
            <wp:wrapNone/>
            <wp:docPr id="7" name="Picture 1" descr="A blue and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7" name="Picture 1" descr="A blue and white background&#10;&#10;AI-generated content may be incorrect."/>
                    <pic:cNvPicPr/>
                  </pic:nvPicPr>
                  <pic:blipFill>
                    <a:blip r:embed="rId7"/>
                    <a:stretch>
                      <a:fillRect/>
                    </a:stretch>
                  </pic:blipFill>
                  <pic:spPr>
                    <a:xfrm>
                      <a:off x="0" y="0"/>
                      <a:ext cx="7543800" cy="9677400"/>
                    </a:xfrm>
                    <a:prstGeom prst="rect">
                      <a:avLst/>
                    </a:prstGeom>
                  </pic:spPr>
                </pic:pic>
              </a:graphicData>
            </a:graphic>
            <wp14:sizeRelH relativeFrom="margin">
              <wp14:pctWidth>0</wp14:pctWidth>
            </wp14:sizeRelH>
            <wp14:sizeRelV relativeFrom="margin">
              <wp14:pctHeight>0</wp14:pctHeight>
            </wp14:sizeRelV>
          </wp:anchor>
        </w:drawing>
      </w:r>
    </w:p>
    <w:p w14:paraId="5E5787A5" w14:textId="13DA16FE" w:rsidR="00A60DA0" w:rsidRDefault="373E56F5" w:rsidP="2D09AC78">
      <w:pPr>
        <w:spacing w:line="480" w:lineRule="auto"/>
        <w:jc w:val="center"/>
        <w:rPr>
          <w:rFonts w:ascii="Times New Roman" w:eastAsia="Times New Roman" w:hAnsi="Times New Roman" w:cs="Times New Roman"/>
          <w:sz w:val="72"/>
          <w:szCs w:val="72"/>
        </w:rPr>
      </w:pPr>
      <w:r w:rsidRPr="2D09AC78">
        <w:rPr>
          <w:rFonts w:ascii="Times New Roman" w:eastAsia="Times New Roman" w:hAnsi="Times New Roman" w:cs="Times New Roman"/>
          <w:sz w:val="72"/>
          <w:szCs w:val="72"/>
        </w:rPr>
        <w:t>Introduction To Public Health</w:t>
      </w:r>
    </w:p>
    <w:p w14:paraId="0B6E7926" w14:textId="77777777" w:rsidR="00AE4E10" w:rsidRDefault="00AE4E10" w:rsidP="2D09AC78">
      <w:pPr>
        <w:spacing w:line="480" w:lineRule="auto"/>
        <w:jc w:val="center"/>
        <w:rPr>
          <w:rFonts w:ascii="Times New Roman" w:eastAsia="Times New Roman" w:hAnsi="Times New Roman" w:cs="Times New Roman"/>
          <w:sz w:val="72"/>
          <w:szCs w:val="72"/>
        </w:rPr>
      </w:pPr>
    </w:p>
    <w:p w14:paraId="4F17041F" w14:textId="40CDEF75" w:rsidR="2D09AC78" w:rsidRPr="00E2609D" w:rsidRDefault="00E2609D" w:rsidP="006649AD">
      <w:pPr>
        <w:spacing w:line="480" w:lineRule="auto"/>
        <w:ind w:firstLine="720"/>
        <w:rPr>
          <w:rFonts w:ascii="Times New Roman" w:eastAsia="Times New Roman" w:hAnsi="Times New Roman" w:cs="Times New Roman"/>
          <w:sz w:val="56"/>
          <w:szCs w:val="56"/>
        </w:rPr>
      </w:pPr>
      <w:r w:rsidRPr="00E2609D">
        <w:rPr>
          <w:rFonts w:ascii="Times New Roman" w:eastAsia="Times New Roman" w:hAnsi="Times New Roman" w:cs="Times New Roman"/>
          <w:b/>
          <w:bCs/>
          <w:sz w:val="56"/>
          <w:szCs w:val="56"/>
        </w:rPr>
        <w:t>Name:</w:t>
      </w:r>
      <w:r w:rsidR="002C52E6" w:rsidRPr="00E2609D">
        <w:rPr>
          <w:rFonts w:ascii="Times New Roman" w:eastAsia="Times New Roman" w:hAnsi="Times New Roman" w:cs="Times New Roman"/>
          <w:b/>
          <w:bCs/>
          <w:sz w:val="56"/>
          <w:szCs w:val="56"/>
        </w:rPr>
        <w:t xml:space="preserve"> </w:t>
      </w:r>
      <w:r w:rsidR="006649AD">
        <w:rPr>
          <w:rFonts w:ascii="Times New Roman" w:eastAsia="Times New Roman" w:hAnsi="Times New Roman" w:cs="Times New Roman"/>
          <w:b/>
          <w:bCs/>
          <w:sz w:val="56"/>
          <w:szCs w:val="56"/>
        </w:rPr>
        <w:tab/>
      </w:r>
      <w:r w:rsidR="006649AD">
        <w:rPr>
          <w:rFonts w:ascii="Times New Roman" w:eastAsia="Times New Roman" w:hAnsi="Times New Roman" w:cs="Times New Roman"/>
          <w:b/>
          <w:bCs/>
          <w:sz w:val="56"/>
          <w:szCs w:val="56"/>
        </w:rPr>
        <w:tab/>
      </w:r>
      <w:r w:rsidR="006649AD">
        <w:rPr>
          <w:rFonts w:ascii="Times New Roman" w:eastAsia="Times New Roman" w:hAnsi="Times New Roman" w:cs="Times New Roman"/>
          <w:b/>
          <w:bCs/>
          <w:sz w:val="56"/>
          <w:szCs w:val="56"/>
        </w:rPr>
        <w:tab/>
      </w:r>
      <w:r w:rsidRPr="00E2609D">
        <w:rPr>
          <w:rFonts w:ascii="Times New Roman" w:eastAsia="Times New Roman" w:hAnsi="Times New Roman" w:cs="Times New Roman"/>
          <w:sz w:val="56"/>
          <w:szCs w:val="56"/>
        </w:rPr>
        <w:t>Mahmida Khan</w:t>
      </w:r>
    </w:p>
    <w:p w14:paraId="43970579" w14:textId="17BA34CF" w:rsidR="6D77CCD3" w:rsidRDefault="51649F20" w:rsidP="2D09AC78">
      <w:pPr>
        <w:spacing w:line="480" w:lineRule="auto"/>
        <w:ind w:firstLine="720"/>
        <w:rPr>
          <w:rFonts w:ascii="Times New Roman" w:eastAsia="Times New Roman" w:hAnsi="Times New Roman" w:cs="Times New Roman"/>
          <w:sz w:val="72"/>
          <w:szCs w:val="72"/>
        </w:rPr>
      </w:pPr>
      <w:r w:rsidRPr="2D09AC78">
        <w:rPr>
          <w:rFonts w:ascii="Times New Roman" w:eastAsia="Times New Roman" w:hAnsi="Times New Roman" w:cs="Times New Roman"/>
          <w:b/>
          <w:bCs/>
          <w:sz w:val="56"/>
          <w:szCs w:val="56"/>
        </w:rPr>
        <w:t>Module:</w:t>
      </w:r>
      <w:r w:rsidR="7DF4EAFD" w:rsidRPr="2D09AC78">
        <w:rPr>
          <w:rFonts w:ascii="Times New Roman" w:eastAsia="Times New Roman" w:hAnsi="Times New Roman" w:cs="Times New Roman"/>
          <w:sz w:val="56"/>
          <w:szCs w:val="56"/>
        </w:rPr>
        <w:t xml:space="preserve"> </w:t>
      </w:r>
      <w:r w:rsidR="6D77CCD3">
        <w:tab/>
      </w:r>
      <w:r w:rsidR="6D77CCD3">
        <w:tab/>
      </w:r>
      <w:r w:rsidR="373E56F5" w:rsidRPr="2D09AC78">
        <w:rPr>
          <w:rFonts w:ascii="Times New Roman" w:eastAsia="Times New Roman" w:hAnsi="Times New Roman" w:cs="Times New Roman"/>
          <w:sz w:val="56"/>
          <w:szCs w:val="56"/>
        </w:rPr>
        <w:t>LCHS4008_BIRM</w:t>
      </w:r>
    </w:p>
    <w:p w14:paraId="43D4205F" w14:textId="7C5E2369" w:rsidR="6D77CCD3" w:rsidRDefault="373E56F5" w:rsidP="2D09AC78">
      <w:pPr>
        <w:spacing w:line="480" w:lineRule="auto"/>
        <w:ind w:firstLine="720"/>
        <w:rPr>
          <w:rFonts w:ascii="Times New Roman" w:eastAsia="Times New Roman" w:hAnsi="Times New Roman" w:cs="Times New Roman"/>
          <w:sz w:val="56"/>
          <w:szCs w:val="56"/>
        </w:rPr>
      </w:pPr>
      <w:r w:rsidRPr="2D09AC78">
        <w:rPr>
          <w:rFonts w:ascii="Times New Roman" w:eastAsia="Times New Roman" w:hAnsi="Times New Roman" w:cs="Times New Roman"/>
          <w:b/>
          <w:bCs/>
          <w:sz w:val="56"/>
          <w:szCs w:val="56"/>
        </w:rPr>
        <w:t>Student ID</w:t>
      </w:r>
      <w:r w:rsidR="1F69E49F" w:rsidRPr="2D09AC78">
        <w:rPr>
          <w:rFonts w:ascii="Times New Roman" w:eastAsia="Times New Roman" w:hAnsi="Times New Roman" w:cs="Times New Roman"/>
          <w:sz w:val="56"/>
          <w:szCs w:val="56"/>
        </w:rPr>
        <w:t xml:space="preserve"> -</w:t>
      </w:r>
      <w:r w:rsidRPr="2D09AC78">
        <w:rPr>
          <w:rFonts w:ascii="Times New Roman" w:eastAsia="Times New Roman" w:hAnsi="Times New Roman" w:cs="Times New Roman"/>
          <w:sz w:val="56"/>
          <w:szCs w:val="56"/>
        </w:rPr>
        <w:t xml:space="preserve"> </w:t>
      </w:r>
      <w:r w:rsidR="6D77CCD3">
        <w:tab/>
      </w:r>
      <w:r w:rsidRPr="2D09AC78">
        <w:rPr>
          <w:rFonts w:ascii="Times New Roman" w:eastAsia="Times New Roman" w:hAnsi="Times New Roman" w:cs="Times New Roman"/>
          <w:sz w:val="56"/>
          <w:szCs w:val="56"/>
        </w:rPr>
        <w:t>2512965</w:t>
      </w:r>
    </w:p>
    <w:p w14:paraId="0C406EA5" w14:textId="31DD25DD" w:rsidR="499FC188" w:rsidRDefault="373E56F5" w:rsidP="2D09AC78">
      <w:pPr>
        <w:spacing w:line="480" w:lineRule="auto"/>
        <w:ind w:firstLine="720"/>
        <w:rPr>
          <w:rFonts w:ascii="Times New Roman" w:eastAsia="Times New Roman" w:hAnsi="Times New Roman" w:cs="Times New Roman"/>
          <w:sz w:val="56"/>
          <w:szCs w:val="56"/>
        </w:rPr>
      </w:pPr>
      <w:r w:rsidRPr="2D09AC78">
        <w:rPr>
          <w:rFonts w:ascii="Times New Roman" w:eastAsia="Times New Roman" w:hAnsi="Times New Roman" w:cs="Times New Roman"/>
          <w:b/>
          <w:bCs/>
          <w:sz w:val="56"/>
          <w:szCs w:val="56"/>
        </w:rPr>
        <w:t>Lecture</w:t>
      </w:r>
      <w:r w:rsidR="5FA9D094" w:rsidRPr="2D09AC78">
        <w:rPr>
          <w:rFonts w:ascii="Times New Roman" w:eastAsia="Times New Roman" w:hAnsi="Times New Roman" w:cs="Times New Roman"/>
          <w:b/>
          <w:bCs/>
          <w:sz w:val="56"/>
          <w:szCs w:val="56"/>
        </w:rPr>
        <w:t>r</w:t>
      </w:r>
      <w:r w:rsidR="5FA9D094" w:rsidRPr="2D09AC78">
        <w:rPr>
          <w:rFonts w:ascii="Times New Roman" w:eastAsia="Times New Roman" w:hAnsi="Times New Roman" w:cs="Times New Roman"/>
          <w:sz w:val="56"/>
          <w:szCs w:val="56"/>
        </w:rPr>
        <w:t>:</w:t>
      </w:r>
      <w:r w:rsidRPr="2D09AC78">
        <w:rPr>
          <w:rFonts w:ascii="Times New Roman" w:eastAsia="Times New Roman" w:hAnsi="Times New Roman" w:cs="Times New Roman"/>
          <w:sz w:val="56"/>
          <w:szCs w:val="56"/>
        </w:rPr>
        <w:t xml:space="preserve"> </w:t>
      </w:r>
      <w:r w:rsidR="499FC188">
        <w:tab/>
      </w:r>
      <w:r w:rsidR="499FC188">
        <w:tab/>
      </w:r>
      <w:r w:rsidRPr="2D09AC78">
        <w:rPr>
          <w:rFonts w:ascii="Times New Roman" w:eastAsia="Times New Roman" w:hAnsi="Times New Roman" w:cs="Times New Roman"/>
          <w:sz w:val="56"/>
          <w:szCs w:val="56"/>
        </w:rPr>
        <w:t>Vivian Osuchkwu</w:t>
      </w:r>
    </w:p>
    <w:p w14:paraId="13523219" w14:textId="2BAF4E9B" w:rsidR="265CC859" w:rsidRDefault="265CC859" w:rsidP="2D09AC78">
      <w:pPr>
        <w:spacing w:before="322" w:after="322" w:line="480" w:lineRule="auto"/>
        <w:ind w:firstLine="720"/>
        <w:rPr>
          <w:rFonts w:ascii="Times New Roman" w:eastAsia="Times New Roman" w:hAnsi="Times New Roman" w:cs="Times New Roman"/>
          <w:sz w:val="56"/>
          <w:szCs w:val="56"/>
        </w:rPr>
      </w:pPr>
    </w:p>
    <w:p w14:paraId="4B304C88" w14:textId="36B3A3CA" w:rsidR="265CC859" w:rsidRDefault="0076612C" w:rsidP="2D09AC78">
      <w:pPr>
        <w:spacing w:before="322" w:after="322" w:line="480" w:lineRule="auto"/>
        <w:ind w:firstLine="720"/>
        <w:rPr>
          <w:rFonts w:ascii="Times New Roman" w:eastAsia="Times New Roman" w:hAnsi="Times New Roman" w:cs="Times New Roman"/>
          <w:sz w:val="56"/>
          <w:szCs w:val="56"/>
        </w:rPr>
      </w:pPr>
      <w:r>
        <w:rPr>
          <w:noProof/>
        </w:rPr>
        <w:drawing>
          <wp:anchor distT="0" distB="0" distL="114300" distR="114300" simplePos="0" relativeHeight="251677696" behindDoc="1" locked="0" layoutInCell="1" allowOverlap="1" wp14:anchorId="249F3ED9" wp14:editId="66E66DEE">
            <wp:simplePos x="0" y="0"/>
            <wp:positionH relativeFrom="page">
              <wp:posOffset>-289560</wp:posOffset>
            </wp:positionH>
            <wp:positionV relativeFrom="paragraph">
              <wp:posOffset>485775</wp:posOffset>
            </wp:positionV>
            <wp:extent cx="9144000" cy="1005840"/>
            <wp:effectExtent l="0" t="0" r="0" b="3810"/>
            <wp:wrapNone/>
            <wp:docPr id="1766930597"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1005840"/>
                    </a:xfrm>
                    <a:prstGeom prst="rect">
                      <a:avLst/>
                    </a:prstGeom>
                  </pic:spPr>
                </pic:pic>
              </a:graphicData>
            </a:graphic>
            <wp14:sizeRelV relativeFrom="margin">
              <wp14:pctHeight>0</wp14:pctHeight>
            </wp14:sizeRelV>
          </wp:anchor>
        </w:drawing>
      </w:r>
    </w:p>
    <w:p w14:paraId="6B63A761" w14:textId="73453FC1" w:rsidR="265CC859" w:rsidRPr="00B36E25" w:rsidRDefault="6AC2105D" w:rsidP="2D09AC78">
      <w:pPr>
        <w:pStyle w:val="Heading1"/>
        <w:spacing w:before="322" w:after="322"/>
        <w:rPr>
          <w:rFonts w:ascii="Aptos" w:eastAsia="Aptos" w:hAnsi="Aptos" w:cs="Aptos"/>
          <w:b/>
          <w:bCs/>
          <w:sz w:val="48"/>
          <w:szCs w:val="48"/>
          <w:u w:val="single"/>
        </w:rPr>
      </w:pPr>
      <w:r w:rsidRPr="00B36E25">
        <w:rPr>
          <w:rFonts w:ascii="Aptos" w:eastAsia="Aptos" w:hAnsi="Aptos" w:cs="Aptos"/>
          <w:b/>
          <w:bCs/>
          <w:sz w:val="48"/>
          <w:szCs w:val="48"/>
          <w:u w:val="single"/>
        </w:rPr>
        <w:lastRenderedPageBreak/>
        <w:t>Dementia</w:t>
      </w:r>
    </w:p>
    <w:p w14:paraId="7B9E87D0" w14:textId="1658ADDA" w:rsidR="265CC859" w:rsidRDefault="265CC859" w:rsidP="499FC188">
      <w:pPr>
        <w:pStyle w:val="Heading2"/>
        <w:spacing w:before="299" w:after="299"/>
      </w:pPr>
      <w:r w:rsidRPr="499FC188">
        <w:rPr>
          <w:rFonts w:ascii="Aptos" w:eastAsia="Aptos" w:hAnsi="Aptos" w:cs="Aptos"/>
          <w:b/>
          <w:bCs/>
          <w:sz w:val="36"/>
          <w:szCs w:val="36"/>
        </w:rPr>
        <w:t xml:space="preserve">Introduction </w:t>
      </w:r>
    </w:p>
    <w:p w14:paraId="3A4007BF" w14:textId="7A561C4A" w:rsidR="265CC859" w:rsidRPr="00282096" w:rsidRDefault="265CC859" w:rsidP="00AE4E10">
      <w:pPr>
        <w:spacing w:before="240" w:after="240" w:line="360" w:lineRule="auto"/>
        <w:jc w:val="both"/>
        <w:rPr>
          <w:rFonts w:ascii="Arial" w:hAnsi="Arial" w:cs="Arial"/>
        </w:rPr>
      </w:pPr>
      <w:r w:rsidRPr="00282096">
        <w:rPr>
          <w:rFonts w:ascii="Arial" w:eastAsia="Aptos" w:hAnsi="Arial" w:cs="Arial"/>
        </w:rPr>
        <w:t xml:space="preserve">Dementia is an umbrella term describing a group of progressive neurological conditions that impair cognitive functioning, including memory, reasoning, communication, and the ability to perform everyday activities. It is not a single </w:t>
      </w:r>
      <w:r w:rsidR="00AE4E10" w:rsidRPr="00282096">
        <w:rPr>
          <w:rFonts w:ascii="Arial" w:eastAsia="Aptos" w:hAnsi="Arial" w:cs="Arial"/>
        </w:rPr>
        <w:t>disease,</w:t>
      </w:r>
      <w:r w:rsidRPr="00282096">
        <w:rPr>
          <w:rFonts w:ascii="Arial" w:eastAsia="Aptos" w:hAnsi="Arial" w:cs="Arial"/>
        </w:rPr>
        <w:t xml:space="preserve"> but a syndrome caused by various underlying disorders, the most common being Alzheimer’s disease, vascular dementia, Lewy body dementia, and frontotemporal dementia (WHO, 2023). Early signs typically include memory loss, confusion, difficulty concentrating, personality changes, and challenges with problem</w:t>
      </w:r>
      <w:r w:rsidRPr="00282096">
        <w:rPr>
          <w:rFonts w:ascii="Cambria Math" w:eastAsia="Aptos" w:hAnsi="Cambria Math" w:cs="Cambria Math"/>
        </w:rPr>
        <w:t>‑</w:t>
      </w:r>
      <w:r w:rsidRPr="00282096">
        <w:rPr>
          <w:rFonts w:ascii="Arial" w:eastAsia="Aptos" w:hAnsi="Arial" w:cs="Arial"/>
        </w:rPr>
        <w:t>solving or language. As the condition progresses, individuals may experience severe cognitive decline, loss of independence, and increased vulnerability to physical health complications.</w:t>
      </w:r>
    </w:p>
    <w:p w14:paraId="211BEF85" w14:textId="334C8DF0" w:rsidR="265CC859" w:rsidRDefault="265CC859" w:rsidP="00AE4E10">
      <w:pPr>
        <w:spacing w:before="240" w:after="240" w:line="360" w:lineRule="auto"/>
        <w:jc w:val="both"/>
      </w:pPr>
      <w:r w:rsidRPr="00282096">
        <w:rPr>
          <w:rFonts w:ascii="Arial" w:eastAsia="Aptos" w:hAnsi="Arial" w:cs="Arial"/>
        </w:rPr>
        <w:t xml:space="preserve">Dementia represents a major global public health challenge. Worldwide, more than </w:t>
      </w:r>
      <w:r w:rsidRPr="00282096">
        <w:rPr>
          <w:rFonts w:ascii="Arial" w:eastAsia="Aptos" w:hAnsi="Arial" w:cs="Arial"/>
          <w:b/>
          <w:bCs/>
        </w:rPr>
        <w:t>55 million people</w:t>
      </w:r>
      <w:r w:rsidRPr="00282096">
        <w:rPr>
          <w:rFonts w:ascii="Arial" w:eastAsia="Aptos" w:hAnsi="Arial" w:cs="Arial"/>
        </w:rPr>
        <w:t xml:space="preserve"> live with dementia, with nearly </w:t>
      </w:r>
      <w:r w:rsidRPr="00282096">
        <w:rPr>
          <w:rFonts w:ascii="Arial" w:eastAsia="Aptos" w:hAnsi="Arial" w:cs="Arial"/>
          <w:b/>
          <w:bCs/>
        </w:rPr>
        <w:t>10 million new cases</w:t>
      </w:r>
      <w:r w:rsidRPr="00282096">
        <w:rPr>
          <w:rFonts w:ascii="Arial" w:eastAsia="Aptos" w:hAnsi="Arial" w:cs="Arial"/>
        </w:rPr>
        <w:t xml:space="preserve"> diagnosed annually (WHO, 2023). In the UK, approximately </w:t>
      </w:r>
      <w:r w:rsidRPr="00282096">
        <w:rPr>
          <w:rFonts w:ascii="Arial" w:eastAsia="Aptos" w:hAnsi="Arial" w:cs="Arial"/>
          <w:b/>
          <w:bCs/>
        </w:rPr>
        <w:t>944,000 people</w:t>
      </w:r>
      <w:r w:rsidRPr="00282096">
        <w:rPr>
          <w:rFonts w:ascii="Arial" w:eastAsia="Aptos" w:hAnsi="Arial" w:cs="Arial"/>
        </w:rPr>
        <w:t xml:space="preserve"> are currently living with dementia, a figure projected to exceed </w:t>
      </w:r>
      <w:r w:rsidRPr="00282096">
        <w:rPr>
          <w:rFonts w:ascii="Arial" w:eastAsia="Aptos" w:hAnsi="Arial" w:cs="Arial"/>
          <w:b/>
          <w:bCs/>
        </w:rPr>
        <w:t>1.6 million by 2040</w:t>
      </w:r>
      <w:r w:rsidRPr="00282096">
        <w:rPr>
          <w:rFonts w:ascii="Arial" w:eastAsia="Aptos" w:hAnsi="Arial" w:cs="Arial"/>
        </w:rPr>
        <w:t xml:space="preserve"> (Alzheimer’s Society, 2024). These statistics highlight the urgency of effective monitoring, prevention, and community support strategies.</w:t>
      </w:r>
    </w:p>
    <w:p w14:paraId="2B0AE397" w14:textId="1FE8F909" w:rsidR="265CC859" w:rsidRDefault="265CC859" w:rsidP="499FC188">
      <w:pPr>
        <w:pStyle w:val="Heading2"/>
        <w:spacing w:before="299" w:after="299"/>
      </w:pPr>
      <w:r w:rsidRPr="499FC188">
        <w:rPr>
          <w:rFonts w:ascii="Aptos" w:eastAsia="Aptos" w:hAnsi="Aptos" w:cs="Aptos"/>
          <w:b/>
          <w:bCs/>
          <w:sz w:val="36"/>
          <w:szCs w:val="36"/>
        </w:rPr>
        <w:t>Approaches Used to Measure and Monitor Dementia</w:t>
      </w:r>
    </w:p>
    <w:p w14:paraId="3F1CD655" w14:textId="2B2F65F7" w:rsidR="265CC859" w:rsidRPr="00282096" w:rsidRDefault="265CC859" w:rsidP="00AE4E10">
      <w:pPr>
        <w:spacing w:before="240" w:after="240" w:line="360" w:lineRule="auto"/>
        <w:jc w:val="both"/>
        <w:rPr>
          <w:rFonts w:ascii="Arial" w:hAnsi="Arial" w:cs="Arial"/>
        </w:rPr>
      </w:pPr>
      <w:r w:rsidRPr="00282096">
        <w:rPr>
          <w:rFonts w:ascii="Arial" w:eastAsia="Aptos" w:hAnsi="Arial" w:cs="Arial"/>
        </w:rPr>
        <w:t>Monitoring dementia involves a combination of clinical assessment, epidemiological surveillance, and population</w:t>
      </w:r>
      <w:r w:rsidRPr="00282096">
        <w:rPr>
          <w:rFonts w:ascii="Cambria Math" w:eastAsia="Aptos" w:hAnsi="Cambria Math" w:cs="Cambria Math"/>
        </w:rPr>
        <w:t>‑</w:t>
      </w:r>
      <w:r w:rsidRPr="00282096">
        <w:rPr>
          <w:rFonts w:ascii="Arial" w:eastAsia="Aptos" w:hAnsi="Arial" w:cs="Arial"/>
        </w:rPr>
        <w:t xml:space="preserve">level data collection. Clinically, diagnosis begins with cognitive screening tools such as the </w:t>
      </w:r>
      <w:r w:rsidRPr="00282096">
        <w:rPr>
          <w:rFonts w:ascii="Arial" w:eastAsia="Aptos" w:hAnsi="Arial" w:cs="Arial"/>
          <w:b/>
          <w:bCs/>
        </w:rPr>
        <w:t>Mini</w:t>
      </w:r>
      <w:r w:rsidRPr="00282096">
        <w:rPr>
          <w:rFonts w:ascii="Cambria Math" w:eastAsia="Aptos" w:hAnsi="Cambria Math" w:cs="Cambria Math"/>
          <w:b/>
          <w:bCs/>
        </w:rPr>
        <w:t>‑</w:t>
      </w:r>
      <w:r w:rsidRPr="00282096">
        <w:rPr>
          <w:rFonts w:ascii="Arial" w:eastAsia="Aptos" w:hAnsi="Arial" w:cs="Arial"/>
          <w:b/>
          <w:bCs/>
        </w:rPr>
        <w:t>Mental State Examination (MMSE)</w:t>
      </w:r>
      <w:r w:rsidRPr="00282096">
        <w:rPr>
          <w:rFonts w:ascii="Arial" w:eastAsia="Aptos" w:hAnsi="Arial" w:cs="Arial"/>
        </w:rPr>
        <w:t xml:space="preserve">, </w:t>
      </w:r>
      <w:r w:rsidRPr="00282096">
        <w:rPr>
          <w:rFonts w:ascii="Arial" w:eastAsia="Aptos" w:hAnsi="Arial" w:cs="Arial"/>
          <w:b/>
          <w:bCs/>
        </w:rPr>
        <w:t>Montreal Cognitive Assessment (MoCA)</w:t>
      </w:r>
      <w:r w:rsidRPr="00282096">
        <w:rPr>
          <w:rFonts w:ascii="Arial" w:eastAsia="Aptos" w:hAnsi="Arial" w:cs="Arial"/>
        </w:rPr>
        <w:t xml:space="preserve">, and </w:t>
      </w:r>
      <w:r w:rsidRPr="00282096">
        <w:rPr>
          <w:rFonts w:ascii="Arial" w:eastAsia="Aptos" w:hAnsi="Arial" w:cs="Arial"/>
          <w:b/>
          <w:bCs/>
        </w:rPr>
        <w:t>Addenbrooke’s Cognitive Examination (ACE</w:t>
      </w:r>
      <w:r w:rsidRPr="00282096">
        <w:rPr>
          <w:rFonts w:ascii="Cambria Math" w:eastAsia="Aptos" w:hAnsi="Cambria Math" w:cs="Cambria Math"/>
          <w:b/>
          <w:bCs/>
        </w:rPr>
        <w:t>‑</w:t>
      </w:r>
      <w:r w:rsidRPr="00282096">
        <w:rPr>
          <w:rFonts w:ascii="Arial" w:eastAsia="Aptos" w:hAnsi="Arial" w:cs="Arial"/>
          <w:b/>
          <w:bCs/>
        </w:rPr>
        <w:t>III)</w:t>
      </w:r>
      <w:r w:rsidRPr="00282096">
        <w:rPr>
          <w:rFonts w:ascii="Arial" w:eastAsia="Aptos" w:hAnsi="Arial" w:cs="Arial"/>
        </w:rPr>
        <w:t>. These tools assess memory, attention, language, visuospatial skills, and executive functioning. They provide a baseline for identifying cognitive impairment and tracking progression over time (NICE, 2022).</w:t>
      </w:r>
    </w:p>
    <w:p w14:paraId="0BBD38FC" w14:textId="19DA0D79" w:rsidR="265CC859" w:rsidRPr="00282096" w:rsidRDefault="00BE43F1" w:rsidP="00AC7C1E">
      <w:pPr>
        <w:spacing w:before="240" w:after="240" w:line="360" w:lineRule="auto"/>
        <w:jc w:val="both"/>
        <w:rPr>
          <w:rFonts w:ascii="Arial" w:hAnsi="Arial" w:cs="Arial"/>
        </w:rPr>
      </w:pPr>
      <w:r w:rsidRPr="00282096">
        <w:rPr>
          <w:rFonts w:ascii="Arial" w:hAnsi="Arial" w:cs="Arial"/>
          <w:noProof/>
        </w:rPr>
        <w:drawing>
          <wp:anchor distT="0" distB="0" distL="114300" distR="114300" simplePos="0" relativeHeight="251675648" behindDoc="1" locked="0" layoutInCell="1" allowOverlap="1" wp14:anchorId="4BB6F87D" wp14:editId="0D8259AE">
            <wp:simplePos x="0" y="0"/>
            <wp:positionH relativeFrom="page">
              <wp:posOffset>-266700</wp:posOffset>
            </wp:positionH>
            <wp:positionV relativeFrom="paragraph">
              <wp:posOffset>1172845</wp:posOffset>
            </wp:positionV>
            <wp:extent cx="9144000" cy="838200"/>
            <wp:effectExtent l="0" t="0" r="0" b="0"/>
            <wp:wrapNone/>
            <wp:docPr id="1276730197"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r w:rsidR="265CC859" w:rsidRPr="00282096">
        <w:rPr>
          <w:rFonts w:ascii="Arial" w:eastAsia="Aptos" w:hAnsi="Arial" w:cs="Arial"/>
        </w:rPr>
        <w:t xml:space="preserve">Neuroimaging techniques also play a crucial role. </w:t>
      </w:r>
      <w:r w:rsidR="265CC859" w:rsidRPr="00282096">
        <w:rPr>
          <w:rFonts w:ascii="Arial" w:eastAsia="Aptos" w:hAnsi="Arial" w:cs="Arial"/>
          <w:b/>
          <w:bCs/>
        </w:rPr>
        <w:t>MRI and CT scans</w:t>
      </w:r>
      <w:r w:rsidR="265CC859" w:rsidRPr="00282096">
        <w:rPr>
          <w:rFonts w:ascii="Arial" w:eastAsia="Aptos" w:hAnsi="Arial" w:cs="Arial"/>
        </w:rPr>
        <w:t xml:space="preserve"> help identify structural brain changes, such as hippocampal atrophy in Alzheimer’s disease or vascular lesions in vascular dementia. More advanced imaging, including </w:t>
      </w:r>
      <w:r w:rsidR="265CC859" w:rsidRPr="00282096">
        <w:rPr>
          <w:rFonts w:ascii="Arial" w:eastAsia="Aptos" w:hAnsi="Arial" w:cs="Arial"/>
          <w:b/>
          <w:bCs/>
        </w:rPr>
        <w:t>PET scans</w:t>
      </w:r>
      <w:r w:rsidR="265CC859" w:rsidRPr="00282096">
        <w:rPr>
          <w:rFonts w:ascii="Arial" w:eastAsia="Aptos" w:hAnsi="Arial" w:cs="Arial"/>
        </w:rPr>
        <w:t xml:space="preserve">, </w:t>
      </w:r>
      <w:r w:rsidR="265CC859" w:rsidRPr="00282096">
        <w:rPr>
          <w:rFonts w:ascii="Arial" w:eastAsia="Aptos" w:hAnsi="Arial" w:cs="Arial"/>
        </w:rPr>
        <w:lastRenderedPageBreak/>
        <w:t>can detect amyloid and tau protein deposits, offering greater diagnostic accuracy (Livingston et al., 2020). Blood tests and genetic screening may be used to rule out reversible causes of cognitive decline or identify hereditary risk factors.</w:t>
      </w:r>
    </w:p>
    <w:p w14:paraId="416A734A" w14:textId="78E86E34" w:rsidR="265CC859" w:rsidRPr="00282096" w:rsidRDefault="265CC859" w:rsidP="00AC7C1E">
      <w:pPr>
        <w:spacing w:before="240" w:after="240" w:line="360" w:lineRule="auto"/>
        <w:jc w:val="both"/>
        <w:rPr>
          <w:rFonts w:ascii="Arial" w:hAnsi="Arial" w:cs="Arial"/>
        </w:rPr>
      </w:pPr>
      <w:r w:rsidRPr="00282096">
        <w:rPr>
          <w:rFonts w:ascii="Arial" w:eastAsia="Aptos" w:hAnsi="Arial" w:cs="Arial"/>
        </w:rPr>
        <w:t xml:space="preserve">At a population level, dementia incidence and prevalence are monitored through national health databases, longitudinal cohort studies, and public health surveillance systems. In the UK, organisations such as the </w:t>
      </w:r>
      <w:r w:rsidRPr="00282096">
        <w:rPr>
          <w:rFonts w:ascii="Arial" w:eastAsia="Aptos" w:hAnsi="Arial" w:cs="Arial"/>
          <w:b/>
          <w:bCs/>
        </w:rPr>
        <w:t>Office for National Statistics (ONS)</w:t>
      </w:r>
      <w:r w:rsidRPr="00282096">
        <w:rPr>
          <w:rFonts w:ascii="Arial" w:eastAsia="Aptos" w:hAnsi="Arial" w:cs="Arial"/>
        </w:rPr>
        <w:t xml:space="preserve"> and </w:t>
      </w:r>
      <w:r w:rsidRPr="00282096">
        <w:rPr>
          <w:rFonts w:ascii="Arial" w:eastAsia="Aptos" w:hAnsi="Arial" w:cs="Arial"/>
          <w:b/>
          <w:bCs/>
        </w:rPr>
        <w:t>NHS Digital</w:t>
      </w:r>
      <w:r w:rsidRPr="00282096">
        <w:rPr>
          <w:rFonts w:ascii="Arial" w:eastAsia="Aptos" w:hAnsi="Arial" w:cs="Arial"/>
        </w:rPr>
        <w:t xml:space="preserve"> collect data on dementia diagnoses, mortality rates, and service utilisation. This information supports planning for health and social care services and helps evaluate the effectiveness of national dementia strategies.</w:t>
      </w:r>
    </w:p>
    <w:p w14:paraId="14704CB2" w14:textId="011E5817" w:rsidR="265CC859" w:rsidRDefault="265CC859" w:rsidP="00AC7C1E">
      <w:pPr>
        <w:spacing w:before="240" w:after="240" w:line="360" w:lineRule="auto"/>
        <w:jc w:val="both"/>
      </w:pPr>
      <w:r w:rsidRPr="00282096">
        <w:rPr>
          <w:rFonts w:ascii="Arial" w:eastAsia="Aptos" w:hAnsi="Arial" w:cs="Arial"/>
        </w:rPr>
        <w:t xml:space="preserve">Internationally, the </w:t>
      </w:r>
      <w:r w:rsidRPr="00282096">
        <w:rPr>
          <w:rFonts w:ascii="Arial" w:eastAsia="Aptos" w:hAnsi="Arial" w:cs="Arial"/>
          <w:b/>
          <w:bCs/>
        </w:rPr>
        <w:t>Global Dementia Observatory (GDO)</w:t>
      </w:r>
      <w:r w:rsidRPr="00282096">
        <w:rPr>
          <w:rFonts w:ascii="Arial" w:eastAsia="Aptos" w:hAnsi="Arial" w:cs="Arial"/>
        </w:rPr>
        <w:t>, established by the World Health Organization, provides a platform for countries to report data on dementia prevalence, risk factors, and policy implementation. These monitoring systems are essential for understanding trends, identifying inequalities, and guiding resource allocation.</w:t>
      </w:r>
    </w:p>
    <w:p w14:paraId="58956304" w14:textId="47622D6D" w:rsidR="265CC859" w:rsidRDefault="265CC859" w:rsidP="499FC188">
      <w:pPr>
        <w:pStyle w:val="Heading2"/>
        <w:spacing w:before="299" w:after="299"/>
      </w:pPr>
      <w:r w:rsidRPr="499FC188">
        <w:rPr>
          <w:rFonts w:ascii="Aptos" w:eastAsia="Aptos" w:hAnsi="Aptos" w:cs="Aptos"/>
          <w:b/>
          <w:bCs/>
          <w:sz w:val="36"/>
          <w:szCs w:val="36"/>
        </w:rPr>
        <w:t>How Dementia Is Controlled</w:t>
      </w:r>
    </w:p>
    <w:p w14:paraId="25C054CB" w14:textId="2EA217F3" w:rsidR="265CC859" w:rsidRPr="00282096" w:rsidRDefault="265CC859" w:rsidP="008A3E26">
      <w:pPr>
        <w:spacing w:before="240" w:after="240" w:line="360" w:lineRule="auto"/>
        <w:jc w:val="both"/>
        <w:rPr>
          <w:rFonts w:ascii="Arial" w:hAnsi="Arial" w:cs="Arial"/>
        </w:rPr>
      </w:pPr>
      <w:r w:rsidRPr="00282096">
        <w:rPr>
          <w:rFonts w:ascii="Arial" w:eastAsia="Aptos" w:hAnsi="Arial" w:cs="Arial"/>
        </w:rPr>
        <w:t xml:space="preserve">Although dementia cannot currently be cured, a combination of medical, behavioural, and public health strategies can slow progression, reduce symptoms, and improve quality of life. Control measures operate at three levels: </w:t>
      </w:r>
      <w:r w:rsidRPr="00282096">
        <w:rPr>
          <w:rFonts w:ascii="Arial" w:eastAsia="Aptos" w:hAnsi="Arial" w:cs="Arial"/>
          <w:b/>
          <w:bCs/>
        </w:rPr>
        <w:t>prevention</w:t>
      </w:r>
      <w:r w:rsidRPr="00282096">
        <w:rPr>
          <w:rFonts w:ascii="Arial" w:eastAsia="Aptos" w:hAnsi="Arial" w:cs="Arial"/>
        </w:rPr>
        <w:t xml:space="preserve">, </w:t>
      </w:r>
      <w:r w:rsidRPr="00282096">
        <w:rPr>
          <w:rFonts w:ascii="Arial" w:eastAsia="Aptos" w:hAnsi="Arial" w:cs="Arial"/>
          <w:b/>
          <w:bCs/>
        </w:rPr>
        <w:t>management</w:t>
      </w:r>
      <w:r w:rsidRPr="00282096">
        <w:rPr>
          <w:rFonts w:ascii="Arial" w:eastAsia="Aptos" w:hAnsi="Arial" w:cs="Arial"/>
        </w:rPr>
        <w:t xml:space="preserve">, and </w:t>
      </w:r>
      <w:r w:rsidRPr="00282096">
        <w:rPr>
          <w:rFonts w:ascii="Arial" w:eastAsia="Aptos" w:hAnsi="Arial" w:cs="Arial"/>
          <w:b/>
          <w:bCs/>
        </w:rPr>
        <w:t>supportive care</w:t>
      </w:r>
      <w:r w:rsidRPr="00282096">
        <w:rPr>
          <w:rFonts w:ascii="Arial" w:eastAsia="Aptos" w:hAnsi="Arial" w:cs="Arial"/>
        </w:rPr>
        <w:t>.</w:t>
      </w:r>
    </w:p>
    <w:p w14:paraId="211E75B3" w14:textId="75524062" w:rsidR="265CC859" w:rsidRPr="00282096" w:rsidRDefault="265CC859" w:rsidP="499FC188">
      <w:pPr>
        <w:pStyle w:val="Heading3"/>
        <w:spacing w:before="281" w:after="281"/>
        <w:rPr>
          <w:rFonts w:ascii="Arial" w:hAnsi="Arial" w:cs="Arial"/>
        </w:rPr>
      </w:pPr>
      <w:r w:rsidRPr="00282096">
        <w:rPr>
          <w:rFonts w:ascii="Arial" w:eastAsia="Aptos" w:hAnsi="Arial" w:cs="Arial"/>
          <w:b/>
          <w:bCs/>
        </w:rPr>
        <w:t>1. Prevention and Risk Reduction</w:t>
      </w:r>
    </w:p>
    <w:p w14:paraId="6624968F" w14:textId="64FB4B36" w:rsidR="265CC859" w:rsidRPr="00282096" w:rsidRDefault="265CC859" w:rsidP="000D0366">
      <w:pPr>
        <w:spacing w:before="240" w:after="240" w:line="360" w:lineRule="auto"/>
        <w:jc w:val="both"/>
        <w:rPr>
          <w:rFonts w:ascii="Arial" w:hAnsi="Arial" w:cs="Arial"/>
        </w:rPr>
      </w:pPr>
      <w:r w:rsidRPr="00282096">
        <w:rPr>
          <w:rFonts w:ascii="Arial" w:eastAsia="Aptos" w:hAnsi="Arial" w:cs="Arial"/>
        </w:rPr>
        <w:t xml:space="preserve">Research indicates that up to </w:t>
      </w:r>
      <w:r w:rsidRPr="00282096">
        <w:rPr>
          <w:rFonts w:ascii="Arial" w:eastAsia="Aptos" w:hAnsi="Arial" w:cs="Arial"/>
          <w:b/>
          <w:bCs/>
        </w:rPr>
        <w:t>40% of dementia cases</w:t>
      </w:r>
      <w:r w:rsidRPr="00282096">
        <w:rPr>
          <w:rFonts w:ascii="Arial" w:eastAsia="Aptos" w:hAnsi="Arial" w:cs="Arial"/>
        </w:rPr>
        <w:t xml:space="preserve"> may be preventable through lifestyle modifications (Livingston et al., 2020). Key risk</w:t>
      </w:r>
      <w:r w:rsidRPr="00282096">
        <w:rPr>
          <w:rFonts w:ascii="Cambria Math" w:eastAsia="Aptos" w:hAnsi="Cambria Math" w:cs="Cambria Math"/>
        </w:rPr>
        <w:t>‑</w:t>
      </w:r>
      <w:r w:rsidRPr="00282096">
        <w:rPr>
          <w:rFonts w:ascii="Arial" w:eastAsia="Aptos" w:hAnsi="Arial" w:cs="Arial"/>
        </w:rPr>
        <w:t>reduction strategies include:</w:t>
      </w:r>
    </w:p>
    <w:p w14:paraId="29692D7D" w14:textId="38D34BA3" w:rsidR="265CC859" w:rsidRPr="00282096" w:rsidRDefault="265CC859" w:rsidP="000D0366">
      <w:pPr>
        <w:pStyle w:val="ListParagraph"/>
        <w:numPr>
          <w:ilvl w:val="0"/>
          <w:numId w:val="2"/>
        </w:numPr>
        <w:spacing w:before="240" w:after="240" w:line="360" w:lineRule="auto"/>
        <w:jc w:val="both"/>
        <w:rPr>
          <w:rFonts w:ascii="Arial" w:eastAsia="Aptos" w:hAnsi="Arial" w:cs="Arial"/>
        </w:rPr>
      </w:pPr>
      <w:r w:rsidRPr="00282096">
        <w:rPr>
          <w:rFonts w:ascii="Arial" w:eastAsia="Aptos" w:hAnsi="Arial" w:cs="Arial"/>
          <w:b/>
          <w:bCs/>
        </w:rPr>
        <w:t>Managing cardiovascular health</w:t>
      </w:r>
      <w:r w:rsidRPr="00282096">
        <w:rPr>
          <w:rFonts w:ascii="Arial" w:eastAsia="Aptos" w:hAnsi="Arial" w:cs="Arial"/>
        </w:rPr>
        <w:t>: controlling hypertension, diabetes, and high cholesterol reduces the risk of vascular dementia.</w:t>
      </w:r>
    </w:p>
    <w:p w14:paraId="60B620F1" w14:textId="7F958F13" w:rsidR="265CC859" w:rsidRPr="00282096" w:rsidRDefault="265CC859" w:rsidP="000D0366">
      <w:pPr>
        <w:pStyle w:val="ListParagraph"/>
        <w:numPr>
          <w:ilvl w:val="0"/>
          <w:numId w:val="2"/>
        </w:numPr>
        <w:spacing w:before="240" w:after="240" w:line="360" w:lineRule="auto"/>
        <w:jc w:val="both"/>
        <w:rPr>
          <w:rFonts w:ascii="Arial" w:eastAsia="Aptos" w:hAnsi="Arial" w:cs="Arial"/>
        </w:rPr>
      </w:pPr>
      <w:r w:rsidRPr="00282096">
        <w:rPr>
          <w:rFonts w:ascii="Arial" w:eastAsia="Aptos" w:hAnsi="Arial" w:cs="Arial"/>
          <w:b/>
          <w:bCs/>
        </w:rPr>
        <w:t>Promoting physical activity</w:t>
      </w:r>
      <w:r w:rsidRPr="00282096">
        <w:rPr>
          <w:rFonts w:ascii="Arial" w:eastAsia="Aptos" w:hAnsi="Arial" w:cs="Arial"/>
        </w:rPr>
        <w:t>: regular exercise improves blood flow to the brain and supports cognitive resilience.</w:t>
      </w:r>
      <w:r w:rsidR="009228B1" w:rsidRPr="00282096">
        <w:rPr>
          <w:rFonts w:ascii="Arial" w:hAnsi="Arial" w:cs="Arial"/>
          <w:noProof/>
        </w:rPr>
        <w:t xml:space="preserve"> </w:t>
      </w:r>
    </w:p>
    <w:p w14:paraId="58C7A198" w14:textId="279ED1BA" w:rsidR="265CC859" w:rsidRPr="00282096" w:rsidRDefault="00282096" w:rsidP="000D0366">
      <w:pPr>
        <w:pStyle w:val="ListParagraph"/>
        <w:numPr>
          <w:ilvl w:val="0"/>
          <w:numId w:val="2"/>
        </w:numPr>
        <w:spacing w:before="240" w:after="240" w:line="360" w:lineRule="auto"/>
        <w:jc w:val="both"/>
        <w:rPr>
          <w:rFonts w:ascii="Arial" w:eastAsia="Aptos" w:hAnsi="Arial" w:cs="Arial"/>
        </w:rPr>
      </w:pPr>
      <w:r w:rsidRPr="00282096">
        <w:rPr>
          <w:rFonts w:ascii="Arial" w:hAnsi="Arial" w:cs="Arial"/>
          <w:noProof/>
        </w:rPr>
        <w:drawing>
          <wp:anchor distT="0" distB="0" distL="114300" distR="114300" simplePos="0" relativeHeight="251673600" behindDoc="1" locked="0" layoutInCell="1" allowOverlap="1" wp14:anchorId="41517045" wp14:editId="29FEEA26">
            <wp:simplePos x="0" y="0"/>
            <wp:positionH relativeFrom="page">
              <wp:posOffset>-236220</wp:posOffset>
            </wp:positionH>
            <wp:positionV relativeFrom="paragraph">
              <wp:posOffset>1038860</wp:posOffset>
            </wp:positionV>
            <wp:extent cx="9144000" cy="838200"/>
            <wp:effectExtent l="0" t="0" r="0" b="0"/>
            <wp:wrapNone/>
            <wp:docPr id="1946157403"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r w:rsidR="265CC859" w:rsidRPr="00282096">
        <w:rPr>
          <w:rFonts w:ascii="Arial" w:eastAsia="Aptos" w:hAnsi="Arial" w:cs="Arial"/>
          <w:b/>
          <w:bCs/>
        </w:rPr>
        <w:t>Encouraging cognitive stimulation</w:t>
      </w:r>
      <w:r w:rsidR="265CC859" w:rsidRPr="00282096">
        <w:rPr>
          <w:rFonts w:ascii="Arial" w:eastAsia="Aptos" w:hAnsi="Arial" w:cs="Arial"/>
        </w:rPr>
        <w:t>: education, social engagement, and mentally stimulating activities strengthen cognitive reserve.</w:t>
      </w:r>
    </w:p>
    <w:p w14:paraId="1697F559" w14:textId="5FD8F3F5" w:rsidR="265CC859" w:rsidRPr="00282096" w:rsidRDefault="265CC859" w:rsidP="000D0366">
      <w:pPr>
        <w:pStyle w:val="ListParagraph"/>
        <w:numPr>
          <w:ilvl w:val="0"/>
          <w:numId w:val="2"/>
        </w:numPr>
        <w:spacing w:before="240" w:after="240" w:line="360" w:lineRule="auto"/>
        <w:jc w:val="both"/>
        <w:rPr>
          <w:rFonts w:ascii="Arial" w:eastAsia="Aptos" w:hAnsi="Arial" w:cs="Arial"/>
        </w:rPr>
      </w:pPr>
      <w:r w:rsidRPr="00282096">
        <w:rPr>
          <w:rFonts w:ascii="Arial" w:eastAsia="Aptos" w:hAnsi="Arial" w:cs="Arial"/>
          <w:b/>
          <w:bCs/>
        </w:rPr>
        <w:lastRenderedPageBreak/>
        <w:t>Reducing harmful behaviours</w:t>
      </w:r>
      <w:r w:rsidRPr="00282096">
        <w:rPr>
          <w:rFonts w:ascii="Arial" w:eastAsia="Aptos" w:hAnsi="Arial" w:cs="Arial"/>
        </w:rPr>
        <w:t>: avoiding smoking, excessive alcohol consumption, and exposure to air pollution lowers risk.</w:t>
      </w:r>
    </w:p>
    <w:p w14:paraId="066DE3DE" w14:textId="2B8FDF3A" w:rsidR="265CC859" w:rsidRPr="00282096" w:rsidRDefault="265CC859" w:rsidP="000D0366">
      <w:pPr>
        <w:pStyle w:val="ListParagraph"/>
        <w:numPr>
          <w:ilvl w:val="0"/>
          <w:numId w:val="2"/>
        </w:numPr>
        <w:spacing w:before="240" w:after="240" w:line="360" w:lineRule="auto"/>
        <w:jc w:val="both"/>
        <w:rPr>
          <w:rFonts w:ascii="Arial" w:eastAsia="Aptos" w:hAnsi="Arial" w:cs="Arial"/>
        </w:rPr>
      </w:pPr>
      <w:r w:rsidRPr="00282096">
        <w:rPr>
          <w:rFonts w:ascii="Arial" w:eastAsia="Aptos" w:hAnsi="Arial" w:cs="Arial"/>
          <w:b/>
          <w:bCs/>
        </w:rPr>
        <w:t>Addressing hearing loss</w:t>
      </w:r>
      <w:r w:rsidRPr="00282096">
        <w:rPr>
          <w:rFonts w:ascii="Arial" w:eastAsia="Aptos" w:hAnsi="Arial" w:cs="Arial"/>
        </w:rPr>
        <w:t>: midlife hearing impairment is one of the strongest modifiable risk factors.</w:t>
      </w:r>
    </w:p>
    <w:p w14:paraId="1A31E4E1" w14:textId="40AFB748" w:rsidR="265CC859" w:rsidRPr="00282096" w:rsidRDefault="265CC859" w:rsidP="000D0366">
      <w:pPr>
        <w:spacing w:before="240" w:after="240" w:line="360" w:lineRule="auto"/>
        <w:jc w:val="both"/>
        <w:rPr>
          <w:rFonts w:ascii="Arial" w:hAnsi="Arial" w:cs="Arial"/>
        </w:rPr>
      </w:pPr>
      <w:r w:rsidRPr="00282096">
        <w:rPr>
          <w:rFonts w:ascii="Arial" w:eastAsia="Aptos" w:hAnsi="Arial" w:cs="Arial"/>
        </w:rPr>
        <w:t>Public health campaigns in the UK, such as those led by the NHS and Alzheimer’s Society, promote these preventative behaviours.</w:t>
      </w:r>
    </w:p>
    <w:p w14:paraId="07339F53" w14:textId="6DD1AED2" w:rsidR="265CC859" w:rsidRDefault="265CC859" w:rsidP="499FC188">
      <w:pPr>
        <w:pStyle w:val="Heading3"/>
        <w:spacing w:before="281" w:after="281"/>
      </w:pPr>
      <w:r w:rsidRPr="499FC188">
        <w:rPr>
          <w:rFonts w:ascii="Aptos" w:eastAsia="Aptos" w:hAnsi="Aptos" w:cs="Aptos"/>
          <w:b/>
          <w:bCs/>
        </w:rPr>
        <w:t>2. Medical Management</w:t>
      </w:r>
    </w:p>
    <w:p w14:paraId="04D0BE25" w14:textId="4F285176" w:rsidR="265CC859" w:rsidRPr="00282096" w:rsidRDefault="265CC859" w:rsidP="000D0366">
      <w:pPr>
        <w:spacing w:before="240" w:after="240" w:line="360" w:lineRule="auto"/>
        <w:jc w:val="both"/>
        <w:rPr>
          <w:rFonts w:ascii="Arial" w:hAnsi="Arial" w:cs="Arial"/>
        </w:rPr>
      </w:pPr>
      <w:r w:rsidRPr="00282096">
        <w:rPr>
          <w:rFonts w:ascii="Arial" w:eastAsia="Aptos" w:hAnsi="Arial" w:cs="Arial"/>
        </w:rPr>
        <w:t xml:space="preserve">Pharmacological treatments aim to manage symptoms rather than cure the disease. </w:t>
      </w:r>
      <w:r w:rsidRPr="00282096">
        <w:rPr>
          <w:rFonts w:ascii="Arial" w:eastAsia="Aptos" w:hAnsi="Arial" w:cs="Arial"/>
          <w:b/>
          <w:bCs/>
        </w:rPr>
        <w:t>Cholinesterase inhibitors</w:t>
      </w:r>
      <w:r w:rsidRPr="00282096">
        <w:rPr>
          <w:rFonts w:ascii="Arial" w:eastAsia="Aptos" w:hAnsi="Arial" w:cs="Arial"/>
        </w:rPr>
        <w:t xml:space="preserve"> (e.g., donepezil, rivastigmine) and </w:t>
      </w:r>
      <w:r w:rsidRPr="00282096">
        <w:rPr>
          <w:rFonts w:ascii="Arial" w:eastAsia="Aptos" w:hAnsi="Arial" w:cs="Arial"/>
          <w:b/>
          <w:bCs/>
        </w:rPr>
        <w:t>memantine</w:t>
      </w:r>
      <w:r w:rsidRPr="00282096">
        <w:rPr>
          <w:rFonts w:ascii="Arial" w:eastAsia="Aptos" w:hAnsi="Arial" w:cs="Arial"/>
        </w:rPr>
        <w:t xml:space="preserve"> are commonly prescribed to slow cognitive decline in Alzheimer’s disease. For behavioural symptoms such as agitation or depression, clinicians may use antidepressants or antipsychotics, though these are prescribed cautiously due to side effects (NICE, 2022).</w:t>
      </w:r>
    </w:p>
    <w:p w14:paraId="500B8F49" w14:textId="3501A36F" w:rsidR="265CC859" w:rsidRPr="00282096" w:rsidRDefault="265CC859" w:rsidP="000D0366">
      <w:pPr>
        <w:spacing w:before="240" w:after="240" w:line="360" w:lineRule="auto"/>
        <w:jc w:val="both"/>
        <w:rPr>
          <w:rFonts w:ascii="Arial" w:hAnsi="Arial" w:cs="Arial"/>
        </w:rPr>
      </w:pPr>
      <w:r w:rsidRPr="00282096">
        <w:rPr>
          <w:rFonts w:ascii="Arial" w:eastAsia="Aptos" w:hAnsi="Arial" w:cs="Arial"/>
        </w:rPr>
        <w:t>Non</w:t>
      </w:r>
      <w:r w:rsidRPr="00282096">
        <w:rPr>
          <w:rFonts w:ascii="Cambria Math" w:eastAsia="Aptos" w:hAnsi="Cambria Math" w:cs="Cambria Math"/>
        </w:rPr>
        <w:t>‑</w:t>
      </w:r>
      <w:r w:rsidRPr="00282096">
        <w:rPr>
          <w:rFonts w:ascii="Arial" w:eastAsia="Aptos" w:hAnsi="Arial" w:cs="Arial"/>
        </w:rPr>
        <w:t>pharmacological interventions are equally important. Cognitive stimulation therapy (CST), reminiscence therapy, and occupational therapy help maintain cognitive functioning and independence. Person</w:t>
      </w:r>
      <w:r w:rsidRPr="00282096">
        <w:rPr>
          <w:rFonts w:ascii="Cambria Math" w:eastAsia="Aptos" w:hAnsi="Cambria Math" w:cs="Cambria Math"/>
        </w:rPr>
        <w:t>‑</w:t>
      </w:r>
      <w:r w:rsidRPr="00282096">
        <w:rPr>
          <w:rFonts w:ascii="Arial" w:eastAsia="Aptos" w:hAnsi="Arial" w:cs="Arial"/>
        </w:rPr>
        <w:t>centred care approaches, such as those promoted by Kitwood’s model, emphasise dignity, identity, and emotional wellbeing.</w:t>
      </w:r>
    </w:p>
    <w:p w14:paraId="1949AF62" w14:textId="703C8E59" w:rsidR="265CC859" w:rsidRDefault="265CC859" w:rsidP="000D0366">
      <w:pPr>
        <w:pStyle w:val="Heading3"/>
        <w:spacing w:before="281" w:after="281" w:line="360" w:lineRule="auto"/>
        <w:jc w:val="both"/>
      </w:pPr>
      <w:r w:rsidRPr="499FC188">
        <w:rPr>
          <w:rFonts w:ascii="Aptos" w:eastAsia="Aptos" w:hAnsi="Aptos" w:cs="Aptos"/>
          <w:b/>
          <w:bCs/>
        </w:rPr>
        <w:t>3. Supportive and Long‑Term Care</w:t>
      </w:r>
    </w:p>
    <w:p w14:paraId="3E6384B2" w14:textId="053E71D3" w:rsidR="265CC859" w:rsidRPr="00282096" w:rsidRDefault="265CC859" w:rsidP="000D0366">
      <w:pPr>
        <w:spacing w:before="240" w:after="240" w:line="360" w:lineRule="auto"/>
        <w:jc w:val="both"/>
        <w:rPr>
          <w:rFonts w:ascii="Arial" w:hAnsi="Arial" w:cs="Arial"/>
        </w:rPr>
      </w:pPr>
      <w:r w:rsidRPr="00282096">
        <w:rPr>
          <w:rFonts w:ascii="Arial" w:eastAsia="Aptos" w:hAnsi="Arial" w:cs="Arial"/>
        </w:rPr>
        <w:t>As dementia progresses, individuals require increasing levels of support. Care strategies include:</w:t>
      </w:r>
    </w:p>
    <w:p w14:paraId="0FEFAFAB" w14:textId="1521EE26" w:rsidR="265CC859" w:rsidRPr="00282096" w:rsidRDefault="265CC859" w:rsidP="000D0366">
      <w:pPr>
        <w:pStyle w:val="ListParagraph"/>
        <w:numPr>
          <w:ilvl w:val="0"/>
          <w:numId w:val="1"/>
        </w:numPr>
        <w:spacing w:before="240" w:after="240" w:line="360" w:lineRule="auto"/>
        <w:jc w:val="both"/>
        <w:rPr>
          <w:rFonts w:ascii="Arial" w:eastAsia="Aptos" w:hAnsi="Arial" w:cs="Arial"/>
        </w:rPr>
      </w:pPr>
      <w:r w:rsidRPr="00282096">
        <w:rPr>
          <w:rFonts w:ascii="Arial" w:eastAsia="Aptos" w:hAnsi="Arial" w:cs="Arial"/>
          <w:b/>
          <w:bCs/>
        </w:rPr>
        <w:t>Home</w:t>
      </w:r>
      <w:r w:rsidRPr="00282096">
        <w:rPr>
          <w:rFonts w:ascii="Cambria Math" w:eastAsia="Aptos" w:hAnsi="Cambria Math" w:cs="Cambria Math"/>
          <w:b/>
          <w:bCs/>
        </w:rPr>
        <w:t>‑</w:t>
      </w:r>
      <w:r w:rsidRPr="00282096">
        <w:rPr>
          <w:rFonts w:ascii="Arial" w:eastAsia="Aptos" w:hAnsi="Arial" w:cs="Arial"/>
          <w:b/>
          <w:bCs/>
        </w:rPr>
        <w:t>based care</w:t>
      </w:r>
      <w:r w:rsidRPr="00282096">
        <w:rPr>
          <w:rFonts w:ascii="Arial" w:eastAsia="Aptos" w:hAnsi="Arial" w:cs="Arial"/>
        </w:rPr>
        <w:t>: support with daily activities, medication management, and safety.</w:t>
      </w:r>
    </w:p>
    <w:p w14:paraId="795F5E32" w14:textId="72E8537B" w:rsidR="265CC859" w:rsidRPr="00282096" w:rsidRDefault="265CC859" w:rsidP="000D0366">
      <w:pPr>
        <w:pStyle w:val="ListParagraph"/>
        <w:numPr>
          <w:ilvl w:val="0"/>
          <w:numId w:val="1"/>
        </w:numPr>
        <w:spacing w:before="240" w:after="240" w:line="360" w:lineRule="auto"/>
        <w:jc w:val="both"/>
        <w:rPr>
          <w:rFonts w:ascii="Arial" w:eastAsia="Aptos" w:hAnsi="Arial" w:cs="Arial"/>
        </w:rPr>
      </w:pPr>
      <w:r w:rsidRPr="00282096">
        <w:rPr>
          <w:rFonts w:ascii="Arial" w:eastAsia="Aptos" w:hAnsi="Arial" w:cs="Arial"/>
          <w:b/>
          <w:bCs/>
        </w:rPr>
        <w:t>Community services</w:t>
      </w:r>
      <w:r w:rsidRPr="00282096">
        <w:rPr>
          <w:rFonts w:ascii="Arial" w:eastAsia="Aptos" w:hAnsi="Arial" w:cs="Arial"/>
        </w:rPr>
        <w:t>: day centres, respite care, and dementia cafés reduce isolation and support carers.</w:t>
      </w:r>
    </w:p>
    <w:p w14:paraId="5DC69734" w14:textId="61DFD1D6" w:rsidR="265CC859" w:rsidRPr="00282096" w:rsidRDefault="265CC859" w:rsidP="000D0366">
      <w:pPr>
        <w:pStyle w:val="ListParagraph"/>
        <w:numPr>
          <w:ilvl w:val="0"/>
          <w:numId w:val="1"/>
        </w:numPr>
        <w:spacing w:before="240" w:after="240" w:line="360" w:lineRule="auto"/>
        <w:jc w:val="both"/>
        <w:rPr>
          <w:rFonts w:ascii="Arial" w:eastAsia="Aptos" w:hAnsi="Arial" w:cs="Arial"/>
        </w:rPr>
      </w:pPr>
      <w:r w:rsidRPr="00282096">
        <w:rPr>
          <w:rFonts w:ascii="Arial" w:eastAsia="Aptos" w:hAnsi="Arial" w:cs="Arial"/>
          <w:b/>
          <w:bCs/>
        </w:rPr>
        <w:t>Residential and nursing care</w:t>
      </w:r>
      <w:r w:rsidRPr="00282096">
        <w:rPr>
          <w:rFonts w:ascii="Arial" w:eastAsia="Aptos" w:hAnsi="Arial" w:cs="Arial"/>
        </w:rPr>
        <w:t>: for advanced dementia, specialised dementia units provide 24</w:t>
      </w:r>
      <w:r w:rsidRPr="00282096">
        <w:rPr>
          <w:rFonts w:ascii="Cambria Math" w:eastAsia="Aptos" w:hAnsi="Cambria Math" w:cs="Cambria Math"/>
        </w:rPr>
        <w:t>‑</w:t>
      </w:r>
      <w:r w:rsidRPr="00282096">
        <w:rPr>
          <w:rFonts w:ascii="Arial" w:eastAsia="Aptos" w:hAnsi="Arial" w:cs="Arial"/>
        </w:rPr>
        <w:t>hour supervision.</w:t>
      </w:r>
      <w:r w:rsidR="0063594E" w:rsidRPr="00282096">
        <w:rPr>
          <w:rFonts w:ascii="Arial" w:hAnsi="Arial" w:cs="Arial"/>
          <w:noProof/>
        </w:rPr>
        <w:t xml:space="preserve"> </w:t>
      </w:r>
    </w:p>
    <w:p w14:paraId="2167A2C4" w14:textId="6281DD26" w:rsidR="265CC859" w:rsidRPr="00282096" w:rsidRDefault="00B677B5" w:rsidP="000D0366">
      <w:pPr>
        <w:pStyle w:val="ListParagraph"/>
        <w:numPr>
          <w:ilvl w:val="0"/>
          <w:numId w:val="1"/>
        </w:numPr>
        <w:spacing w:before="240" w:after="240" w:line="360" w:lineRule="auto"/>
        <w:jc w:val="both"/>
        <w:rPr>
          <w:rFonts w:ascii="Arial" w:eastAsia="Aptos" w:hAnsi="Arial" w:cs="Arial"/>
        </w:rPr>
      </w:pPr>
      <w:r w:rsidRPr="00282096">
        <w:rPr>
          <w:rFonts w:ascii="Arial" w:hAnsi="Arial" w:cs="Arial"/>
          <w:noProof/>
        </w:rPr>
        <w:drawing>
          <wp:anchor distT="0" distB="0" distL="114300" distR="114300" simplePos="0" relativeHeight="251671552" behindDoc="1" locked="0" layoutInCell="1" allowOverlap="1" wp14:anchorId="2E3A1196" wp14:editId="4EB440D6">
            <wp:simplePos x="0" y="0"/>
            <wp:positionH relativeFrom="page">
              <wp:posOffset>-243840</wp:posOffset>
            </wp:positionH>
            <wp:positionV relativeFrom="paragraph">
              <wp:posOffset>745490</wp:posOffset>
            </wp:positionV>
            <wp:extent cx="9144000" cy="838200"/>
            <wp:effectExtent l="0" t="0" r="0" b="0"/>
            <wp:wrapNone/>
            <wp:docPr id="138723177"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r w:rsidR="265CC859" w:rsidRPr="00282096">
        <w:rPr>
          <w:rFonts w:ascii="Arial" w:eastAsia="Aptos" w:hAnsi="Arial" w:cs="Arial"/>
          <w:b/>
          <w:bCs/>
        </w:rPr>
        <w:t>End</w:t>
      </w:r>
      <w:r w:rsidR="265CC859" w:rsidRPr="00282096">
        <w:rPr>
          <w:rFonts w:ascii="Cambria Math" w:eastAsia="Aptos" w:hAnsi="Cambria Math" w:cs="Cambria Math"/>
          <w:b/>
          <w:bCs/>
        </w:rPr>
        <w:t>‑</w:t>
      </w:r>
      <w:r w:rsidR="265CC859" w:rsidRPr="00282096">
        <w:rPr>
          <w:rFonts w:ascii="Arial" w:eastAsia="Aptos" w:hAnsi="Arial" w:cs="Arial"/>
          <w:b/>
          <w:bCs/>
        </w:rPr>
        <w:t>of</w:t>
      </w:r>
      <w:r w:rsidR="265CC859" w:rsidRPr="00282096">
        <w:rPr>
          <w:rFonts w:ascii="Cambria Math" w:eastAsia="Aptos" w:hAnsi="Cambria Math" w:cs="Cambria Math"/>
          <w:b/>
          <w:bCs/>
        </w:rPr>
        <w:t>‑</w:t>
      </w:r>
      <w:r w:rsidR="265CC859" w:rsidRPr="00282096">
        <w:rPr>
          <w:rFonts w:ascii="Arial" w:eastAsia="Aptos" w:hAnsi="Arial" w:cs="Arial"/>
          <w:b/>
          <w:bCs/>
        </w:rPr>
        <w:t>life care</w:t>
      </w:r>
      <w:r w:rsidR="265CC859" w:rsidRPr="00282096">
        <w:rPr>
          <w:rFonts w:ascii="Arial" w:eastAsia="Aptos" w:hAnsi="Arial" w:cs="Arial"/>
        </w:rPr>
        <w:t>: palliative approaches focus on comfort, dignity, and symptom management.</w:t>
      </w:r>
    </w:p>
    <w:p w14:paraId="1BC06640" w14:textId="4049436E" w:rsidR="265CC859" w:rsidRDefault="265CC859" w:rsidP="000D0366">
      <w:pPr>
        <w:spacing w:before="240" w:after="240" w:line="360" w:lineRule="auto"/>
        <w:jc w:val="both"/>
      </w:pPr>
      <w:r w:rsidRPr="00282096">
        <w:rPr>
          <w:rFonts w:ascii="Arial" w:eastAsia="Aptos" w:hAnsi="Arial" w:cs="Arial"/>
        </w:rPr>
        <w:lastRenderedPageBreak/>
        <w:t xml:space="preserve">The UK’s </w:t>
      </w:r>
      <w:r w:rsidRPr="00282096">
        <w:rPr>
          <w:rFonts w:ascii="Arial" w:eastAsia="Aptos" w:hAnsi="Arial" w:cs="Arial"/>
          <w:b/>
          <w:bCs/>
        </w:rPr>
        <w:t>National Dementia Strategy</w:t>
      </w:r>
      <w:r w:rsidRPr="00282096">
        <w:rPr>
          <w:rFonts w:ascii="Arial" w:eastAsia="Aptos" w:hAnsi="Arial" w:cs="Arial"/>
        </w:rPr>
        <w:t xml:space="preserve"> emphasises early diagnosis, improved care pathways, and better integration between health and social care services.</w:t>
      </w:r>
    </w:p>
    <w:p w14:paraId="5135BC26" w14:textId="2D4EC4C5" w:rsidR="265CC859" w:rsidRPr="001240D5" w:rsidRDefault="265CC859" w:rsidP="001240D5">
      <w:pPr>
        <w:pStyle w:val="Heading2"/>
        <w:spacing w:before="299" w:after="299" w:line="360" w:lineRule="auto"/>
      </w:pPr>
      <w:r w:rsidRPr="001240D5">
        <w:rPr>
          <w:rFonts w:ascii="Aptos" w:eastAsia="Aptos" w:hAnsi="Aptos" w:cs="Aptos"/>
          <w:b/>
          <w:bCs/>
        </w:rPr>
        <w:t>Consequences of Dementia on People and Communities</w:t>
      </w:r>
    </w:p>
    <w:p w14:paraId="74E3B31F" w14:textId="36D99C5F" w:rsidR="265CC859" w:rsidRPr="00282096" w:rsidRDefault="265CC859" w:rsidP="000D0366">
      <w:pPr>
        <w:spacing w:before="240" w:after="240" w:line="360" w:lineRule="auto"/>
        <w:jc w:val="both"/>
        <w:rPr>
          <w:rFonts w:ascii="Arial" w:hAnsi="Arial" w:cs="Arial"/>
        </w:rPr>
      </w:pPr>
      <w:r w:rsidRPr="00282096">
        <w:rPr>
          <w:rFonts w:ascii="Arial" w:eastAsia="Aptos" w:hAnsi="Arial" w:cs="Arial"/>
        </w:rPr>
        <w:t>Dementia has profound consequences not only for individuals but also for families, carers, and wider society.</w:t>
      </w:r>
    </w:p>
    <w:p w14:paraId="2EB79616" w14:textId="601E0581" w:rsidR="265CC859" w:rsidRDefault="265CC859" w:rsidP="000D0366">
      <w:pPr>
        <w:pStyle w:val="Heading3"/>
        <w:spacing w:before="281" w:after="281" w:line="360" w:lineRule="auto"/>
        <w:jc w:val="both"/>
      </w:pPr>
      <w:r w:rsidRPr="499FC188">
        <w:rPr>
          <w:rFonts w:ascii="Aptos" w:eastAsia="Aptos" w:hAnsi="Aptos" w:cs="Aptos"/>
          <w:b/>
          <w:bCs/>
        </w:rPr>
        <w:t>Impact on Individuals</w:t>
      </w:r>
    </w:p>
    <w:p w14:paraId="1AFA32F0" w14:textId="60FE3A30" w:rsidR="265CC859" w:rsidRPr="00282096" w:rsidRDefault="265CC859" w:rsidP="000D0366">
      <w:pPr>
        <w:spacing w:before="240" w:after="240" w:line="360" w:lineRule="auto"/>
        <w:jc w:val="both"/>
        <w:rPr>
          <w:rFonts w:ascii="Arial" w:hAnsi="Arial" w:cs="Arial"/>
        </w:rPr>
      </w:pPr>
      <w:r w:rsidRPr="00282096">
        <w:rPr>
          <w:rFonts w:ascii="Arial" w:eastAsia="Aptos" w:hAnsi="Arial" w:cs="Arial"/>
        </w:rPr>
        <w:t>People living with dementia experience progressive cognitive decline that affects memory, communication, and decision</w:t>
      </w:r>
      <w:r w:rsidRPr="00282096">
        <w:rPr>
          <w:rFonts w:ascii="Cambria Math" w:eastAsia="Aptos" w:hAnsi="Cambria Math" w:cs="Cambria Math"/>
        </w:rPr>
        <w:t>‑</w:t>
      </w:r>
      <w:r w:rsidRPr="00282096">
        <w:rPr>
          <w:rFonts w:ascii="Arial" w:eastAsia="Aptos" w:hAnsi="Arial" w:cs="Arial"/>
        </w:rPr>
        <w:t>making. This often leads to loss of independence, reduced confidence, and emotional distress. Behavioural symptoms such as agitation, hallucinations, or sleep disturbances can further reduce quality of life. Physical health also deteriorates, with increased risk of falls, infections, and malnutrition.</w:t>
      </w:r>
    </w:p>
    <w:p w14:paraId="4D7EFD63" w14:textId="460CD1CD" w:rsidR="265CC859" w:rsidRDefault="265CC859" w:rsidP="000D0366">
      <w:pPr>
        <w:pStyle w:val="Heading3"/>
        <w:spacing w:before="281" w:after="281" w:line="360" w:lineRule="auto"/>
        <w:jc w:val="both"/>
      </w:pPr>
      <w:r w:rsidRPr="499FC188">
        <w:rPr>
          <w:rFonts w:ascii="Aptos" w:eastAsia="Aptos" w:hAnsi="Aptos" w:cs="Aptos"/>
          <w:b/>
          <w:bCs/>
        </w:rPr>
        <w:t>Impact on Families and Carers</w:t>
      </w:r>
    </w:p>
    <w:p w14:paraId="6FDC554D" w14:textId="42259639"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 xml:space="preserve">Family members often take on significant caregiving responsibilities. Carers may experience emotional strain, financial pressure, and social isolation. In the UK, unpaid carers of people with dementia provide care worth an estimated </w:t>
      </w:r>
      <w:r w:rsidRPr="00043A59">
        <w:rPr>
          <w:rFonts w:ascii="Arial" w:eastAsia="Aptos" w:hAnsi="Arial" w:cs="Arial"/>
          <w:b/>
          <w:bCs/>
        </w:rPr>
        <w:t>£13.9 billion per year</w:t>
      </w:r>
      <w:r w:rsidRPr="00043A59">
        <w:rPr>
          <w:rFonts w:ascii="Arial" w:eastAsia="Aptos" w:hAnsi="Arial" w:cs="Arial"/>
        </w:rPr>
        <w:t xml:space="preserve"> (Alzheimer’s Society, 2024). Carer burnout is common, highlighting the need for accessible respite services and psychological support.</w:t>
      </w:r>
    </w:p>
    <w:p w14:paraId="497C1E8E" w14:textId="5E472768" w:rsidR="265CC859" w:rsidRDefault="265CC859" w:rsidP="000D0366">
      <w:pPr>
        <w:pStyle w:val="Heading3"/>
        <w:spacing w:before="281" w:after="281" w:line="360" w:lineRule="auto"/>
        <w:jc w:val="both"/>
      </w:pPr>
      <w:r w:rsidRPr="499FC188">
        <w:rPr>
          <w:rFonts w:ascii="Aptos" w:eastAsia="Aptos" w:hAnsi="Aptos" w:cs="Aptos"/>
          <w:b/>
          <w:bCs/>
        </w:rPr>
        <w:t>Impact on Communities and Society</w:t>
      </w:r>
    </w:p>
    <w:p w14:paraId="70758597" w14:textId="710B40DA"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 xml:space="preserve">Dementia places substantial pressure on health and social care systems. In the UK, the total annual cost of dementia is estimated at </w:t>
      </w:r>
      <w:r w:rsidRPr="00043A59">
        <w:rPr>
          <w:rFonts w:ascii="Arial" w:eastAsia="Aptos" w:hAnsi="Arial" w:cs="Arial"/>
          <w:b/>
          <w:bCs/>
        </w:rPr>
        <w:t>£34.7 billion</w:t>
      </w:r>
      <w:r w:rsidRPr="00043A59">
        <w:rPr>
          <w:rFonts w:ascii="Arial" w:eastAsia="Aptos" w:hAnsi="Arial" w:cs="Arial"/>
        </w:rPr>
        <w:t>, including healthcare, social care, and informal care costs (Wittenberg et al., 2019). As the population ages, demand for dementia services is expected to rise significantly.</w:t>
      </w:r>
      <w:r w:rsidR="0063594E" w:rsidRPr="00043A59">
        <w:rPr>
          <w:rFonts w:ascii="Arial" w:hAnsi="Arial" w:cs="Arial"/>
          <w:noProof/>
        </w:rPr>
        <w:t xml:space="preserve"> </w:t>
      </w:r>
    </w:p>
    <w:p w14:paraId="00043424" w14:textId="57C3DA8A" w:rsidR="265CC859" w:rsidRPr="00043A59" w:rsidRDefault="00043A59" w:rsidP="000D0366">
      <w:pPr>
        <w:spacing w:before="240" w:after="240" w:line="360" w:lineRule="auto"/>
        <w:jc w:val="both"/>
        <w:rPr>
          <w:rFonts w:ascii="Arial" w:hAnsi="Arial" w:cs="Arial"/>
        </w:rPr>
      </w:pPr>
      <w:r w:rsidRPr="00043A59">
        <w:rPr>
          <w:rFonts w:ascii="Arial" w:hAnsi="Arial" w:cs="Arial"/>
          <w:noProof/>
        </w:rPr>
        <w:drawing>
          <wp:anchor distT="0" distB="0" distL="114300" distR="114300" simplePos="0" relativeHeight="251669504" behindDoc="1" locked="0" layoutInCell="1" allowOverlap="1" wp14:anchorId="2B9A9373" wp14:editId="2F23789E">
            <wp:simplePos x="0" y="0"/>
            <wp:positionH relativeFrom="page">
              <wp:posOffset>-259080</wp:posOffset>
            </wp:positionH>
            <wp:positionV relativeFrom="paragraph">
              <wp:posOffset>1153795</wp:posOffset>
            </wp:positionV>
            <wp:extent cx="9144000" cy="838200"/>
            <wp:effectExtent l="0" t="0" r="0" b="0"/>
            <wp:wrapNone/>
            <wp:docPr id="1856631478"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r w:rsidR="265CC859" w:rsidRPr="00043A59">
        <w:rPr>
          <w:rFonts w:ascii="Arial" w:eastAsia="Aptos" w:hAnsi="Arial" w:cs="Arial"/>
        </w:rPr>
        <w:t>Communities may also face challenges related to stigma and misunderstanding of the condition. Public awareness campaigns, dementia</w:t>
      </w:r>
      <w:r w:rsidR="265CC859" w:rsidRPr="00043A59">
        <w:rPr>
          <w:rFonts w:ascii="Cambria Math" w:eastAsia="Aptos" w:hAnsi="Cambria Math" w:cs="Cambria Math"/>
        </w:rPr>
        <w:t>‑</w:t>
      </w:r>
      <w:r w:rsidR="265CC859" w:rsidRPr="00043A59">
        <w:rPr>
          <w:rFonts w:ascii="Arial" w:eastAsia="Aptos" w:hAnsi="Arial" w:cs="Arial"/>
        </w:rPr>
        <w:t>friendly communities, and training for frontline workers help reduce stigma and promote inclusion.</w:t>
      </w:r>
    </w:p>
    <w:p w14:paraId="3E38F64E" w14:textId="08B41587" w:rsidR="265CC859" w:rsidRDefault="265CC859" w:rsidP="000D0366">
      <w:pPr>
        <w:pStyle w:val="Heading2"/>
        <w:spacing w:before="299" w:after="299" w:line="360" w:lineRule="auto"/>
        <w:jc w:val="both"/>
      </w:pPr>
      <w:r w:rsidRPr="499FC188">
        <w:rPr>
          <w:rFonts w:ascii="Aptos" w:eastAsia="Aptos" w:hAnsi="Aptos" w:cs="Aptos"/>
          <w:b/>
          <w:bCs/>
          <w:sz w:val="36"/>
          <w:szCs w:val="36"/>
        </w:rPr>
        <w:lastRenderedPageBreak/>
        <w:t>Health and Social Care Support Services Required</w:t>
      </w:r>
    </w:p>
    <w:p w14:paraId="022247CE" w14:textId="0BE072E8"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Meeting the needs of individuals with dementia requires a coordinated, multidisciplinary approach. Key services include:</w:t>
      </w:r>
    </w:p>
    <w:p w14:paraId="5807E8CE" w14:textId="107970A0" w:rsidR="265CC859" w:rsidRDefault="265CC859" w:rsidP="000D0366">
      <w:pPr>
        <w:pStyle w:val="Heading3"/>
        <w:spacing w:before="281" w:after="281" w:line="360" w:lineRule="auto"/>
        <w:jc w:val="both"/>
      </w:pPr>
      <w:r w:rsidRPr="499FC188">
        <w:rPr>
          <w:rFonts w:ascii="Aptos" w:eastAsia="Aptos" w:hAnsi="Aptos" w:cs="Aptos"/>
          <w:b/>
          <w:bCs/>
        </w:rPr>
        <w:t>1. Primary Care and Early Diagnosis</w:t>
      </w:r>
    </w:p>
    <w:p w14:paraId="1763A420" w14:textId="03CC611C"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GPs play a central role in recognising early symptoms, conducting initial assessments, and referring patients to memory clinics. Early diagnosis enables timely access to treatment, support services, and future planning.</w:t>
      </w:r>
    </w:p>
    <w:p w14:paraId="57661864" w14:textId="14AC8EEA" w:rsidR="265CC859" w:rsidRDefault="265CC859" w:rsidP="000D0366">
      <w:pPr>
        <w:pStyle w:val="Heading3"/>
        <w:spacing w:before="281" w:after="281" w:line="360" w:lineRule="auto"/>
        <w:jc w:val="both"/>
      </w:pPr>
      <w:r w:rsidRPr="499FC188">
        <w:rPr>
          <w:rFonts w:ascii="Aptos" w:eastAsia="Aptos" w:hAnsi="Aptos" w:cs="Aptos"/>
          <w:b/>
          <w:bCs/>
        </w:rPr>
        <w:t>2. Memory Assessment Services</w:t>
      </w:r>
    </w:p>
    <w:p w14:paraId="479B9F88" w14:textId="749BB7CF"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Specialist memory clinics provide comprehensive diagnostic assessments, including cognitive testing and neuroimaging. They also offer post</w:t>
      </w:r>
      <w:r w:rsidRPr="00043A59">
        <w:rPr>
          <w:rFonts w:ascii="Cambria Math" w:eastAsia="Aptos" w:hAnsi="Cambria Math" w:cs="Cambria Math"/>
        </w:rPr>
        <w:t>‑</w:t>
      </w:r>
      <w:r w:rsidRPr="00043A59">
        <w:rPr>
          <w:rFonts w:ascii="Arial" w:eastAsia="Aptos" w:hAnsi="Arial" w:cs="Arial"/>
        </w:rPr>
        <w:t>diagnostic support, medication management, and referrals to community services.</w:t>
      </w:r>
    </w:p>
    <w:p w14:paraId="5521D8AF" w14:textId="3E684DE5" w:rsidR="265CC859" w:rsidRDefault="265CC859" w:rsidP="000D0366">
      <w:pPr>
        <w:pStyle w:val="Heading3"/>
        <w:spacing w:before="281" w:after="281" w:line="360" w:lineRule="auto"/>
        <w:jc w:val="both"/>
      </w:pPr>
      <w:r w:rsidRPr="499FC188">
        <w:rPr>
          <w:rFonts w:ascii="Aptos" w:eastAsia="Aptos" w:hAnsi="Aptos" w:cs="Aptos"/>
          <w:b/>
          <w:bCs/>
        </w:rPr>
        <w:t>3. Community Health Services</w:t>
      </w:r>
    </w:p>
    <w:p w14:paraId="4A8AAB59" w14:textId="788464D9"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Community psychiatric nurses, occupational therapists, physiotherapists, and speech and language therapists support individuals in maintaining independence and managing symptoms. Occupational therapists, for example, help adapt the home environment to reduce risks and promote autonomy.</w:t>
      </w:r>
    </w:p>
    <w:p w14:paraId="22B2E497" w14:textId="75D69E0F" w:rsidR="265CC859" w:rsidRDefault="265CC859" w:rsidP="000D0366">
      <w:pPr>
        <w:pStyle w:val="Heading3"/>
        <w:spacing w:before="281" w:after="281" w:line="360" w:lineRule="auto"/>
        <w:jc w:val="both"/>
      </w:pPr>
      <w:r w:rsidRPr="499FC188">
        <w:rPr>
          <w:rFonts w:ascii="Aptos" w:eastAsia="Aptos" w:hAnsi="Aptos" w:cs="Aptos"/>
          <w:b/>
          <w:bCs/>
        </w:rPr>
        <w:t>4. Social Care Services</w:t>
      </w:r>
    </w:p>
    <w:p w14:paraId="01CB8DD4" w14:textId="21394325" w:rsidR="265CC859" w:rsidRDefault="265CC859" w:rsidP="000D0366">
      <w:pPr>
        <w:spacing w:before="240" w:after="240" w:line="360" w:lineRule="auto"/>
        <w:jc w:val="both"/>
        <w:rPr>
          <w:rFonts w:ascii="Arial" w:hAnsi="Arial" w:cs="Arial"/>
          <w:noProof/>
        </w:rPr>
      </w:pPr>
      <w:r w:rsidRPr="00043A59">
        <w:rPr>
          <w:rFonts w:ascii="Arial" w:eastAsia="Aptos" w:hAnsi="Arial" w:cs="Arial"/>
        </w:rPr>
        <w:t>Local authorities provide care assessments, home</w:t>
      </w:r>
      <w:r w:rsidRPr="00043A59">
        <w:rPr>
          <w:rFonts w:ascii="Cambria Math" w:eastAsia="Aptos" w:hAnsi="Cambria Math" w:cs="Cambria Math"/>
        </w:rPr>
        <w:t>‑</w:t>
      </w:r>
      <w:r w:rsidRPr="00043A59">
        <w:rPr>
          <w:rFonts w:ascii="Arial" w:eastAsia="Aptos" w:hAnsi="Arial" w:cs="Arial"/>
        </w:rPr>
        <w:t>care packages, and financial support. Social workers coordinate care plans, safeguarding, and access to benefits such as Attendance Allowance or Carer’s Allowance.</w:t>
      </w:r>
      <w:r w:rsidR="00D44039" w:rsidRPr="00043A59">
        <w:rPr>
          <w:rFonts w:ascii="Arial" w:hAnsi="Arial" w:cs="Arial"/>
          <w:noProof/>
        </w:rPr>
        <w:t xml:space="preserve"> </w:t>
      </w:r>
    </w:p>
    <w:p w14:paraId="519FD631" w14:textId="77777777" w:rsidR="00B677B5" w:rsidRDefault="00B677B5" w:rsidP="000D0366">
      <w:pPr>
        <w:spacing w:before="240" w:after="240" w:line="360" w:lineRule="auto"/>
        <w:jc w:val="both"/>
        <w:rPr>
          <w:rFonts w:ascii="Arial" w:hAnsi="Arial" w:cs="Arial"/>
          <w:noProof/>
        </w:rPr>
      </w:pPr>
    </w:p>
    <w:p w14:paraId="33ED64DA" w14:textId="3F5A3D63" w:rsidR="00B677B5" w:rsidRPr="00043A59" w:rsidRDefault="00B677B5" w:rsidP="000D0366">
      <w:pPr>
        <w:spacing w:before="240" w:after="240" w:line="360" w:lineRule="auto"/>
        <w:jc w:val="both"/>
        <w:rPr>
          <w:rFonts w:ascii="Arial" w:hAnsi="Arial" w:cs="Arial"/>
        </w:rPr>
      </w:pPr>
      <w:r w:rsidRPr="00043A59">
        <w:rPr>
          <w:rFonts w:ascii="Arial" w:hAnsi="Arial" w:cs="Arial"/>
          <w:noProof/>
        </w:rPr>
        <w:drawing>
          <wp:anchor distT="0" distB="0" distL="114300" distR="114300" simplePos="0" relativeHeight="251667456" behindDoc="1" locked="0" layoutInCell="1" allowOverlap="1" wp14:anchorId="3214CEDA" wp14:editId="0860A8F6">
            <wp:simplePos x="0" y="0"/>
            <wp:positionH relativeFrom="page">
              <wp:posOffset>-251460</wp:posOffset>
            </wp:positionH>
            <wp:positionV relativeFrom="paragraph">
              <wp:posOffset>1268730</wp:posOffset>
            </wp:positionV>
            <wp:extent cx="9144000" cy="838200"/>
            <wp:effectExtent l="0" t="0" r="0" b="0"/>
            <wp:wrapNone/>
            <wp:docPr id="1605746665"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p>
    <w:p w14:paraId="046386B5" w14:textId="77777777" w:rsidR="00B677B5" w:rsidRDefault="00B677B5" w:rsidP="000D0366">
      <w:pPr>
        <w:pStyle w:val="Heading3"/>
        <w:spacing w:before="281" w:after="281" w:line="360" w:lineRule="auto"/>
        <w:jc w:val="both"/>
        <w:rPr>
          <w:rFonts w:ascii="Aptos" w:eastAsia="Aptos" w:hAnsi="Aptos" w:cs="Aptos"/>
          <w:b/>
          <w:bCs/>
        </w:rPr>
      </w:pPr>
    </w:p>
    <w:p w14:paraId="541E01C7" w14:textId="6AF2EC63" w:rsidR="265CC859" w:rsidRDefault="265CC859" w:rsidP="000D0366">
      <w:pPr>
        <w:pStyle w:val="Heading3"/>
        <w:spacing w:before="281" w:after="281" w:line="360" w:lineRule="auto"/>
        <w:jc w:val="both"/>
      </w:pPr>
      <w:r w:rsidRPr="499FC188">
        <w:rPr>
          <w:rFonts w:ascii="Aptos" w:eastAsia="Aptos" w:hAnsi="Aptos" w:cs="Aptos"/>
          <w:b/>
          <w:bCs/>
        </w:rPr>
        <w:t>5. Voluntary and Charitable Organisations</w:t>
      </w:r>
    </w:p>
    <w:p w14:paraId="39B11FAA" w14:textId="47D13139" w:rsidR="265CC859" w:rsidRDefault="265CC859" w:rsidP="000D0366">
      <w:pPr>
        <w:spacing w:before="240" w:after="240" w:line="360" w:lineRule="auto"/>
        <w:jc w:val="both"/>
        <w:rPr>
          <w:rFonts w:ascii="Arial" w:eastAsia="Aptos" w:hAnsi="Arial" w:cs="Arial"/>
        </w:rPr>
      </w:pPr>
      <w:r w:rsidRPr="00043A59">
        <w:rPr>
          <w:rFonts w:ascii="Arial" w:eastAsia="Aptos" w:hAnsi="Arial" w:cs="Arial"/>
        </w:rPr>
        <w:t xml:space="preserve">Organisations such as </w:t>
      </w:r>
      <w:r w:rsidRPr="00043A59">
        <w:rPr>
          <w:rFonts w:ascii="Arial" w:eastAsia="Aptos" w:hAnsi="Arial" w:cs="Arial"/>
          <w:b/>
          <w:bCs/>
        </w:rPr>
        <w:t>Alzheimer’s Society</w:t>
      </w:r>
      <w:r w:rsidRPr="00043A59">
        <w:rPr>
          <w:rFonts w:ascii="Arial" w:eastAsia="Aptos" w:hAnsi="Arial" w:cs="Arial"/>
        </w:rPr>
        <w:t xml:space="preserve">, </w:t>
      </w:r>
      <w:r w:rsidRPr="00043A59">
        <w:rPr>
          <w:rFonts w:ascii="Arial" w:eastAsia="Aptos" w:hAnsi="Arial" w:cs="Arial"/>
          <w:b/>
          <w:bCs/>
        </w:rPr>
        <w:t>Age UK</w:t>
      </w:r>
      <w:r w:rsidRPr="00043A59">
        <w:rPr>
          <w:rFonts w:ascii="Arial" w:eastAsia="Aptos" w:hAnsi="Arial" w:cs="Arial"/>
        </w:rPr>
        <w:t xml:space="preserve">, and </w:t>
      </w:r>
      <w:r w:rsidRPr="00043A59">
        <w:rPr>
          <w:rFonts w:ascii="Arial" w:eastAsia="Aptos" w:hAnsi="Arial" w:cs="Arial"/>
          <w:b/>
          <w:bCs/>
        </w:rPr>
        <w:t>Dementia UK</w:t>
      </w:r>
      <w:r w:rsidRPr="00043A59">
        <w:rPr>
          <w:rFonts w:ascii="Arial" w:eastAsia="Aptos" w:hAnsi="Arial" w:cs="Arial"/>
        </w:rPr>
        <w:t xml:space="preserve"> offer helplines, support groups, dementia advisers, and educational resources. Admiral Nurses provide specialist support for families dealing with complex dementia care needs.</w:t>
      </w:r>
    </w:p>
    <w:p w14:paraId="1D8E5C11" w14:textId="77777777" w:rsidR="00B677B5" w:rsidRPr="00043A59" w:rsidRDefault="00B677B5" w:rsidP="000D0366">
      <w:pPr>
        <w:spacing w:before="240" w:after="240" w:line="360" w:lineRule="auto"/>
        <w:jc w:val="both"/>
        <w:rPr>
          <w:rFonts w:ascii="Arial" w:hAnsi="Arial" w:cs="Arial"/>
        </w:rPr>
      </w:pPr>
    </w:p>
    <w:p w14:paraId="05A7EED9" w14:textId="6A3B3F7C" w:rsidR="265CC859" w:rsidRDefault="265CC859" w:rsidP="000D0366">
      <w:pPr>
        <w:pStyle w:val="Heading3"/>
        <w:spacing w:before="281" w:after="281" w:line="360" w:lineRule="auto"/>
        <w:jc w:val="both"/>
      </w:pPr>
      <w:r w:rsidRPr="499FC188">
        <w:rPr>
          <w:rFonts w:ascii="Aptos" w:eastAsia="Aptos" w:hAnsi="Aptos" w:cs="Aptos"/>
          <w:b/>
          <w:bCs/>
        </w:rPr>
        <w:t>6. Carer Support Services</w:t>
      </w:r>
    </w:p>
    <w:p w14:paraId="1C449042" w14:textId="5BA5F7B0" w:rsidR="265CC859" w:rsidRDefault="265CC859" w:rsidP="000D0366">
      <w:pPr>
        <w:spacing w:before="240" w:after="240" w:line="360" w:lineRule="auto"/>
        <w:jc w:val="both"/>
        <w:rPr>
          <w:rFonts w:ascii="Arial" w:eastAsia="Aptos" w:hAnsi="Arial" w:cs="Arial"/>
        </w:rPr>
      </w:pPr>
      <w:r w:rsidRPr="00043A59">
        <w:rPr>
          <w:rFonts w:ascii="Arial" w:eastAsia="Aptos" w:hAnsi="Arial" w:cs="Arial"/>
        </w:rPr>
        <w:t>Carers require emotional, practical, and financial support. Services include respite care, counselling, training programmes, and peer support groups.</w:t>
      </w:r>
    </w:p>
    <w:p w14:paraId="47F1861B" w14:textId="77777777" w:rsidR="00B677B5" w:rsidRPr="00043A59" w:rsidRDefault="00B677B5" w:rsidP="000D0366">
      <w:pPr>
        <w:spacing w:before="240" w:after="240" w:line="360" w:lineRule="auto"/>
        <w:jc w:val="both"/>
        <w:rPr>
          <w:rFonts w:ascii="Arial" w:hAnsi="Arial" w:cs="Arial"/>
        </w:rPr>
      </w:pPr>
    </w:p>
    <w:p w14:paraId="45C07EB8" w14:textId="70E79C38" w:rsidR="265CC859" w:rsidRDefault="265CC859" w:rsidP="000D0366">
      <w:pPr>
        <w:pStyle w:val="Heading3"/>
        <w:spacing w:before="281" w:after="281" w:line="360" w:lineRule="auto"/>
        <w:jc w:val="both"/>
      </w:pPr>
      <w:r w:rsidRPr="499FC188">
        <w:rPr>
          <w:rFonts w:ascii="Aptos" w:eastAsia="Aptos" w:hAnsi="Aptos" w:cs="Aptos"/>
          <w:b/>
          <w:bCs/>
        </w:rPr>
        <w:t>7. Residential and Nursing Care</w:t>
      </w:r>
    </w:p>
    <w:p w14:paraId="3E03A5C8" w14:textId="2810FC8E" w:rsidR="265CC859" w:rsidRDefault="265CC859" w:rsidP="000D0366">
      <w:pPr>
        <w:spacing w:before="240" w:after="240" w:line="360" w:lineRule="auto"/>
        <w:jc w:val="both"/>
        <w:rPr>
          <w:rFonts w:ascii="Arial" w:eastAsia="Aptos" w:hAnsi="Arial" w:cs="Arial"/>
        </w:rPr>
      </w:pPr>
      <w:r w:rsidRPr="00043A59">
        <w:rPr>
          <w:rFonts w:ascii="Arial" w:eastAsia="Aptos" w:hAnsi="Arial" w:cs="Arial"/>
        </w:rPr>
        <w:t>For individuals with advanced dementia, specialist care homes provide round</w:t>
      </w:r>
      <w:r w:rsidRPr="00043A59">
        <w:rPr>
          <w:rFonts w:ascii="Cambria Math" w:eastAsia="Aptos" w:hAnsi="Cambria Math" w:cs="Cambria Math"/>
        </w:rPr>
        <w:t>‑</w:t>
      </w:r>
      <w:r w:rsidRPr="00043A59">
        <w:rPr>
          <w:rFonts w:ascii="Arial" w:eastAsia="Aptos" w:hAnsi="Arial" w:cs="Arial"/>
        </w:rPr>
        <w:t>the</w:t>
      </w:r>
      <w:r w:rsidRPr="00043A59">
        <w:rPr>
          <w:rFonts w:ascii="Cambria Math" w:eastAsia="Aptos" w:hAnsi="Cambria Math" w:cs="Cambria Math"/>
        </w:rPr>
        <w:t>‑</w:t>
      </w:r>
      <w:r w:rsidRPr="00043A59">
        <w:rPr>
          <w:rFonts w:ascii="Arial" w:eastAsia="Aptos" w:hAnsi="Arial" w:cs="Arial"/>
        </w:rPr>
        <w:t>clock supervision, medical care, and tailored dementia</w:t>
      </w:r>
      <w:r w:rsidRPr="00043A59">
        <w:rPr>
          <w:rFonts w:ascii="Cambria Math" w:eastAsia="Aptos" w:hAnsi="Cambria Math" w:cs="Cambria Math"/>
        </w:rPr>
        <w:t>‑</w:t>
      </w:r>
      <w:r w:rsidRPr="00043A59">
        <w:rPr>
          <w:rFonts w:ascii="Arial" w:eastAsia="Aptos" w:hAnsi="Arial" w:cs="Arial"/>
        </w:rPr>
        <w:t>friendly environments.</w:t>
      </w:r>
    </w:p>
    <w:p w14:paraId="38CB997F" w14:textId="77777777" w:rsidR="00B677B5" w:rsidRPr="00043A59" w:rsidRDefault="00B677B5" w:rsidP="000D0366">
      <w:pPr>
        <w:spacing w:before="240" w:after="240" w:line="360" w:lineRule="auto"/>
        <w:jc w:val="both"/>
        <w:rPr>
          <w:rFonts w:ascii="Arial" w:hAnsi="Arial" w:cs="Arial"/>
        </w:rPr>
      </w:pPr>
    </w:p>
    <w:p w14:paraId="37B3AE7A" w14:textId="35500F3B" w:rsidR="265CC859" w:rsidRDefault="265CC859" w:rsidP="000D0366">
      <w:pPr>
        <w:pStyle w:val="Heading3"/>
        <w:spacing w:before="281" w:after="281" w:line="360" w:lineRule="auto"/>
        <w:jc w:val="both"/>
      </w:pPr>
      <w:r w:rsidRPr="499FC188">
        <w:rPr>
          <w:rFonts w:ascii="Aptos" w:eastAsia="Aptos" w:hAnsi="Aptos" w:cs="Aptos"/>
          <w:b/>
          <w:bCs/>
        </w:rPr>
        <w:t>8. End‑of‑Life Care</w:t>
      </w:r>
    </w:p>
    <w:p w14:paraId="5E290028" w14:textId="7A990008" w:rsidR="265CC859" w:rsidRDefault="265CC859" w:rsidP="000D0366">
      <w:pPr>
        <w:spacing w:before="240" w:after="240" w:line="360" w:lineRule="auto"/>
        <w:jc w:val="both"/>
        <w:rPr>
          <w:rFonts w:ascii="Arial" w:eastAsia="Aptos" w:hAnsi="Arial" w:cs="Arial"/>
        </w:rPr>
      </w:pPr>
      <w:r w:rsidRPr="00043A59">
        <w:rPr>
          <w:rFonts w:ascii="Arial" w:eastAsia="Aptos" w:hAnsi="Arial" w:cs="Arial"/>
        </w:rPr>
        <w:t>Palliative care teams ensure comfort, dignity, and symptom control during the final stages of the illness. Advance care planning is encouraged to respect the individual’s wishes.</w:t>
      </w:r>
    </w:p>
    <w:p w14:paraId="3CA48D08" w14:textId="0D5E77D1" w:rsidR="00B677B5" w:rsidRPr="00043A59" w:rsidRDefault="00B677B5" w:rsidP="000D0366">
      <w:pPr>
        <w:spacing w:before="240" w:after="240" w:line="360" w:lineRule="auto"/>
        <w:jc w:val="both"/>
        <w:rPr>
          <w:rFonts w:ascii="Arial" w:hAnsi="Arial" w:cs="Arial"/>
        </w:rPr>
      </w:pPr>
      <w:r w:rsidRPr="00043A59">
        <w:rPr>
          <w:rFonts w:ascii="Arial" w:hAnsi="Arial" w:cs="Arial"/>
          <w:noProof/>
        </w:rPr>
        <w:drawing>
          <wp:anchor distT="0" distB="0" distL="114300" distR="114300" simplePos="0" relativeHeight="251679744" behindDoc="1" locked="0" layoutInCell="1" allowOverlap="1" wp14:anchorId="5412E45E" wp14:editId="0D650C2C">
            <wp:simplePos x="0" y="0"/>
            <wp:positionH relativeFrom="page">
              <wp:posOffset>-281940</wp:posOffset>
            </wp:positionH>
            <wp:positionV relativeFrom="paragraph">
              <wp:posOffset>1490980</wp:posOffset>
            </wp:positionV>
            <wp:extent cx="9144000" cy="838200"/>
            <wp:effectExtent l="0" t="0" r="0" b="0"/>
            <wp:wrapNone/>
            <wp:docPr id="2040601811"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p>
    <w:p w14:paraId="493C68DC" w14:textId="271C8D1E" w:rsidR="265CC859" w:rsidRDefault="265CC859" w:rsidP="00721482">
      <w:pPr>
        <w:pStyle w:val="Heading1"/>
        <w:spacing w:before="322" w:after="322" w:line="240" w:lineRule="auto"/>
        <w:jc w:val="both"/>
      </w:pPr>
      <w:r w:rsidRPr="499FC188">
        <w:rPr>
          <w:rFonts w:ascii="Aptos" w:eastAsia="Aptos" w:hAnsi="Aptos" w:cs="Aptos"/>
          <w:b/>
          <w:bCs/>
          <w:sz w:val="48"/>
          <w:szCs w:val="48"/>
        </w:rPr>
        <w:lastRenderedPageBreak/>
        <w:t xml:space="preserve">Conclusion </w:t>
      </w:r>
    </w:p>
    <w:p w14:paraId="593B731E" w14:textId="7D83A010"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Dementia is a complex and progressive condition that poses significant challenges for individuals, families, and society. With rising incidence both globally and in the UK, effective monitoring, early diagnosis, and comprehensive support systems are essential. The condition requires a multifaceted approach involving clinical assessment, public health surveillance, and coordinated health and social care services. Although dementia cannot be cured, risk</w:t>
      </w:r>
      <w:r w:rsidRPr="00043A59">
        <w:rPr>
          <w:rFonts w:ascii="Cambria Math" w:eastAsia="Aptos" w:hAnsi="Cambria Math" w:cs="Cambria Math"/>
        </w:rPr>
        <w:t>‑</w:t>
      </w:r>
      <w:r w:rsidRPr="00043A59">
        <w:rPr>
          <w:rFonts w:ascii="Arial" w:eastAsia="Aptos" w:hAnsi="Arial" w:cs="Arial"/>
        </w:rPr>
        <w:t>reduction strategies, medical management, and person</w:t>
      </w:r>
      <w:r w:rsidRPr="00043A59">
        <w:rPr>
          <w:rFonts w:ascii="Cambria Math" w:eastAsia="Aptos" w:hAnsi="Cambria Math" w:cs="Cambria Math"/>
        </w:rPr>
        <w:t>‑</w:t>
      </w:r>
      <w:r w:rsidRPr="00043A59">
        <w:rPr>
          <w:rFonts w:ascii="Arial" w:eastAsia="Aptos" w:hAnsi="Arial" w:cs="Arial"/>
        </w:rPr>
        <w:t>centred care can slow progression and improve quality of life. The consequences of dementia extend beyond cognitive decline, affecting emotional wellbeing, family dynamics, and community resources. Addressing these challenges requires investment in services, carer support, and dementia</w:t>
      </w:r>
      <w:r w:rsidRPr="00043A59">
        <w:rPr>
          <w:rFonts w:ascii="Cambria Math" w:eastAsia="Aptos" w:hAnsi="Cambria Math" w:cs="Cambria Math"/>
        </w:rPr>
        <w:t>‑</w:t>
      </w:r>
      <w:r w:rsidRPr="00043A59">
        <w:rPr>
          <w:rFonts w:ascii="Arial" w:eastAsia="Aptos" w:hAnsi="Arial" w:cs="Arial"/>
        </w:rPr>
        <w:t>friendly initiatives. Ultimately, improving outcomes for people with dementia depends on collaboration between healthcare professionals, policymakers, voluntary organisations, and communities. By understanding the condition and implementing evidence</w:t>
      </w:r>
      <w:r w:rsidRPr="00043A59">
        <w:rPr>
          <w:rFonts w:ascii="Cambria Math" w:eastAsia="Aptos" w:hAnsi="Cambria Math" w:cs="Cambria Math"/>
        </w:rPr>
        <w:t>‑</w:t>
      </w:r>
      <w:r w:rsidRPr="00043A59">
        <w:rPr>
          <w:rFonts w:ascii="Arial" w:eastAsia="Aptos" w:hAnsi="Arial" w:cs="Arial"/>
        </w:rPr>
        <w:t>based strategies, society can better support those affected and reduce the long</w:t>
      </w:r>
      <w:r w:rsidRPr="00043A59">
        <w:rPr>
          <w:rFonts w:ascii="Cambria Math" w:eastAsia="Aptos" w:hAnsi="Cambria Math" w:cs="Cambria Math"/>
        </w:rPr>
        <w:t>‑</w:t>
      </w:r>
      <w:r w:rsidRPr="00043A59">
        <w:rPr>
          <w:rFonts w:ascii="Arial" w:eastAsia="Aptos" w:hAnsi="Arial" w:cs="Arial"/>
        </w:rPr>
        <w:t>term impact of this growing public health issue.</w:t>
      </w:r>
    </w:p>
    <w:p w14:paraId="1FE0CB5E" w14:textId="3CAE3255" w:rsidR="265CC859" w:rsidRDefault="265CC859" w:rsidP="000D0366">
      <w:pPr>
        <w:pStyle w:val="Heading1"/>
        <w:spacing w:before="322" w:after="322" w:line="360" w:lineRule="auto"/>
        <w:jc w:val="both"/>
      </w:pPr>
      <w:r w:rsidRPr="499FC188">
        <w:rPr>
          <w:rFonts w:ascii="Aptos" w:eastAsia="Aptos" w:hAnsi="Aptos" w:cs="Aptos"/>
          <w:b/>
          <w:bCs/>
          <w:sz w:val="48"/>
          <w:szCs w:val="48"/>
        </w:rPr>
        <w:t>References (Harvard Style)</w:t>
      </w:r>
    </w:p>
    <w:p w14:paraId="6D9D074C" w14:textId="68B300E1" w:rsidR="265CC859" w:rsidRPr="00043A59" w:rsidRDefault="265CC859" w:rsidP="000D0366">
      <w:pPr>
        <w:spacing w:before="240" w:after="240" w:line="360" w:lineRule="auto"/>
        <w:jc w:val="both"/>
        <w:rPr>
          <w:rFonts w:ascii="Arial" w:hAnsi="Arial" w:cs="Arial"/>
        </w:rPr>
      </w:pPr>
      <w:r w:rsidRPr="00043A59">
        <w:rPr>
          <w:rFonts w:ascii="Arial" w:eastAsia="Aptos" w:hAnsi="Arial" w:cs="Arial"/>
        </w:rPr>
        <w:t xml:space="preserve">Alzheimer’s Society (2024) </w:t>
      </w:r>
      <w:r w:rsidRPr="00043A59">
        <w:rPr>
          <w:rFonts w:ascii="Arial" w:eastAsia="Aptos" w:hAnsi="Arial" w:cs="Arial"/>
          <w:i/>
          <w:iCs/>
        </w:rPr>
        <w:t>Dementia UK Report</w:t>
      </w:r>
      <w:r w:rsidRPr="00043A59">
        <w:rPr>
          <w:rFonts w:ascii="Arial" w:eastAsia="Aptos" w:hAnsi="Arial" w:cs="Arial"/>
        </w:rPr>
        <w:t xml:space="preserve">. London: Alzheimer’s Society. Livingston, G. et al. (2020) ‘Dementia prevention, intervention, and care’, </w:t>
      </w:r>
      <w:r w:rsidRPr="00043A59">
        <w:rPr>
          <w:rFonts w:ascii="Arial" w:eastAsia="Aptos" w:hAnsi="Arial" w:cs="Arial"/>
          <w:i/>
          <w:iCs/>
        </w:rPr>
        <w:t>The Lancet</w:t>
      </w:r>
      <w:r w:rsidRPr="00043A59">
        <w:rPr>
          <w:rFonts w:ascii="Arial" w:eastAsia="Aptos" w:hAnsi="Arial" w:cs="Arial"/>
        </w:rPr>
        <w:t xml:space="preserve">, 396(10248), pp. 413–446. NICE (2022) </w:t>
      </w:r>
      <w:r w:rsidRPr="00043A59">
        <w:rPr>
          <w:rFonts w:ascii="Arial" w:eastAsia="Aptos" w:hAnsi="Arial" w:cs="Arial"/>
          <w:i/>
          <w:iCs/>
        </w:rPr>
        <w:t>Dementia: Assessment, Management and Support for People Living with Dementia and Their Carers</w:t>
      </w:r>
      <w:r w:rsidRPr="00043A59">
        <w:rPr>
          <w:rFonts w:ascii="Arial" w:eastAsia="Aptos" w:hAnsi="Arial" w:cs="Arial"/>
        </w:rPr>
        <w:t xml:space="preserve">. London: National Institute for Health and Care Excellence. WHO (2023) </w:t>
      </w:r>
      <w:r w:rsidRPr="00043A59">
        <w:rPr>
          <w:rFonts w:ascii="Arial" w:eastAsia="Aptos" w:hAnsi="Arial" w:cs="Arial"/>
          <w:i/>
          <w:iCs/>
        </w:rPr>
        <w:t>Dementia Fact Sheet</w:t>
      </w:r>
      <w:r w:rsidRPr="00043A59">
        <w:rPr>
          <w:rFonts w:ascii="Arial" w:eastAsia="Aptos" w:hAnsi="Arial" w:cs="Arial"/>
        </w:rPr>
        <w:t xml:space="preserve">. World Health Organization. Wittenberg, R. et al. (2019) </w:t>
      </w:r>
      <w:r w:rsidRPr="00043A59">
        <w:rPr>
          <w:rFonts w:ascii="Arial" w:eastAsia="Aptos" w:hAnsi="Arial" w:cs="Arial"/>
          <w:i/>
          <w:iCs/>
        </w:rPr>
        <w:t>Projections of Older People with Dementia and Costs of Dementia Care in the United Kingdom, 2019–2040</w:t>
      </w:r>
      <w:r w:rsidRPr="00043A59">
        <w:rPr>
          <w:rFonts w:ascii="Arial" w:eastAsia="Aptos" w:hAnsi="Arial" w:cs="Arial"/>
        </w:rPr>
        <w:t>. London: London School of Economics.</w:t>
      </w:r>
    </w:p>
    <w:p w14:paraId="58B35265" w14:textId="69845DCF" w:rsidR="499FC188" w:rsidRDefault="00B677B5" w:rsidP="499FC188">
      <w:r w:rsidRPr="00043A59">
        <w:rPr>
          <w:rFonts w:ascii="Arial" w:hAnsi="Arial" w:cs="Arial"/>
          <w:noProof/>
        </w:rPr>
        <w:drawing>
          <wp:anchor distT="0" distB="0" distL="114300" distR="114300" simplePos="0" relativeHeight="251665408" behindDoc="1" locked="0" layoutInCell="1" allowOverlap="1" wp14:anchorId="09BACD57" wp14:editId="30289AAD">
            <wp:simplePos x="0" y="0"/>
            <wp:positionH relativeFrom="page">
              <wp:posOffset>-213360</wp:posOffset>
            </wp:positionH>
            <wp:positionV relativeFrom="paragraph">
              <wp:posOffset>1356995</wp:posOffset>
            </wp:positionV>
            <wp:extent cx="9144000" cy="838200"/>
            <wp:effectExtent l="0" t="0" r="0" b="0"/>
            <wp:wrapNone/>
            <wp:docPr id="838808261"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r w:rsidR="00D44039">
        <w:rPr>
          <w:noProof/>
        </w:rPr>
        <w:drawing>
          <wp:anchor distT="0" distB="0" distL="114300" distR="114300" simplePos="0" relativeHeight="251663360" behindDoc="1" locked="0" layoutInCell="1" allowOverlap="1" wp14:anchorId="0D7EB5F3" wp14:editId="29EF7400">
            <wp:simplePos x="0" y="0"/>
            <wp:positionH relativeFrom="page">
              <wp:posOffset>-236220</wp:posOffset>
            </wp:positionH>
            <wp:positionV relativeFrom="paragraph">
              <wp:posOffset>4852670</wp:posOffset>
            </wp:positionV>
            <wp:extent cx="9144000" cy="838200"/>
            <wp:effectExtent l="0" t="0" r="0" b="0"/>
            <wp:wrapNone/>
            <wp:docPr id="29" name="Picture 1" descr="A white background with blue and black text"/>
            <wp:cNvGraphicFramePr/>
            <a:graphic xmlns:a="http://schemas.openxmlformats.org/drawingml/2006/main">
              <a:graphicData uri="http://schemas.openxmlformats.org/drawingml/2006/picture">
                <pic:pic xmlns:pic="http://schemas.openxmlformats.org/drawingml/2006/picture">
                  <pic:nvPicPr>
                    <pic:cNvPr id="29" name="Picture 1" descr="A white background with blue and black text"/>
                    <pic:cNvPicPr/>
                  </pic:nvPicPr>
                  <pic:blipFill rotWithShape="1">
                    <a:blip r:embed="rId8"/>
                    <a:srcRect t="83306" b="8"/>
                    <a:stretch>
                      <a:fillRect/>
                    </a:stretch>
                  </pic:blipFill>
                  <pic:spPr>
                    <a:xfrm>
                      <a:off x="0" y="0"/>
                      <a:ext cx="9144000" cy="838200"/>
                    </a:xfrm>
                    <a:prstGeom prst="rect">
                      <a:avLst/>
                    </a:prstGeom>
                  </pic:spPr>
                </pic:pic>
              </a:graphicData>
            </a:graphic>
            <wp14:sizeRelV relativeFrom="margin">
              <wp14:pctHeight>0</wp14:pctHeight>
            </wp14:sizeRelV>
          </wp:anchor>
        </w:drawing>
      </w:r>
    </w:p>
    <w:sectPr w:rsidR="499FC18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6F811" w14:textId="77777777" w:rsidR="0015231D" w:rsidRDefault="0015231D" w:rsidP="002B3191">
      <w:pPr>
        <w:spacing w:after="0" w:line="240" w:lineRule="auto"/>
      </w:pPr>
      <w:r>
        <w:separator/>
      </w:r>
    </w:p>
  </w:endnote>
  <w:endnote w:type="continuationSeparator" w:id="0">
    <w:p w14:paraId="6139FF89" w14:textId="77777777" w:rsidR="0015231D" w:rsidRDefault="0015231D" w:rsidP="002B3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3841896"/>
      <w:docPartObj>
        <w:docPartGallery w:val="Page Numbers (Bottom of Page)"/>
        <w:docPartUnique/>
      </w:docPartObj>
    </w:sdtPr>
    <w:sdtContent>
      <w:p w14:paraId="476CE865" w14:textId="700598FD" w:rsidR="002B3191" w:rsidRDefault="002B3191">
        <w:pPr>
          <w:pStyle w:val="Footer"/>
          <w:jc w:val="right"/>
        </w:pPr>
        <w:r>
          <w:fldChar w:fldCharType="begin"/>
        </w:r>
        <w:r>
          <w:instrText>PAGE   \* MERGEFORMAT</w:instrText>
        </w:r>
        <w:r>
          <w:fldChar w:fldCharType="separate"/>
        </w:r>
        <w:r>
          <w:t>2</w:t>
        </w:r>
        <w:r>
          <w:fldChar w:fldCharType="end"/>
        </w:r>
      </w:p>
    </w:sdtContent>
  </w:sdt>
  <w:p w14:paraId="0AA603CC" w14:textId="77777777" w:rsidR="002B3191" w:rsidRDefault="002B3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358B9" w14:textId="77777777" w:rsidR="0015231D" w:rsidRDefault="0015231D" w:rsidP="002B3191">
      <w:pPr>
        <w:spacing w:after="0" w:line="240" w:lineRule="auto"/>
      </w:pPr>
      <w:r>
        <w:separator/>
      </w:r>
    </w:p>
  </w:footnote>
  <w:footnote w:type="continuationSeparator" w:id="0">
    <w:p w14:paraId="0CCAAE1B" w14:textId="77777777" w:rsidR="0015231D" w:rsidRDefault="0015231D" w:rsidP="002B31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tjhvwEewI8Riv" int2:id="29wH462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9B040"/>
    <w:multiLevelType w:val="hybridMultilevel"/>
    <w:tmpl w:val="09705932"/>
    <w:lvl w:ilvl="0" w:tplc="48F68E26">
      <w:start w:val="1"/>
      <w:numFmt w:val="bullet"/>
      <w:lvlText w:val=""/>
      <w:lvlJc w:val="left"/>
      <w:pPr>
        <w:ind w:left="720" w:hanging="360"/>
      </w:pPr>
      <w:rPr>
        <w:rFonts w:ascii="Symbol" w:hAnsi="Symbol" w:hint="default"/>
      </w:rPr>
    </w:lvl>
    <w:lvl w:ilvl="1" w:tplc="C7C8F5D6">
      <w:start w:val="1"/>
      <w:numFmt w:val="bullet"/>
      <w:lvlText w:val="o"/>
      <w:lvlJc w:val="left"/>
      <w:pPr>
        <w:ind w:left="1440" w:hanging="360"/>
      </w:pPr>
      <w:rPr>
        <w:rFonts w:ascii="Courier New" w:hAnsi="Courier New" w:hint="default"/>
      </w:rPr>
    </w:lvl>
    <w:lvl w:ilvl="2" w:tplc="D3B07EC6">
      <w:start w:val="1"/>
      <w:numFmt w:val="bullet"/>
      <w:lvlText w:val=""/>
      <w:lvlJc w:val="left"/>
      <w:pPr>
        <w:ind w:left="2160" w:hanging="360"/>
      </w:pPr>
      <w:rPr>
        <w:rFonts w:ascii="Wingdings" w:hAnsi="Wingdings" w:hint="default"/>
      </w:rPr>
    </w:lvl>
    <w:lvl w:ilvl="3" w:tplc="CE0C4A3A">
      <w:start w:val="1"/>
      <w:numFmt w:val="bullet"/>
      <w:lvlText w:val=""/>
      <w:lvlJc w:val="left"/>
      <w:pPr>
        <w:ind w:left="2880" w:hanging="360"/>
      </w:pPr>
      <w:rPr>
        <w:rFonts w:ascii="Symbol" w:hAnsi="Symbol" w:hint="default"/>
      </w:rPr>
    </w:lvl>
    <w:lvl w:ilvl="4" w:tplc="27F2CE36">
      <w:start w:val="1"/>
      <w:numFmt w:val="bullet"/>
      <w:lvlText w:val="o"/>
      <w:lvlJc w:val="left"/>
      <w:pPr>
        <w:ind w:left="3600" w:hanging="360"/>
      </w:pPr>
      <w:rPr>
        <w:rFonts w:ascii="Courier New" w:hAnsi="Courier New" w:hint="default"/>
      </w:rPr>
    </w:lvl>
    <w:lvl w:ilvl="5" w:tplc="84868C66">
      <w:start w:val="1"/>
      <w:numFmt w:val="bullet"/>
      <w:lvlText w:val=""/>
      <w:lvlJc w:val="left"/>
      <w:pPr>
        <w:ind w:left="4320" w:hanging="360"/>
      </w:pPr>
      <w:rPr>
        <w:rFonts w:ascii="Wingdings" w:hAnsi="Wingdings" w:hint="default"/>
      </w:rPr>
    </w:lvl>
    <w:lvl w:ilvl="6" w:tplc="C9263008">
      <w:start w:val="1"/>
      <w:numFmt w:val="bullet"/>
      <w:lvlText w:val=""/>
      <w:lvlJc w:val="left"/>
      <w:pPr>
        <w:ind w:left="5040" w:hanging="360"/>
      </w:pPr>
      <w:rPr>
        <w:rFonts w:ascii="Symbol" w:hAnsi="Symbol" w:hint="default"/>
      </w:rPr>
    </w:lvl>
    <w:lvl w:ilvl="7" w:tplc="211A3E14">
      <w:start w:val="1"/>
      <w:numFmt w:val="bullet"/>
      <w:lvlText w:val="o"/>
      <w:lvlJc w:val="left"/>
      <w:pPr>
        <w:ind w:left="5760" w:hanging="360"/>
      </w:pPr>
      <w:rPr>
        <w:rFonts w:ascii="Courier New" w:hAnsi="Courier New" w:hint="default"/>
      </w:rPr>
    </w:lvl>
    <w:lvl w:ilvl="8" w:tplc="1442A58C">
      <w:start w:val="1"/>
      <w:numFmt w:val="bullet"/>
      <w:lvlText w:val=""/>
      <w:lvlJc w:val="left"/>
      <w:pPr>
        <w:ind w:left="6480" w:hanging="360"/>
      </w:pPr>
      <w:rPr>
        <w:rFonts w:ascii="Wingdings" w:hAnsi="Wingdings" w:hint="default"/>
      </w:rPr>
    </w:lvl>
  </w:abstractNum>
  <w:abstractNum w:abstractNumId="1" w15:restartNumberingAfterBreak="0">
    <w:nsid w:val="4AA10321"/>
    <w:multiLevelType w:val="hybridMultilevel"/>
    <w:tmpl w:val="0FA807F4"/>
    <w:lvl w:ilvl="0" w:tplc="83A49F72">
      <w:start w:val="1"/>
      <w:numFmt w:val="bullet"/>
      <w:lvlText w:val=""/>
      <w:lvlJc w:val="left"/>
      <w:pPr>
        <w:ind w:left="720" w:hanging="360"/>
      </w:pPr>
      <w:rPr>
        <w:rFonts w:ascii="Symbol" w:hAnsi="Symbol" w:hint="default"/>
      </w:rPr>
    </w:lvl>
    <w:lvl w:ilvl="1" w:tplc="5314B66E">
      <w:start w:val="1"/>
      <w:numFmt w:val="bullet"/>
      <w:lvlText w:val="o"/>
      <w:lvlJc w:val="left"/>
      <w:pPr>
        <w:ind w:left="1440" w:hanging="360"/>
      </w:pPr>
      <w:rPr>
        <w:rFonts w:ascii="Courier New" w:hAnsi="Courier New" w:hint="default"/>
      </w:rPr>
    </w:lvl>
    <w:lvl w:ilvl="2" w:tplc="4CDE65DC">
      <w:start w:val="1"/>
      <w:numFmt w:val="bullet"/>
      <w:lvlText w:val=""/>
      <w:lvlJc w:val="left"/>
      <w:pPr>
        <w:ind w:left="2160" w:hanging="360"/>
      </w:pPr>
      <w:rPr>
        <w:rFonts w:ascii="Wingdings" w:hAnsi="Wingdings" w:hint="default"/>
      </w:rPr>
    </w:lvl>
    <w:lvl w:ilvl="3" w:tplc="39C801E0">
      <w:start w:val="1"/>
      <w:numFmt w:val="bullet"/>
      <w:lvlText w:val=""/>
      <w:lvlJc w:val="left"/>
      <w:pPr>
        <w:ind w:left="2880" w:hanging="360"/>
      </w:pPr>
      <w:rPr>
        <w:rFonts w:ascii="Symbol" w:hAnsi="Symbol" w:hint="default"/>
      </w:rPr>
    </w:lvl>
    <w:lvl w:ilvl="4" w:tplc="6B425D78">
      <w:start w:val="1"/>
      <w:numFmt w:val="bullet"/>
      <w:lvlText w:val="o"/>
      <w:lvlJc w:val="left"/>
      <w:pPr>
        <w:ind w:left="3600" w:hanging="360"/>
      </w:pPr>
      <w:rPr>
        <w:rFonts w:ascii="Courier New" w:hAnsi="Courier New" w:hint="default"/>
      </w:rPr>
    </w:lvl>
    <w:lvl w:ilvl="5" w:tplc="1E22603A">
      <w:start w:val="1"/>
      <w:numFmt w:val="bullet"/>
      <w:lvlText w:val=""/>
      <w:lvlJc w:val="left"/>
      <w:pPr>
        <w:ind w:left="4320" w:hanging="360"/>
      </w:pPr>
      <w:rPr>
        <w:rFonts w:ascii="Wingdings" w:hAnsi="Wingdings" w:hint="default"/>
      </w:rPr>
    </w:lvl>
    <w:lvl w:ilvl="6" w:tplc="01BCDF82">
      <w:start w:val="1"/>
      <w:numFmt w:val="bullet"/>
      <w:lvlText w:val=""/>
      <w:lvlJc w:val="left"/>
      <w:pPr>
        <w:ind w:left="5040" w:hanging="360"/>
      </w:pPr>
      <w:rPr>
        <w:rFonts w:ascii="Symbol" w:hAnsi="Symbol" w:hint="default"/>
      </w:rPr>
    </w:lvl>
    <w:lvl w:ilvl="7" w:tplc="40AEE86A">
      <w:start w:val="1"/>
      <w:numFmt w:val="bullet"/>
      <w:lvlText w:val="o"/>
      <w:lvlJc w:val="left"/>
      <w:pPr>
        <w:ind w:left="5760" w:hanging="360"/>
      </w:pPr>
      <w:rPr>
        <w:rFonts w:ascii="Courier New" w:hAnsi="Courier New" w:hint="default"/>
      </w:rPr>
    </w:lvl>
    <w:lvl w:ilvl="8" w:tplc="E7DA1B46">
      <w:start w:val="1"/>
      <w:numFmt w:val="bullet"/>
      <w:lvlText w:val=""/>
      <w:lvlJc w:val="left"/>
      <w:pPr>
        <w:ind w:left="6480" w:hanging="360"/>
      </w:pPr>
      <w:rPr>
        <w:rFonts w:ascii="Wingdings" w:hAnsi="Wingdings" w:hint="default"/>
      </w:rPr>
    </w:lvl>
  </w:abstractNum>
  <w:num w:numId="1" w16cid:durableId="261188805">
    <w:abstractNumId w:val="0"/>
  </w:num>
  <w:num w:numId="2" w16cid:durableId="477577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02AC1B"/>
    <w:rsid w:val="00043A59"/>
    <w:rsid w:val="000A1E4C"/>
    <w:rsid w:val="000D0366"/>
    <w:rsid w:val="001240D5"/>
    <w:rsid w:val="0015231D"/>
    <w:rsid w:val="001F07F9"/>
    <w:rsid w:val="00230C44"/>
    <w:rsid w:val="00282096"/>
    <w:rsid w:val="002B3191"/>
    <w:rsid w:val="002C52E6"/>
    <w:rsid w:val="004A6410"/>
    <w:rsid w:val="005B5CF8"/>
    <w:rsid w:val="0063594E"/>
    <w:rsid w:val="00655BA8"/>
    <w:rsid w:val="006649AD"/>
    <w:rsid w:val="00721482"/>
    <w:rsid w:val="0076612C"/>
    <w:rsid w:val="008A3E26"/>
    <w:rsid w:val="009228B1"/>
    <w:rsid w:val="0098214A"/>
    <w:rsid w:val="00A60DA0"/>
    <w:rsid w:val="00AC7C1E"/>
    <w:rsid w:val="00AE4E10"/>
    <w:rsid w:val="00B36E25"/>
    <w:rsid w:val="00B677B5"/>
    <w:rsid w:val="00BE43F1"/>
    <w:rsid w:val="00D44039"/>
    <w:rsid w:val="00D93BD3"/>
    <w:rsid w:val="00E2609D"/>
    <w:rsid w:val="00F4179B"/>
    <w:rsid w:val="01ABB212"/>
    <w:rsid w:val="01FEEFE3"/>
    <w:rsid w:val="0429F0FA"/>
    <w:rsid w:val="04ABB1F4"/>
    <w:rsid w:val="09CF63AF"/>
    <w:rsid w:val="0AC90ED8"/>
    <w:rsid w:val="1BED3D5A"/>
    <w:rsid w:val="1CF2F0E2"/>
    <w:rsid w:val="1F69E49F"/>
    <w:rsid w:val="2156AE6B"/>
    <w:rsid w:val="2302AC1B"/>
    <w:rsid w:val="265CC859"/>
    <w:rsid w:val="2B259C97"/>
    <w:rsid w:val="2D09AC78"/>
    <w:rsid w:val="31CA9958"/>
    <w:rsid w:val="34DDE236"/>
    <w:rsid w:val="3537E8ED"/>
    <w:rsid w:val="373E56F5"/>
    <w:rsid w:val="44DD9502"/>
    <w:rsid w:val="44E9D4B3"/>
    <w:rsid w:val="499FC188"/>
    <w:rsid w:val="50D811B3"/>
    <w:rsid w:val="50EAA8F9"/>
    <w:rsid w:val="51649F20"/>
    <w:rsid w:val="57640D4E"/>
    <w:rsid w:val="5835E982"/>
    <w:rsid w:val="5F30372F"/>
    <w:rsid w:val="5FA9D094"/>
    <w:rsid w:val="64A1A690"/>
    <w:rsid w:val="67B13FCE"/>
    <w:rsid w:val="69C738AD"/>
    <w:rsid w:val="6AAC2B7A"/>
    <w:rsid w:val="6AC2105D"/>
    <w:rsid w:val="6D0A4832"/>
    <w:rsid w:val="6D77CCD3"/>
    <w:rsid w:val="6ECFA010"/>
    <w:rsid w:val="6F08177B"/>
    <w:rsid w:val="6F193D75"/>
    <w:rsid w:val="6F439DC8"/>
    <w:rsid w:val="7DF4EAFD"/>
    <w:rsid w:val="7E6B3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129A8"/>
  <w15:chartTrackingRefBased/>
  <w15:docId w15:val="{231654F6-5D0E-4F39-AA5C-8E13C7494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99FC1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99FC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99FC188"/>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99FC188"/>
    <w:pPr>
      <w:ind w:left="720"/>
      <w:contextualSpacing/>
    </w:pPr>
  </w:style>
  <w:style w:type="character" w:styleId="Hyperlink">
    <w:name w:val="Hyperlink"/>
    <w:basedOn w:val="DefaultParagraphFont"/>
    <w:uiPriority w:val="99"/>
    <w:unhideWhenUsed/>
    <w:rsid w:val="499FC188"/>
    <w:rPr>
      <w:color w:val="467886"/>
      <w:u w:val="single"/>
    </w:rPr>
  </w:style>
  <w:style w:type="paragraph" w:styleId="Header">
    <w:name w:val="header"/>
    <w:basedOn w:val="Normal"/>
    <w:link w:val="HeaderChar"/>
    <w:uiPriority w:val="99"/>
    <w:unhideWhenUsed/>
    <w:rsid w:val="002B3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191"/>
  </w:style>
  <w:style w:type="paragraph" w:styleId="Footer">
    <w:name w:val="footer"/>
    <w:basedOn w:val="Normal"/>
    <w:link w:val="FooterChar"/>
    <w:uiPriority w:val="99"/>
    <w:unhideWhenUsed/>
    <w:rsid w:val="002B3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8</Pages>
  <Words>1700</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Mahmida Khan (2512965)</dc:creator>
  <cp:keywords/>
  <dc:description/>
  <cp:lastModifiedBy>Mahmida Khan (2512965)</cp:lastModifiedBy>
  <cp:revision>29</cp:revision>
  <dcterms:created xsi:type="dcterms:W3CDTF">2026-03-22T22:27:00Z</dcterms:created>
  <dcterms:modified xsi:type="dcterms:W3CDTF">2026-03-23T12:09:00Z</dcterms:modified>
</cp:coreProperties>
</file>