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346965" w14:textId="66DDF5E3" w:rsidR="00306B78" w:rsidRPr="00306B78" w:rsidRDefault="00306B78" w:rsidP="00306B78">
      <w:pPr>
        <w:spacing w:line="240" w:lineRule="auto"/>
        <w:rPr>
          <w:sz w:val="24"/>
          <w:szCs w:val="28"/>
        </w:rPr>
      </w:pPr>
      <w:r w:rsidRPr="00306B78">
        <w:rPr>
          <w:sz w:val="24"/>
          <w:szCs w:val="28"/>
        </w:rPr>
        <w:t xml:space="preserve">Making use of funerary evidence associated with one individual pre-Roman Iron Age site, discuss how the evidence can be used to identify differences in social status in this community.   </w:t>
      </w:r>
    </w:p>
    <w:p w14:paraId="7CBC0428" w14:textId="4624B5AA" w:rsidR="00306B78" w:rsidRDefault="00567B3E" w:rsidP="00306B78">
      <w:pPr>
        <w:spacing w:line="276" w:lineRule="auto"/>
        <w:rPr>
          <w:sz w:val="24"/>
        </w:rPr>
      </w:pPr>
      <w:r w:rsidRPr="00585312">
        <w:drawing>
          <wp:anchor distT="0" distB="0" distL="114300" distR="114300" simplePos="0" relativeHeight="251661312" behindDoc="0" locked="0" layoutInCell="1" allowOverlap="1" wp14:anchorId="44E24E5B" wp14:editId="23B67576">
            <wp:simplePos x="0" y="0"/>
            <wp:positionH relativeFrom="column">
              <wp:posOffset>3505200</wp:posOffset>
            </wp:positionH>
            <wp:positionV relativeFrom="paragraph">
              <wp:posOffset>7620</wp:posOffset>
            </wp:positionV>
            <wp:extent cx="2600325" cy="3657600"/>
            <wp:effectExtent l="0" t="0" r="9525" b="0"/>
            <wp:wrapThrough wrapText="bothSides">
              <wp:wrapPolygon edited="0">
                <wp:start x="0" y="0"/>
                <wp:lineTo x="0" y="21488"/>
                <wp:lineTo x="21521" y="21488"/>
                <wp:lineTo x="2152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4401" t="13891" r="33359" b="5419"/>
                    <a:stretch/>
                  </pic:blipFill>
                  <pic:spPr bwMode="auto">
                    <a:xfrm>
                      <a:off x="0" y="0"/>
                      <a:ext cx="2600325" cy="3657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8EBEB4" w14:textId="41D26E10" w:rsidR="00C778F6" w:rsidRDefault="00152245" w:rsidP="00306B78">
      <w:pPr>
        <w:spacing w:line="276" w:lineRule="auto"/>
        <w:rPr>
          <w:sz w:val="24"/>
        </w:rPr>
      </w:pPr>
      <w:r>
        <w:rPr>
          <w:sz w:val="24"/>
        </w:rPr>
        <w:t>The pre-Roman Iron Age site th</w:t>
      </w:r>
      <w:r w:rsidR="0093510D">
        <w:rPr>
          <w:sz w:val="24"/>
        </w:rPr>
        <w:t>e</w:t>
      </w:r>
      <w:r>
        <w:rPr>
          <w:sz w:val="24"/>
        </w:rPr>
        <w:t xml:space="preserve"> essay will focus on is </w:t>
      </w:r>
      <w:r w:rsidRPr="00152245">
        <w:rPr>
          <w:sz w:val="24"/>
        </w:rPr>
        <w:t>King Harry Lane</w:t>
      </w:r>
      <w:r w:rsidR="00A45D66">
        <w:rPr>
          <w:sz w:val="24"/>
        </w:rPr>
        <w:t xml:space="preserve"> cemetery</w:t>
      </w:r>
      <w:r>
        <w:rPr>
          <w:sz w:val="24"/>
        </w:rPr>
        <w:t xml:space="preserve"> in</w:t>
      </w:r>
      <w:r w:rsidRPr="00152245">
        <w:rPr>
          <w:sz w:val="24"/>
        </w:rPr>
        <w:t xml:space="preserve"> </w:t>
      </w:r>
      <w:r w:rsidRPr="00152245">
        <w:rPr>
          <w:sz w:val="24"/>
        </w:rPr>
        <w:t xml:space="preserve">St Albans </w:t>
      </w:r>
      <w:r>
        <w:rPr>
          <w:sz w:val="24"/>
        </w:rPr>
        <w:t xml:space="preserve">(also known as </w:t>
      </w:r>
      <w:r w:rsidRPr="00152245">
        <w:rPr>
          <w:sz w:val="24"/>
        </w:rPr>
        <w:t>Verulamium</w:t>
      </w:r>
      <w:r>
        <w:rPr>
          <w:sz w:val="24"/>
        </w:rPr>
        <w:t>). The funerary evidence at King Harry Lane</w:t>
      </w:r>
      <w:r w:rsidR="00A45D66">
        <w:rPr>
          <w:sz w:val="24"/>
        </w:rPr>
        <w:t xml:space="preserve"> cemetery</w:t>
      </w:r>
      <w:r>
        <w:rPr>
          <w:sz w:val="24"/>
        </w:rPr>
        <w:t xml:space="preserve"> </w:t>
      </w:r>
      <w:r w:rsidR="008908DA">
        <w:rPr>
          <w:sz w:val="24"/>
        </w:rPr>
        <w:t xml:space="preserve">is an interesting site to look at because of the </w:t>
      </w:r>
      <w:r w:rsidR="0093510D">
        <w:rPr>
          <w:sz w:val="24"/>
        </w:rPr>
        <w:t>number</w:t>
      </w:r>
      <w:r w:rsidR="008908DA">
        <w:rPr>
          <w:sz w:val="24"/>
        </w:rPr>
        <w:t xml:space="preserve"> of tombs </w:t>
      </w:r>
      <w:r w:rsidR="00A45D66">
        <w:rPr>
          <w:sz w:val="24"/>
        </w:rPr>
        <w:t xml:space="preserve">excavated compared to the </w:t>
      </w:r>
      <w:r w:rsidR="00293B42">
        <w:rPr>
          <w:sz w:val="24"/>
        </w:rPr>
        <w:t>variety</w:t>
      </w:r>
      <w:r w:rsidR="00A45D66">
        <w:rPr>
          <w:sz w:val="24"/>
        </w:rPr>
        <w:t xml:space="preserve"> of graves goods found.</w:t>
      </w:r>
      <w:r w:rsidR="0093510D">
        <w:rPr>
          <w:sz w:val="24"/>
        </w:rPr>
        <w:t xml:space="preserve"> </w:t>
      </w:r>
      <w:r w:rsidR="00A45D66">
        <w:rPr>
          <w:sz w:val="24"/>
        </w:rPr>
        <w:t xml:space="preserve"> </w:t>
      </w:r>
      <w:r w:rsidR="00F4479F">
        <w:rPr>
          <w:sz w:val="24"/>
        </w:rPr>
        <w:t xml:space="preserve">The </w:t>
      </w:r>
      <w:r w:rsidR="0089338F">
        <w:rPr>
          <w:sz w:val="24"/>
        </w:rPr>
        <w:t xml:space="preserve">funerary evidence found </w:t>
      </w:r>
      <w:r w:rsidR="00F4479F">
        <w:rPr>
          <w:sz w:val="24"/>
        </w:rPr>
        <w:t xml:space="preserve">in these tombs and graves will help identify the differences in social status in this </w:t>
      </w:r>
      <w:r w:rsidR="00257072">
        <w:rPr>
          <w:sz w:val="24"/>
        </w:rPr>
        <w:t>community</w:t>
      </w:r>
      <w:r w:rsidR="00723663">
        <w:rPr>
          <w:sz w:val="24"/>
        </w:rPr>
        <w:t>.</w:t>
      </w:r>
      <w:r w:rsidR="00673430">
        <w:rPr>
          <w:sz w:val="24"/>
        </w:rPr>
        <w:t xml:space="preserve"> </w:t>
      </w:r>
      <w:r w:rsidR="00723663">
        <w:rPr>
          <w:sz w:val="24"/>
        </w:rPr>
        <w:t>T</w:t>
      </w:r>
      <w:r w:rsidR="00673430">
        <w:rPr>
          <w:sz w:val="24"/>
        </w:rPr>
        <w:t>he main evidence gathered</w:t>
      </w:r>
      <w:r w:rsidR="00723663">
        <w:rPr>
          <w:sz w:val="24"/>
        </w:rPr>
        <w:t>, which</w:t>
      </w:r>
      <w:r w:rsidR="00673430">
        <w:rPr>
          <w:sz w:val="24"/>
        </w:rPr>
        <w:t xml:space="preserve"> has mostly been </w:t>
      </w:r>
      <w:r w:rsidR="00723663">
        <w:rPr>
          <w:sz w:val="24"/>
        </w:rPr>
        <w:t xml:space="preserve">a large number of </w:t>
      </w:r>
      <w:r w:rsidR="00673430">
        <w:rPr>
          <w:sz w:val="24"/>
        </w:rPr>
        <w:t>bracelets</w:t>
      </w:r>
      <w:r w:rsidR="00723663">
        <w:rPr>
          <w:sz w:val="24"/>
        </w:rPr>
        <w:t>,</w:t>
      </w:r>
      <w:r w:rsidR="00673430">
        <w:rPr>
          <w:sz w:val="24"/>
        </w:rPr>
        <w:t xml:space="preserve"> and other assortment of </w:t>
      </w:r>
      <w:r w:rsidR="00723663">
        <w:rPr>
          <w:sz w:val="24"/>
        </w:rPr>
        <w:t xml:space="preserve">grave goods found will also create problems in determining the differences in social status in the community of St. Albans/ Verulamium. </w:t>
      </w:r>
    </w:p>
    <w:p w14:paraId="40D53A26" w14:textId="7EE00E8F" w:rsidR="00C778F6" w:rsidRDefault="00C778F6" w:rsidP="00306B78">
      <w:pPr>
        <w:spacing w:line="276" w:lineRule="auto"/>
        <w:rPr>
          <w:sz w:val="24"/>
        </w:rPr>
      </w:pPr>
      <w:r w:rsidRPr="00916DA8">
        <w:rPr>
          <w:noProof/>
          <w:sz w:val="24"/>
        </w:rPr>
        <mc:AlternateContent>
          <mc:Choice Requires="wps">
            <w:drawing>
              <wp:anchor distT="45720" distB="45720" distL="114300" distR="114300" simplePos="0" relativeHeight="251662336" behindDoc="0" locked="0" layoutInCell="1" allowOverlap="1" wp14:anchorId="2107F8EE" wp14:editId="4F35D937">
                <wp:simplePos x="0" y="0"/>
                <wp:positionH relativeFrom="page">
                  <wp:posOffset>4552950</wp:posOffset>
                </wp:positionH>
                <wp:positionV relativeFrom="paragraph">
                  <wp:posOffset>456565</wp:posOffset>
                </wp:positionV>
                <wp:extent cx="2914650" cy="5810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0" cy="581025"/>
                        </a:xfrm>
                        <a:prstGeom prst="rect">
                          <a:avLst/>
                        </a:prstGeom>
                        <a:solidFill>
                          <a:srgbClr val="FFFFFF"/>
                        </a:solidFill>
                        <a:ln w="9525">
                          <a:solidFill>
                            <a:srgbClr val="000000"/>
                          </a:solidFill>
                          <a:miter lim="800000"/>
                          <a:headEnd/>
                          <a:tailEnd/>
                        </a:ln>
                      </wps:spPr>
                      <wps:txbx>
                        <w:txbxContent>
                          <w:p w14:paraId="150543A9" w14:textId="5A1D2929" w:rsidR="00916DA8" w:rsidRPr="00883A5B" w:rsidRDefault="00916DA8">
                            <w:pPr>
                              <w:rPr>
                                <w:sz w:val="20"/>
                              </w:rPr>
                            </w:pPr>
                            <w:r w:rsidRPr="00883A5B">
                              <w:rPr>
                                <w:sz w:val="20"/>
                              </w:rPr>
                              <w:t>Figure. 1</w:t>
                            </w:r>
                            <w:r w:rsidR="00585312" w:rsidRPr="00883A5B">
                              <w:rPr>
                                <w:sz w:val="20"/>
                              </w:rPr>
                              <w:t xml:space="preserve">: The different phases of the cemetery. The different black dots each represent the different burials found.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07F8EE" id="_x0000_t202" coordsize="21600,21600" o:spt="202" path="m,l,21600r21600,l21600,xe">
                <v:stroke joinstyle="miter"/>
                <v:path gradientshapeok="t" o:connecttype="rect"/>
              </v:shapetype>
              <v:shape id="Text Box 2" o:spid="_x0000_s1026" type="#_x0000_t202" style="position:absolute;margin-left:358.5pt;margin-top:35.95pt;width:229.5pt;height:45.75pt;z-index:2516623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tAhIQIAAEYEAAAOAAAAZHJzL2Uyb0RvYy54bWysU9tu2zAMfR+wfxD0vviCpE2NOEWXLsOA&#10;7gK0+wBFlmNhkqhJSuzs60fJbpZdsIdhehBIkTokD8nV7aAVOQrnJZiaFrOcEmE4NNLsa/r5aftq&#10;SYkPzDRMgRE1PQlPb9cvX6x6W4kSOlCNcARBjK96W9MuBFtlmeed0MzPwAqDxhacZgFVt88ax3pE&#10;1yor8/wq68E11gEX3uPr/Wik64TftoKHj23rRSCqpphbSLdL9y7e2XrFqr1jtpN8SoP9QxaaSYNB&#10;z1D3LDBycPI3KC25Aw9tmHHQGbSt5CLVgNUU+S/VPHbMilQLkuPtmSb//2D5h+MnR2RT07K4psQw&#10;jU16EkMgr2EgZeSnt75Ct0eLjmHAZ+xzqtXbB+BfPDGw6ZjZizvnoO8EazC/Iv7MLr6OOD6C7Pr3&#10;0GAYdgiQgIbW6Uge0kEQHft0OvcmpsLxsbwp5lcLNHG0LZZFXi5SCFY9/7bOh7cCNIlCTR32PqGz&#10;44MPMRtWPbvEYB6UbLZSqaS4/W6jHDkynJNtOhP6T27KkL6mNwuM/XeIPJ0/QWgZcOCV1DVdnp1Y&#10;FWl7Y5o0joFJNcqYsjITj5G6kcQw7IapLztoTsiog3GwcRFR6MB9o6THoa6p/3pgTlCi3hnsCnI4&#10;j1uQlPniukTFXVp2lxZmOELVNFAyipuQNieWbuAOu9fKRGxs85jJlCsOa+J7Wqy4DZd68vqx/uvv&#10;AAAA//8DAFBLAwQUAAYACAAAACEAWtyo+98AAAALAQAADwAAAGRycy9kb3ducmV2LnhtbEyPQU/D&#10;MAyF70j8h8hIXBBLy6Z2K00nhASCGwwE16zx2orGKUnWlX+Pe4Lbs/30/L1yO9lejOhD50hBukhA&#10;INXOdNQoeH97uF6DCFGT0b0jVPCDAbbV+VmpC+NO9IrjLjaCQygUWkEb41BIGeoWrQ4LNyDx7eC8&#10;1ZFH30jj9YnDbS9vkiSTVnfEH1o94H2L9dfuaBWsV0/jZ3hevnzU2aHfxKt8fPz2Sl1eTHe3ICJO&#10;8c8MMz6jQ8VMe3ckE0SvIE9z7hJnsQExG9I8482eVbZcgaxK+b9D9QsAAP//AwBQSwECLQAUAAYA&#10;CAAAACEAtoM4kv4AAADhAQAAEwAAAAAAAAAAAAAAAAAAAAAAW0NvbnRlbnRfVHlwZXNdLnhtbFBL&#10;AQItABQABgAIAAAAIQA4/SH/1gAAAJQBAAALAAAAAAAAAAAAAAAAAC8BAABfcmVscy8ucmVsc1BL&#10;AQItABQABgAIAAAAIQAletAhIQIAAEYEAAAOAAAAAAAAAAAAAAAAAC4CAABkcnMvZTJvRG9jLnht&#10;bFBLAQItABQABgAIAAAAIQBa3Kj73wAAAAsBAAAPAAAAAAAAAAAAAAAAAHsEAABkcnMvZG93bnJl&#10;di54bWxQSwUGAAAAAAQABADzAAAAhwUAAAAA&#10;">
                <v:textbox>
                  <w:txbxContent>
                    <w:p w14:paraId="150543A9" w14:textId="5A1D2929" w:rsidR="00916DA8" w:rsidRPr="00883A5B" w:rsidRDefault="00916DA8">
                      <w:pPr>
                        <w:rPr>
                          <w:sz w:val="20"/>
                        </w:rPr>
                      </w:pPr>
                      <w:r w:rsidRPr="00883A5B">
                        <w:rPr>
                          <w:sz w:val="20"/>
                        </w:rPr>
                        <w:t>Figure. 1</w:t>
                      </w:r>
                      <w:r w:rsidR="00585312" w:rsidRPr="00883A5B">
                        <w:rPr>
                          <w:sz w:val="20"/>
                        </w:rPr>
                        <w:t xml:space="preserve">: The different phases of the cemetery. The different black dots each represent the different burials found. </w:t>
                      </w:r>
                    </w:p>
                  </w:txbxContent>
                </v:textbox>
                <w10:wrap type="square" anchorx="page"/>
              </v:shape>
            </w:pict>
          </mc:Fallback>
        </mc:AlternateContent>
      </w:r>
      <w:r>
        <w:rPr>
          <w:sz w:val="24"/>
        </w:rPr>
        <w:t xml:space="preserve">The site dates from </w:t>
      </w:r>
      <w:r w:rsidRPr="00C778F6">
        <w:rPr>
          <w:sz w:val="24"/>
        </w:rPr>
        <w:t>1st c. B.C. - 1st c. A.D</w:t>
      </w:r>
      <w:r>
        <w:rPr>
          <w:sz w:val="24"/>
        </w:rPr>
        <w:t xml:space="preserve"> and the cemetery is made up of mortuary enclosures. When excavated it was discovered that </w:t>
      </w:r>
      <w:r w:rsidRPr="00C778F6">
        <w:rPr>
          <w:sz w:val="24"/>
        </w:rPr>
        <w:t>472 burials; 455 cremations</w:t>
      </w:r>
      <w:r>
        <w:rPr>
          <w:sz w:val="24"/>
        </w:rPr>
        <w:t xml:space="preserve"> were found in the cemetery.  </w:t>
      </w:r>
    </w:p>
    <w:p w14:paraId="364B9824" w14:textId="15A1C208" w:rsidR="00C778F6" w:rsidRDefault="00C778F6" w:rsidP="00306B78">
      <w:pPr>
        <w:spacing w:line="276" w:lineRule="auto"/>
        <w:rPr>
          <w:sz w:val="24"/>
        </w:rPr>
      </w:pPr>
    </w:p>
    <w:p w14:paraId="6F515BFC" w14:textId="01AD8B40" w:rsidR="00FB39A5" w:rsidRDefault="00567B3E" w:rsidP="00306B78">
      <w:pPr>
        <w:spacing w:line="276" w:lineRule="auto"/>
        <w:rPr>
          <w:sz w:val="24"/>
        </w:rPr>
      </w:pPr>
      <w:r>
        <w:rPr>
          <w:sz w:val="24"/>
        </w:rPr>
        <w:t xml:space="preserve">The most interesting piece of information about this site is that it was found completely by accident when archaeologists were excavating the Roman town right next to it. It is remarkable that the Roman town did not destroy or disturb most of the burials and that most if not all the grave goods have survived and there is also no evidence to suggests any tampering with these burials and the things found inside of them.  </w:t>
      </w:r>
    </w:p>
    <w:p w14:paraId="3FBAB7A6" w14:textId="0861983A" w:rsidR="00916DA8" w:rsidRDefault="00916DA8" w:rsidP="00306B78">
      <w:pPr>
        <w:spacing w:line="276" w:lineRule="auto"/>
        <w:rPr>
          <w:sz w:val="24"/>
        </w:rPr>
      </w:pPr>
    </w:p>
    <w:p w14:paraId="063701D6" w14:textId="1073CD00" w:rsidR="00883A5B" w:rsidRDefault="00585312" w:rsidP="00306B78">
      <w:pPr>
        <w:spacing w:line="276" w:lineRule="auto"/>
        <w:rPr>
          <w:sz w:val="24"/>
        </w:rPr>
      </w:pPr>
      <w:r>
        <w:rPr>
          <w:sz w:val="24"/>
        </w:rPr>
        <w:t>Figure 1</w:t>
      </w:r>
      <w:r w:rsidR="00C3392A">
        <w:rPr>
          <w:rStyle w:val="FootnoteReference"/>
          <w:sz w:val="24"/>
        </w:rPr>
        <w:footnoteReference w:id="1"/>
      </w:r>
      <w:r>
        <w:rPr>
          <w:sz w:val="24"/>
        </w:rPr>
        <w:t xml:space="preserve"> shows us the different phases of the iron age cemetery and the location of the different burials found.  </w:t>
      </w:r>
      <w:r w:rsidR="001D0403">
        <w:rPr>
          <w:sz w:val="24"/>
        </w:rPr>
        <w:t>Figure 2</w:t>
      </w:r>
      <w:r w:rsidR="001D0403">
        <w:rPr>
          <w:rStyle w:val="FootnoteReference"/>
          <w:sz w:val="24"/>
        </w:rPr>
        <w:footnoteReference w:id="2"/>
      </w:r>
      <w:r w:rsidR="00883A5B">
        <w:rPr>
          <w:sz w:val="24"/>
        </w:rPr>
        <w:t xml:space="preserve">, </w:t>
      </w:r>
      <w:r w:rsidR="001D0403">
        <w:rPr>
          <w:sz w:val="24"/>
        </w:rPr>
        <w:t xml:space="preserve"> is a list of the burials and the corresponding phase they are found in figure 1. </w:t>
      </w:r>
      <w:r>
        <w:rPr>
          <w:sz w:val="24"/>
        </w:rPr>
        <w:t xml:space="preserve">In the book on the site written by </w:t>
      </w:r>
      <w:r w:rsidR="00C3392A" w:rsidRPr="00C3392A">
        <w:rPr>
          <w:sz w:val="24"/>
        </w:rPr>
        <w:t>Ian Mathieson Stead</w:t>
      </w:r>
      <w:r w:rsidR="00C3392A">
        <w:rPr>
          <w:sz w:val="24"/>
        </w:rPr>
        <w:t xml:space="preserve"> and </w:t>
      </w:r>
      <w:r w:rsidR="00C3392A" w:rsidRPr="00C3392A">
        <w:rPr>
          <w:sz w:val="24"/>
        </w:rPr>
        <w:t>Valery Rigby</w:t>
      </w:r>
      <w:r w:rsidR="00C3392A">
        <w:rPr>
          <w:sz w:val="24"/>
        </w:rPr>
        <w:t>, where the main topic and discussion of the site is situated around the typological importance of the different brooches found.</w:t>
      </w:r>
      <w:r w:rsidR="001D0403">
        <w:rPr>
          <w:sz w:val="24"/>
        </w:rPr>
        <w:t xml:space="preserve"> </w:t>
      </w:r>
      <w:r w:rsidR="00C3392A">
        <w:rPr>
          <w:sz w:val="24"/>
        </w:rPr>
        <w:t xml:space="preserve">These are important because the different style </w:t>
      </w:r>
      <w:r w:rsidR="00C3392A">
        <w:rPr>
          <w:sz w:val="24"/>
        </w:rPr>
        <w:lastRenderedPageBreak/>
        <w:t xml:space="preserve">of brooches found </w:t>
      </w:r>
      <w:r w:rsidR="00C778F6" w:rsidRPr="001D0403">
        <w:drawing>
          <wp:anchor distT="0" distB="0" distL="114300" distR="114300" simplePos="0" relativeHeight="251663360" behindDoc="1" locked="0" layoutInCell="1" allowOverlap="1" wp14:anchorId="100BF079" wp14:editId="7243CFAB">
            <wp:simplePos x="0" y="0"/>
            <wp:positionH relativeFrom="page">
              <wp:posOffset>4761865</wp:posOffset>
            </wp:positionH>
            <wp:positionV relativeFrom="paragraph">
              <wp:posOffset>0</wp:posOffset>
            </wp:positionV>
            <wp:extent cx="2371725" cy="3211830"/>
            <wp:effectExtent l="0" t="0" r="9525" b="7620"/>
            <wp:wrapThrough wrapText="bothSides">
              <wp:wrapPolygon edited="0">
                <wp:start x="0" y="0"/>
                <wp:lineTo x="0" y="21523"/>
                <wp:lineTo x="21513" y="21523"/>
                <wp:lineTo x="21513"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9524" t="23054" r="20895" b="5714"/>
                    <a:stretch/>
                  </pic:blipFill>
                  <pic:spPr bwMode="auto">
                    <a:xfrm>
                      <a:off x="0" y="0"/>
                      <a:ext cx="2371725" cy="3211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3392A">
        <w:rPr>
          <w:sz w:val="24"/>
        </w:rPr>
        <w:t xml:space="preserve">and compared to where they are found may be able to hint at social importance. This could be due to the idea that the more brooches found in one particular grave may look like that the person buried had to of been someone of high social importance if they have been buried with a large number of </w:t>
      </w:r>
      <w:proofErr w:type="gramStart"/>
      <w:r w:rsidR="00C3392A">
        <w:rPr>
          <w:sz w:val="24"/>
        </w:rPr>
        <w:t>jewellery</w:t>
      </w:r>
      <w:proofErr w:type="gramEnd"/>
      <w:r w:rsidR="00C3392A">
        <w:rPr>
          <w:sz w:val="24"/>
        </w:rPr>
        <w:t>. There is however a problem with this</w:t>
      </w:r>
      <w:r w:rsidR="001D0403">
        <w:rPr>
          <w:sz w:val="24"/>
        </w:rPr>
        <w:t xml:space="preserve">, just because one burial has many brooches, does not mean that they had any sort of wealth or </w:t>
      </w:r>
      <w:r w:rsidR="00654767">
        <w:rPr>
          <w:sz w:val="24"/>
        </w:rPr>
        <w:t>high-ranking</w:t>
      </w:r>
      <w:r w:rsidR="001D0403">
        <w:rPr>
          <w:sz w:val="24"/>
        </w:rPr>
        <w:t xml:space="preserve"> status in the community. The </w:t>
      </w:r>
      <w:r w:rsidR="00654767">
        <w:rPr>
          <w:sz w:val="24"/>
        </w:rPr>
        <w:t>p</w:t>
      </w:r>
      <w:r w:rsidR="001D0403">
        <w:rPr>
          <w:sz w:val="24"/>
        </w:rPr>
        <w:t xml:space="preserve">ersons family or the community as whole may have banded together to provide this person with </w:t>
      </w:r>
      <w:r w:rsidR="00654767">
        <w:rPr>
          <w:sz w:val="24"/>
        </w:rPr>
        <w:t>these grave goods as a show of respect.</w:t>
      </w:r>
    </w:p>
    <w:p w14:paraId="5D45A0BD" w14:textId="6E7C4B67" w:rsidR="00567B3E" w:rsidRDefault="00567B3E" w:rsidP="00306B78">
      <w:pPr>
        <w:spacing w:line="276" w:lineRule="auto"/>
        <w:rPr>
          <w:sz w:val="24"/>
        </w:rPr>
      </w:pPr>
    </w:p>
    <w:p w14:paraId="14D371BA" w14:textId="458C232F" w:rsidR="006B5554" w:rsidRDefault="00C778F6" w:rsidP="00306B78">
      <w:pPr>
        <w:spacing w:line="276" w:lineRule="auto"/>
        <w:rPr>
          <w:sz w:val="24"/>
        </w:rPr>
      </w:pPr>
      <w:r w:rsidRPr="001D0403">
        <w:rPr>
          <w:noProof/>
          <w:sz w:val="24"/>
        </w:rPr>
        <mc:AlternateContent>
          <mc:Choice Requires="wps">
            <w:drawing>
              <wp:anchor distT="45720" distB="45720" distL="114300" distR="114300" simplePos="0" relativeHeight="251665408" behindDoc="0" locked="0" layoutInCell="1" allowOverlap="1" wp14:anchorId="5B5BEE5B" wp14:editId="74225A4E">
                <wp:simplePos x="0" y="0"/>
                <wp:positionH relativeFrom="column">
                  <wp:posOffset>3857625</wp:posOffset>
                </wp:positionH>
                <wp:positionV relativeFrom="paragraph">
                  <wp:posOffset>222885</wp:posOffset>
                </wp:positionV>
                <wp:extent cx="2447925" cy="4381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438150"/>
                        </a:xfrm>
                        <a:prstGeom prst="rect">
                          <a:avLst/>
                        </a:prstGeom>
                        <a:solidFill>
                          <a:srgbClr val="FFFFFF"/>
                        </a:solidFill>
                        <a:ln w="9525">
                          <a:solidFill>
                            <a:srgbClr val="000000"/>
                          </a:solidFill>
                          <a:miter lim="800000"/>
                          <a:headEnd/>
                          <a:tailEnd/>
                        </a:ln>
                      </wps:spPr>
                      <wps:txbx>
                        <w:txbxContent>
                          <w:p w14:paraId="7A903A0E" w14:textId="661DB57D" w:rsidR="001D0403" w:rsidRPr="00883A5B" w:rsidRDefault="001D0403">
                            <w:pPr>
                              <w:rPr>
                                <w:sz w:val="20"/>
                              </w:rPr>
                            </w:pPr>
                            <w:r w:rsidRPr="00883A5B">
                              <w:rPr>
                                <w:sz w:val="20"/>
                              </w:rPr>
                              <w:t>Figure 2</w:t>
                            </w:r>
                            <w:r w:rsidR="007A7368" w:rsidRPr="00883A5B">
                              <w:rPr>
                                <w:sz w:val="20"/>
                              </w:rPr>
                              <w:t>:</w:t>
                            </w:r>
                            <w:r w:rsidRPr="00883A5B">
                              <w:rPr>
                                <w:sz w:val="20"/>
                              </w:rPr>
                              <w:t xml:space="preserve"> A full list of the different burials and what phase they were found in</w:t>
                            </w:r>
                            <w:r w:rsidR="007A7368" w:rsidRPr="00883A5B">
                              <w:rPr>
                                <w:sz w:val="20"/>
                              </w:rPr>
                              <w:t>.</w:t>
                            </w:r>
                            <w:r w:rsidRPr="00883A5B">
                              <w:rPr>
                                <w:sz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5BEE5B" id="_x0000_s1027" type="#_x0000_t202" style="position:absolute;margin-left:303.75pt;margin-top:17.55pt;width:192.75pt;height:34.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1tQKJQIAAEsEAAAOAAAAZHJzL2Uyb0RvYy54bWysVNtu2zAMfR+wfxD0vjhxnTUx4hRdugwD&#10;ugvQ7gNkWY6FSaImKbGzrx8lp2nQDXsY5gdBFKmjw0PSq5tBK3IQzkswFZ1NppQIw6GRZlfRb4/b&#10;NwtKfGCmYQqMqOhReHqzfv1q1dtS5NCBaoQjCGJ82duKdiHYMss874RmfgJWGHS24DQLaLpd1jjW&#10;I7pWWT6dvs16cI11wIX3eHo3Ouk64bet4OFL23oRiKoocgtpdWmt45qtV6zcOWY7yU802D+w0Ewa&#10;fPQMdccCI3snf4PSkjvw0IYJB51B20ouUg6YzWz6IpuHjlmRckFxvD3L5P8fLP98+OqIbCp6RYlh&#10;Gkv0KIZA3sFA8qhOb32JQQ8Ww8KAx1jllKm398C/e2Jg0zGzE7fOQd8J1iC7WbyZXVwdcXwEqftP&#10;0OAzbB8gAQ2t01E6FIMgOlbpeK5MpMLxMC+K62U+p4Sjr7hazOapdBkrn25b58MHAZrETUUdVj6h&#10;s8O9D5ENK59C4mMelGy2UqlkuF29UY4cGHbJNn0pgRdhypC+oss58vg7xDR9f4LQMmC7K6krujgH&#10;sTLK9t40qRkDk2rcI2VlTjpG6UYRw1APqWBJ5KhxDc0RhXUwdjdOI246cD8p6bGzK+p/7JkTlKiP&#10;BouznBVFHIVkFPPrHA136akvPcxwhKpooGTcbkIan6iAgVssYiuTvs9MTpSxY5Psp+mKI3Fpp6jn&#10;f8D6FwAAAP//AwBQSwMEFAAGAAgAAAAhADWZUjHgAAAACgEAAA8AAABkcnMvZG93bnJldi54bWxM&#10;j8tOwzAQRfdI/IM1SGxQa4e0aRPiVAgJRHfQIti6yTSJ8CPYbhr+nmEFy9Ec3XtuuZmMZiP60Dsr&#10;IZkLYGhr1/S2lfC2f5ytgYWobKO0syjhGwNsqsuLUhWNO9tXHHexZRRiQ6EkdDEOBeeh7tCoMHcD&#10;WvodnTcq0ulb3nh1pnCj+a0QGTeqt9TQqQEfOqw/dycjYb14Hj/CNn15r7OjzuPNanz68lJeX033&#10;d8AiTvEPhl99UoeKnA7uZJvAtIRMrJaESkiXCTAC8jylcQcixSIBXpX8/4TqBwAA//8DAFBLAQIt&#10;ABQABgAIAAAAIQC2gziS/gAAAOEBAAATAAAAAAAAAAAAAAAAAAAAAABbQ29udGVudF9UeXBlc10u&#10;eG1sUEsBAi0AFAAGAAgAAAAhADj9If/WAAAAlAEAAAsAAAAAAAAAAAAAAAAALwEAAF9yZWxzLy5y&#10;ZWxzUEsBAi0AFAAGAAgAAAAhAPbW1AolAgAASwQAAA4AAAAAAAAAAAAAAAAALgIAAGRycy9lMm9E&#10;b2MueG1sUEsBAi0AFAAGAAgAAAAhADWZUjHgAAAACgEAAA8AAAAAAAAAAAAAAAAAfwQAAGRycy9k&#10;b3ducmV2LnhtbFBLBQYAAAAABAAEAPMAAACMBQAAAAA=&#10;">
                <v:textbox>
                  <w:txbxContent>
                    <w:p w14:paraId="7A903A0E" w14:textId="661DB57D" w:rsidR="001D0403" w:rsidRPr="00883A5B" w:rsidRDefault="001D0403">
                      <w:pPr>
                        <w:rPr>
                          <w:sz w:val="20"/>
                        </w:rPr>
                      </w:pPr>
                      <w:r w:rsidRPr="00883A5B">
                        <w:rPr>
                          <w:sz w:val="20"/>
                        </w:rPr>
                        <w:t>Figure 2</w:t>
                      </w:r>
                      <w:r w:rsidR="007A7368" w:rsidRPr="00883A5B">
                        <w:rPr>
                          <w:sz w:val="20"/>
                        </w:rPr>
                        <w:t>:</w:t>
                      </w:r>
                      <w:r w:rsidRPr="00883A5B">
                        <w:rPr>
                          <w:sz w:val="20"/>
                        </w:rPr>
                        <w:t xml:space="preserve"> A full list of the different burials and what phase they were found in</w:t>
                      </w:r>
                      <w:r w:rsidR="007A7368" w:rsidRPr="00883A5B">
                        <w:rPr>
                          <w:sz w:val="20"/>
                        </w:rPr>
                        <w:t>.</w:t>
                      </w:r>
                      <w:r w:rsidRPr="00883A5B">
                        <w:rPr>
                          <w:sz w:val="20"/>
                        </w:rPr>
                        <w:t xml:space="preserve"> </w:t>
                      </w:r>
                    </w:p>
                  </w:txbxContent>
                </v:textbox>
                <w10:wrap type="square"/>
              </v:shape>
            </w:pict>
          </mc:Fallback>
        </mc:AlternateContent>
      </w:r>
      <w:r w:rsidR="006B5554">
        <w:rPr>
          <w:sz w:val="24"/>
        </w:rPr>
        <w:t xml:space="preserve">What is surprising about this site is that the grave goods found are different when comparing them with other iron age sites. The brooches found are not very ostentatious but are plain and mostly made of a metal alloy that is either a copper alloy or iron. </w:t>
      </w:r>
    </w:p>
    <w:p w14:paraId="4333F0D7" w14:textId="77777777" w:rsidR="006B5554" w:rsidRDefault="006B5554" w:rsidP="00306B78">
      <w:pPr>
        <w:spacing w:line="276" w:lineRule="auto"/>
        <w:rPr>
          <w:sz w:val="24"/>
        </w:rPr>
      </w:pPr>
    </w:p>
    <w:p w14:paraId="5EFD259F" w14:textId="75D4A86D" w:rsidR="004A299E" w:rsidRDefault="00C778F6" w:rsidP="00306B78">
      <w:pPr>
        <w:spacing w:line="276" w:lineRule="auto"/>
        <w:rPr>
          <w:sz w:val="24"/>
        </w:rPr>
      </w:pPr>
      <w:r w:rsidRPr="006B5554">
        <w:drawing>
          <wp:anchor distT="0" distB="0" distL="114300" distR="114300" simplePos="0" relativeHeight="251666432" behindDoc="0" locked="0" layoutInCell="1" allowOverlap="1" wp14:anchorId="06A025FE" wp14:editId="724A38D9">
            <wp:simplePos x="0" y="0"/>
            <wp:positionH relativeFrom="page">
              <wp:posOffset>2188210</wp:posOffset>
            </wp:positionH>
            <wp:positionV relativeFrom="paragraph">
              <wp:posOffset>1261110</wp:posOffset>
            </wp:positionV>
            <wp:extent cx="5372100" cy="2364740"/>
            <wp:effectExtent l="0" t="0" r="0" b="0"/>
            <wp:wrapThrough wrapText="bothSides">
              <wp:wrapPolygon edited="0">
                <wp:start x="0" y="0"/>
                <wp:lineTo x="0" y="21403"/>
                <wp:lineTo x="21523" y="21403"/>
                <wp:lineTo x="21523"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2604" t="27601" r="23546" b="30232"/>
                    <a:stretch/>
                  </pic:blipFill>
                  <pic:spPr bwMode="auto">
                    <a:xfrm>
                      <a:off x="0" y="0"/>
                      <a:ext cx="5372100" cy="2364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B5554">
        <w:rPr>
          <w:noProof/>
          <w:sz w:val="24"/>
        </w:rPr>
        <mc:AlternateContent>
          <mc:Choice Requires="wps">
            <w:drawing>
              <wp:anchor distT="45720" distB="45720" distL="114300" distR="114300" simplePos="0" relativeHeight="251668480" behindDoc="0" locked="0" layoutInCell="1" allowOverlap="1" wp14:anchorId="489AD994" wp14:editId="3A598866">
                <wp:simplePos x="0" y="0"/>
                <wp:positionH relativeFrom="margin">
                  <wp:posOffset>4267200</wp:posOffset>
                </wp:positionH>
                <wp:positionV relativeFrom="paragraph">
                  <wp:posOffset>3298825</wp:posOffset>
                </wp:positionV>
                <wp:extent cx="2105025" cy="590550"/>
                <wp:effectExtent l="0" t="0" r="28575"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5025" cy="590550"/>
                        </a:xfrm>
                        <a:prstGeom prst="rect">
                          <a:avLst/>
                        </a:prstGeom>
                        <a:solidFill>
                          <a:srgbClr val="FFFFFF"/>
                        </a:solidFill>
                        <a:ln w="9525">
                          <a:solidFill>
                            <a:srgbClr val="000000"/>
                          </a:solidFill>
                          <a:miter lim="800000"/>
                          <a:headEnd/>
                          <a:tailEnd/>
                        </a:ln>
                      </wps:spPr>
                      <wps:txbx>
                        <w:txbxContent>
                          <w:p w14:paraId="07724F89" w14:textId="2A555A06" w:rsidR="006B5554" w:rsidRPr="006B5554" w:rsidRDefault="006B5554">
                            <w:pPr>
                              <w:rPr>
                                <w:sz w:val="20"/>
                              </w:rPr>
                            </w:pPr>
                            <w:r w:rsidRPr="006B5554">
                              <w:rPr>
                                <w:sz w:val="20"/>
                              </w:rPr>
                              <w:t>Figure 3: A comparison of the size and richness of burials with separate and inurned cremations.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9AD994" id="_x0000_s1028" type="#_x0000_t202" style="position:absolute;margin-left:336pt;margin-top:259.75pt;width:165.75pt;height:46.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VrBIgIAAEsEAAAOAAAAZHJzL2Uyb0RvYy54bWysVNuO0zAQfUfiHyy/06RVA9uo6WrpUoS0&#10;XKRdPmDiOI2F7Qm222T5esZOt1QL4gGRB8uX8fGZc2ayvh6NZkfpvEJb8fks50xagY2y+4p/fdi9&#10;uuLMB7ANaLSy4o/S8+vNyxfroS/lAjvUjXSMQKwvh77iXQh9mWVedNKAn2EvLR226AwEWrp91jgY&#10;CN3obJHnr7MBXdM7FNJ72r2dDvkm4betFOFz23oZmK44cQtpdGms45ht1lDuHfSdEica8A8sDChL&#10;j56hbiEAOzj1G5RRwqHHNswEmgzbVgmZcqBs5vmzbO476GXKhcTx/Vkm//9gxafjF8dUU/GCMwuG&#10;LHqQY2BvcWSLqM7Q+5KC7nsKCyNtk8spU9/fofjmmcVtB3Yvb5zDoZPQELt5vJldXJ1wfASph4/Y&#10;0DNwCJiAxtaZKB2JwQidXHo8OxOpCNpczPMiXxBFQWfFKi+KZF0G5dPt3vnwXqJhcVJxR84ndDje&#10;+RDZQPkUEh/zqFWzU1qnhdvXW+3YEahKdulLCTwL05YNFV8VxOPvEHn6/gRhVKBy18pU/OocBGWU&#10;7Z1tUjEGUHqaE2VtTzpG6SYRw1iPybCzPTU2jySsw6m6qRtp0qH7wdlAlV1x//0ATnKmP1gyZzVf&#10;LmMrpMWyeLOghbs8qS9PwAqCqnjgbJpuQ2qfqIDFGzKxVUnf6PbE5ESZKjbJfuqu2BKX6xT16x+w&#10;+QkAAP//AwBQSwMEFAAGAAgAAAAhAGTBqDHiAAAADAEAAA8AAABkcnMvZG93bnJldi54bWxMj8FO&#10;wzAQRO9I/IO1SFwQtZOStA1xKoQEghu0FVzdeJtExOtgu2n4e9wT3HY0o9k35XoyPRvR+c6ShGQm&#10;gCHVVnfUSNhtn26XwHxQpFVvCSX8oId1dXlRqkLbE73juAkNiyXkCyWhDWEoOPd1i0b5mR2Qonew&#10;zqgQpWu4duoUy03PUyFyblRH8UOrBnxssf7aHI2E5d3L+Olf528fdX7oV+FmMT5/Oymvr6aHe2AB&#10;p/AXhjN+RIcqMu3tkbRnvYR8kcYtQUKWrDJg54QQ83jto5ekGfCq5P9HVL8AAAD//wMAUEsBAi0A&#10;FAAGAAgAAAAhALaDOJL+AAAA4QEAABMAAAAAAAAAAAAAAAAAAAAAAFtDb250ZW50X1R5cGVzXS54&#10;bWxQSwECLQAUAAYACAAAACEAOP0h/9YAAACUAQAACwAAAAAAAAAAAAAAAAAvAQAAX3JlbHMvLnJl&#10;bHNQSwECLQAUAAYACAAAACEAXN1awSICAABLBAAADgAAAAAAAAAAAAAAAAAuAgAAZHJzL2Uyb0Rv&#10;Yy54bWxQSwECLQAUAAYACAAAACEAZMGoMeIAAAAMAQAADwAAAAAAAAAAAAAAAAB8BAAAZHJzL2Rv&#10;d25yZXYueG1sUEsFBgAAAAAEAAQA8wAAAIsFAAAAAA==&#10;">
                <v:textbox>
                  <w:txbxContent>
                    <w:p w14:paraId="07724F89" w14:textId="2A555A06" w:rsidR="006B5554" w:rsidRPr="006B5554" w:rsidRDefault="006B5554">
                      <w:pPr>
                        <w:rPr>
                          <w:sz w:val="20"/>
                        </w:rPr>
                      </w:pPr>
                      <w:r w:rsidRPr="006B5554">
                        <w:rPr>
                          <w:sz w:val="20"/>
                        </w:rPr>
                        <w:t>Figure 3: A comparison of the size and richness of burials with separate and inurned cremations.</w:t>
                      </w:r>
                    </w:p>
                  </w:txbxContent>
                </v:textbox>
                <w10:wrap type="square" anchorx="margin"/>
              </v:shape>
            </w:pict>
          </mc:Fallback>
        </mc:AlternateContent>
      </w:r>
      <w:r w:rsidR="006B5554">
        <w:rPr>
          <w:sz w:val="24"/>
        </w:rPr>
        <w:t xml:space="preserve"> Figure 3</w:t>
      </w:r>
      <w:r>
        <w:rPr>
          <w:rStyle w:val="FootnoteReference"/>
          <w:sz w:val="24"/>
        </w:rPr>
        <w:footnoteReference w:id="3"/>
      </w:r>
      <w:r w:rsidR="006B5554">
        <w:rPr>
          <w:sz w:val="24"/>
        </w:rPr>
        <w:t xml:space="preserve"> is </w:t>
      </w:r>
      <w:r w:rsidR="00220D7F">
        <w:rPr>
          <w:sz w:val="24"/>
        </w:rPr>
        <w:t xml:space="preserve">one of the </w:t>
      </w:r>
      <w:r w:rsidR="006B5554">
        <w:rPr>
          <w:sz w:val="24"/>
        </w:rPr>
        <w:t>most interesting</w:t>
      </w:r>
      <w:r w:rsidR="00220D7F">
        <w:rPr>
          <w:sz w:val="24"/>
        </w:rPr>
        <w:t xml:space="preserve"> things found in the site report because it details the number of different pots and shows an average on how many were found throughout the different areas of the cemetery</w:t>
      </w:r>
      <w:r w:rsidR="006B5554">
        <w:rPr>
          <w:sz w:val="24"/>
        </w:rPr>
        <w:t>. It is a table of the percentages of size and richness of the burials, separate and inurned cremations and the number of pots found in them. It looks like that in column one is the number</w:t>
      </w:r>
      <w:r w:rsidR="00220D7F">
        <w:rPr>
          <w:sz w:val="24"/>
        </w:rPr>
        <w:t xml:space="preserve"> of pots per burial and how it correlates and compares with separate cremations, inurned ones and the last two columns showing how it compares with imported pots and what kind of cremation burial found with.</w:t>
      </w:r>
      <w:r w:rsidR="00E5507A">
        <w:rPr>
          <w:sz w:val="24"/>
        </w:rPr>
        <w:t xml:space="preserve"> This is relevant to the question on how we can use the evidence to identify differences in social status because it gives us an idea of how many of a certain type of pot is </w:t>
      </w:r>
      <w:r w:rsidR="00E5507A">
        <w:rPr>
          <w:sz w:val="24"/>
        </w:rPr>
        <w:lastRenderedPageBreak/>
        <w:t>found and the different number of pots found in certain burials. For example, if the central burials have more of a certain kind of pot, does that mean they are more or less important in the community as a whole?</w:t>
      </w:r>
      <w:r w:rsidR="00F71F62">
        <w:rPr>
          <w:sz w:val="24"/>
        </w:rPr>
        <w:t xml:space="preserve"> </w:t>
      </w:r>
      <w:r w:rsidR="004A299E">
        <w:rPr>
          <w:sz w:val="24"/>
        </w:rPr>
        <w:t>It seems that the central graves, that have got a large number of pot shards and imported pottery, may have been more important as by looking at figure 1 again, the burials from phase two have surrounded the ones from phases one. This may indicate that those in the more central burials may have been high up in the social standing of the community, or like some other sites, may been important ancestors as the central burials are older.</w:t>
      </w:r>
      <w:r w:rsidR="00A8504A">
        <w:rPr>
          <w:sz w:val="24"/>
        </w:rPr>
        <w:t xml:space="preserve"> Moreover, the number of imported pots found in separate cremation burials compared to inurned cremations may also show a difference in social status within the community. This is because the inurned cremations may have had people of higher importance within the community, like a trader or may be an important butcher. </w:t>
      </w:r>
      <w:r w:rsidR="004A299E">
        <w:rPr>
          <w:sz w:val="24"/>
        </w:rPr>
        <w:t xml:space="preserve"> </w:t>
      </w:r>
    </w:p>
    <w:p w14:paraId="7D8B27DD" w14:textId="67F943BB" w:rsidR="004A299E" w:rsidRDefault="00934E12" w:rsidP="00306B78">
      <w:pPr>
        <w:spacing w:line="276" w:lineRule="auto"/>
        <w:rPr>
          <w:sz w:val="24"/>
        </w:rPr>
      </w:pPr>
      <w:r w:rsidRPr="00934E12">
        <w:drawing>
          <wp:anchor distT="0" distB="0" distL="114300" distR="114300" simplePos="0" relativeHeight="251669504" behindDoc="0" locked="0" layoutInCell="1" allowOverlap="1" wp14:anchorId="77BF66A1" wp14:editId="428352DC">
            <wp:simplePos x="0" y="0"/>
            <wp:positionH relativeFrom="column">
              <wp:posOffset>3117215</wp:posOffset>
            </wp:positionH>
            <wp:positionV relativeFrom="paragraph">
              <wp:posOffset>6350</wp:posOffset>
            </wp:positionV>
            <wp:extent cx="3121025" cy="3419475"/>
            <wp:effectExtent l="0" t="0" r="3175" b="9525"/>
            <wp:wrapThrough wrapText="bothSides">
              <wp:wrapPolygon edited="0">
                <wp:start x="0" y="0"/>
                <wp:lineTo x="0" y="21540"/>
                <wp:lineTo x="21490" y="21540"/>
                <wp:lineTo x="21490"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8917" t="13005" r="29371" b="5714"/>
                    <a:stretch/>
                  </pic:blipFill>
                  <pic:spPr bwMode="auto">
                    <a:xfrm>
                      <a:off x="0" y="0"/>
                      <a:ext cx="3121025" cy="3419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A190CA" w14:textId="7C744584" w:rsidR="00883A5B" w:rsidRDefault="00E5507A" w:rsidP="00306B78">
      <w:pPr>
        <w:spacing w:line="276" w:lineRule="auto"/>
        <w:rPr>
          <w:sz w:val="24"/>
        </w:rPr>
      </w:pPr>
      <w:r>
        <w:rPr>
          <w:sz w:val="24"/>
        </w:rPr>
        <w:t xml:space="preserve"> </w:t>
      </w:r>
      <w:r w:rsidR="00220D7F">
        <w:rPr>
          <w:sz w:val="24"/>
        </w:rPr>
        <w:t xml:space="preserve"> </w:t>
      </w:r>
      <w:r w:rsidR="00934E12">
        <w:rPr>
          <w:sz w:val="24"/>
        </w:rPr>
        <w:t>Figure 4</w:t>
      </w:r>
      <w:r w:rsidR="00934E12">
        <w:rPr>
          <w:rStyle w:val="FootnoteReference"/>
          <w:sz w:val="24"/>
        </w:rPr>
        <w:footnoteReference w:id="4"/>
      </w:r>
      <w:r w:rsidR="00934E12">
        <w:rPr>
          <w:sz w:val="24"/>
        </w:rPr>
        <w:t xml:space="preserve"> is a picture of some of the copper alloy brooches found in the different burials. The different style of brooches could be an indication of status in the community. From the look of it, </w:t>
      </w:r>
      <w:r w:rsidR="00E8121D">
        <w:rPr>
          <w:sz w:val="24"/>
        </w:rPr>
        <w:t>the brooch in the third row and third one down may have belonged to someone with wealth. This is solely based on the design of the brooch, which creates problems when looking at these brooches because can we be certain that based of the difference in design, that whoever owned the brooch had to be high up in the social status of the community.</w:t>
      </w:r>
      <w:r w:rsidR="00A8504A">
        <w:rPr>
          <w:sz w:val="24"/>
        </w:rPr>
        <w:t xml:space="preserve"> </w:t>
      </w:r>
      <w:r w:rsidR="00E8121D">
        <w:rPr>
          <w:sz w:val="24"/>
        </w:rPr>
        <w:t xml:space="preserve"> </w:t>
      </w:r>
      <w:r w:rsidR="00934E12">
        <w:rPr>
          <w:sz w:val="24"/>
        </w:rPr>
        <w:t xml:space="preserve">  </w:t>
      </w:r>
      <w:r w:rsidR="00220D7F">
        <w:rPr>
          <w:sz w:val="24"/>
        </w:rPr>
        <w:t xml:space="preserve"> </w:t>
      </w:r>
      <w:r w:rsidR="006B5554">
        <w:rPr>
          <w:sz w:val="24"/>
        </w:rPr>
        <w:t xml:space="preserve"> </w:t>
      </w:r>
    </w:p>
    <w:p w14:paraId="53F862C6" w14:textId="6300AEFC" w:rsidR="00306B78" w:rsidRDefault="00654767" w:rsidP="00306B78">
      <w:pPr>
        <w:spacing w:line="276" w:lineRule="auto"/>
        <w:rPr>
          <w:sz w:val="24"/>
        </w:rPr>
      </w:pPr>
      <w:r>
        <w:rPr>
          <w:sz w:val="24"/>
        </w:rPr>
        <w:t xml:space="preserve"> </w:t>
      </w:r>
      <w:r w:rsidR="001D0403">
        <w:rPr>
          <w:sz w:val="24"/>
        </w:rPr>
        <w:t xml:space="preserve"> </w:t>
      </w:r>
      <w:r w:rsidR="00C3392A">
        <w:rPr>
          <w:sz w:val="24"/>
        </w:rPr>
        <w:t xml:space="preserve">  </w:t>
      </w:r>
    </w:p>
    <w:p w14:paraId="434C7D34" w14:textId="75DFC57E" w:rsidR="001D0403" w:rsidRPr="00E22B76" w:rsidRDefault="00507687" w:rsidP="001D0403">
      <w:pPr>
        <w:spacing w:line="276" w:lineRule="auto"/>
        <w:rPr>
          <w:sz w:val="24"/>
        </w:rPr>
      </w:pPr>
      <w:r w:rsidRPr="00E22B76">
        <w:rPr>
          <w:noProof/>
          <w:sz w:val="28"/>
        </w:rPr>
        <mc:AlternateContent>
          <mc:Choice Requires="wps">
            <w:drawing>
              <wp:anchor distT="45720" distB="45720" distL="114300" distR="114300" simplePos="0" relativeHeight="251671552" behindDoc="0" locked="0" layoutInCell="1" allowOverlap="1" wp14:anchorId="62D241DD" wp14:editId="3B999A36">
                <wp:simplePos x="0" y="0"/>
                <wp:positionH relativeFrom="column">
                  <wp:posOffset>3943350</wp:posOffset>
                </wp:positionH>
                <wp:positionV relativeFrom="paragraph">
                  <wp:posOffset>123825</wp:posOffset>
                </wp:positionV>
                <wp:extent cx="2000250" cy="333375"/>
                <wp:effectExtent l="0" t="0" r="19050"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333375"/>
                        </a:xfrm>
                        <a:prstGeom prst="rect">
                          <a:avLst/>
                        </a:prstGeom>
                        <a:solidFill>
                          <a:srgbClr val="FFFFFF"/>
                        </a:solidFill>
                        <a:ln w="9525">
                          <a:solidFill>
                            <a:srgbClr val="000000"/>
                          </a:solidFill>
                          <a:miter lim="800000"/>
                          <a:headEnd/>
                          <a:tailEnd/>
                        </a:ln>
                      </wps:spPr>
                      <wps:txbx>
                        <w:txbxContent>
                          <w:p w14:paraId="40601909" w14:textId="01C61C8A" w:rsidR="00934E12" w:rsidRPr="00934E12" w:rsidRDefault="00934E12">
                            <w:pPr>
                              <w:rPr>
                                <w:sz w:val="20"/>
                              </w:rPr>
                            </w:pPr>
                            <w:r w:rsidRPr="00934E12">
                              <w:rPr>
                                <w:sz w:val="20"/>
                              </w:rPr>
                              <w:t>Figure 4: Copper alloy brooches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D241DD" id="_x0000_s1029" type="#_x0000_t202" style="position:absolute;margin-left:310.5pt;margin-top:9.75pt;width:157.5pt;height:26.2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8eUJAIAAEsEAAAOAAAAZHJzL2Uyb0RvYy54bWysVNtu2zAMfR+wfxD0vjhxk7U14hRdugwD&#10;ugvQ7gNoWY6FSaInKbGzrx8lp2l2exnmB0EUqcOjQ9LLm8FotpfOK7Qln02mnEkrsFZ2W/Ivj5tX&#10;V5z5ALYGjVaW/CA9v1m9fLHsu0Lm2KKupWMEYn3RdyVvQ+iKLPOilQb8BDtpydmgMxDIdNusdtAT&#10;utFZPp2+znp0dedQSO/p9G508lXCbxopwqem8TIwXXLiFtLq0lrFNVstodg66FoljjTgH1gYUJaS&#10;nqDuIADbOfUblFHCoccmTASaDJtGCZneQK+ZTX95zUMLnUxvIXF8d5LJ/z9Y8XH/2TFVl/ySMwuG&#10;SvQoh8De4MDyqE7f+YKCHjoKCwMdU5XTS313j+KrZxbXLditvHUO+1ZCTexm8WZ2dnXE8RGk6j9g&#10;TWlgFzABDY0zUToSgxE6VelwqkykIuiQSj3NF+QS5Lug73KRUkDxdLtzPryTaFjclNxR5RM67O99&#10;iGygeAqJyTxqVW+U1slw22qtHdsDdckmfUf0n8K0ZX3Jrxf5YhTgrxBElr4/QRgVqN21MiW/OgVB&#10;EWV7a+vUjAGUHvdEWdujjlG6UcQwVEMq2EVMEDWusD6QsA7H7qZppE2L7jtnPXV2yf23HTjJmX5v&#10;qTjXs/k8jkIy5ovLnAx37qnOPWAFQZU8cDZu1yGNT9TN4i0VsVFJ32cmR8rUsUn243TFkTi3U9Tz&#10;P2D1AwAA//8DAFBLAwQUAAYACAAAACEAhtSSyd8AAAAJAQAADwAAAGRycy9kb3ducmV2LnhtbEyP&#10;wU7DMBBE70j8g7VIXBB1mkLahDgVQgLBDdoKrm68TSLidbDdNPw9ywmOOzOafVOuJ9uLEX3oHCmY&#10;zxIQSLUzHTUKdtvH6xWIEDUZ3TtCBd8YYF2dn5W6MO5EbzhuYiO4hEKhFbQxDoWUoW7R6jBzAxJ7&#10;B+etjnz6RhqvT1xue5kmSSat7og/tHrAhxbrz83RKljdPI8f4WXx+l5nhz6PV8vx6csrdXkx3d+B&#10;iDjFvzD84jM6VMy0d0cyQfQKsnTOWyIb+S0IDuSLjIW9gmWagKxK+X9B9QMAAP//AwBQSwECLQAU&#10;AAYACAAAACEAtoM4kv4AAADhAQAAEwAAAAAAAAAAAAAAAAAAAAAAW0NvbnRlbnRfVHlwZXNdLnht&#10;bFBLAQItABQABgAIAAAAIQA4/SH/1gAAAJQBAAALAAAAAAAAAAAAAAAAAC8BAABfcmVscy8ucmVs&#10;c1BLAQItABQABgAIAAAAIQDGA8eUJAIAAEsEAAAOAAAAAAAAAAAAAAAAAC4CAABkcnMvZTJvRG9j&#10;LnhtbFBLAQItABQABgAIAAAAIQCG1JLJ3wAAAAkBAAAPAAAAAAAAAAAAAAAAAH4EAABkcnMvZG93&#10;bnJldi54bWxQSwUGAAAAAAQABADzAAAAigUAAAAA&#10;">
                <v:textbox>
                  <w:txbxContent>
                    <w:p w14:paraId="40601909" w14:textId="01C61C8A" w:rsidR="00934E12" w:rsidRPr="00934E12" w:rsidRDefault="00934E12">
                      <w:pPr>
                        <w:rPr>
                          <w:sz w:val="20"/>
                        </w:rPr>
                      </w:pPr>
                      <w:r w:rsidRPr="00934E12">
                        <w:rPr>
                          <w:sz w:val="20"/>
                        </w:rPr>
                        <w:t>Figure 4: Copper alloy brooches</w:t>
                      </w:r>
                    </w:p>
                  </w:txbxContent>
                </v:textbox>
                <w10:wrap type="square"/>
              </v:shape>
            </w:pict>
          </mc:Fallback>
        </mc:AlternateContent>
      </w:r>
      <w:r w:rsidR="00585312" w:rsidRPr="00E22B76">
        <w:rPr>
          <w:sz w:val="24"/>
        </w:rPr>
        <w:t xml:space="preserve"> </w:t>
      </w:r>
      <w:r w:rsidRPr="00E22B76">
        <w:rPr>
          <w:sz w:val="24"/>
        </w:rPr>
        <w:t>Overall, the iron age cemetery of King Harry Lane in St. Albans has a vast array of archaeological evidence, stretching from brooches to pottery, both imported and locally made. Those burials that have imported goods in them may be of a higher social standing in the community as it may have been difficult to get imported goods to the area and may been expensive to buy or barter for.</w:t>
      </w:r>
      <w:r w:rsidR="00E22B76">
        <w:rPr>
          <w:sz w:val="24"/>
        </w:rPr>
        <w:t xml:space="preserve"> The fact of the matter is that we cannot determine the social status of the people in the burials solely based on the archaeological evidence we have because the evidence can be misleading or be interpreted in different ways. </w:t>
      </w:r>
      <w:r w:rsidRPr="00E22B76">
        <w:rPr>
          <w:sz w:val="24"/>
        </w:rPr>
        <w:t xml:space="preserve">  </w:t>
      </w:r>
    </w:p>
    <w:p w14:paraId="48E6C79C" w14:textId="58848476" w:rsidR="00223BAF" w:rsidRDefault="00223BAF" w:rsidP="001D0403">
      <w:pPr>
        <w:spacing w:line="276" w:lineRule="auto"/>
        <w:rPr>
          <w:sz w:val="24"/>
        </w:rPr>
      </w:pPr>
      <w:bookmarkStart w:id="0" w:name="_GoBack"/>
      <w:bookmarkEnd w:id="0"/>
    </w:p>
    <w:p w14:paraId="6EDA8612" w14:textId="059FEA31" w:rsidR="00223BAF" w:rsidRDefault="00223BAF" w:rsidP="001D0403">
      <w:pPr>
        <w:spacing w:line="276" w:lineRule="auto"/>
        <w:rPr>
          <w:sz w:val="24"/>
        </w:rPr>
      </w:pPr>
      <w:r>
        <w:rPr>
          <w:sz w:val="24"/>
        </w:rPr>
        <w:lastRenderedPageBreak/>
        <w:t xml:space="preserve">Bibliography </w:t>
      </w:r>
    </w:p>
    <w:p w14:paraId="62E80E66" w14:textId="49E8ED21" w:rsidR="00223BAF" w:rsidRPr="00306B78" w:rsidRDefault="00223BAF" w:rsidP="001D0403">
      <w:pPr>
        <w:spacing w:line="276" w:lineRule="auto"/>
        <w:rPr>
          <w:sz w:val="24"/>
        </w:rPr>
      </w:pPr>
      <w:r w:rsidRPr="00223BAF">
        <w:rPr>
          <w:sz w:val="24"/>
        </w:rPr>
        <w:t>Stead, I</w:t>
      </w:r>
      <w:r>
        <w:rPr>
          <w:sz w:val="24"/>
        </w:rPr>
        <w:t xml:space="preserve">. </w:t>
      </w:r>
      <w:r w:rsidRPr="00223BAF">
        <w:rPr>
          <w:sz w:val="24"/>
        </w:rPr>
        <w:t>M, and Rigby</w:t>
      </w:r>
      <w:r>
        <w:rPr>
          <w:sz w:val="24"/>
        </w:rPr>
        <w:t>,</w:t>
      </w:r>
      <w:r w:rsidRPr="00223BAF">
        <w:rPr>
          <w:sz w:val="24"/>
        </w:rPr>
        <w:t xml:space="preserve"> </w:t>
      </w:r>
      <w:r w:rsidRPr="00223BAF">
        <w:rPr>
          <w:sz w:val="24"/>
        </w:rPr>
        <w:t>V</w:t>
      </w:r>
      <w:r>
        <w:rPr>
          <w:sz w:val="24"/>
        </w:rPr>
        <w:t>.</w:t>
      </w:r>
      <w:r w:rsidRPr="00223BAF">
        <w:rPr>
          <w:sz w:val="24"/>
        </w:rPr>
        <w:t xml:space="preserve"> </w:t>
      </w:r>
      <w:r w:rsidRPr="00223BAF">
        <w:rPr>
          <w:i/>
          <w:sz w:val="24"/>
        </w:rPr>
        <w:t>Verulamium</w:t>
      </w:r>
      <w:r w:rsidRPr="00223BAF">
        <w:rPr>
          <w:i/>
          <w:sz w:val="24"/>
        </w:rPr>
        <w:t>: The King Harry Lane Site</w:t>
      </w:r>
      <w:r>
        <w:rPr>
          <w:sz w:val="24"/>
        </w:rPr>
        <w:t>,</w:t>
      </w:r>
      <w:r w:rsidRPr="00223BAF">
        <w:rPr>
          <w:sz w:val="24"/>
        </w:rPr>
        <w:t xml:space="preserve"> (London: English </w:t>
      </w:r>
      <w:r w:rsidR="008E7CDB" w:rsidRPr="00223BAF">
        <w:rPr>
          <w:sz w:val="24"/>
        </w:rPr>
        <w:t>Heritage</w:t>
      </w:r>
      <w:r w:rsidRPr="00223BAF">
        <w:rPr>
          <w:sz w:val="24"/>
        </w:rPr>
        <w:t xml:space="preserve"> in association with British Museum Publications, 1989)</w:t>
      </w:r>
    </w:p>
    <w:sectPr w:rsidR="00223BAF" w:rsidRPr="00306B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F16A64" w14:textId="77777777" w:rsidR="00A94A4F" w:rsidRDefault="00A94A4F" w:rsidP="00C3392A">
      <w:pPr>
        <w:spacing w:after="0" w:line="240" w:lineRule="auto"/>
      </w:pPr>
      <w:r>
        <w:separator/>
      </w:r>
    </w:p>
  </w:endnote>
  <w:endnote w:type="continuationSeparator" w:id="0">
    <w:p w14:paraId="316F0A8E" w14:textId="77777777" w:rsidR="00A94A4F" w:rsidRDefault="00A94A4F" w:rsidP="00C339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09BB57" w14:textId="77777777" w:rsidR="00A94A4F" w:rsidRDefault="00A94A4F" w:rsidP="00C3392A">
      <w:pPr>
        <w:spacing w:after="0" w:line="240" w:lineRule="auto"/>
      </w:pPr>
      <w:r>
        <w:separator/>
      </w:r>
    </w:p>
  </w:footnote>
  <w:footnote w:type="continuationSeparator" w:id="0">
    <w:p w14:paraId="34424805" w14:textId="77777777" w:rsidR="00A94A4F" w:rsidRDefault="00A94A4F" w:rsidP="00C3392A">
      <w:pPr>
        <w:spacing w:after="0" w:line="240" w:lineRule="auto"/>
      </w:pPr>
      <w:r>
        <w:continuationSeparator/>
      </w:r>
    </w:p>
  </w:footnote>
  <w:footnote w:id="1">
    <w:p w14:paraId="3C77653D" w14:textId="51399395" w:rsidR="00C3392A" w:rsidRDefault="00C3392A">
      <w:pPr>
        <w:pStyle w:val="FootnoteText"/>
      </w:pPr>
      <w:r>
        <w:rPr>
          <w:rStyle w:val="FootnoteReference"/>
        </w:rPr>
        <w:footnoteRef/>
      </w:r>
      <w:r>
        <w:t xml:space="preserve"> </w:t>
      </w:r>
      <w:r w:rsidRPr="00C3392A">
        <w:t>I</w:t>
      </w:r>
      <w:r w:rsidR="00596930">
        <w:t xml:space="preserve">.M. </w:t>
      </w:r>
      <w:r w:rsidRPr="00C3392A">
        <w:t>Stead and V</w:t>
      </w:r>
      <w:r w:rsidR="00596930">
        <w:t>.</w:t>
      </w:r>
      <w:r w:rsidRPr="00C3392A">
        <w:t xml:space="preserve"> Rigby,</w:t>
      </w:r>
      <w:r w:rsidR="00596930">
        <w:t xml:space="preserve"> (1989)</w:t>
      </w:r>
      <w:r w:rsidRPr="00C3392A">
        <w:t xml:space="preserve"> </w:t>
      </w:r>
      <w:r w:rsidRPr="00596930">
        <w:rPr>
          <w:i/>
        </w:rPr>
        <w:t>Verulamium</w:t>
      </w:r>
      <w:r w:rsidR="00596930">
        <w:t xml:space="preserve">: </w:t>
      </w:r>
      <w:r w:rsidR="00596930" w:rsidRPr="00596930">
        <w:rPr>
          <w:i/>
        </w:rPr>
        <w:t>The King Harry Lane Site,</w:t>
      </w:r>
      <w:r w:rsidRPr="00C3392A">
        <w:t xml:space="preserve"> (London: English </w:t>
      </w:r>
      <w:r w:rsidR="00596930" w:rsidRPr="00C3392A">
        <w:t>Heritage</w:t>
      </w:r>
      <w:r w:rsidRPr="00C3392A">
        <w:t xml:space="preserve"> in association with British Museum Publications), p. 85.</w:t>
      </w:r>
      <w:r w:rsidR="00596930">
        <w:t xml:space="preserve">   </w:t>
      </w:r>
    </w:p>
  </w:footnote>
  <w:footnote w:id="2">
    <w:p w14:paraId="0FC1F584" w14:textId="5B765CBA" w:rsidR="001D0403" w:rsidRDefault="001D0403">
      <w:pPr>
        <w:pStyle w:val="FootnoteText"/>
      </w:pPr>
      <w:r>
        <w:rPr>
          <w:rStyle w:val="FootnoteReference"/>
        </w:rPr>
        <w:footnoteRef/>
      </w:r>
      <w:r>
        <w:t xml:space="preserve"> </w:t>
      </w:r>
      <w:r w:rsidRPr="001D0403">
        <w:t>I.M. Stead and V. Rigby, (1989) Verulamium: The King Harry Lane Site, (London: English Heritage in association with British Museum Publications), p. 8</w:t>
      </w:r>
      <w:r>
        <w:t>4</w:t>
      </w:r>
    </w:p>
  </w:footnote>
  <w:footnote w:id="3">
    <w:p w14:paraId="0031B4B5" w14:textId="75D1E52B" w:rsidR="00C778F6" w:rsidRDefault="00C778F6">
      <w:pPr>
        <w:pStyle w:val="FootnoteText"/>
      </w:pPr>
      <w:r>
        <w:rPr>
          <w:rStyle w:val="FootnoteReference"/>
        </w:rPr>
        <w:footnoteRef/>
      </w:r>
      <w:r>
        <w:t xml:space="preserve"> </w:t>
      </w:r>
      <w:r w:rsidRPr="00C778F6">
        <w:t xml:space="preserve">I.M. Stead and V. Rigby, (1989) </w:t>
      </w:r>
      <w:r w:rsidRPr="00C778F6">
        <w:rPr>
          <w:i/>
        </w:rPr>
        <w:t>Verulamium: The King Harry Lane Site,</w:t>
      </w:r>
      <w:r w:rsidRPr="00C778F6">
        <w:t xml:space="preserve"> (London: English Heritage in association with British Museum Publications), p. 8</w:t>
      </w:r>
      <w:r>
        <w:t>3</w:t>
      </w:r>
    </w:p>
  </w:footnote>
  <w:footnote w:id="4">
    <w:p w14:paraId="1F834466" w14:textId="0BC7AFBE" w:rsidR="00934E12" w:rsidRDefault="00934E12">
      <w:pPr>
        <w:pStyle w:val="FootnoteText"/>
      </w:pPr>
      <w:r>
        <w:rPr>
          <w:rStyle w:val="FootnoteReference"/>
        </w:rPr>
        <w:footnoteRef/>
      </w:r>
      <w:r>
        <w:t xml:space="preserve"> </w:t>
      </w:r>
      <w:r w:rsidRPr="00934E12">
        <w:t xml:space="preserve">I.M. Stead and V. Rigby, (1989) Verulamium: The King Harry Lane Site, (London: English Heritage in association with British Museum Publications), p. </w:t>
      </w:r>
      <w:r>
        <w:t>92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B78"/>
    <w:rsid w:val="00152245"/>
    <w:rsid w:val="001D0403"/>
    <w:rsid w:val="001F14E1"/>
    <w:rsid w:val="002135ED"/>
    <w:rsid w:val="00220D7F"/>
    <w:rsid w:val="00223BAF"/>
    <w:rsid w:val="00257072"/>
    <w:rsid w:val="00275D96"/>
    <w:rsid w:val="00293B42"/>
    <w:rsid w:val="002D0094"/>
    <w:rsid w:val="00306B78"/>
    <w:rsid w:val="004334F8"/>
    <w:rsid w:val="00470D1E"/>
    <w:rsid w:val="004A299E"/>
    <w:rsid w:val="00507687"/>
    <w:rsid w:val="0053755A"/>
    <w:rsid w:val="00567B3E"/>
    <w:rsid w:val="00585312"/>
    <w:rsid w:val="00596930"/>
    <w:rsid w:val="00654767"/>
    <w:rsid w:val="00673430"/>
    <w:rsid w:val="006B5554"/>
    <w:rsid w:val="007056C7"/>
    <w:rsid w:val="00723663"/>
    <w:rsid w:val="007A7368"/>
    <w:rsid w:val="0081501E"/>
    <w:rsid w:val="00883A5B"/>
    <w:rsid w:val="008908DA"/>
    <w:rsid w:val="0089338F"/>
    <w:rsid w:val="008E7CDB"/>
    <w:rsid w:val="008F4EC2"/>
    <w:rsid w:val="00916DA8"/>
    <w:rsid w:val="00934E12"/>
    <w:rsid w:val="0093510D"/>
    <w:rsid w:val="0099094F"/>
    <w:rsid w:val="009B4FDF"/>
    <w:rsid w:val="00A45D66"/>
    <w:rsid w:val="00A760F9"/>
    <w:rsid w:val="00A8504A"/>
    <w:rsid w:val="00A94A4F"/>
    <w:rsid w:val="00A94BD0"/>
    <w:rsid w:val="00B9100D"/>
    <w:rsid w:val="00C32585"/>
    <w:rsid w:val="00C3392A"/>
    <w:rsid w:val="00C360D3"/>
    <w:rsid w:val="00C778F6"/>
    <w:rsid w:val="00CA1E2E"/>
    <w:rsid w:val="00D67BEA"/>
    <w:rsid w:val="00D77412"/>
    <w:rsid w:val="00D82BD7"/>
    <w:rsid w:val="00D91538"/>
    <w:rsid w:val="00E22B76"/>
    <w:rsid w:val="00E5507A"/>
    <w:rsid w:val="00E8121D"/>
    <w:rsid w:val="00E8751E"/>
    <w:rsid w:val="00EC58F6"/>
    <w:rsid w:val="00F24444"/>
    <w:rsid w:val="00F4479F"/>
    <w:rsid w:val="00F71F62"/>
    <w:rsid w:val="00F83427"/>
    <w:rsid w:val="00FA2344"/>
    <w:rsid w:val="00FB3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C7204"/>
  <w15:chartTrackingRefBased/>
  <w15:docId w15:val="{12870C3D-9BB9-4228-922C-33D65BA35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06B7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339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3392A"/>
    <w:rPr>
      <w:sz w:val="20"/>
      <w:szCs w:val="20"/>
    </w:rPr>
  </w:style>
  <w:style w:type="character" w:styleId="FootnoteReference">
    <w:name w:val="footnote reference"/>
    <w:basedOn w:val="DefaultParagraphFont"/>
    <w:uiPriority w:val="99"/>
    <w:semiHidden/>
    <w:unhideWhenUsed/>
    <w:rsid w:val="00C3392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0877EF-4988-492D-BDE8-4C7E1BAF1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1046</Words>
  <Characters>4864</Characters>
  <Application>Microsoft Office Word</Application>
  <DocSecurity>0</DocSecurity>
  <Lines>83</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James</dc:creator>
  <cp:keywords/>
  <dc:description/>
  <cp:lastModifiedBy>Alun James</cp:lastModifiedBy>
  <cp:revision>4</cp:revision>
  <dcterms:created xsi:type="dcterms:W3CDTF">2019-01-25T21:53:00Z</dcterms:created>
  <dcterms:modified xsi:type="dcterms:W3CDTF">2019-01-25T21:56:00Z</dcterms:modified>
</cp:coreProperties>
</file>