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C222E" w14:textId="77777777" w:rsidR="00B84936" w:rsidRPr="00C63180" w:rsidRDefault="001D1521">
      <w:pPr>
        <w:tabs>
          <w:tab w:val="left" w:pos="8190"/>
        </w:tabs>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rPr>
        <w:t> </w:t>
      </w:r>
    </w:p>
    <w:p w14:paraId="5FB80691" w14:textId="77777777" w:rsidR="00B84936" w:rsidRPr="00C63180" w:rsidRDefault="00B84936">
      <w:pPr>
        <w:jc w:val="center"/>
        <w:rPr>
          <w:rFonts w:ascii="Times New Roman" w:eastAsia="Times New Roman" w:hAnsi="Times New Roman" w:cs="Times New Roman"/>
          <w:b/>
          <w:color w:val="000000"/>
        </w:rPr>
      </w:pPr>
    </w:p>
    <w:p w14:paraId="31E0C9EF"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rPr>
        <w:t> </w:t>
      </w:r>
      <w:r w:rsidRPr="00C63180">
        <w:rPr>
          <w:rFonts w:ascii="Times New Roman" w:eastAsia="Times New Roman" w:hAnsi="Times New Roman" w:cs="Times New Roman"/>
          <w:b/>
          <w:noProof/>
          <w:color w:val="000000"/>
        </w:rPr>
        <w:drawing>
          <wp:inline distT="0" distB="0" distL="0" distR="0" wp14:anchorId="4D159691" wp14:editId="503E136A">
            <wp:extent cx="1999288" cy="659184"/>
            <wp:effectExtent l="0" t="0" r="0" b="0"/>
            <wp:docPr id="12" name="image10.png" descr="https://lh4.googleusercontent.com/X9X-w0IaFB2AfZ9DH3vT72vxAJQ92LEtXQPJsQhrmZc8VffEr9GVRPpS43PnZucmqJdrP_H6DUgH9S8NHNKMFyT4MOcmEwhZhGSpxxgltOK34fMSMYZxje4xENb4XOUVk-EqTF0B"/>
            <wp:cNvGraphicFramePr/>
            <a:graphic xmlns:a="http://schemas.openxmlformats.org/drawingml/2006/main">
              <a:graphicData uri="http://schemas.openxmlformats.org/drawingml/2006/picture">
                <pic:pic xmlns:pic="http://schemas.openxmlformats.org/drawingml/2006/picture">
                  <pic:nvPicPr>
                    <pic:cNvPr id="0" name="image10.png" descr="https://lh4.googleusercontent.com/X9X-w0IaFB2AfZ9DH3vT72vxAJQ92LEtXQPJsQhrmZc8VffEr9GVRPpS43PnZucmqJdrP_H6DUgH9S8NHNKMFyT4MOcmEwhZhGSpxxgltOK34fMSMYZxje4xENb4XOUVk-EqTF0B"/>
                    <pic:cNvPicPr preferRelativeResize="0"/>
                  </pic:nvPicPr>
                  <pic:blipFill>
                    <a:blip r:embed="rId10"/>
                    <a:srcRect/>
                    <a:stretch>
                      <a:fillRect/>
                    </a:stretch>
                  </pic:blipFill>
                  <pic:spPr>
                    <a:xfrm>
                      <a:off x="0" y="0"/>
                      <a:ext cx="1999288" cy="659184"/>
                    </a:xfrm>
                    <a:prstGeom prst="rect">
                      <a:avLst/>
                    </a:prstGeom>
                    <a:ln/>
                  </pic:spPr>
                </pic:pic>
              </a:graphicData>
            </a:graphic>
          </wp:inline>
        </w:drawing>
      </w:r>
    </w:p>
    <w:p w14:paraId="17AFA6D3" w14:textId="77777777" w:rsidR="00B84936" w:rsidRPr="00C63180" w:rsidRDefault="001D1521">
      <w:pPr>
        <w:spacing w:after="240"/>
        <w:rPr>
          <w:rFonts w:ascii="Times New Roman" w:eastAsia="Times New Roman" w:hAnsi="Times New Roman" w:cs="Times New Roman"/>
          <w:sz w:val="20"/>
          <w:szCs w:val="20"/>
        </w:rPr>
      </w:pP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p>
    <w:p w14:paraId="489FADB1" w14:textId="77777777" w:rsidR="00B84936" w:rsidRPr="00C63180" w:rsidRDefault="00B84936">
      <w:pPr>
        <w:spacing w:after="240"/>
        <w:rPr>
          <w:rFonts w:ascii="Times New Roman" w:eastAsia="Times New Roman" w:hAnsi="Times New Roman" w:cs="Times New Roman"/>
          <w:sz w:val="20"/>
          <w:szCs w:val="20"/>
        </w:rPr>
      </w:pPr>
    </w:p>
    <w:p w14:paraId="30D72C41" w14:textId="77777777" w:rsidR="00B84936" w:rsidRPr="00C63180" w:rsidRDefault="00B84936">
      <w:pPr>
        <w:spacing w:after="240"/>
        <w:rPr>
          <w:rFonts w:ascii="Times New Roman" w:eastAsia="Times New Roman" w:hAnsi="Times New Roman" w:cs="Times New Roman"/>
          <w:sz w:val="20"/>
          <w:szCs w:val="20"/>
        </w:rPr>
      </w:pPr>
    </w:p>
    <w:p w14:paraId="49C981FE" w14:textId="77777777" w:rsidR="00B84936" w:rsidRPr="00C63180" w:rsidRDefault="00B84936">
      <w:pPr>
        <w:jc w:val="center"/>
        <w:rPr>
          <w:rFonts w:ascii="Times New Roman" w:eastAsia="Times New Roman" w:hAnsi="Times New Roman" w:cs="Times New Roman"/>
          <w:b/>
          <w:color w:val="000000"/>
          <w:sz w:val="40"/>
          <w:szCs w:val="40"/>
        </w:rPr>
      </w:pPr>
    </w:p>
    <w:p w14:paraId="528CD8F2" w14:textId="77777777" w:rsidR="00B84936" w:rsidRPr="00C63180" w:rsidRDefault="001D1521">
      <w:pPr>
        <w:jc w:val="center"/>
        <w:rPr>
          <w:rFonts w:ascii="Times New Roman" w:eastAsia="Times New Roman" w:hAnsi="Times New Roman" w:cs="Times New Roman"/>
          <w:b/>
          <w:color w:val="000000"/>
          <w:sz w:val="40"/>
          <w:szCs w:val="40"/>
        </w:rPr>
      </w:pPr>
      <w:r w:rsidRPr="00C63180">
        <w:rPr>
          <w:rFonts w:ascii="Times New Roman" w:eastAsia="Times New Roman" w:hAnsi="Times New Roman" w:cs="Times New Roman"/>
          <w:b/>
          <w:color w:val="000000"/>
          <w:sz w:val="40"/>
          <w:szCs w:val="40"/>
        </w:rPr>
        <w:t xml:space="preserve">SBMA7123D: Dissertation </w:t>
      </w:r>
    </w:p>
    <w:p w14:paraId="006B966F"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sz w:val="40"/>
          <w:szCs w:val="40"/>
        </w:rPr>
        <w:t>Master of Business Administration (MBA)</w:t>
      </w:r>
    </w:p>
    <w:p w14:paraId="3A76BD9F" w14:textId="73E1BFCB" w:rsidR="00B84936" w:rsidRPr="00C63180" w:rsidRDefault="00217056">
      <w:pPr>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rPr>
        <w:t>April</w:t>
      </w:r>
      <w:r w:rsidR="001D1521" w:rsidRPr="00C63180">
        <w:rPr>
          <w:rFonts w:ascii="Times New Roman" w:eastAsia="Times New Roman" w:hAnsi="Times New Roman" w:cs="Times New Roman"/>
          <w:b/>
          <w:color w:val="000000"/>
        </w:rPr>
        <w:t xml:space="preserve"> 2020</w:t>
      </w:r>
    </w:p>
    <w:p w14:paraId="7855576C"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rPr>
        <w:t> </w:t>
      </w:r>
    </w:p>
    <w:p w14:paraId="7D07CDA8" w14:textId="77777777" w:rsidR="00B84936" w:rsidRPr="00C63180" w:rsidRDefault="00B84936">
      <w:pPr>
        <w:rPr>
          <w:rFonts w:ascii="Times New Roman" w:eastAsia="Times New Roman" w:hAnsi="Times New Roman" w:cs="Times New Roman"/>
          <w:sz w:val="20"/>
          <w:szCs w:val="20"/>
        </w:rPr>
      </w:pPr>
    </w:p>
    <w:p w14:paraId="2F6996F3"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b/>
          <w:color w:val="000000"/>
        </w:rPr>
        <w:t> </w:t>
      </w:r>
    </w:p>
    <w:p w14:paraId="00D0B7EE"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sz w:val="28"/>
          <w:szCs w:val="28"/>
        </w:rPr>
        <w:t> </w:t>
      </w:r>
    </w:p>
    <w:p w14:paraId="622CDC28" w14:textId="77777777" w:rsidR="00B84936" w:rsidRPr="00C63180" w:rsidRDefault="001D1521">
      <w:pPr>
        <w:jc w:val="center"/>
        <w:rPr>
          <w:rFonts w:ascii="Times New Roman" w:eastAsia="Times New Roman" w:hAnsi="Times New Roman" w:cs="Times New Roman"/>
          <w:sz w:val="20"/>
          <w:szCs w:val="20"/>
        </w:rPr>
      </w:pPr>
      <w:proofErr w:type="spellStart"/>
      <w:r w:rsidRPr="00C63180">
        <w:rPr>
          <w:rFonts w:ascii="Times New Roman" w:eastAsia="Times New Roman" w:hAnsi="Times New Roman" w:cs="Times New Roman"/>
          <w:b/>
          <w:color w:val="000000"/>
          <w:sz w:val="28"/>
          <w:szCs w:val="28"/>
        </w:rPr>
        <w:t>Intersectionality</w:t>
      </w:r>
      <w:proofErr w:type="spellEnd"/>
      <w:r w:rsidRPr="00C63180">
        <w:rPr>
          <w:rFonts w:ascii="Times New Roman" w:eastAsia="Times New Roman" w:hAnsi="Times New Roman" w:cs="Times New Roman"/>
          <w:b/>
          <w:color w:val="000000"/>
          <w:sz w:val="28"/>
          <w:szCs w:val="28"/>
        </w:rPr>
        <w:t xml:space="preserve"> in the New Gilded Age: Diversity &amp; Inclusion, Guaranteed Jobs, and Workplace Democracy</w:t>
      </w:r>
    </w:p>
    <w:p w14:paraId="6E06DB4C"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 </w:t>
      </w:r>
    </w:p>
    <w:p w14:paraId="1817E614"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 </w:t>
      </w:r>
    </w:p>
    <w:p w14:paraId="67E23D4B"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 </w:t>
      </w:r>
    </w:p>
    <w:p w14:paraId="6D5650A4"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 </w:t>
      </w:r>
    </w:p>
    <w:p w14:paraId="2360A116"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 </w:t>
      </w:r>
    </w:p>
    <w:p w14:paraId="4D10860F" w14:textId="77777777" w:rsidR="00B84936" w:rsidRPr="00C63180" w:rsidRDefault="00B84936">
      <w:pPr>
        <w:rPr>
          <w:rFonts w:ascii="Times New Roman" w:eastAsia="Times New Roman" w:hAnsi="Times New Roman" w:cs="Times New Roman"/>
          <w:sz w:val="20"/>
          <w:szCs w:val="20"/>
        </w:rPr>
      </w:pPr>
    </w:p>
    <w:p w14:paraId="0DF3C8B7"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Justin Fernando (Student ID Number: 1705758)</w:t>
      </w:r>
    </w:p>
    <w:p w14:paraId="5C67D119" w14:textId="77777777" w:rsidR="00B84936" w:rsidRPr="00C63180" w:rsidRDefault="001D1521">
      <w:pPr>
        <w:jc w:val="center"/>
        <w:rPr>
          <w:rFonts w:ascii="Times New Roman" w:eastAsia="Times New Roman" w:hAnsi="Times New Roman" w:cs="Times New Roman"/>
          <w:sz w:val="20"/>
          <w:szCs w:val="20"/>
        </w:rPr>
      </w:pPr>
      <w:r w:rsidRPr="00C63180">
        <w:rPr>
          <w:rFonts w:ascii="Times New Roman" w:eastAsia="Times New Roman" w:hAnsi="Times New Roman" w:cs="Times New Roman"/>
          <w:color w:val="000000"/>
        </w:rPr>
        <w:t>Supervisor: Dr. Alex Bell</w:t>
      </w:r>
    </w:p>
    <w:p w14:paraId="15CD83E7" w14:textId="77777777" w:rsidR="00B84936" w:rsidRPr="00C63180" w:rsidRDefault="001D1521">
      <w:pPr>
        <w:spacing w:after="240"/>
        <w:rPr>
          <w:rFonts w:ascii="Times New Roman" w:eastAsia="Times New Roman" w:hAnsi="Times New Roman" w:cs="Times New Roman"/>
          <w:sz w:val="20"/>
          <w:szCs w:val="20"/>
        </w:rPr>
      </w:pP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p>
    <w:p w14:paraId="0849E3E7" w14:textId="77777777" w:rsidR="00B84936" w:rsidRPr="00C63180" w:rsidRDefault="00B84936">
      <w:pPr>
        <w:spacing w:after="240"/>
        <w:rPr>
          <w:rFonts w:ascii="Times New Roman" w:eastAsia="Times New Roman" w:hAnsi="Times New Roman" w:cs="Times New Roman"/>
          <w:sz w:val="20"/>
          <w:szCs w:val="20"/>
        </w:rPr>
      </w:pPr>
    </w:p>
    <w:p w14:paraId="15B8C420" w14:textId="77777777" w:rsidR="00B84936" w:rsidRPr="00C63180" w:rsidRDefault="001D1521">
      <w:pPr>
        <w:spacing w:after="240"/>
        <w:rPr>
          <w:rFonts w:ascii="Times New Roman" w:eastAsia="Times New Roman" w:hAnsi="Times New Roman" w:cs="Times New Roman"/>
          <w:sz w:val="20"/>
          <w:szCs w:val="20"/>
        </w:rPr>
      </w:pPr>
      <w:bookmarkStart w:id="0" w:name="_heading=h.gjdgxs" w:colFirst="0" w:colLast="0"/>
      <w:bookmarkEnd w:id="0"/>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sz w:val="20"/>
          <w:szCs w:val="20"/>
        </w:rPr>
        <w:br/>
      </w:r>
      <w:r w:rsidRPr="00C63180">
        <w:rPr>
          <w:rFonts w:ascii="Times New Roman" w:eastAsia="Times New Roman" w:hAnsi="Times New Roman" w:cs="Times New Roman"/>
        </w:rPr>
        <w:br/>
      </w:r>
      <w:r w:rsidRPr="00C63180">
        <w:rPr>
          <w:rFonts w:ascii="Times New Roman" w:eastAsia="Times New Roman" w:hAnsi="Times New Roman" w:cs="Times New Roman"/>
        </w:rPr>
        <w:br/>
      </w:r>
    </w:p>
    <w:p w14:paraId="6C48C3BC" w14:textId="77777777" w:rsidR="00B84936" w:rsidRPr="00C63180" w:rsidRDefault="001D1521" w:rsidP="00716C9E">
      <w:pPr>
        <w:pStyle w:val="Heading1"/>
        <w:rPr>
          <w:rFonts w:ascii="Times New Roman" w:hAnsi="Times New Roman"/>
          <w:sz w:val="24"/>
          <w:szCs w:val="24"/>
        </w:rPr>
      </w:pPr>
      <w:bookmarkStart w:id="1" w:name="_Toc448400697"/>
      <w:r w:rsidRPr="00C63180">
        <w:rPr>
          <w:rFonts w:ascii="Times New Roman" w:hAnsi="Times New Roman"/>
          <w:sz w:val="24"/>
          <w:szCs w:val="24"/>
        </w:rPr>
        <w:lastRenderedPageBreak/>
        <w:t>DECLARATION</w:t>
      </w:r>
      <w:bookmarkEnd w:id="1"/>
    </w:p>
    <w:p w14:paraId="3E89E168" w14:textId="77777777" w:rsidR="00B84936" w:rsidRPr="00C63180" w:rsidRDefault="001D1521">
      <w:pPr>
        <w:ind w:left="720" w:hanging="630"/>
        <w:jc w:val="both"/>
        <w:rPr>
          <w:rFonts w:ascii="Times New Roman" w:eastAsia="Times New Roman" w:hAnsi="Times New Roman" w:cs="Times New Roman"/>
        </w:rPr>
      </w:pPr>
      <w:r w:rsidRPr="00C63180">
        <w:rPr>
          <w:rFonts w:ascii="Times New Roman" w:eastAsia="Times New Roman" w:hAnsi="Times New Roman" w:cs="Times New Roman"/>
        </w:rPr>
        <w:tab/>
      </w:r>
    </w:p>
    <w:p w14:paraId="4A993204" w14:textId="77777777" w:rsidR="00B84936" w:rsidRPr="00C63180" w:rsidRDefault="001D1521">
      <w:pPr>
        <w:rPr>
          <w:rFonts w:ascii="Times New Roman" w:eastAsia="Times New Roman" w:hAnsi="Times New Roman" w:cs="Times New Roman"/>
        </w:rPr>
      </w:pPr>
      <w:r w:rsidRPr="00C63180">
        <w:rPr>
          <w:rFonts w:ascii="Times New Roman" w:eastAsia="Times New Roman" w:hAnsi="Times New Roman" w:cs="Times New Roman"/>
        </w:rPr>
        <w:t>This work has not previously been accepted in substance for any degree and is not being concurrently submitted in candidature for any degree.</w:t>
      </w:r>
      <w:r w:rsidRPr="00C63180">
        <w:rPr>
          <w:rFonts w:ascii="Times New Roman" w:eastAsia="Times New Roman" w:hAnsi="Times New Roman" w:cs="Times New Roman"/>
        </w:rPr>
        <w:tab/>
      </w:r>
    </w:p>
    <w:p w14:paraId="7220981F" w14:textId="77777777" w:rsidR="00B84936" w:rsidRPr="00C63180" w:rsidRDefault="00B84936">
      <w:pPr>
        <w:rPr>
          <w:rFonts w:ascii="Times New Roman" w:eastAsia="Times New Roman" w:hAnsi="Times New Roman" w:cs="Times New Roman"/>
        </w:rPr>
      </w:pPr>
    </w:p>
    <w:p w14:paraId="6778C0D7" w14:textId="3FE69891" w:rsidR="00B84936" w:rsidRPr="00C63180" w:rsidRDefault="001D1521">
      <w:pPr>
        <w:rPr>
          <w:rFonts w:ascii="Times New Roman" w:eastAsia="Times New Roman" w:hAnsi="Times New Roman" w:cs="Times New Roman"/>
        </w:rPr>
      </w:pPr>
      <w:r w:rsidRPr="00C63180">
        <w:rPr>
          <w:rFonts w:ascii="Times New Roman" w:eastAsia="Times New Roman" w:hAnsi="Times New Roman" w:cs="Times New Roman"/>
        </w:rPr>
        <w:t xml:space="preserve">Signed </w:t>
      </w:r>
      <w:r w:rsidRPr="00C63180">
        <w:rPr>
          <w:rFonts w:ascii="Times New Roman" w:eastAsia="Times New Roman" w:hAnsi="Times New Roman" w:cs="Times New Roman"/>
          <w:b/>
          <w:i/>
        </w:rPr>
        <w:t>Justin Fernando</w:t>
      </w:r>
      <w:r w:rsidRPr="00C63180">
        <w:rPr>
          <w:rFonts w:ascii="Times New Roman" w:eastAsia="Times New Roman" w:hAnsi="Times New Roman" w:cs="Times New Roman"/>
        </w:rPr>
        <w:t xml:space="preserve"> (candidate)</w:t>
      </w:r>
      <w:r w:rsidRPr="00C63180">
        <w:rPr>
          <w:rFonts w:ascii="Times New Roman" w:eastAsia="Times New Roman" w:hAnsi="Times New Roman" w:cs="Times New Roman"/>
        </w:rPr>
        <w:tab/>
      </w:r>
      <w:r w:rsidRPr="00C63180">
        <w:rPr>
          <w:rFonts w:ascii="Times New Roman" w:eastAsia="Times New Roman" w:hAnsi="Times New Roman" w:cs="Times New Roman"/>
        </w:rPr>
        <w:br/>
        <w:t xml:space="preserve">Date </w:t>
      </w:r>
      <w:r w:rsidR="00B72598" w:rsidRPr="00C63180">
        <w:rPr>
          <w:rFonts w:ascii="Times New Roman" w:eastAsia="Times New Roman" w:hAnsi="Times New Roman" w:cs="Times New Roman"/>
        </w:rPr>
        <w:t>13 April 2020</w:t>
      </w:r>
      <w:r w:rsidRPr="00C63180">
        <w:rPr>
          <w:rFonts w:ascii="Times New Roman" w:eastAsia="Times New Roman" w:hAnsi="Times New Roman" w:cs="Times New Roman"/>
        </w:rPr>
        <w:tab/>
      </w:r>
    </w:p>
    <w:p w14:paraId="1E8AE162" w14:textId="77777777" w:rsidR="00B84936" w:rsidRPr="00C63180" w:rsidRDefault="00B84936">
      <w:pPr>
        <w:ind w:left="720"/>
        <w:jc w:val="both"/>
        <w:rPr>
          <w:rFonts w:ascii="Times New Roman" w:eastAsia="Times New Roman" w:hAnsi="Times New Roman" w:cs="Times New Roman"/>
        </w:rPr>
      </w:pPr>
    </w:p>
    <w:p w14:paraId="50F527F2" w14:textId="77777777" w:rsidR="00B84936" w:rsidRPr="00C63180" w:rsidRDefault="00B84936">
      <w:pPr>
        <w:ind w:left="720"/>
        <w:jc w:val="both"/>
        <w:rPr>
          <w:rFonts w:ascii="Times New Roman" w:eastAsia="Times New Roman" w:hAnsi="Times New Roman" w:cs="Times New Roman"/>
        </w:rPr>
      </w:pPr>
    </w:p>
    <w:p w14:paraId="680A435B"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STATEMENT 1</w:t>
      </w:r>
      <w:r w:rsidRPr="00C63180">
        <w:rPr>
          <w:rFonts w:ascii="Times New Roman" w:eastAsia="Times New Roman" w:hAnsi="Times New Roman" w:cs="Times New Roman"/>
        </w:rPr>
        <w:tab/>
      </w:r>
    </w:p>
    <w:p w14:paraId="6CC6EF18" w14:textId="77777777" w:rsidR="00B84936" w:rsidRPr="00C63180" w:rsidRDefault="00B84936">
      <w:pPr>
        <w:jc w:val="both"/>
        <w:rPr>
          <w:rFonts w:ascii="Times New Roman" w:eastAsia="Times New Roman" w:hAnsi="Times New Roman" w:cs="Times New Roman"/>
        </w:rPr>
      </w:pPr>
    </w:p>
    <w:p w14:paraId="26CF6148"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This work is the result of my own investigations, except where otherwise stated. </w:t>
      </w:r>
    </w:p>
    <w:p w14:paraId="7CD3E0D8" w14:textId="77777777" w:rsidR="00B84936" w:rsidRPr="00C63180" w:rsidRDefault="00B84936">
      <w:pPr>
        <w:jc w:val="both"/>
        <w:rPr>
          <w:rFonts w:ascii="Times New Roman" w:eastAsia="Times New Roman" w:hAnsi="Times New Roman" w:cs="Times New Roman"/>
        </w:rPr>
      </w:pPr>
    </w:p>
    <w:p w14:paraId="6765A891"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Other sources are acknowledged by footnotes giving explicit references.  A bibliography is appended.</w:t>
      </w:r>
    </w:p>
    <w:p w14:paraId="4200A44F" w14:textId="77777777" w:rsidR="00B84936" w:rsidRPr="00C63180" w:rsidRDefault="00B84936">
      <w:pPr>
        <w:jc w:val="both"/>
        <w:rPr>
          <w:rFonts w:ascii="Times New Roman" w:eastAsia="Times New Roman" w:hAnsi="Times New Roman" w:cs="Times New Roman"/>
        </w:rPr>
      </w:pPr>
    </w:p>
    <w:p w14:paraId="2DAC382D"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Signed </w:t>
      </w:r>
      <w:r w:rsidRPr="00C63180">
        <w:rPr>
          <w:rFonts w:ascii="Times New Roman" w:eastAsia="Times New Roman" w:hAnsi="Times New Roman" w:cs="Times New Roman"/>
          <w:b/>
          <w:i/>
        </w:rPr>
        <w:t>Justin Fernando</w:t>
      </w:r>
      <w:r w:rsidRPr="00C63180">
        <w:rPr>
          <w:rFonts w:ascii="Times New Roman" w:eastAsia="Times New Roman" w:hAnsi="Times New Roman" w:cs="Times New Roman"/>
        </w:rPr>
        <w:t xml:space="preserve"> (candidate)</w:t>
      </w:r>
      <w:r w:rsidRPr="00C63180">
        <w:rPr>
          <w:rFonts w:ascii="Times New Roman" w:eastAsia="Times New Roman" w:hAnsi="Times New Roman" w:cs="Times New Roman"/>
        </w:rPr>
        <w:tab/>
      </w:r>
    </w:p>
    <w:p w14:paraId="42F3E925" w14:textId="6C6084F1"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Date </w:t>
      </w:r>
      <w:r w:rsidR="00B72598" w:rsidRPr="00C63180">
        <w:rPr>
          <w:rFonts w:ascii="Times New Roman" w:eastAsia="Times New Roman" w:hAnsi="Times New Roman" w:cs="Times New Roman"/>
        </w:rPr>
        <w:t>13 April 2020</w:t>
      </w:r>
    </w:p>
    <w:p w14:paraId="2243FF45" w14:textId="77777777" w:rsidR="00B84936" w:rsidRPr="00C63180" w:rsidRDefault="00B84936">
      <w:pPr>
        <w:jc w:val="both"/>
        <w:rPr>
          <w:rFonts w:ascii="Times New Roman" w:eastAsia="Times New Roman" w:hAnsi="Times New Roman" w:cs="Times New Roman"/>
        </w:rPr>
      </w:pPr>
    </w:p>
    <w:p w14:paraId="25A4B0D7" w14:textId="77777777" w:rsidR="00B84936" w:rsidRPr="00C63180" w:rsidRDefault="00B84936">
      <w:pPr>
        <w:jc w:val="both"/>
        <w:rPr>
          <w:rFonts w:ascii="Times New Roman" w:eastAsia="Times New Roman" w:hAnsi="Times New Roman" w:cs="Times New Roman"/>
        </w:rPr>
      </w:pPr>
    </w:p>
    <w:p w14:paraId="3A20F97A"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STATEMENT 2</w:t>
      </w:r>
      <w:r w:rsidRPr="00C63180">
        <w:rPr>
          <w:rFonts w:ascii="Times New Roman" w:eastAsia="Times New Roman" w:hAnsi="Times New Roman" w:cs="Times New Roman"/>
        </w:rPr>
        <w:tab/>
      </w:r>
    </w:p>
    <w:p w14:paraId="1E0FA134" w14:textId="77777777" w:rsidR="00B84936" w:rsidRPr="00C63180" w:rsidRDefault="00B84936">
      <w:pPr>
        <w:jc w:val="both"/>
        <w:rPr>
          <w:rFonts w:ascii="Times New Roman" w:eastAsia="Times New Roman" w:hAnsi="Times New Roman" w:cs="Times New Roman"/>
        </w:rPr>
      </w:pPr>
    </w:p>
    <w:p w14:paraId="58A8003C"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I hereby give consent for my work, if accepted, to be available for photocopying and for inter-library loan, and for the title and summary to be made available to outside </w:t>
      </w:r>
      <w:proofErr w:type="spellStart"/>
      <w:r w:rsidRPr="00C63180">
        <w:rPr>
          <w:rFonts w:ascii="Times New Roman" w:eastAsia="Times New Roman" w:hAnsi="Times New Roman" w:cs="Times New Roman"/>
        </w:rPr>
        <w:t>organisations</w:t>
      </w:r>
      <w:proofErr w:type="spellEnd"/>
      <w:r w:rsidRPr="00C63180">
        <w:rPr>
          <w:rFonts w:ascii="Times New Roman" w:eastAsia="Times New Roman" w:hAnsi="Times New Roman" w:cs="Times New Roman"/>
        </w:rPr>
        <w:t>.</w:t>
      </w:r>
      <w:r w:rsidRPr="00C63180">
        <w:rPr>
          <w:rFonts w:ascii="Times New Roman" w:eastAsia="Times New Roman" w:hAnsi="Times New Roman" w:cs="Times New Roman"/>
        </w:rPr>
        <w:tab/>
      </w:r>
    </w:p>
    <w:p w14:paraId="401DEE6A" w14:textId="77777777" w:rsidR="00B84936" w:rsidRPr="00C63180" w:rsidRDefault="00B84936">
      <w:pPr>
        <w:jc w:val="both"/>
        <w:rPr>
          <w:rFonts w:ascii="Times New Roman" w:eastAsia="Times New Roman" w:hAnsi="Times New Roman" w:cs="Times New Roman"/>
        </w:rPr>
      </w:pPr>
    </w:p>
    <w:p w14:paraId="57503292"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Signed </w:t>
      </w:r>
      <w:r w:rsidRPr="00C63180">
        <w:rPr>
          <w:rFonts w:ascii="Times New Roman" w:eastAsia="Times New Roman" w:hAnsi="Times New Roman" w:cs="Times New Roman"/>
          <w:b/>
          <w:i/>
        </w:rPr>
        <w:t>Justin Fernando</w:t>
      </w:r>
      <w:r w:rsidRPr="00C63180">
        <w:rPr>
          <w:rFonts w:ascii="Times New Roman" w:eastAsia="Times New Roman" w:hAnsi="Times New Roman" w:cs="Times New Roman"/>
        </w:rPr>
        <w:t xml:space="preserve"> (candidate)</w:t>
      </w:r>
      <w:r w:rsidRPr="00C63180">
        <w:rPr>
          <w:rFonts w:ascii="Times New Roman" w:eastAsia="Times New Roman" w:hAnsi="Times New Roman" w:cs="Times New Roman"/>
        </w:rPr>
        <w:tab/>
      </w:r>
    </w:p>
    <w:p w14:paraId="3AB0F19E" w14:textId="77777777" w:rsidR="00B84936" w:rsidRPr="00C63180" w:rsidRDefault="00B84936">
      <w:pPr>
        <w:jc w:val="both"/>
        <w:rPr>
          <w:rFonts w:ascii="Times New Roman" w:eastAsia="Times New Roman" w:hAnsi="Times New Roman" w:cs="Times New Roman"/>
        </w:rPr>
      </w:pPr>
    </w:p>
    <w:p w14:paraId="3132076D" w14:textId="0AFDA8CF" w:rsidR="00B84936" w:rsidRPr="00C63180" w:rsidRDefault="00B72598">
      <w:pPr>
        <w:jc w:val="both"/>
        <w:rPr>
          <w:rFonts w:ascii="Times New Roman" w:eastAsia="Times New Roman" w:hAnsi="Times New Roman" w:cs="Times New Roman"/>
        </w:rPr>
      </w:pPr>
      <w:r w:rsidRPr="00C63180">
        <w:rPr>
          <w:rFonts w:ascii="Times New Roman" w:eastAsia="Times New Roman" w:hAnsi="Times New Roman" w:cs="Times New Roman"/>
        </w:rPr>
        <w:t>Date 13 April 2020</w:t>
      </w:r>
    </w:p>
    <w:p w14:paraId="6753AFF2" w14:textId="77777777" w:rsidR="00B84936" w:rsidRPr="00C63180" w:rsidRDefault="00B84936">
      <w:pPr>
        <w:jc w:val="both"/>
        <w:rPr>
          <w:rFonts w:ascii="Times New Roman" w:eastAsia="Times New Roman" w:hAnsi="Times New Roman" w:cs="Times New Roman"/>
        </w:rPr>
      </w:pPr>
    </w:p>
    <w:p w14:paraId="1091BE78" w14:textId="77777777" w:rsidR="00B84936" w:rsidRPr="00C63180" w:rsidRDefault="00B84936">
      <w:pPr>
        <w:tabs>
          <w:tab w:val="left" w:pos="-720"/>
        </w:tabs>
        <w:jc w:val="both"/>
        <w:rPr>
          <w:rFonts w:ascii="Times New Roman" w:eastAsia="Times New Roman" w:hAnsi="Times New Roman" w:cs="Times New Roman"/>
        </w:rPr>
      </w:pPr>
    </w:p>
    <w:p w14:paraId="4244B61E" w14:textId="77777777" w:rsidR="00B84936" w:rsidRPr="00C63180" w:rsidRDefault="001D1521">
      <w:pPr>
        <w:ind w:hanging="720"/>
        <w:jc w:val="both"/>
        <w:rPr>
          <w:rFonts w:ascii="Times New Roman" w:eastAsia="Times New Roman" w:hAnsi="Times New Roman" w:cs="Times New Roman"/>
        </w:rPr>
      </w:pPr>
      <w:r w:rsidRPr="00C63180">
        <w:rPr>
          <w:rFonts w:ascii="Times New Roman" w:eastAsia="Times New Roman" w:hAnsi="Times New Roman" w:cs="Times New Roman"/>
          <w:b/>
        </w:rPr>
        <w:t>NB</w:t>
      </w:r>
      <w:proofErr w:type="gramStart"/>
      <w:r w:rsidRPr="00C63180">
        <w:rPr>
          <w:rFonts w:ascii="Times New Roman" w:eastAsia="Times New Roman" w:hAnsi="Times New Roman" w:cs="Times New Roman"/>
          <w:b/>
        </w:rPr>
        <w:t>:</w:t>
      </w:r>
      <w:r w:rsidRPr="00C63180">
        <w:rPr>
          <w:rFonts w:ascii="Times New Roman" w:eastAsia="Times New Roman" w:hAnsi="Times New Roman" w:cs="Times New Roman"/>
          <w:i/>
        </w:rPr>
        <w:tab/>
        <w:t>Candidates on whose behalf a bar on access has been approved by the University</w:t>
      </w:r>
      <w:proofErr w:type="gramEnd"/>
      <w:r w:rsidRPr="00C63180">
        <w:rPr>
          <w:rFonts w:ascii="Times New Roman" w:eastAsia="Times New Roman" w:hAnsi="Times New Roman" w:cs="Times New Roman"/>
          <w:i/>
        </w:rPr>
        <w:t xml:space="preserve"> (see Note 1), should use the following version of Statement 2:</w:t>
      </w:r>
      <w:r w:rsidRPr="00C63180">
        <w:rPr>
          <w:rFonts w:ascii="Times New Roman" w:eastAsia="Times New Roman" w:hAnsi="Times New Roman" w:cs="Times New Roman"/>
        </w:rPr>
        <w:tab/>
      </w:r>
    </w:p>
    <w:p w14:paraId="610B8366" w14:textId="77777777" w:rsidR="00B84936" w:rsidRPr="00C63180" w:rsidRDefault="00B84936">
      <w:pPr>
        <w:jc w:val="both"/>
        <w:rPr>
          <w:rFonts w:ascii="Times New Roman" w:eastAsia="Times New Roman" w:hAnsi="Times New Roman" w:cs="Times New Roman"/>
        </w:rPr>
      </w:pPr>
    </w:p>
    <w:p w14:paraId="11BCCC7B" w14:textId="77777777" w:rsidR="00B84936" w:rsidRPr="00C63180" w:rsidRDefault="001D1521">
      <w:pPr>
        <w:jc w:val="both"/>
        <w:rPr>
          <w:rFonts w:ascii="Times New Roman" w:eastAsia="Times New Roman" w:hAnsi="Times New Roman" w:cs="Times New Roman"/>
          <w:b/>
        </w:rPr>
      </w:pPr>
      <w:r w:rsidRPr="00C63180">
        <w:rPr>
          <w:rFonts w:ascii="Times New Roman" w:eastAsia="Times New Roman" w:hAnsi="Times New Roman" w:cs="Times New Roman"/>
        </w:rPr>
        <w:t xml:space="preserve">I hereby give consent for my work, if accepted, to be available for photocopying and for inter-library loans </w:t>
      </w:r>
      <w:r w:rsidRPr="00C63180">
        <w:rPr>
          <w:rFonts w:ascii="Times New Roman" w:eastAsia="Times New Roman" w:hAnsi="Times New Roman" w:cs="Times New Roman"/>
          <w:b/>
        </w:rPr>
        <w:t>after expiry of a bar on access approved by the University.</w:t>
      </w:r>
    </w:p>
    <w:p w14:paraId="12FD37CB" w14:textId="77777777" w:rsidR="00B84936" w:rsidRPr="00C63180" w:rsidRDefault="00B84936">
      <w:pPr>
        <w:jc w:val="both"/>
        <w:rPr>
          <w:rFonts w:ascii="Times New Roman" w:eastAsia="Times New Roman" w:hAnsi="Times New Roman" w:cs="Times New Roman"/>
          <w:b/>
        </w:rPr>
      </w:pPr>
    </w:p>
    <w:p w14:paraId="17522790" w14:textId="77777777" w:rsidR="00B84936" w:rsidRPr="00C63180" w:rsidRDefault="001D1521">
      <w:pPr>
        <w:jc w:val="both"/>
        <w:rPr>
          <w:rFonts w:ascii="Times New Roman" w:eastAsia="Times New Roman" w:hAnsi="Times New Roman" w:cs="Times New Roman"/>
        </w:rPr>
      </w:pPr>
      <w:r w:rsidRPr="00C63180">
        <w:rPr>
          <w:rFonts w:ascii="Times New Roman" w:eastAsia="Times New Roman" w:hAnsi="Times New Roman" w:cs="Times New Roman"/>
        </w:rPr>
        <w:t xml:space="preserve">Signed </w:t>
      </w:r>
      <w:r w:rsidRPr="00C63180">
        <w:rPr>
          <w:rFonts w:ascii="Times New Roman" w:eastAsia="Times New Roman" w:hAnsi="Times New Roman" w:cs="Times New Roman"/>
          <w:b/>
          <w:i/>
        </w:rPr>
        <w:t>Justin Fernando</w:t>
      </w:r>
      <w:r w:rsidRPr="00C63180">
        <w:rPr>
          <w:rFonts w:ascii="Times New Roman" w:eastAsia="Times New Roman" w:hAnsi="Times New Roman" w:cs="Times New Roman"/>
        </w:rPr>
        <w:t xml:space="preserve"> (candidate)</w:t>
      </w:r>
    </w:p>
    <w:p w14:paraId="45C4775C" w14:textId="1E08820E" w:rsidR="00B84936" w:rsidRPr="00C63180" w:rsidRDefault="00B72598">
      <w:pPr>
        <w:tabs>
          <w:tab w:val="left" w:pos="-720"/>
        </w:tabs>
        <w:jc w:val="both"/>
        <w:rPr>
          <w:rFonts w:ascii="Times New Roman" w:eastAsia="Times New Roman" w:hAnsi="Times New Roman" w:cs="Times New Roman"/>
        </w:rPr>
      </w:pPr>
      <w:r w:rsidRPr="00C63180">
        <w:rPr>
          <w:rFonts w:ascii="Times New Roman" w:eastAsia="Times New Roman" w:hAnsi="Times New Roman" w:cs="Times New Roman"/>
        </w:rPr>
        <w:t>Date 13 April 2020</w:t>
      </w:r>
    </w:p>
    <w:p w14:paraId="1D23D92B" w14:textId="77777777" w:rsidR="00B84936" w:rsidRPr="00C63180" w:rsidRDefault="00B84936">
      <w:pPr>
        <w:tabs>
          <w:tab w:val="left" w:pos="-720"/>
        </w:tabs>
        <w:jc w:val="both"/>
        <w:rPr>
          <w:rFonts w:ascii="Times New Roman" w:eastAsia="Times New Roman" w:hAnsi="Times New Roman" w:cs="Times New Roman"/>
        </w:rPr>
      </w:pPr>
    </w:p>
    <w:p w14:paraId="034F0ACF" w14:textId="77777777" w:rsidR="00B84936" w:rsidRPr="00C63180" w:rsidRDefault="00B84936">
      <w:pPr>
        <w:tabs>
          <w:tab w:val="left" w:pos="-720"/>
        </w:tabs>
        <w:jc w:val="both"/>
        <w:rPr>
          <w:rFonts w:ascii="Times New Roman" w:eastAsia="Times New Roman" w:hAnsi="Times New Roman" w:cs="Times New Roman"/>
        </w:rPr>
      </w:pPr>
    </w:p>
    <w:p w14:paraId="0A5E65EB" w14:textId="77777777" w:rsidR="00B84936" w:rsidRPr="00C63180" w:rsidRDefault="00B84936">
      <w:pPr>
        <w:tabs>
          <w:tab w:val="left" w:pos="-720"/>
        </w:tabs>
        <w:jc w:val="both"/>
        <w:rPr>
          <w:rFonts w:ascii="Times New Roman" w:eastAsia="Times New Roman" w:hAnsi="Times New Roman" w:cs="Times New Roman"/>
        </w:rPr>
      </w:pPr>
    </w:p>
    <w:p w14:paraId="62789D1F" w14:textId="7EA31AC3" w:rsidR="00B84936" w:rsidRPr="00C63180" w:rsidRDefault="001D1521">
      <w:pPr>
        <w:tabs>
          <w:tab w:val="left" w:pos="-720"/>
        </w:tabs>
        <w:jc w:val="both"/>
        <w:rPr>
          <w:rFonts w:ascii="Times New Roman" w:eastAsia="Times New Roman" w:hAnsi="Times New Roman" w:cs="Times New Roman"/>
        </w:rPr>
      </w:pPr>
      <w:r w:rsidRPr="00C63180">
        <w:rPr>
          <w:rFonts w:ascii="Times New Roman" w:eastAsia="Times New Roman" w:hAnsi="Times New Roman" w:cs="Times New Roman"/>
        </w:rPr>
        <w:t xml:space="preserve">Candidate’s </w:t>
      </w:r>
      <w:proofErr w:type="gramStart"/>
      <w:r w:rsidRPr="00C63180">
        <w:rPr>
          <w:rFonts w:ascii="Times New Roman" w:eastAsia="Times New Roman" w:hAnsi="Times New Roman" w:cs="Times New Roman"/>
        </w:rPr>
        <w:t xml:space="preserve">signature  </w:t>
      </w:r>
      <w:r w:rsidRPr="00C63180">
        <w:rPr>
          <w:rFonts w:ascii="Times New Roman" w:eastAsia="Times New Roman" w:hAnsi="Times New Roman" w:cs="Times New Roman"/>
          <w:b/>
          <w:i/>
        </w:rPr>
        <w:t>Justin</w:t>
      </w:r>
      <w:proofErr w:type="gramEnd"/>
      <w:r w:rsidRPr="00C63180">
        <w:rPr>
          <w:rFonts w:ascii="Times New Roman" w:eastAsia="Times New Roman" w:hAnsi="Times New Roman" w:cs="Times New Roman"/>
          <w:b/>
          <w:i/>
        </w:rPr>
        <w:t xml:space="preserve"> Fernando</w:t>
      </w:r>
      <w:r w:rsidRPr="00C63180">
        <w:rPr>
          <w:rFonts w:ascii="Times New Roman" w:eastAsia="Times New Roman" w:hAnsi="Times New Roman" w:cs="Times New Roman"/>
          <w:b/>
          <w:i/>
        </w:rPr>
        <w:tab/>
      </w:r>
      <w:r w:rsidRPr="00C63180">
        <w:rPr>
          <w:rFonts w:ascii="Times New Roman" w:eastAsia="Times New Roman" w:hAnsi="Times New Roman" w:cs="Times New Roman"/>
          <w:b/>
          <w:i/>
        </w:rPr>
        <w:tab/>
      </w:r>
      <w:r w:rsidRPr="00C63180">
        <w:rPr>
          <w:rFonts w:ascii="Times New Roman" w:eastAsia="Times New Roman" w:hAnsi="Times New Roman" w:cs="Times New Roman"/>
        </w:rPr>
        <w:t xml:space="preserve">   Date</w:t>
      </w:r>
      <w:r w:rsidR="00B72598" w:rsidRPr="00C63180">
        <w:rPr>
          <w:rFonts w:ascii="Times New Roman" w:eastAsia="Times New Roman" w:hAnsi="Times New Roman" w:cs="Times New Roman"/>
        </w:rPr>
        <w:t xml:space="preserve"> 13 April 2020</w:t>
      </w:r>
    </w:p>
    <w:p w14:paraId="2D31995F" w14:textId="77777777" w:rsidR="004E5410" w:rsidRPr="00C63180" w:rsidRDefault="004E5410">
      <w:pPr>
        <w:tabs>
          <w:tab w:val="left" w:pos="-720"/>
        </w:tabs>
        <w:jc w:val="both"/>
        <w:rPr>
          <w:rFonts w:ascii="Times New Roman" w:eastAsia="Times New Roman" w:hAnsi="Times New Roman" w:cs="Times New Roman"/>
        </w:rPr>
      </w:pPr>
    </w:p>
    <w:p w14:paraId="39CDD0DC" w14:textId="77777777" w:rsidR="004E5410" w:rsidRPr="00C63180" w:rsidRDefault="004E5410">
      <w:pPr>
        <w:tabs>
          <w:tab w:val="left" w:pos="-720"/>
        </w:tabs>
        <w:jc w:val="both"/>
        <w:rPr>
          <w:rFonts w:ascii="Times New Roman" w:eastAsia="Times New Roman" w:hAnsi="Times New Roman" w:cs="Times New Roman"/>
        </w:rPr>
      </w:pPr>
    </w:p>
    <w:p w14:paraId="27D25D7E" w14:textId="7564A0D9" w:rsidR="004E5410" w:rsidRPr="00C63180" w:rsidRDefault="004E5410" w:rsidP="00716C9E">
      <w:pPr>
        <w:pStyle w:val="Heading1"/>
        <w:rPr>
          <w:rFonts w:ascii="Times New Roman" w:hAnsi="Times New Roman"/>
          <w:sz w:val="24"/>
          <w:szCs w:val="24"/>
        </w:rPr>
      </w:pPr>
      <w:bookmarkStart w:id="2" w:name="_Toc448400698"/>
      <w:r w:rsidRPr="00C63180">
        <w:rPr>
          <w:rFonts w:ascii="Times New Roman" w:hAnsi="Times New Roman"/>
          <w:sz w:val="24"/>
          <w:szCs w:val="24"/>
        </w:rPr>
        <w:lastRenderedPageBreak/>
        <w:t>Abstract</w:t>
      </w:r>
      <w:bookmarkEnd w:id="2"/>
    </w:p>
    <w:p w14:paraId="01248122" w14:textId="77777777" w:rsidR="004E5410" w:rsidRPr="00C63180" w:rsidRDefault="004E5410">
      <w:pPr>
        <w:tabs>
          <w:tab w:val="left" w:pos="-720"/>
        </w:tabs>
        <w:jc w:val="both"/>
        <w:rPr>
          <w:rFonts w:ascii="Times New Roman" w:eastAsia="Times New Roman" w:hAnsi="Times New Roman" w:cs="Times New Roman"/>
        </w:rPr>
      </w:pPr>
    </w:p>
    <w:p w14:paraId="04DD3D89" w14:textId="60E14C7F" w:rsidR="00B84936" w:rsidRPr="00C63180" w:rsidRDefault="00EB1968" w:rsidP="00716C9E">
      <w:pPr>
        <w:tabs>
          <w:tab w:val="left" w:pos="-720"/>
        </w:tabs>
        <w:spacing w:line="480" w:lineRule="auto"/>
        <w:rPr>
          <w:rFonts w:ascii="Times New Roman" w:eastAsia="Times New Roman" w:hAnsi="Times New Roman" w:cs="Times New Roman"/>
        </w:rPr>
      </w:pPr>
      <w:r w:rsidRPr="00C63180">
        <w:rPr>
          <w:rFonts w:ascii="Times New Roman" w:eastAsia="Times New Roman" w:hAnsi="Times New Roman" w:cs="Times New Roman"/>
        </w:rPr>
        <w:tab/>
      </w:r>
      <w:r w:rsidR="004E5410" w:rsidRPr="00C63180">
        <w:rPr>
          <w:rFonts w:ascii="Times New Roman" w:eastAsia="Times New Roman" w:hAnsi="Times New Roman" w:cs="Times New Roman"/>
        </w:rPr>
        <w:t>Tracing back to the 1980s until the present, the United States has experienced wealth and income disparities that rivals inequality from the Gilded Age. Labor union membership decreased significantly</w:t>
      </w:r>
      <w:r w:rsidRPr="00C63180">
        <w:rPr>
          <w:rFonts w:ascii="Times New Roman" w:eastAsia="Times New Roman" w:hAnsi="Times New Roman" w:cs="Times New Roman"/>
        </w:rPr>
        <w:t>,</w:t>
      </w:r>
      <w:r w:rsidR="004E5410" w:rsidRPr="00C63180">
        <w:rPr>
          <w:rFonts w:ascii="Times New Roman" w:eastAsia="Times New Roman" w:hAnsi="Times New Roman" w:cs="Times New Roman"/>
        </w:rPr>
        <w:t xml:space="preserve"> and the middle class share of national income declined by half, while the top 1 percent’s share of national come doubled. </w:t>
      </w:r>
      <w:r w:rsidRPr="00C63180">
        <w:rPr>
          <w:rFonts w:ascii="Times New Roman" w:eastAsia="Times New Roman" w:hAnsi="Times New Roman" w:cs="Times New Roman"/>
        </w:rPr>
        <w:t>Culprits to these macroeconomic social inequalities were d</w:t>
      </w:r>
      <w:r w:rsidR="004E5410" w:rsidRPr="00C63180">
        <w:rPr>
          <w:rFonts w:ascii="Times New Roman" w:eastAsia="Times New Roman" w:hAnsi="Times New Roman" w:cs="Times New Roman"/>
        </w:rPr>
        <w:t>eregulation of the finance sector, austerity measures in the public sector, and union membership diminishment. This study examines how and to what extent Diversity and Inclusion interventions at the organizational level</w:t>
      </w:r>
      <w:r w:rsidR="009220EB" w:rsidRPr="00C63180">
        <w:rPr>
          <w:rFonts w:ascii="Times New Roman" w:eastAsia="Times New Roman" w:hAnsi="Times New Roman" w:cs="Times New Roman"/>
        </w:rPr>
        <w:t xml:space="preserve">, such as diversity pipeline programs and employee resource groups, </w:t>
      </w:r>
      <w:r w:rsidR="004E5410" w:rsidRPr="00C63180">
        <w:rPr>
          <w:rFonts w:ascii="Times New Roman" w:eastAsia="Times New Roman" w:hAnsi="Times New Roman" w:cs="Times New Roman"/>
        </w:rPr>
        <w:t xml:space="preserve">address social and economic inequalities in the New Gilded Age. It then </w:t>
      </w:r>
      <w:r w:rsidRPr="00C63180">
        <w:rPr>
          <w:rFonts w:ascii="Times New Roman" w:eastAsia="Times New Roman" w:hAnsi="Times New Roman" w:cs="Times New Roman"/>
        </w:rPr>
        <w:t>scrutinizes</w:t>
      </w:r>
      <w:r w:rsidR="004E5410" w:rsidRPr="00C63180">
        <w:rPr>
          <w:rFonts w:ascii="Times New Roman" w:eastAsia="Times New Roman" w:hAnsi="Times New Roman" w:cs="Times New Roman"/>
        </w:rPr>
        <w:t xml:space="preserve"> how intersectional public policy</w:t>
      </w:r>
      <w:r w:rsidR="009220EB" w:rsidRPr="00C63180">
        <w:rPr>
          <w:rFonts w:ascii="Times New Roman" w:eastAsia="Times New Roman" w:hAnsi="Times New Roman" w:cs="Times New Roman"/>
        </w:rPr>
        <w:t>, in particular the progressive movement’s Federal Jobs Guarantee and the Workplace Democracy Act,</w:t>
      </w:r>
      <w:r w:rsidR="004E5410" w:rsidRPr="00C63180">
        <w:rPr>
          <w:rFonts w:ascii="Times New Roman" w:eastAsia="Times New Roman" w:hAnsi="Times New Roman" w:cs="Times New Roman"/>
        </w:rPr>
        <w:t xml:space="preserve"> could fill in where Diversity and Inclusion falls short</w:t>
      </w:r>
      <w:r w:rsidR="009220EB" w:rsidRPr="00C63180">
        <w:rPr>
          <w:rFonts w:ascii="Times New Roman" w:eastAsia="Times New Roman" w:hAnsi="Times New Roman" w:cs="Times New Roman"/>
        </w:rPr>
        <w:t xml:space="preserve"> in solving the social and economic inequalities of the New Gilded Age. This examination uses textual cultural analysis and Black Feminism’s social and cultural theory of </w:t>
      </w:r>
      <w:proofErr w:type="spellStart"/>
      <w:r w:rsidR="009220EB" w:rsidRPr="00C63180">
        <w:rPr>
          <w:rFonts w:ascii="Times New Roman" w:eastAsia="Times New Roman" w:hAnsi="Times New Roman" w:cs="Times New Roman"/>
        </w:rPr>
        <w:t>intersectionality</w:t>
      </w:r>
      <w:proofErr w:type="spellEnd"/>
      <w:r w:rsidR="009220EB" w:rsidRPr="00C63180">
        <w:rPr>
          <w:rFonts w:ascii="Times New Roman" w:eastAsia="Times New Roman" w:hAnsi="Times New Roman" w:cs="Times New Roman"/>
        </w:rPr>
        <w:t xml:space="preserve"> on primary sources</w:t>
      </w:r>
      <w:r w:rsidRPr="00C63180">
        <w:rPr>
          <w:rFonts w:ascii="Times New Roman" w:eastAsia="Times New Roman" w:hAnsi="Times New Roman" w:cs="Times New Roman"/>
        </w:rPr>
        <w:t>,</w:t>
      </w:r>
      <w:r w:rsidR="009220EB" w:rsidRPr="00C63180">
        <w:rPr>
          <w:rFonts w:ascii="Times New Roman" w:eastAsia="Times New Roman" w:hAnsi="Times New Roman" w:cs="Times New Roman"/>
        </w:rPr>
        <w:t xml:space="preserve"> such as Diversity and Inclusion annual reports, public policy proposals, Congressional records, government agency reports, political party platforms, and video interviews. In unearthing racial, socioeconomic, and gender disparities through textual cultural analysis and </w:t>
      </w:r>
      <w:proofErr w:type="spellStart"/>
      <w:r w:rsidR="009220EB" w:rsidRPr="00C63180">
        <w:rPr>
          <w:rFonts w:ascii="Times New Roman" w:eastAsia="Times New Roman" w:hAnsi="Times New Roman" w:cs="Times New Roman"/>
        </w:rPr>
        <w:t>intersectionality</w:t>
      </w:r>
      <w:proofErr w:type="spellEnd"/>
      <w:r w:rsidR="009220EB" w:rsidRPr="00C63180">
        <w:rPr>
          <w:rFonts w:ascii="Times New Roman" w:eastAsia="Times New Roman" w:hAnsi="Times New Roman" w:cs="Times New Roman"/>
        </w:rPr>
        <w:t xml:space="preserve">, </w:t>
      </w:r>
      <w:r w:rsidRPr="00C63180">
        <w:rPr>
          <w:rFonts w:ascii="Times New Roman" w:eastAsia="Times New Roman" w:hAnsi="Times New Roman" w:cs="Times New Roman"/>
        </w:rPr>
        <w:t>this study illuminates coalitional potential and intersectional solutions derived from social movements as promising possibilities that would structurally solve New Gilded Age problems and revitalize American democracy and civic life.</w:t>
      </w:r>
    </w:p>
    <w:p w14:paraId="26FF0C28" w14:textId="77777777" w:rsidR="00F476A7" w:rsidRPr="00C63180" w:rsidRDefault="00F476A7" w:rsidP="00716C9E">
      <w:pPr>
        <w:tabs>
          <w:tab w:val="left" w:pos="-720"/>
        </w:tabs>
        <w:spacing w:line="480" w:lineRule="auto"/>
        <w:rPr>
          <w:rFonts w:ascii="Times New Roman" w:eastAsia="Times New Roman" w:hAnsi="Times New Roman" w:cs="Times New Roman"/>
        </w:rPr>
      </w:pPr>
    </w:p>
    <w:bookmarkStart w:id="3" w:name="_Toc448400699" w:displacedByCustomXml="next"/>
    <w:sdt>
      <w:sdtPr>
        <w:rPr>
          <w:rFonts w:ascii="Times New Roman" w:hAnsi="Times New Roman"/>
          <w:b w:val="0"/>
          <w:bCs w:val="0"/>
          <w:kern w:val="0"/>
          <w:sz w:val="24"/>
          <w:szCs w:val="24"/>
        </w:rPr>
        <w:id w:val="817227010"/>
        <w:docPartObj>
          <w:docPartGallery w:val="Table of Contents"/>
          <w:docPartUnique/>
        </w:docPartObj>
      </w:sdtPr>
      <w:sdtEndPr>
        <w:rPr>
          <w:noProof/>
        </w:rPr>
      </w:sdtEndPr>
      <w:sdtContent>
        <w:p w14:paraId="368E63A6" w14:textId="77777777" w:rsidR="00F562F3" w:rsidRPr="00C63180" w:rsidRDefault="00F562F3" w:rsidP="00716C9E">
          <w:pPr>
            <w:pStyle w:val="Heading1"/>
            <w:rPr>
              <w:rFonts w:ascii="Times New Roman" w:hAnsi="Times New Roman"/>
              <w:sz w:val="24"/>
              <w:szCs w:val="24"/>
            </w:rPr>
          </w:pPr>
          <w:r w:rsidRPr="00C63180">
            <w:rPr>
              <w:rFonts w:ascii="Times New Roman" w:hAnsi="Times New Roman"/>
              <w:sz w:val="24"/>
              <w:szCs w:val="24"/>
            </w:rPr>
            <w:t>Table of Contents</w:t>
          </w:r>
          <w:bookmarkEnd w:id="3"/>
        </w:p>
        <w:p w14:paraId="5D618DBF" w14:textId="77777777" w:rsidR="00A64106" w:rsidRPr="00C63180" w:rsidRDefault="00A64106" w:rsidP="00A64106">
          <w:pPr>
            <w:rPr>
              <w:rFonts w:ascii="Times New Roman" w:hAnsi="Times New Roman"/>
            </w:rPr>
          </w:pPr>
        </w:p>
        <w:p w14:paraId="5F491E00" w14:textId="6D82BFEF" w:rsidR="00134B6B" w:rsidRPr="00C63180" w:rsidRDefault="00F562F3">
          <w:pPr>
            <w:pStyle w:val="TOC1"/>
            <w:rPr>
              <w:rFonts w:ascii="Times New Roman" w:eastAsiaTheme="minorEastAsia" w:hAnsi="Times New Roman" w:cstheme="minorBidi"/>
              <w:b w:val="0"/>
              <w:noProof/>
              <w:lang w:eastAsia="ja-JP"/>
            </w:rPr>
          </w:pPr>
          <w:r w:rsidRPr="00C63180">
            <w:rPr>
              <w:rFonts w:ascii="Times New Roman" w:hAnsi="Times New Roman" w:cs="Times New Roman"/>
            </w:rPr>
            <w:fldChar w:fldCharType="begin"/>
          </w:r>
          <w:r w:rsidRPr="00C63180">
            <w:rPr>
              <w:rFonts w:ascii="Times New Roman" w:hAnsi="Times New Roman" w:cs="Times New Roman"/>
            </w:rPr>
            <w:instrText xml:space="preserve"> TOC \o "1-3" \h \z \u </w:instrText>
          </w:r>
          <w:r w:rsidRPr="00C63180">
            <w:rPr>
              <w:rFonts w:ascii="Times New Roman" w:hAnsi="Times New Roman" w:cs="Times New Roman"/>
            </w:rPr>
            <w:fldChar w:fldCharType="separate"/>
          </w:r>
          <w:r w:rsidR="00134B6B" w:rsidRPr="00C63180">
            <w:rPr>
              <w:rFonts w:ascii="Times New Roman" w:hAnsi="Times New Roman"/>
              <w:noProof/>
            </w:rPr>
            <w:t>D</w:t>
          </w:r>
          <w:r w:rsidR="003D274D">
            <w:rPr>
              <w:rFonts w:ascii="Times New Roman" w:hAnsi="Times New Roman"/>
              <w:noProof/>
            </w:rPr>
            <w:t>eclaration</w:t>
          </w:r>
          <w:r w:rsidR="00134B6B" w:rsidRPr="00C63180">
            <w:rPr>
              <w:rFonts w:ascii="Times New Roman" w:hAnsi="Times New Roman"/>
              <w:noProof/>
            </w:rPr>
            <w:tab/>
          </w:r>
          <w:r w:rsidR="00134B6B" w:rsidRPr="00C63180">
            <w:rPr>
              <w:rFonts w:ascii="Times New Roman" w:hAnsi="Times New Roman"/>
              <w:noProof/>
            </w:rPr>
            <w:fldChar w:fldCharType="begin"/>
          </w:r>
          <w:r w:rsidR="00134B6B" w:rsidRPr="00C63180">
            <w:rPr>
              <w:rFonts w:ascii="Times New Roman" w:hAnsi="Times New Roman"/>
              <w:noProof/>
            </w:rPr>
            <w:instrText xml:space="preserve"> PAGEREF _Toc448400697 \h </w:instrText>
          </w:r>
          <w:r w:rsidR="00134B6B" w:rsidRPr="00C63180">
            <w:rPr>
              <w:rFonts w:ascii="Times New Roman" w:hAnsi="Times New Roman"/>
              <w:noProof/>
            </w:rPr>
          </w:r>
          <w:r w:rsidR="00134B6B" w:rsidRPr="00C63180">
            <w:rPr>
              <w:rFonts w:ascii="Times New Roman" w:hAnsi="Times New Roman"/>
              <w:noProof/>
            </w:rPr>
            <w:fldChar w:fldCharType="separate"/>
          </w:r>
          <w:r w:rsidR="00134B6B" w:rsidRPr="00C63180">
            <w:rPr>
              <w:rFonts w:ascii="Times New Roman" w:hAnsi="Times New Roman"/>
              <w:noProof/>
            </w:rPr>
            <w:t>1</w:t>
          </w:r>
          <w:r w:rsidR="00134B6B" w:rsidRPr="00C63180">
            <w:rPr>
              <w:rFonts w:ascii="Times New Roman" w:hAnsi="Times New Roman"/>
              <w:noProof/>
            </w:rPr>
            <w:fldChar w:fldCharType="end"/>
          </w:r>
        </w:p>
        <w:p w14:paraId="1310BE1E" w14:textId="77777777"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Abstract</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_Toc448400698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2</w:t>
          </w:r>
          <w:r w:rsidRPr="00C63180">
            <w:rPr>
              <w:rFonts w:ascii="Times New Roman" w:hAnsi="Times New Roman"/>
              <w:noProof/>
            </w:rPr>
            <w:fldChar w:fldCharType="end"/>
          </w:r>
        </w:p>
        <w:p w14:paraId="045A4FC1" w14:textId="77777777" w:rsidR="00134B6B" w:rsidRPr="00C63180" w:rsidRDefault="00134B6B">
          <w:pPr>
            <w:pStyle w:val="TOC1"/>
            <w:rPr>
              <w:rFonts w:ascii="Times New Roman" w:eastAsiaTheme="minorEastAsia" w:hAnsi="Times New Roman" w:cstheme="minorBidi"/>
              <w:b w:val="0"/>
              <w:noProof/>
              <w:lang w:eastAsia="ja-JP"/>
            </w:rPr>
          </w:pPr>
          <w:bookmarkStart w:id="4" w:name="_GoBack"/>
          <w:r w:rsidRPr="00C63180">
            <w:rPr>
              <w:rFonts w:ascii="Times New Roman" w:hAnsi="Times New Roman"/>
              <w:noProof/>
            </w:rPr>
            <w:t>Table of Contents</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_Toc448400699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3</w:t>
          </w:r>
          <w:r w:rsidRPr="00C63180">
            <w:rPr>
              <w:rFonts w:ascii="Times New Roman" w:hAnsi="Times New Roman"/>
              <w:noProof/>
            </w:rPr>
            <w:fldChar w:fldCharType="end"/>
          </w:r>
        </w:p>
        <w:bookmarkEnd w:id="4"/>
        <w:p w14:paraId="17B26433" w14:textId="77777777"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Chapter 1 – Introduction and Methodology</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_Toc448400700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5</w:t>
          </w:r>
          <w:r w:rsidRPr="00C63180">
            <w:rPr>
              <w:rFonts w:ascii="Times New Roman" w:hAnsi="Times New Roman"/>
              <w:noProof/>
            </w:rPr>
            <w:fldChar w:fldCharType="end"/>
          </w:r>
        </w:p>
        <w:p w14:paraId="31BABE23"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Introduction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_Toc448400701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w:t>
          </w:r>
          <w:r w:rsidRPr="00C63180">
            <w:rPr>
              <w:rFonts w:ascii="Times New Roman" w:hAnsi="Times New Roman"/>
            </w:rPr>
            <w:fldChar w:fldCharType="end"/>
          </w:r>
        </w:p>
        <w:p w14:paraId="641D14BD"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Research Aims, Objectives, and Questions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w:t>
          </w:r>
          <w:r w:rsidRPr="00C63180">
            <w:rPr>
              <w:rFonts w:ascii="Times New Roman" w:hAnsi="Times New Roman"/>
            </w:rPr>
            <w:fldChar w:fldCharType="end"/>
          </w:r>
        </w:p>
        <w:p w14:paraId="4AB17033"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Data Analysis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_Toc448400703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w:t>
          </w:r>
          <w:r w:rsidRPr="00C63180">
            <w:rPr>
              <w:rFonts w:ascii="Times New Roman" w:hAnsi="Times New Roman"/>
            </w:rPr>
            <w:fldChar w:fldCharType="end"/>
          </w:r>
        </w:p>
        <w:p w14:paraId="142A30B1"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Data Collection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9</w:t>
          </w:r>
          <w:r w:rsidRPr="00C63180">
            <w:rPr>
              <w:rFonts w:ascii="Times New Roman" w:hAnsi="Times New Roman"/>
            </w:rPr>
            <w:fldChar w:fldCharType="end"/>
          </w:r>
        </w:p>
        <w:p w14:paraId="319AB9D0"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Ethics, Dependability, and Rigor</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9</w:t>
          </w:r>
          <w:r w:rsidRPr="00C63180">
            <w:rPr>
              <w:rFonts w:ascii="Times New Roman" w:hAnsi="Times New Roman"/>
            </w:rPr>
            <w:fldChar w:fldCharType="end"/>
          </w:r>
        </w:p>
        <w:p w14:paraId="17D72D4B"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Conclusion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11</w:t>
          </w:r>
          <w:r w:rsidRPr="00C63180">
            <w:rPr>
              <w:rFonts w:ascii="Times New Roman" w:hAnsi="Times New Roman"/>
            </w:rPr>
            <w:fldChar w:fldCharType="end"/>
          </w:r>
        </w:p>
        <w:p w14:paraId="34F149B9" w14:textId="2351E833" w:rsidR="00134B6B" w:rsidRPr="00C63180" w:rsidRDefault="007835B8">
          <w:pPr>
            <w:pStyle w:val="TOC1"/>
            <w:rPr>
              <w:rFonts w:ascii="Times New Roman" w:eastAsiaTheme="minorEastAsia" w:hAnsi="Times New Roman" w:cstheme="minorBidi"/>
              <w:b w:val="0"/>
              <w:noProof/>
              <w:lang w:eastAsia="ja-JP"/>
            </w:rPr>
          </w:pPr>
          <w:r>
            <w:rPr>
              <w:rFonts w:ascii="Times New Roman" w:hAnsi="Times New Roman"/>
              <w:noProof/>
            </w:rPr>
            <w:t xml:space="preserve">Chapter 2 </w:t>
          </w:r>
          <w:r w:rsidRPr="00C63180">
            <w:rPr>
              <w:rFonts w:ascii="Times New Roman" w:hAnsi="Times New Roman"/>
              <w:noProof/>
            </w:rPr>
            <w:t>–</w:t>
          </w:r>
          <w:r w:rsidR="00134B6B" w:rsidRPr="00C63180">
            <w:rPr>
              <w:rFonts w:ascii="Times New Roman" w:hAnsi="Times New Roman"/>
              <w:noProof/>
            </w:rPr>
            <w:t xml:space="preserve"> Literature Review</w:t>
          </w:r>
          <w:r w:rsidR="00134B6B" w:rsidRPr="00C63180">
            <w:rPr>
              <w:rFonts w:ascii="Times New Roman" w:hAnsi="Times New Roman"/>
              <w:noProof/>
            </w:rPr>
            <w:tab/>
          </w:r>
          <w:r w:rsidR="00134B6B" w:rsidRPr="00C63180">
            <w:rPr>
              <w:rFonts w:ascii="Times New Roman" w:hAnsi="Times New Roman"/>
              <w:noProof/>
            </w:rPr>
            <w:fldChar w:fldCharType="begin"/>
          </w:r>
          <w:r w:rsidR="00134B6B" w:rsidRPr="00C63180">
            <w:rPr>
              <w:rFonts w:ascii="Times New Roman" w:hAnsi="Times New Roman"/>
              <w:noProof/>
            </w:rPr>
            <w:instrText xml:space="preserve"> PAGEREF _Toc448400707 \h </w:instrText>
          </w:r>
          <w:r w:rsidR="00134B6B" w:rsidRPr="00C63180">
            <w:rPr>
              <w:rFonts w:ascii="Times New Roman" w:hAnsi="Times New Roman"/>
              <w:noProof/>
            </w:rPr>
          </w:r>
          <w:r w:rsidR="00134B6B" w:rsidRPr="00C63180">
            <w:rPr>
              <w:rFonts w:ascii="Times New Roman" w:hAnsi="Times New Roman"/>
              <w:noProof/>
            </w:rPr>
            <w:fldChar w:fldCharType="separate"/>
          </w:r>
          <w:r w:rsidR="00134B6B" w:rsidRPr="00C63180">
            <w:rPr>
              <w:rFonts w:ascii="Times New Roman" w:hAnsi="Times New Roman"/>
              <w:noProof/>
            </w:rPr>
            <w:t>12</w:t>
          </w:r>
          <w:r w:rsidR="00134B6B" w:rsidRPr="00C63180">
            <w:rPr>
              <w:rFonts w:ascii="Times New Roman" w:hAnsi="Times New Roman"/>
              <w:noProof/>
            </w:rPr>
            <w:fldChar w:fldCharType="end"/>
          </w:r>
        </w:p>
        <w:p w14:paraId="27A60FE1"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Introduction: From the Gilded Age and Back</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_Toc448400708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12</w:t>
          </w:r>
          <w:r w:rsidRPr="00C63180">
            <w:rPr>
              <w:rFonts w:ascii="Times New Roman" w:hAnsi="Times New Roman"/>
            </w:rPr>
            <w:fldChar w:fldCharType="end"/>
          </w:r>
        </w:p>
        <w:p w14:paraId="28BC0421"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Financial Deregulation and the Abandonment of the Working Class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_Toc448400709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14</w:t>
          </w:r>
          <w:r w:rsidRPr="00C63180">
            <w:rPr>
              <w:rFonts w:ascii="Times New Roman" w:hAnsi="Times New Roman"/>
            </w:rPr>
            <w:fldChar w:fldCharType="end"/>
          </w:r>
        </w:p>
        <w:p w14:paraId="4FF73436"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The New Gilded Age as Disposability</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_Toc448400710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16</w:t>
          </w:r>
          <w:r w:rsidRPr="00C63180">
            <w:rPr>
              <w:rFonts w:ascii="Times New Roman" w:hAnsi="Times New Roman"/>
            </w:rPr>
            <w:fldChar w:fldCharType="end"/>
          </w:r>
        </w:p>
        <w:p w14:paraId="599AEDBB"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The New Gilded Age and American Democracy</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_Toc448400711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17</w:t>
          </w:r>
          <w:r w:rsidRPr="00C63180">
            <w:rPr>
              <w:rFonts w:ascii="Times New Roman" w:hAnsi="Times New Roman"/>
            </w:rPr>
            <w:fldChar w:fldCharType="end"/>
          </w:r>
        </w:p>
        <w:p w14:paraId="279F1147"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The Centrality of Corporate Power in the New Gilded Age</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20</w:t>
          </w:r>
          <w:r w:rsidRPr="00C63180">
            <w:rPr>
              <w:rFonts w:ascii="Times New Roman" w:hAnsi="Times New Roman"/>
            </w:rPr>
            <w:fldChar w:fldCharType="end"/>
          </w:r>
        </w:p>
        <w:p w14:paraId="1C668B51"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Intersectionality as Coalitions: Organizational and Societal Transformation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_Toc448400713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21</w:t>
          </w:r>
          <w:r w:rsidRPr="00C63180">
            <w:rPr>
              <w:rFonts w:ascii="Times New Roman" w:hAnsi="Times New Roman"/>
            </w:rPr>
            <w:fldChar w:fldCharType="end"/>
          </w:r>
        </w:p>
        <w:p w14:paraId="24FB5095"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Intersectionality’s Anti-Racist and Feminist Political Commitments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22</w:t>
          </w:r>
          <w:r w:rsidRPr="00C63180">
            <w:rPr>
              <w:rFonts w:ascii="Times New Roman" w:hAnsi="Times New Roman"/>
            </w:rPr>
            <w:fldChar w:fldCharType="end"/>
          </w:r>
        </w:p>
        <w:p w14:paraId="584F39C5"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Unearthing Disparities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23</w:t>
          </w:r>
          <w:r w:rsidRPr="00C63180">
            <w:rPr>
              <w:rFonts w:ascii="Times New Roman" w:hAnsi="Times New Roman"/>
            </w:rPr>
            <w:fldChar w:fldCharType="end"/>
          </w:r>
        </w:p>
        <w:p w14:paraId="72682C01"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Intersectional Analysis Exemplified</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24</w:t>
          </w:r>
          <w:r w:rsidRPr="00C63180">
            <w:rPr>
              <w:rFonts w:ascii="Times New Roman" w:hAnsi="Times New Roman"/>
            </w:rPr>
            <w:fldChar w:fldCharType="end"/>
          </w:r>
        </w:p>
        <w:p w14:paraId="216D22B8" w14:textId="77777777" w:rsidR="00134B6B" w:rsidRPr="00C63180" w:rsidRDefault="00134B6B" w:rsidP="00F476A7">
          <w:pPr>
            <w:pStyle w:val="TOC2"/>
            <w:rPr>
              <w:rFonts w:ascii="Times New Roman" w:eastAsiaTheme="minorEastAsia" w:hAnsi="Times New Roman" w:cstheme="minorBidi"/>
              <w:sz w:val="24"/>
              <w:szCs w:val="24"/>
              <w:lang w:eastAsia="ja-JP"/>
            </w:rPr>
          </w:pPr>
          <w:r w:rsidRPr="00C63180">
            <w:rPr>
              <w:rFonts w:ascii="Times New Roman" w:hAnsi="Times New Roman"/>
            </w:rPr>
            <w:t>Conclusion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_Toc448400717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25</w:t>
          </w:r>
          <w:r w:rsidRPr="00C63180">
            <w:rPr>
              <w:rFonts w:ascii="Times New Roman" w:hAnsi="Times New Roman"/>
            </w:rPr>
            <w:fldChar w:fldCharType="end"/>
          </w:r>
        </w:p>
        <w:p w14:paraId="72D9A629" w14:textId="345B9444"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 xml:space="preserve">Chapter 3 </w:t>
          </w:r>
          <w:r w:rsidR="007835B8" w:rsidRPr="00C63180">
            <w:rPr>
              <w:rFonts w:ascii="Times New Roman" w:hAnsi="Times New Roman"/>
              <w:noProof/>
            </w:rPr>
            <w:t>–</w:t>
          </w:r>
          <w:r w:rsidRPr="00C63180">
            <w:rPr>
              <w:rFonts w:ascii="Times New Roman" w:hAnsi="Times New Roman"/>
              <w:noProof/>
            </w:rPr>
            <w:t xml:space="preserve"> Mass Incarceration, Access to Employment, and the Federal Jobs Guarantee</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_Toc448400718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27</w:t>
          </w:r>
          <w:r w:rsidRPr="00C63180">
            <w:rPr>
              <w:rFonts w:ascii="Times New Roman" w:hAnsi="Times New Roman"/>
              <w:noProof/>
            </w:rPr>
            <w:fldChar w:fldCharType="end"/>
          </w:r>
        </w:p>
        <w:p w14:paraId="22C87160"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Introduction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_Toc448400719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27</w:t>
          </w:r>
          <w:r w:rsidRPr="00C63180">
            <w:rPr>
              <w:rFonts w:ascii="Times New Roman" w:hAnsi="Times New Roman"/>
            </w:rPr>
            <w:fldChar w:fldCharType="end"/>
          </w:r>
        </w:p>
        <w:p w14:paraId="7EB23ABA"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Socio-Ecological Model</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_Toc448400720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27</w:t>
          </w:r>
          <w:r w:rsidRPr="00C63180">
            <w:rPr>
              <w:rFonts w:ascii="Times New Roman" w:hAnsi="Times New Roman"/>
            </w:rPr>
            <w:fldChar w:fldCharType="end"/>
          </w:r>
        </w:p>
        <w:p w14:paraId="1683DD05"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Problem of Mass Incarceration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_Toc448400721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28</w:t>
          </w:r>
          <w:r w:rsidRPr="00C63180">
            <w:rPr>
              <w:rFonts w:ascii="Times New Roman" w:hAnsi="Times New Roman"/>
            </w:rPr>
            <w:fldChar w:fldCharType="end"/>
          </w:r>
        </w:p>
        <w:p w14:paraId="5BC2CE93"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Intersectional Cultural Analysis of Mass Incarceration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30</w:t>
          </w:r>
          <w:r w:rsidRPr="00C63180">
            <w:rPr>
              <w:rFonts w:ascii="Times New Roman" w:hAnsi="Times New Roman"/>
            </w:rPr>
            <w:fldChar w:fldCharType="end"/>
          </w:r>
        </w:p>
        <w:p w14:paraId="5B7BBB5C"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Impact of Mass Incarceration and Criminal Records on Access to Employment</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_Toc448400723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32</w:t>
          </w:r>
          <w:r w:rsidRPr="00C63180">
            <w:rPr>
              <w:rFonts w:ascii="Times New Roman" w:hAnsi="Times New Roman"/>
            </w:rPr>
            <w:fldChar w:fldCharType="end"/>
          </w:r>
        </w:p>
        <w:p w14:paraId="34CFB015"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Fostering Access to Employment: Fair-Chance Policies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33</w:t>
          </w:r>
          <w:r w:rsidRPr="00C63180">
            <w:rPr>
              <w:rFonts w:ascii="Times New Roman" w:hAnsi="Times New Roman"/>
            </w:rPr>
            <w:fldChar w:fldCharType="end"/>
          </w:r>
        </w:p>
        <w:p w14:paraId="1EA2F28B"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Organizational Incentives and their Limitations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33</w:t>
          </w:r>
          <w:r w:rsidRPr="00C63180">
            <w:rPr>
              <w:rFonts w:ascii="Times New Roman" w:hAnsi="Times New Roman"/>
            </w:rPr>
            <w:fldChar w:fldCharType="end"/>
          </w:r>
        </w:p>
        <w:p w14:paraId="6C3F7AF6"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Diversity Talent Pools and Enrichment Pipeline Programs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34</w:t>
          </w:r>
          <w:r w:rsidRPr="00C63180">
            <w:rPr>
              <w:rFonts w:ascii="Times New Roman" w:hAnsi="Times New Roman"/>
            </w:rPr>
            <w:fldChar w:fldCharType="end"/>
          </w:r>
        </w:p>
        <w:p w14:paraId="5A5D1F9C"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Innovative Yet Modest Organizational Social Impacts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_Toc448400727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36</w:t>
          </w:r>
          <w:r w:rsidRPr="00C63180">
            <w:rPr>
              <w:rFonts w:ascii="Times New Roman" w:hAnsi="Times New Roman"/>
            </w:rPr>
            <w:fldChar w:fldCharType="end"/>
          </w:r>
        </w:p>
        <w:p w14:paraId="41928168"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An Intersectional Public Policy Solution: Guaranteed Government Jobs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_Toc448400728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37</w:t>
          </w:r>
          <w:r w:rsidRPr="00C63180">
            <w:rPr>
              <w:rFonts w:ascii="Times New Roman" w:hAnsi="Times New Roman"/>
            </w:rPr>
            <w:fldChar w:fldCharType="end"/>
          </w:r>
        </w:p>
        <w:p w14:paraId="2C7B558A"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Transforming the U.S. Economy to be Inclusive</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_Toc448400729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39</w:t>
          </w:r>
          <w:r w:rsidRPr="00C63180">
            <w:rPr>
              <w:rFonts w:ascii="Times New Roman" w:hAnsi="Times New Roman"/>
            </w:rPr>
            <w:fldChar w:fldCharType="end"/>
          </w:r>
        </w:p>
        <w:p w14:paraId="128D520C"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Guaranteed Jobs &amp; Coalitions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_Toc448400730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40</w:t>
          </w:r>
          <w:r w:rsidRPr="00C63180">
            <w:rPr>
              <w:rFonts w:ascii="Times New Roman" w:hAnsi="Times New Roman"/>
            </w:rPr>
            <w:fldChar w:fldCharType="end"/>
          </w:r>
        </w:p>
        <w:p w14:paraId="529151B4"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Future Opportunities: A Supplementary Universal Basic Income</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_Toc448400731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42</w:t>
          </w:r>
          <w:r w:rsidRPr="00C63180">
            <w:rPr>
              <w:rFonts w:ascii="Times New Roman" w:hAnsi="Times New Roman"/>
            </w:rPr>
            <w:fldChar w:fldCharType="end"/>
          </w:r>
        </w:p>
        <w:p w14:paraId="2BF83AD6"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Conclusion: Guaranteeing Jobs to Revitalize American Democracy</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43</w:t>
          </w:r>
          <w:r w:rsidRPr="00C63180">
            <w:rPr>
              <w:rFonts w:ascii="Times New Roman" w:hAnsi="Times New Roman"/>
            </w:rPr>
            <w:fldChar w:fldCharType="end"/>
          </w:r>
        </w:p>
        <w:p w14:paraId="6CF5F26A" w14:textId="32625D1C"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 xml:space="preserve">Chapter 4  </w:t>
          </w:r>
          <w:r w:rsidR="007835B8" w:rsidRPr="00C63180">
            <w:rPr>
              <w:rFonts w:ascii="Times New Roman" w:hAnsi="Times New Roman"/>
              <w:noProof/>
            </w:rPr>
            <w:t>–</w:t>
          </w:r>
          <w:r w:rsidRPr="00C63180">
            <w:rPr>
              <w:rFonts w:ascii="Times New Roman" w:hAnsi="Times New Roman"/>
              <w:noProof/>
            </w:rPr>
            <w:t xml:space="preserve"> Economic Inequality and Democracy in the Workplace</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_Toc448400733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45</w:t>
          </w:r>
          <w:r w:rsidRPr="00C63180">
            <w:rPr>
              <w:rFonts w:ascii="Times New Roman" w:hAnsi="Times New Roman"/>
              <w:noProof/>
            </w:rPr>
            <w:fldChar w:fldCharType="end"/>
          </w:r>
        </w:p>
        <w:p w14:paraId="3261C212"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Introduction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45</w:t>
          </w:r>
          <w:r w:rsidRPr="00C63180">
            <w:rPr>
              <w:rFonts w:ascii="Times New Roman" w:hAnsi="Times New Roman"/>
            </w:rPr>
            <w:fldChar w:fldCharType="end"/>
          </w:r>
        </w:p>
        <w:p w14:paraId="6B5F063A"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A Return to the Gilded Age: Income and Wealth Concentration</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45</w:t>
          </w:r>
          <w:r w:rsidRPr="00C63180">
            <w:rPr>
              <w:rFonts w:ascii="Times New Roman" w:hAnsi="Times New Roman"/>
            </w:rPr>
            <w:fldChar w:fldCharType="end"/>
          </w:r>
        </w:p>
        <w:p w14:paraId="377EC92B"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Decline of Unions and Weakening of the Middle Class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50</w:t>
          </w:r>
          <w:r w:rsidRPr="00C63180">
            <w:rPr>
              <w:rFonts w:ascii="Times New Roman" w:hAnsi="Times New Roman"/>
            </w:rPr>
            <w:fldChar w:fldCharType="end"/>
          </w:r>
        </w:p>
        <w:p w14:paraId="15F85841"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Employee Resource Group Limitations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_Toc448400737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53</w:t>
          </w:r>
          <w:r w:rsidRPr="00C63180">
            <w:rPr>
              <w:rFonts w:ascii="Times New Roman" w:hAnsi="Times New Roman"/>
            </w:rPr>
            <w:fldChar w:fldCharType="end"/>
          </w:r>
        </w:p>
        <w:p w14:paraId="735E8316"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lastRenderedPageBreak/>
            <w:t>Diversity and Inclusion as Labor Relations Strategy</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_Toc448400738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53</w:t>
          </w:r>
          <w:r w:rsidRPr="00C63180">
            <w:rPr>
              <w:rFonts w:ascii="Times New Roman" w:hAnsi="Times New Roman"/>
            </w:rPr>
            <w:fldChar w:fldCharType="end"/>
          </w:r>
        </w:p>
        <w:p w14:paraId="0BD7DC28"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Intersectional Policy Consideration: Democracy in the Workplace</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_Toc448400739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54</w:t>
          </w:r>
          <w:r w:rsidRPr="00C63180">
            <w:rPr>
              <w:rFonts w:ascii="Times New Roman" w:hAnsi="Times New Roman"/>
            </w:rPr>
            <w:fldChar w:fldCharType="end"/>
          </w:r>
        </w:p>
        <w:p w14:paraId="73259311"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Unionization Process Simplified</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_Toc448400740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55</w:t>
          </w:r>
          <w:r w:rsidRPr="00C63180">
            <w:rPr>
              <w:rFonts w:ascii="Times New Roman" w:hAnsi="Times New Roman"/>
            </w:rPr>
            <w:fldChar w:fldCharType="end"/>
          </w:r>
        </w:p>
        <w:p w14:paraId="0387D749"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Expand Union Eligibility &amp; Protections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_Toc448400741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57</w:t>
          </w:r>
          <w:r w:rsidRPr="00C63180">
            <w:rPr>
              <w:rFonts w:ascii="Times New Roman" w:hAnsi="Times New Roman"/>
            </w:rPr>
            <w:fldChar w:fldCharType="end"/>
          </w:r>
        </w:p>
        <w:p w14:paraId="0D5AB269"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Increase Union Negotiating Power</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58</w:t>
          </w:r>
          <w:r w:rsidRPr="00C63180">
            <w:rPr>
              <w:rFonts w:ascii="Times New Roman" w:hAnsi="Times New Roman"/>
            </w:rPr>
            <w:fldChar w:fldCharType="end"/>
          </w:r>
        </w:p>
        <w:p w14:paraId="6B7B2408"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Honor Existing Commitments to Workers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_Toc448400743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59</w:t>
          </w:r>
          <w:r w:rsidRPr="00C63180">
            <w:rPr>
              <w:rFonts w:ascii="Times New Roman" w:hAnsi="Times New Roman"/>
            </w:rPr>
            <w:fldChar w:fldCharType="end"/>
          </w:r>
        </w:p>
        <w:p w14:paraId="6E224874"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Mandate and Incentivize Good Employer Behavior</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60</w:t>
          </w:r>
          <w:r w:rsidRPr="00C63180">
            <w:rPr>
              <w:rFonts w:ascii="Times New Roman" w:hAnsi="Times New Roman"/>
            </w:rPr>
            <w:fldChar w:fldCharType="end"/>
          </w:r>
        </w:p>
        <w:p w14:paraId="34428C98"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Create Wage Boards to Set Sector-Based Wages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62</w:t>
          </w:r>
          <w:r w:rsidRPr="00C63180">
            <w:rPr>
              <w:rFonts w:ascii="Times New Roman" w:hAnsi="Times New Roman"/>
            </w:rPr>
            <w:fldChar w:fldCharType="end"/>
          </w:r>
        </w:p>
        <w:p w14:paraId="78185FD5"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Labor &amp; Single Payer Universal Healthcare</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64</w:t>
          </w:r>
          <w:r w:rsidRPr="00C63180">
            <w:rPr>
              <w:rFonts w:ascii="Times New Roman" w:hAnsi="Times New Roman"/>
            </w:rPr>
            <w:fldChar w:fldCharType="end"/>
          </w:r>
        </w:p>
        <w:p w14:paraId="5A216C8F"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Future Opportunities: Full Sectoral Bargaining</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_Toc448400747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64</w:t>
          </w:r>
          <w:r w:rsidRPr="00C63180">
            <w:rPr>
              <w:rFonts w:ascii="Times New Roman" w:hAnsi="Times New Roman"/>
            </w:rPr>
            <w:fldChar w:fldCharType="end"/>
          </w:r>
        </w:p>
        <w:p w14:paraId="4F4E7F4B"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Intersectional Legacy of the Civil Rights &amp; Labor Movements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_Toc448400748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66</w:t>
          </w:r>
          <w:r w:rsidRPr="00C63180">
            <w:rPr>
              <w:rFonts w:ascii="Times New Roman" w:hAnsi="Times New Roman"/>
            </w:rPr>
            <w:fldChar w:fldCharType="end"/>
          </w:r>
        </w:p>
        <w:p w14:paraId="117635D1"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The Role of Labor Unions in Bridging Racial, Gender, and Economic Disparities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_Toc448400749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66</w:t>
          </w:r>
          <w:r w:rsidRPr="00C63180">
            <w:rPr>
              <w:rFonts w:ascii="Times New Roman" w:hAnsi="Times New Roman"/>
            </w:rPr>
            <w:fldChar w:fldCharType="end"/>
          </w:r>
        </w:p>
        <w:p w14:paraId="7EFB5708"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Conclusion: Racial Justice, Interracial Working Class Solidarity, and Gender Equity</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_Toc448400750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68</w:t>
          </w:r>
          <w:r w:rsidRPr="00C63180">
            <w:rPr>
              <w:rFonts w:ascii="Times New Roman" w:hAnsi="Times New Roman"/>
            </w:rPr>
            <w:fldChar w:fldCharType="end"/>
          </w:r>
        </w:p>
        <w:p w14:paraId="0B46D262" w14:textId="17F52184"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 xml:space="preserve">Chapter 5 </w:t>
          </w:r>
          <w:r w:rsidR="007835B8" w:rsidRPr="00C63180">
            <w:rPr>
              <w:rFonts w:ascii="Times New Roman" w:hAnsi="Times New Roman"/>
              <w:noProof/>
            </w:rPr>
            <w:t>–</w:t>
          </w:r>
          <w:r w:rsidR="007835B8">
            <w:rPr>
              <w:rFonts w:ascii="Times New Roman" w:hAnsi="Times New Roman"/>
              <w:noProof/>
            </w:rPr>
            <w:t xml:space="preserve"> </w:t>
          </w:r>
          <w:r w:rsidRPr="00C63180">
            <w:rPr>
              <w:rFonts w:ascii="Times New Roman" w:hAnsi="Times New Roman"/>
              <w:noProof/>
            </w:rPr>
            <w:t>Conclusion</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_Toc448400751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71</w:t>
          </w:r>
          <w:r w:rsidRPr="00C63180">
            <w:rPr>
              <w:rFonts w:ascii="Times New Roman" w:hAnsi="Times New Roman"/>
              <w:noProof/>
            </w:rPr>
            <w:fldChar w:fldCharType="end"/>
          </w:r>
        </w:p>
        <w:p w14:paraId="3701B279"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Background and Research Questions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_Toc448400752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71</w:t>
          </w:r>
          <w:r w:rsidRPr="00C63180">
            <w:rPr>
              <w:rFonts w:ascii="Times New Roman" w:hAnsi="Times New Roman"/>
            </w:rPr>
            <w:fldChar w:fldCharType="end"/>
          </w:r>
        </w:p>
        <w:p w14:paraId="5728A0A0"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Methodology, Theoretical Approach, and Findings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_Toc448400753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71</w:t>
          </w:r>
          <w:r w:rsidRPr="00C63180">
            <w:rPr>
              <w:rFonts w:ascii="Times New Roman" w:hAnsi="Times New Roman"/>
            </w:rPr>
            <w:fldChar w:fldCharType="end"/>
          </w:r>
        </w:p>
        <w:p w14:paraId="4CA6FDB4"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Recommendations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_Toc448400754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73</w:t>
          </w:r>
          <w:r w:rsidRPr="00C63180">
            <w:rPr>
              <w:rFonts w:ascii="Times New Roman" w:hAnsi="Times New Roman"/>
            </w:rPr>
            <w:fldChar w:fldCharType="end"/>
          </w:r>
        </w:p>
        <w:p w14:paraId="3D5FCB97"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Methodological Limitations and Future Research</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_Toc448400755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75</w:t>
          </w:r>
          <w:r w:rsidRPr="00C63180">
            <w:rPr>
              <w:rFonts w:ascii="Times New Roman" w:hAnsi="Times New Roman"/>
            </w:rPr>
            <w:fldChar w:fldCharType="end"/>
          </w:r>
        </w:p>
        <w:p w14:paraId="1F123A99" w14:textId="77777777" w:rsidR="00134B6B" w:rsidRPr="00C63180" w:rsidRDefault="00134B6B" w:rsidP="00F476A7">
          <w:pPr>
            <w:pStyle w:val="TOC2"/>
            <w:rPr>
              <w:rFonts w:ascii="Times New Roman" w:eastAsiaTheme="minorEastAsia" w:hAnsi="Times New Roman" w:cstheme="minorBidi"/>
              <w:b/>
              <w:sz w:val="24"/>
              <w:szCs w:val="24"/>
              <w:lang w:eastAsia="ja-JP"/>
            </w:rPr>
          </w:pPr>
          <w:r w:rsidRPr="00C63180">
            <w:rPr>
              <w:rFonts w:ascii="Times New Roman" w:hAnsi="Times New Roman"/>
            </w:rPr>
            <w:t>Historical Origins and Future Possibilities</w:t>
          </w:r>
          <w:r w:rsidRPr="00C63180">
            <w:rPr>
              <w:rFonts w:ascii="Times New Roman" w:hAnsi="Times New Roman"/>
            </w:rPr>
            <w:tab/>
          </w:r>
          <w:r w:rsidRPr="00C63180">
            <w:rPr>
              <w:rFonts w:ascii="Times New Roman" w:hAnsi="Times New Roman"/>
            </w:rPr>
            <w:fldChar w:fldCharType="begin"/>
          </w:r>
          <w:r w:rsidRPr="00C63180">
            <w:rPr>
              <w:rFonts w:ascii="Times New Roman" w:hAnsi="Times New Roman"/>
            </w:rPr>
            <w:instrText xml:space="preserve"> PAGEREF _Toc448400756 \h </w:instrText>
          </w:r>
          <w:r w:rsidRPr="00C63180">
            <w:rPr>
              <w:rFonts w:ascii="Times New Roman" w:hAnsi="Times New Roman"/>
            </w:rPr>
          </w:r>
          <w:r w:rsidRPr="00C63180">
            <w:rPr>
              <w:rFonts w:ascii="Times New Roman" w:hAnsi="Times New Roman"/>
            </w:rPr>
            <w:fldChar w:fldCharType="separate"/>
          </w:r>
          <w:r w:rsidRPr="00C63180">
            <w:rPr>
              <w:rFonts w:ascii="Times New Roman" w:hAnsi="Times New Roman"/>
            </w:rPr>
            <w:t>77</w:t>
          </w:r>
          <w:r w:rsidRPr="00C63180">
            <w:rPr>
              <w:rFonts w:ascii="Times New Roman" w:hAnsi="Times New Roman"/>
            </w:rPr>
            <w:fldChar w:fldCharType="end"/>
          </w:r>
        </w:p>
        <w:p w14:paraId="195EB1C9" w14:textId="77777777" w:rsidR="00134B6B" w:rsidRPr="00C63180" w:rsidRDefault="00134B6B">
          <w:pPr>
            <w:pStyle w:val="TOC1"/>
            <w:rPr>
              <w:rFonts w:ascii="Times New Roman" w:eastAsiaTheme="minorEastAsia" w:hAnsi="Times New Roman" w:cstheme="minorBidi"/>
              <w:b w:val="0"/>
              <w:noProof/>
              <w:lang w:eastAsia="ja-JP"/>
            </w:rPr>
          </w:pPr>
          <w:r w:rsidRPr="00C63180">
            <w:rPr>
              <w:rFonts w:ascii="Times New Roman" w:hAnsi="Times New Roman"/>
              <w:noProof/>
            </w:rPr>
            <w:t>References</w:t>
          </w:r>
          <w:r w:rsidRPr="00C63180">
            <w:rPr>
              <w:rFonts w:ascii="Times New Roman" w:hAnsi="Times New Roman"/>
              <w:noProof/>
            </w:rPr>
            <w:tab/>
          </w:r>
          <w:r w:rsidRPr="00C63180">
            <w:rPr>
              <w:rFonts w:ascii="Times New Roman" w:hAnsi="Times New Roman"/>
              <w:noProof/>
            </w:rPr>
            <w:fldChar w:fldCharType="begin"/>
          </w:r>
          <w:r w:rsidRPr="00C63180">
            <w:rPr>
              <w:rFonts w:ascii="Times New Roman" w:hAnsi="Times New Roman"/>
              <w:noProof/>
            </w:rPr>
            <w:instrText xml:space="preserve"> PAGEREF _Toc448400757 \h </w:instrText>
          </w:r>
          <w:r w:rsidRPr="00C63180">
            <w:rPr>
              <w:rFonts w:ascii="Times New Roman" w:hAnsi="Times New Roman"/>
              <w:noProof/>
            </w:rPr>
          </w:r>
          <w:r w:rsidRPr="00C63180">
            <w:rPr>
              <w:rFonts w:ascii="Times New Roman" w:hAnsi="Times New Roman"/>
              <w:noProof/>
            </w:rPr>
            <w:fldChar w:fldCharType="separate"/>
          </w:r>
          <w:r w:rsidRPr="00C63180">
            <w:rPr>
              <w:rFonts w:ascii="Times New Roman" w:hAnsi="Times New Roman"/>
              <w:noProof/>
            </w:rPr>
            <w:t>78</w:t>
          </w:r>
          <w:r w:rsidRPr="00C63180">
            <w:rPr>
              <w:rFonts w:ascii="Times New Roman" w:hAnsi="Times New Roman"/>
              <w:noProof/>
            </w:rPr>
            <w:fldChar w:fldCharType="end"/>
          </w:r>
        </w:p>
        <w:p w14:paraId="312EB502" w14:textId="77777777" w:rsidR="00F562F3" w:rsidRPr="00C63180" w:rsidRDefault="00F562F3" w:rsidP="00276C14">
          <w:pPr>
            <w:spacing w:line="276" w:lineRule="auto"/>
            <w:rPr>
              <w:rFonts w:ascii="Times New Roman" w:hAnsi="Times New Roman"/>
            </w:rPr>
          </w:pPr>
          <w:r w:rsidRPr="00C63180">
            <w:rPr>
              <w:rFonts w:ascii="Times New Roman" w:hAnsi="Times New Roman"/>
              <w:b/>
              <w:bCs/>
              <w:noProof/>
            </w:rPr>
            <w:fldChar w:fldCharType="end"/>
          </w:r>
        </w:p>
      </w:sdtContent>
    </w:sdt>
    <w:p w14:paraId="67E2E1CB" w14:textId="77777777" w:rsidR="00B84936" w:rsidRPr="00C63180" w:rsidRDefault="00B84936">
      <w:pPr>
        <w:spacing w:before="400" w:after="120" w:line="360" w:lineRule="auto"/>
        <w:rPr>
          <w:rFonts w:ascii="Times New Roman" w:eastAsia="Times New Roman" w:hAnsi="Times New Roman" w:cs="Times New Roman"/>
          <w:b/>
          <w:color w:val="000000"/>
        </w:rPr>
      </w:pPr>
    </w:p>
    <w:p w14:paraId="05FD214F" w14:textId="77777777" w:rsidR="00B84936" w:rsidRPr="00C63180" w:rsidRDefault="00B84936">
      <w:pPr>
        <w:spacing w:before="400" w:after="120" w:line="360" w:lineRule="auto"/>
        <w:rPr>
          <w:rFonts w:ascii="Times New Roman" w:eastAsia="Times New Roman" w:hAnsi="Times New Roman" w:cs="Times New Roman"/>
          <w:b/>
          <w:color w:val="000000"/>
        </w:rPr>
      </w:pPr>
    </w:p>
    <w:p w14:paraId="5AF39124" w14:textId="77777777" w:rsidR="00B84936" w:rsidRPr="00C63180" w:rsidRDefault="00B84936">
      <w:pPr>
        <w:spacing w:before="400" w:after="120"/>
        <w:rPr>
          <w:rFonts w:ascii="Times New Roman" w:eastAsia="Times New Roman" w:hAnsi="Times New Roman" w:cs="Times New Roman"/>
          <w:b/>
          <w:color w:val="000000"/>
        </w:rPr>
      </w:pPr>
    </w:p>
    <w:p w14:paraId="4D13E9D2" w14:textId="77777777" w:rsidR="001D1521" w:rsidRPr="00C63180" w:rsidRDefault="001D1521">
      <w:pPr>
        <w:spacing w:before="400" w:after="120"/>
        <w:rPr>
          <w:rFonts w:ascii="Times New Roman" w:eastAsia="Times New Roman" w:hAnsi="Times New Roman" w:cs="Times New Roman"/>
          <w:b/>
          <w:color w:val="000000"/>
        </w:rPr>
      </w:pPr>
    </w:p>
    <w:p w14:paraId="0FFDEBAB" w14:textId="77777777" w:rsidR="00F562F3" w:rsidRPr="00C63180" w:rsidRDefault="00F562F3">
      <w:pPr>
        <w:spacing w:before="400" w:after="120"/>
        <w:rPr>
          <w:rFonts w:ascii="Times New Roman" w:eastAsia="Times New Roman" w:hAnsi="Times New Roman" w:cs="Times New Roman"/>
          <w:b/>
          <w:color w:val="000000"/>
        </w:rPr>
      </w:pPr>
    </w:p>
    <w:p w14:paraId="1B46B273" w14:textId="77777777" w:rsidR="001D1521" w:rsidRPr="00C63180" w:rsidRDefault="001D1521">
      <w:pPr>
        <w:spacing w:before="400" w:after="120"/>
        <w:rPr>
          <w:rFonts w:ascii="Times New Roman" w:eastAsia="Times New Roman" w:hAnsi="Times New Roman" w:cs="Times New Roman"/>
          <w:b/>
          <w:color w:val="000000"/>
        </w:rPr>
      </w:pPr>
    </w:p>
    <w:p w14:paraId="50F281D3" w14:textId="77777777" w:rsidR="00F476A7" w:rsidRPr="00C63180" w:rsidRDefault="00F476A7">
      <w:pPr>
        <w:spacing w:before="400" w:after="120"/>
        <w:rPr>
          <w:rFonts w:ascii="Times New Roman" w:eastAsia="Times New Roman" w:hAnsi="Times New Roman" w:cs="Times New Roman"/>
          <w:b/>
          <w:color w:val="000000"/>
        </w:rPr>
      </w:pPr>
    </w:p>
    <w:p w14:paraId="449B4550" w14:textId="77777777" w:rsidR="001D1521" w:rsidRPr="00C63180" w:rsidRDefault="001D1521">
      <w:pPr>
        <w:spacing w:before="400" w:after="120"/>
        <w:rPr>
          <w:rFonts w:ascii="Times New Roman" w:eastAsia="Times New Roman" w:hAnsi="Times New Roman" w:cs="Times New Roman"/>
          <w:b/>
          <w:color w:val="000000"/>
        </w:rPr>
      </w:pPr>
    </w:p>
    <w:p w14:paraId="17F10FE3" w14:textId="77777777" w:rsidR="00134B6B" w:rsidRPr="00C63180" w:rsidRDefault="00134B6B" w:rsidP="00F30C77">
      <w:pPr>
        <w:pStyle w:val="Heading1"/>
        <w:rPr>
          <w:rFonts w:ascii="Times New Roman" w:eastAsia="Times New Roman" w:hAnsi="Times New Roman" w:cs="Times New Roman"/>
          <w:bCs w:val="0"/>
          <w:color w:val="000000"/>
          <w:kern w:val="0"/>
          <w:sz w:val="24"/>
          <w:szCs w:val="24"/>
        </w:rPr>
      </w:pPr>
      <w:bookmarkStart w:id="5" w:name="_Toc448400700"/>
    </w:p>
    <w:p w14:paraId="7A9C598B" w14:textId="77777777" w:rsidR="00F476A7" w:rsidRPr="00C63180" w:rsidRDefault="00F476A7" w:rsidP="00F30C77">
      <w:pPr>
        <w:pStyle w:val="Heading1"/>
        <w:rPr>
          <w:rFonts w:ascii="Times New Roman" w:eastAsia="Times New Roman" w:hAnsi="Times New Roman" w:cs="Times New Roman"/>
          <w:bCs w:val="0"/>
          <w:color w:val="000000"/>
          <w:kern w:val="0"/>
          <w:sz w:val="24"/>
          <w:szCs w:val="24"/>
        </w:rPr>
      </w:pPr>
    </w:p>
    <w:p w14:paraId="13BEDF5D" w14:textId="77777777" w:rsidR="00B84936" w:rsidRPr="00C63180" w:rsidRDefault="001D1521" w:rsidP="00F30C77">
      <w:pPr>
        <w:pStyle w:val="Heading1"/>
        <w:rPr>
          <w:rFonts w:ascii="Times New Roman" w:hAnsi="Times New Roman"/>
          <w:sz w:val="24"/>
          <w:szCs w:val="24"/>
        </w:rPr>
      </w:pPr>
      <w:r w:rsidRPr="00C63180">
        <w:rPr>
          <w:rFonts w:ascii="Times New Roman" w:hAnsi="Times New Roman"/>
          <w:sz w:val="24"/>
          <w:szCs w:val="24"/>
        </w:rPr>
        <w:lastRenderedPageBreak/>
        <w:t>Chapter 1 – Introduction and Methodology</w:t>
      </w:r>
      <w:bookmarkEnd w:id="5"/>
    </w:p>
    <w:p w14:paraId="1C8BA956" w14:textId="77777777" w:rsidR="00B84936" w:rsidRPr="00C63180" w:rsidRDefault="001D1521" w:rsidP="00F30C77">
      <w:pPr>
        <w:pStyle w:val="Heading2"/>
        <w:rPr>
          <w:rFonts w:ascii="Times New Roman" w:hAnsi="Times New Roman"/>
          <w:sz w:val="24"/>
          <w:szCs w:val="24"/>
        </w:rPr>
      </w:pPr>
      <w:bookmarkStart w:id="6" w:name="_Toc448400701"/>
      <w:r w:rsidRPr="00C63180">
        <w:rPr>
          <w:rFonts w:ascii="Times New Roman" w:hAnsi="Times New Roman"/>
          <w:sz w:val="24"/>
          <w:szCs w:val="24"/>
        </w:rPr>
        <w:t>Introduction</w:t>
      </w:r>
      <w:bookmarkEnd w:id="6"/>
    </w:p>
    <w:p w14:paraId="34EC04B6"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This chapter provides a thorough record of how the research has been carried out in primary and secondary source data collection and subsequent analysis. It will also provide a justification as to why this methodology was identified as most fitting to fulfill this study’s aims, objectives, and driving research questions. This chapter includes an elucidation of cultural analysis, how it can be conducted, what constitutes a text that can serve as the subject of cultural analysis, and the importance of the researcher producing meaning from the connections made between the text and context. Additionally, the ethicality of how the research has been conducted, the reliability of the findings, and their validity </w:t>
      </w:r>
      <w:proofErr w:type="gramStart"/>
      <w:r w:rsidRPr="00C63180">
        <w:rPr>
          <w:rFonts w:ascii="Times New Roman" w:eastAsia="Times New Roman" w:hAnsi="Times New Roman" w:cs="Times New Roman"/>
          <w:color w:val="000000"/>
        </w:rPr>
        <w:t>have</w:t>
      </w:r>
      <w:proofErr w:type="gramEnd"/>
      <w:r w:rsidRPr="00C63180">
        <w:rPr>
          <w:rFonts w:ascii="Times New Roman" w:eastAsia="Times New Roman" w:hAnsi="Times New Roman" w:cs="Times New Roman"/>
          <w:color w:val="000000"/>
        </w:rPr>
        <w:t xml:space="preserve"> been given thoughtful consideration at the end of this chapter.</w:t>
      </w:r>
    </w:p>
    <w:p w14:paraId="5D7D83FF" w14:textId="77777777" w:rsidR="00B84936" w:rsidRPr="00C63180" w:rsidRDefault="00B84936">
      <w:pPr>
        <w:rPr>
          <w:rFonts w:ascii="Times New Roman" w:eastAsia="Times New Roman" w:hAnsi="Times New Roman" w:cs="Times New Roman"/>
        </w:rPr>
      </w:pPr>
    </w:p>
    <w:p w14:paraId="333DAB39" w14:textId="77777777" w:rsidR="00B84936" w:rsidRPr="00C63180" w:rsidRDefault="001D1521" w:rsidP="00F30C77">
      <w:pPr>
        <w:pStyle w:val="Heading2"/>
        <w:rPr>
          <w:rFonts w:ascii="Times New Roman" w:hAnsi="Times New Roman"/>
          <w:sz w:val="24"/>
          <w:szCs w:val="24"/>
        </w:rPr>
      </w:pPr>
      <w:bookmarkStart w:id="7" w:name="_Toc448400702"/>
      <w:r w:rsidRPr="00C63180">
        <w:rPr>
          <w:rFonts w:ascii="Times New Roman" w:hAnsi="Times New Roman"/>
          <w:sz w:val="24"/>
          <w:szCs w:val="24"/>
        </w:rPr>
        <w:t>Research Aims, Objectives, and Questions</w:t>
      </w:r>
      <w:bookmarkEnd w:id="7"/>
    </w:p>
    <w:p w14:paraId="5FDE7E86"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The overall aim of this research is to situate organizational-level Diversity and Inclusion interventions with the New Gilded Age as the socioeconomic backdrop and explore public policy interventions that could more comprehensively address social and economic problems in the New Gilded Age.</w:t>
      </w:r>
    </w:p>
    <w:p w14:paraId="75A8CC31" w14:textId="77777777" w:rsidR="00B84936" w:rsidRPr="00C63180" w:rsidRDefault="00B84936">
      <w:pPr>
        <w:rPr>
          <w:rFonts w:ascii="Times New Roman" w:eastAsia="Times New Roman" w:hAnsi="Times New Roman" w:cs="Times New Roman"/>
        </w:rPr>
      </w:pPr>
    </w:p>
    <w:p w14:paraId="67AE7B1F" w14:textId="77777777" w:rsidR="00B84936" w:rsidRPr="00C63180" w:rsidRDefault="001D1521">
      <w:pPr>
        <w:spacing w:line="480" w:lineRule="auto"/>
        <w:rPr>
          <w:rFonts w:ascii="Times New Roman" w:eastAsia="Times New Roman" w:hAnsi="Times New Roman" w:cs="Times New Roman"/>
        </w:rPr>
      </w:pPr>
      <w:r w:rsidRPr="00C63180">
        <w:rPr>
          <w:rFonts w:ascii="Times New Roman" w:eastAsia="Times New Roman" w:hAnsi="Times New Roman" w:cs="Times New Roman"/>
          <w:color w:val="000000"/>
        </w:rPr>
        <w:t>The objectives of this research are the following:</w:t>
      </w:r>
    </w:p>
    <w:p w14:paraId="2BB62FE7" w14:textId="77777777" w:rsidR="00B84936" w:rsidRPr="00C63180" w:rsidRDefault="001D1521">
      <w:pPr>
        <w:numPr>
          <w:ilvl w:val="0"/>
          <w:numId w:val="1"/>
        </w:numPr>
        <w:spacing w:line="480" w:lineRule="auto"/>
        <w:rPr>
          <w:rFonts w:ascii="Times New Roman" w:eastAsia="Times New Roman" w:hAnsi="Times New Roman" w:cs="Times New Roman"/>
          <w:color w:val="000000"/>
        </w:rPr>
      </w:pPr>
      <w:r w:rsidRPr="00C63180">
        <w:rPr>
          <w:rFonts w:ascii="Times New Roman" w:eastAsia="Times New Roman" w:hAnsi="Times New Roman" w:cs="Times New Roman"/>
          <w:color w:val="000000"/>
        </w:rPr>
        <w:t>Collect and evaluate primary source documents to identify the strengths and shortcomings of Diversity and Inclusion interventions and public policy proposals at the organizational and societal levels.</w:t>
      </w:r>
    </w:p>
    <w:p w14:paraId="07586A04" w14:textId="77777777" w:rsidR="00B84936" w:rsidRPr="00C63180" w:rsidRDefault="001D1521">
      <w:pPr>
        <w:numPr>
          <w:ilvl w:val="0"/>
          <w:numId w:val="1"/>
        </w:numPr>
        <w:spacing w:line="480" w:lineRule="auto"/>
        <w:rPr>
          <w:rFonts w:ascii="Times New Roman" w:eastAsia="Times New Roman" w:hAnsi="Times New Roman" w:cs="Times New Roman"/>
          <w:color w:val="000000"/>
        </w:rPr>
      </w:pPr>
      <w:r w:rsidRPr="00C63180">
        <w:rPr>
          <w:rFonts w:ascii="Times New Roman" w:eastAsia="Times New Roman" w:hAnsi="Times New Roman" w:cs="Times New Roman"/>
          <w:color w:val="000000"/>
        </w:rPr>
        <w:lastRenderedPageBreak/>
        <w:t>Evaluate and consult secondary source documents to situate and contextualize Diversity and Inclusion practices and public policy proposals with the New Gilded Age as socioeconomic and political context.</w:t>
      </w:r>
    </w:p>
    <w:p w14:paraId="65E7DEA9" w14:textId="77777777" w:rsidR="00B84936" w:rsidRPr="00C63180" w:rsidRDefault="001D1521">
      <w:pPr>
        <w:numPr>
          <w:ilvl w:val="0"/>
          <w:numId w:val="1"/>
        </w:numPr>
        <w:spacing w:line="480" w:lineRule="auto"/>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Draw conclusions from Diversity and Inclusion interventions and recommend public policy proposals, namely the Federal Jobs Guarantee and the Workplace Democracy Act, while interpreting the societal and economic implications of these initiatives seen through the lens of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in the New Gilded Age.</w:t>
      </w:r>
    </w:p>
    <w:p w14:paraId="0B55F6FA" w14:textId="77777777" w:rsidR="00B84936" w:rsidRPr="00C63180" w:rsidRDefault="00B84936">
      <w:pPr>
        <w:rPr>
          <w:rFonts w:ascii="Times New Roman" w:eastAsia="Times New Roman" w:hAnsi="Times New Roman" w:cs="Times New Roman"/>
        </w:rPr>
      </w:pPr>
    </w:p>
    <w:p w14:paraId="7BF098C7" w14:textId="77777777" w:rsidR="00B84936" w:rsidRPr="00C63180" w:rsidRDefault="001D1521">
      <w:pPr>
        <w:spacing w:line="480" w:lineRule="auto"/>
        <w:rPr>
          <w:rFonts w:ascii="Times New Roman" w:eastAsia="Times New Roman" w:hAnsi="Times New Roman" w:cs="Times New Roman"/>
        </w:rPr>
      </w:pPr>
      <w:r w:rsidRPr="00C63180">
        <w:rPr>
          <w:rFonts w:ascii="Times New Roman" w:eastAsia="Times New Roman" w:hAnsi="Times New Roman" w:cs="Times New Roman"/>
          <w:color w:val="000000"/>
        </w:rPr>
        <w:t>The principal research questions of this study are as follows:</w:t>
      </w:r>
    </w:p>
    <w:p w14:paraId="582200D4" w14:textId="77777777" w:rsidR="00B84936" w:rsidRPr="00C63180" w:rsidRDefault="001D1521">
      <w:pPr>
        <w:numPr>
          <w:ilvl w:val="0"/>
          <w:numId w:val="2"/>
        </w:numPr>
        <w:spacing w:line="480" w:lineRule="auto"/>
        <w:rPr>
          <w:rFonts w:ascii="Times New Roman" w:eastAsia="Times New Roman" w:hAnsi="Times New Roman" w:cs="Times New Roman"/>
          <w:color w:val="000000"/>
        </w:rPr>
      </w:pPr>
      <w:r w:rsidRPr="00C63180">
        <w:rPr>
          <w:rFonts w:ascii="Times New Roman" w:eastAsia="Times New Roman" w:hAnsi="Times New Roman" w:cs="Times New Roman"/>
          <w:color w:val="000000"/>
        </w:rPr>
        <w:t>How and to what extent do Diversity and Inclusion interventions at the organizational level address social and economic inequalities in the New Gilded Age?</w:t>
      </w:r>
    </w:p>
    <w:p w14:paraId="2B86ACA5" w14:textId="77777777" w:rsidR="00B84936" w:rsidRPr="00C63180" w:rsidRDefault="001D1521">
      <w:pPr>
        <w:numPr>
          <w:ilvl w:val="0"/>
          <w:numId w:val="2"/>
        </w:numPr>
        <w:spacing w:line="480" w:lineRule="auto"/>
        <w:rPr>
          <w:rFonts w:ascii="Times New Roman" w:eastAsia="Times New Roman" w:hAnsi="Times New Roman" w:cs="Times New Roman"/>
          <w:color w:val="000000"/>
        </w:rPr>
      </w:pPr>
      <w:r w:rsidRPr="00C63180">
        <w:rPr>
          <w:rFonts w:ascii="Times New Roman" w:eastAsia="Times New Roman" w:hAnsi="Times New Roman" w:cs="Times New Roman"/>
          <w:color w:val="000000"/>
        </w:rPr>
        <w:t>In light of the strengths and limitations of Diversity and Inclusion interventions, how could intersectional public policy fill in where Diversity and Inclusion falls short in eliminating the social and economic inequalities of the New Gilded Age?</w:t>
      </w:r>
    </w:p>
    <w:p w14:paraId="6899F16F" w14:textId="77777777" w:rsidR="00B84936" w:rsidRPr="00C63180" w:rsidRDefault="00B84936">
      <w:pPr>
        <w:rPr>
          <w:rFonts w:ascii="Times New Roman" w:eastAsia="Times New Roman" w:hAnsi="Times New Roman" w:cs="Times New Roman"/>
        </w:rPr>
      </w:pPr>
    </w:p>
    <w:p w14:paraId="74D011B4" w14:textId="77777777" w:rsidR="00B84936" w:rsidRPr="00C63180" w:rsidRDefault="001D1521" w:rsidP="00F30C77">
      <w:pPr>
        <w:pStyle w:val="Heading2"/>
        <w:rPr>
          <w:rFonts w:ascii="Times New Roman" w:hAnsi="Times New Roman"/>
          <w:sz w:val="24"/>
          <w:szCs w:val="24"/>
        </w:rPr>
      </w:pPr>
      <w:bookmarkStart w:id="8" w:name="_Toc448400703"/>
      <w:r w:rsidRPr="00C63180">
        <w:rPr>
          <w:rFonts w:ascii="Times New Roman" w:hAnsi="Times New Roman"/>
          <w:sz w:val="24"/>
          <w:szCs w:val="24"/>
        </w:rPr>
        <w:t>Data Analysis</w:t>
      </w:r>
      <w:bookmarkEnd w:id="8"/>
    </w:p>
    <w:p w14:paraId="6D44132F" w14:textId="74A12F2B"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Qualitative approaches serve as the principal methodological driver of this study. Qualitative research is “research that produces findings not arrived at by means of statistical procedures or other means of quantification” (Strauss and Corbin, 1990, </w:t>
      </w:r>
      <w:r w:rsidR="0031011C">
        <w:rPr>
          <w:rFonts w:ascii="Times New Roman" w:eastAsia="Times New Roman" w:hAnsi="Times New Roman" w:cs="Times New Roman"/>
          <w:color w:val="000000"/>
        </w:rPr>
        <w:t xml:space="preserve">p. </w:t>
      </w:r>
      <w:r w:rsidRPr="00C63180">
        <w:rPr>
          <w:rFonts w:ascii="Times New Roman" w:eastAsia="Times New Roman" w:hAnsi="Times New Roman" w:cs="Times New Roman"/>
          <w:color w:val="000000"/>
        </w:rPr>
        <w:t>17). Where quantitative scholars seek causal determination, prediction, and findings generalization, qualitative researchers pursue illumination, understanding, and extrapolation to similar situations (</w:t>
      </w:r>
      <w:proofErr w:type="spellStart"/>
      <w:r w:rsidRPr="00C63180">
        <w:rPr>
          <w:rFonts w:ascii="Times New Roman" w:eastAsia="Times New Roman" w:hAnsi="Times New Roman" w:cs="Times New Roman"/>
          <w:color w:val="000000"/>
        </w:rPr>
        <w:t>Hoepfl</w:t>
      </w:r>
      <w:proofErr w:type="spellEnd"/>
      <w:r w:rsidRPr="00C63180">
        <w:rPr>
          <w:rFonts w:ascii="Times New Roman" w:eastAsia="Times New Roman" w:hAnsi="Times New Roman" w:cs="Times New Roman"/>
          <w:color w:val="000000"/>
        </w:rPr>
        <w:t xml:space="preserve">, 1997). The central focus of qualitative </w:t>
      </w:r>
      <w:r w:rsidRPr="00C63180">
        <w:rPr>
          <w:rFonts w:ascii="Times New Roman" w:eastAsia="Times New Roman" w:hAnsi="Times New Roman" w:cs="Times New Roman"/>
          <w:color w:val="000000"/>
        </w:rPr>
        <w:lastRenderedPageBreak/>
        <w:t xml:space="preserve">research is to “engage in research that probes for deeper understanding rather than examine surface features” (Johnson, 1995, </w:t>
      </w:r>
      <w:r w:rsidR="0031011C">
        <w:rPr>
          <w:rFonts w:ascii="Times New Roman" w:eastAsia="Times New Roman" w:hAnsi="Times New Roman" w:cs="Times New Roman"/>
          <w:color w:val="000000"/>
        </w:rPr>
        <w:t xml:space="preserve">p. </w:t>
      </w:r>
      <w:r w:rsidRPr="00C63180">
        <w:rPr>
          <w:rFonts w:ascii="Times New Roman" w:eastAsia="Times New Roman" w:hAnsi="Times New Roman" w:cs="Times New Roman"/>
          <w:color w:val="000000"/>
        </w:rPr>
        <w:t>4). </w:t>
      </w:r>
    </w:p>
    <w:p w14:paraId="67A0E862"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Clifford Geertz’ approach on cultural analysis grounds the qualitative interpretations of this research. In </w:t>
      </w:r>
      <w:r w:rsidRPr="00C63180">
        <w:rPr>
          <w:rFonts w:ascii="Times New Roman" w:eastAsia="Times New Roman" w:hAnsi="Times New Roman" w:cs="Times New Roman"/>
          <w:i/>
          <w:color w:val="000000"/>
        </w:rPr>
        <w:t>The Interpretation of Culture</w:t>
      </w:r>
      <w:r w:rsidRPr="00C63180">
        <w:rPr>
          <w:rFonts w:ascii="Times New Roman" w:eastAsia="Times New Roman" w:hAnsi="Times New Roman" w:cs="Times New Roman"/>
          <w:color w:val="000000"/>
        </w:rPr>
        <w:t xml:space="preserve">, Geertz writes: “Man is an animal suspended in webs of significance he himself has spun.” Geertz provides an imagery of culture as “webs of significance” in order to position the search for meaning at the crux of cultural analysis (Geertz, 1973, p. 5). With the quest for meaning as centerpiece, Geertz describes that cultural analysis requires “sorting out the structures of signification...and determining their social ground or import” (Geertz, 1973, p. 9-10). Metaphorically describing culture, Geertz states: “The culture of people is an ensemble of texts.” Through this interplay between culture and text, Geertz emphasizes </w:t>
      </w:r>
      <w:proofErr w:type="spellStart"/>
      <w:r w:rsidRPr="00C63180">
        <w:rPr>
          <w:rFonts w:ascii="Times New Roman" w:eastAsia="Times New Roman" w:hAnsi="Times New Roman" w:cs="Times New Roman"/>
          <w:color w:val="000000"/>
        </w:rPr>
        <w:t>textuality</w:t>
      </w:r>
      <w:proofErr w:type="spellEnd"/>
      <w:r w:rsidRPr="00C63180">
        <w:rPr>
          <w:rFonts w:ascii="Times New Roman" w:eastAsia="Times New Roman" w:hAnsi="Times New Roman" w:cs="Times New Roman"/>
          <w:color w:val="000000"/>
        </w:rPr>
        <w:t xml:space="preserve"> in the interpretation of cultural meaning, signifying that culture can be read as signification, as one can do with text. Stating that society can be read as texts, Geertz continues, “as in more familiar exercises in close reading, one can start anywhere in a culture’s repertoire of forms and end up anywhere…</w:t>
      </w:r>
      <w:proofErr w:type="gramStart"/>
      <w:r w:rsidRPr="00C63180">
        <w:rPr>
          <w:rFonts w:ascii="Times New Roman" w:eastAsia="Times New Roman" w:hAnsi="Times New Roman" w:cs="Times New Roman"/>
          <w:color w:val="000000"/>
        </w:rPr>
        <w:t>.But</w:t>
      </w:r>
      <w:proofErr w:type="gramEnd"/>
      <w:r w:rsidRPr="00C63180">
        <w:rPr>
          <w:rFonts w:ascii="Times New Roman" w:eastAsia="Times New Roman" w:hAnsi="Times New Roman" w:cs="Times New Roman"/>
          <w:color w:val="000000"/>
        </w:rPr>
        <w:t xml:space="preserve"> whatever the level at which one operates, and however intricately, the guiding principle is the same: societies, like lives, contain their own interpretations. One only has to learn how to gain access to them” (Geertz, 1971, p. 29). Through Geertz’ interpretive lens, performing cultural analysis is to treat culture as assemblages of texts where human discourse and actions could be decoded and regarded as signifiers that hold import for broader society. Cultural analysis could uncover cultural meaning by closely reading texts circulating in a given culture. </w:t>
      </w:r>
    </w:p>
    <w:p w14:paraId="22FFF09D" w14:textId="77777777" w:rsidR="00B84936" w:rsidRPr="00C63180" w:rsidRDefault="00B84936">
      <w:pPr>
        <w:rPr>
          <w:rFonts w:ascii="Times New Roman" w:eastAsia="Times New Roman" w:hAnsi="Times New Roman" w:cs="Times New Roman"/>
        </w:rPr>
      </w:pPr>
    </w:p>
    <w:p w14:paraId="4FBE77E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This study adopts Geertz’ textual approach to cultural analysis by casting a wide net on what could be considered a text and unearthing the significance and ramifications </w:t>
      </w:r>
      <w:r w:rsidRPr="00C63180">
        <w:rPr>
          <w:rFonts w:ascii="Times New Roman" w:eastAsia="Times New Roman" w:hAnsi="Times New Roman" w:cs="Times New Roman"/>
          <w:color w:val="000000"/>
        </w:rPr>
        <w:lastRenderedPageBreak/>
        <w:t>that Diversity and Inclusion interventions and public policies have on society. This would involve assessing social impact within the macroeconomic trends of the New Gilded Age. This study treats company websites, Diversity and Inclusion annual reports, communications and marketing videos, among other primary sources, all as texts to decipher significance and resonance in the broader societal and economic context in which they are embedded. </w:t>
      </w:r>
    </w:p>
    <w:p w14:paraId="590B7E1C" w14:textId="77777777" w:rsidR="00B84936" w:rsidRPr="00C63180" w:rsidRDefault="00B84936">
      <w:pPr>
        <w:rPr>
          <w:rFonts w:ascii="Times New Roman" w:eastAsia="Times New Roman" w:hAnsi="Times New Roman" w:cs="Times New Roman"/>
        </w:rPr>
      </w:pPr>
    </w:p>
    <w:p w14:paraId="28F1EF29"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Elucidating further on what constitutes a text in cultural analysis, Stephen Greenblatt writes, “A full cultural analysis will need to push beyond the boundaries of the text, to </w:t>
      </w:r>
      <w:r w:rsidRPr="00C63180">
        <w:rPr>
          <w:rFonts w:ascii="Times New Roman" w:eastAsia="Times New Roman" w:hAnsi="Times New Roman" w:cs="Times New Roman"/>
          <w:i/>
          <w:color w:val="000000"/>
        </w:rPr>
        <w:t>establish links between the text and values, institutions, and practices elsewhere in the culture</w:t>
      </w:r>
      <w:r w:rsidRPr="00C63180">
        <w:rPr>
          <w:rFonts w:ascii="Times New Roman" w:eastAsia="Times New Roman" w:hAnsi="Times New Roman" w:cs="Times New Roman"/>
          <w:color w:val="000000"/>
        </w:rPr>
        <w:t xml:space="preserve">” (Greenblatt, 1990, p. 226, emphasis mine). Greenblatt </w:t>
      </w:r>
      <w:proofErr w:type="gramStart"/>
      <w:r w:rsidRPr="00C63180">
        <w:rPr>
          <w:rFonts w:ascii="Times New Roman" w:eastAsia="Times New Roman" w:hAnsi="Times New Roman" w:cs="Times New Roman"/>
          <w:color w:val="000000"/>
        </w:rPr>
        <w:t>continues that</w:t>
      </w:r>
      <w:proofErr w:type="gramEnd"/>
      <w:r w:rsidRPr="00C63180">
        <w:rPr>
          <w:rFonts w:ascii="Times New Roman" w:eastAsia="Times New Roman" w:hAnsi="Times New Roman" w:cs="Times New Roman"/>
          <w:color w:val="000000"/>
        </w:rPr>
        <w:t xml:space="preserve"> “cultural analysis must be opposed on principle to the rigid distinction between that which is within a text and that which lies outside” (Greenblatt, 1990, p. 227). To Greenblatt, both documents and the surrounding context both constitute as texts, thus meaning that it is the role of the researcher to connect the dots and render interpretations between a particular document and the values and signification found in the context.</w:t>
      </w:r>
    </w:p>
    <w:p w14:paraId="6470BC74" w14:textId="77777777" w:rsidR="00B84936" w:rsidRPr="00C63180" w:rsidRDefault="00B84936">
      <w:pPr>
        <w:rPr>
          <w:rFonts w:ascii="Times New Roman" w:eastAsia="Times New Roman" w:hAnsi="Times New Roman" w:cs="Times New Roman"/>
        </w:rPr>
      </w:pPr>
    </w:p>
    <w:p w14:paraId="53FA8FB2"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The fundamental interplay between text and context is significant in that context illuminates the reason why a given text is produced and how a text is received. Dominick </w:t>
      </w:r>
      <w:proofErr w:type="spellStart"/>
      <w:r w:rsidRPr="00C63180">
        <w:rPr>
          <w:rFonts w:ascii="Times New Roman" w:eastAsia="Times New Roman" w:hAnsi="Times New Roman" w:cs="Times New Roman"/>
          <w:color w:val="000000"/>
        </w:rPr>
        <w:t>LaCapra</w:t>
      </w:r>
      <w:proofErr w:type="spellEnd"/>
      <w:r w:rsidRPr="00C63180">
        <w:rPr>
          <w:rFonts w:ascii="Times New Roman" w:eastAsia="Times New Roman" w:hAnsi="Times New Roman" w:cs="Times New Roman"/>
          <w:color w:val="000000"/>
        </w:rPr>
        <w:t xml:space="preserve"> writes, “texts interact with one another and with all contexts in complex ways, and the specific question for interpretation is precisely how a text comes to terms with its putative contexts” (</w:t>
      </w:r>
      <w:proofErr w:type="spellStart"/>
      <w:r w:rsidRPr="00C63180">
        <w:rPr>
          <w:rFonts w:ascii="Times New Roman" w:eastAsia="Times New Roman" w:hAnsi="Times New Roman" w:cs="Times New Roman"/>
          <w:color w:val="000000"/>
        </w:rPr>
        <w:t>LaCapra</w:t>
      </w:r>
      <w:proofErr w:type="spellEnd"/>
      <w:r w:rsidRPr="00C63180">
        <w:rPr>
          <w:rFonts w:ascii="Times New Roman" w:eastAsia="Times New Roman" w:hAnsi="Times New Roman" w:cs="Times New Roman"/>
          <w:color w:val="000000"/>
        </w:rPr>
        <w:t xml:space="preserve">, 1985, p. 128). In this conceptualization of text, </w:t>
      </w:r>
      <w:proofErr w:type="spellStart"/>
      <w:r w:rsidRPr="00C63180">
        <w:rPr>
          <w:rFonts w:ascii="Times New Roman" w:eastAsia="Times New Roman" w:hAnsi="Times New Roman" w:cs="Times New Roman"/>
          <w:color w:val="000000"/>
        </w:rPr>
        <w:t>LaCapra</w:t>
      </w:r>
      <w:proofErr w:type="spellEnd"/>
      <w:r w:rsidRPr="00C63180">
        <w:rPr>
          <w:rFonts w:ascii="Times New Roman" w:eastAsia="Times New Roman" w:hAnsi="Times New Roman" w:cs="Times New Roman"/>
          <w:color w:val="000000"/>
        </w:rPr>
        <w:t xml:space="preserve"> describes a revisionist understanding of context. In particular, the connections researchers draw between text and context is a matter of interpretation. Applying </w:t>
      </w:r>
      <w:proofErr w:type="spellStart"/>
      <w:r w:rsidRPr="00C63180">
        <w:rPr>
          <w:rFonts w:ascii="Times New Roman" w:eastAsia="Times New Roman" w:hAnsi="Times New Roman" w:cs="Times New Roman"/>
          <w:color w:val="000000"/>
        </w:rPr>
        <w:t>LaCapra</w:t>
      </w:r>
      <w:proofErr w:type="spellEnd"/>
      <w:r w:rsidRPr="00C63180">
        <w:rPr>
          <w:rFonts w:ascii="Times New Roman" w:eastAsia="Times New Roman" w:hAnsi="Times New Roman" w:cs="Times New Roman"/>
          <w:color w:val="000000"/>
        </w:rPr>
        <w:t xml:space="preserve">, this study </w:t>
      </w:r>
      <w:r w:rsidRPr="00C63180">
        <w:rPr>
          <w:rFonts w:ascii="Times New Roman" w:eastAsia="Times New Roman" w:hAnsi="Times New Roman" w:cs="Times New Roman"/>
          <w:color w:val="000000"/>
        </w:rPr>
        <w:lastRenderedPageBreak/>
        <w:t>stitches primary source documents and performs a cultural assessment that would excavate the significance of Diversity and Inclusion interventions and recommend public policy proposals, namely the Federal Jobs Guarantee and the Workplace Democracy Act, that would more adequately bridge social and economic inequalities in the New Gilded Age. </w:t>
      </w:r>
    </w:p>
    <w:p w14:paraId="4E678C89" w14:textId="77777777" w:rsidR="00B84936" w:rsidRPr="00C63180" w:rsidRDefault="00B84936">
      <w:pPr>
        <w:rPr>
          <w:rFonts w:ascii="Times New Roman" w:eastAsia="Times New Roman" w:hAnsi="Times New Roman" w:cs="Times New Roman"/>
        </w:rPr>
      </w:pPr>
    </w:p>
    <w:p w14:paraId="75873AAF" w14:textId="77777777" w:rsidR="00B84936" w:rsidRPr="00C63180" w:rsidRDefault="001D1521" w:rsidP="00F30C77">
      <w:pPr>
        <w:pStyle w:val="Heading2"/>
        <w:rPr>
          <w:rFonts w:ascii="Times New Roman" w:hAnsi="Times New Roman"/>
          <w:sz w:val="24"/>
          <w:szCs w:val="24"/>
        </w:rPr>
      </w:pPr>
      <w:bookmarkStart w:id="9" w:name="_Toc448400704"/>
      <w:r w:rsidRPr="00C63180">
        <w:rPr>
          <w:rFonts w:ascii="Times New Roman" w:hAnsi="Times New Roman"/>
          <w:sz w:val="24"/>
          <w:szCs w:val="24"/>
        </w:rPr>
        <w:t>Data Collection</w:t>
      </w:r>
      <w:bookmarkEnd w:id="9"/>
    </w:p>
    <w:p w14:paraId="5FE34063" w14:textId="77777777" w:rsidR="00B84936" w:rsidRPr="00C63180" w:rsidRDefault="001D1521">
      <w:pPr>
        <w:spacing w:after="240"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Primary and secondary sources were obtained from books and journal databases accessed through Google Scholar and the University of Wales Trinity Saint David and the University of Massachusetts-Amherst libraries. This study turns to company websites, Diversity and Inclusion annual reports, video interviews, public policy proposals, Congressional records, agency reports, and political party or candidate platforms</w:t>
      </w:r>
      <w:r w:rsidRPr="00C63180">
        <w:rPr>
          <w:rFonts w:ascii="Times New Roman" w:eastAsia="Times New Roman" w:hAnsi="Times New Roman" w:cs="Times New Roman"/>
          <w:color w:val="222222"/>
          <w:highlight w:val="white"/>
        </w:rPr>
        <w:t>—</w:t>
      </w:r>
      <w:r w:rsidRPr="00C63180">
        <w:rPr>
          <w:rFonts w:ascii="Times New Roman" w:eastAsia="Times New Roman" w:hAnsi="Times New Roman" w:cs="Times New Roman"/>
          <w:color w:val="000000"/>
        </w:rPr>
        <w:t xml:space="preserve">all of which hold significance </w:t>
      </w:r>
      <w:proofErr w:type="spellStart"/>
      <w:r w:rsidRPr="00C63180">
        <w:rPr>
          <w:rFonts w:ascii="Times New Roman" w:eastAsia="Times New Roman" w:hAnsi="Times New Roman" w:cs="Times New Roman"/>
          <w:color w:val="000000"/>
        </w:rPr>
        <w:t>vis</w:t>
      </w:r>
      <w:proofErr w:type="spellEnd"/>
      <w:r w:rsidRPr="00C63180">
        <w:rPr>
          <w:rFonts w:ascii="Times New Roman" w:eastAsia="Times New Roman" w:hAnsi="Times New Roman" w:cs="Times New Roman"/>
          <w:color w:val="000000"/>
        </w:rPr>
        <w:t>-a-</w:t>
      </w:r>
      <w:proofErr w:type="spellStart"/>
      <w:r w:rsidRPr="00C63180">
        <w:rPr>
          <w:rFonts w:ascii="Times New Roman" w:eastAsia="Times New Roman" w:hAnsi="Times New Roman" w:cs="Times New Roman"/>
          <w:color w:val="000000"/>
        </w:rPr>
        <w:t>vis</w:t>
      </w:r>
      <w:proofErr w:type="spellEnd"/>
      <w:r w:rsidRPr="00C63180">
        <w:rPr>
          <w:rFonts w:ascii="Times New Roman" w:eastAsia="Times New Roman" w:hAnsi="Times New Roman" w:cs="Times New Roman"/>
          <w:color w:val="000000"/>
        </w:rPr>
        <w:t xml:space="preserve"> the grander social, political, and economic context of the New Gilded Age. By curating this study using primary and secondary sources that intersect formal academic disciplinary lines, this study strengthens the validity, reliability, and contributions of its findings across all fields from a </w:t>
      </w:r>
      <w:proofErr w:type="spellStart"/>
      <w:r w:rsidRPr="00C63180">
        <w:rPr>
          <w:rFonts w:ascii="Times New Roman" w:eastAsia="Times New Roman" w:hAnsi="Times New Roman" w:cs="Times New Roman"/>
          <w:color w:val="000000"/>
        </w:rPr>
        <w:t>transdisciplinary</w:t>
      </w:r>
      <w:proofErr w:type="spellEnd"/>
      <w:r w:rsidRPr="00C63180">
        <w:rPr>
          <w:rFonts w:ascii="Times New Roman" w:eastAsia="Times New Roman" w:hAnsi="Times New Roman" w:cs="Times New Roman"/>
          <w:color w:val="000000"/>
        </w:rPr>
        <w:t xml:space="preserve"> perspective, which mirrors the equally </w:t>
      </w:r>
      <w:proofErr w:type="spellStart"/>
      <w:r w:rsidRPr="00C63180">
        <w:rPr>
          <w:rFonts w:ascii="Times New Roman" w:eastAsia="Times New Roman" w:hAnsi="Times New Roman" w:cs="Times New Roman"/>
          <w:color w:val="000000"/>
        </w:rPr>
        <w:t>transdisciplinary</w:t>
      </w:r>
      <w:proofErr w:type="spellEnd"/>
      <w:r w:rsidRPr="00C63180">
        <w:rPr>
          <w:rFonts w:ascii="Times New Roman" w:eastAsia="Times New Roman" w:hAnsi="Times New Roman" w:cs="Times New Roman"/>
          <w:color w:val="000000"/>
        </w:rPr>
        <w:t xml:space="preserve"> and intersectional way that Diversity and Inclusion should function in organizations and policy in the public domain. </w:t>
      </w:r>
    </w:p>
    <w:p w14:paraId="2C29F6B3" w14:textId="77777777" w:rsidR="00336BB7" w:rsidRPr="00C63180" w:rsidRDefault="00336BB7" w:rsidP="00C037F3">
      <w:pPr>
        <w:spacing w:after="240" w:line="480" w:lineRule="auto"/>
        <w:rPr>
          <w:rFonts w:ascii="Times New Roman" w:eastAsia="Times New Roman" w:hAnsi="Times New Roman" w:cs="Times New Roman"/>
        </w:rPr>
      </w:pPr>
    </w:p>
    <w:p w14:paraId="60E9F79C" w14:textId="77777777" w:rsidR="00B84936" w:rsidRPr="00C63180" w:rsidRDefault="001D1521" w:rsidP="00F30C77">
      <w:pPr>
        <w:pStyle w:val="Heading2"/>
        <w:rPr>
          <w:rFonts w:ascii="Times New Roman" w:hAnsi="Times New Roman"/>
          <w:sz w:val="24"/>
          <w:szCs w:val="24"/>
        </w:rPr>
      </w:pPr>
      <w:bookmarkStart w:id="10" w:name="_Toc448400705"/>
      <w:r w:rsidRPr="00C63180">
        <w:rPr>
          <w:rFonts w:ascii="Times New Roman" w:hAnsi="Times New Roman"/>
          <w:sz w:val="24"/>
          <w:szCs w:val="24"/>
        </w:rPr>
        <w:t>Ethics, Dependability, and Rigor</w:t>
      </w:r>
      <w:bookmarkEnd w:id="10"/>
    </w:p>
    <w:p w14:paraId="0ACCF99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In qualitative research, a researcher can demonstrate the dependability of qualitative research by examining the process and the research outcomes for consistency (</w:t>
      </w:r>
      <w:proofErr w:type="spellStart"/>
      <w:r w:rsidRPr="00C63180">
        <w:rPr>
          <w:rFonts w:ascii="Times New Roman" w:eastAsia="Times New Roman" w:hAnsi="Times New Roman" w:cs="Times New Roman"/>
          <w:color w:val="000000"/>
        </w:rPr>
        <w:t>Hopefl</w:t>
      </w:r>
      <w:proofErr w:type="spellEnd"/>
      <w:r w:rsidRPr="00C63180">
        <w:rPr>
          <w:rFonts w:ascii="Times New Roman" w:eastAsia="Times New Roman" w:hAnsi="Times New Roman" w:cs="Times New Roman"/>
          <w:color w:val="000000"/>
        </w:rPr>
        <w:t xml:space="preserve">, 1997, p. 317). Additionally, qualitative scholars can achieve dependability and </w:t>
      </w:r>
      <w:r w:rsidRPr="00C63180">
        <w:rPr>
          <w:rFonts w:ascii="Times New Roman" w:eastAsia="Times New Roman" w:hAnsi="Times New Roman" w:cs="Times New Roman"/>
          <w:color w:val="000000"/>
        </w:rPr>
        <w:lastRenderedPageBreak/>
        <w:t xml:space="preserve">reliability by demonstrating the validity of a given study (Patton, 2001; Lincoln &amp; </w:t>
      </w:r>
      <w:proofErr w:type="spellStart"/>
      <w:r w:rsidRPr="00C63180">
        <w:rPr>
          <w:rFonts w:ascii="Times New Roman" w:eastAsia="Times New Roman" w:hAnsi="Times New Roman" w:cs="Times New Roman"/>
          <w:color w:val="000000"/>
        </w:rPr>
        <w:t>Guba</w:t>
      </w:r>
      <w:proofErr w:type="spellEnd"/>
      <w:r w:rsidRPr="00C63180">
        <w:rPr>
          <w:rFonts w:ascii="Times New Roman" w:eastAsia="Times New Roman" w:hAnsi="Times New Roman" w:cs="Times New Roman"/>
          <w:color w:val="000000"/>
        </w:rPr>
        <w:t xml:space="preserve">, 1985). In showcasing trustworthiness in a qualitative study, the researcher can then establish confidence in the findings (Patton, 2001; Lincoln &amp; </w:t>
      </w:r>
      <w:proofErr w:type="spellStart"/>
      <w:r w:rsidRPr="00C63180">
        <w:rPr>
          <w:rFonts w:ascii="Times New Roman" w:eastAsia="Times New Roman" w:hAnsi="Times New Roman" w:cs="Times New Roman"/>
          <w:color w:val="000000"/>
        </w:rPr>
        <w:t>Guba</w:t>
      </w:r>
      <w:proofErr w:type="spellEnd"/>
      <w:r w:rsidRPr="00C63180">
        <w:rPr>
          <w:rFonts w:ascii="Times New Roman" w:eastAsia="Times New Roman" w:hAnsi="Times New Roman" w:cs="Times New Roman"/>
          <w:color w:val="000000"/>
        </w:rPr>
        <w:t>, 1985). </w:t>
      </w:r>
    </w:p>
    <w:p w14:paraId="748EAD46" w14:textId="77777777" w:rsidR="00B84936" w:rsidRPr="00C63180" w:rsidRDefault="00B84936">
      <w:pPr>
        <w:rPr>
          <w:rFonts w:ascii="Times New Roman" w:eastAsia="Times New Roman" w:hAnsi="Times New Roman" w:cs="Times New Roman"/>
        </w:rPr>
      </w:pPr>
    </w:p>
    <w:p w14:paraId="209A5DD4"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In order to test qualitative rigor, qualitative researchers can explore subjectivity and reflexivity (Davies &amp; Dodd, 2002, p. 281), which involves examining judgment derived from impressions, feelings, and opinions and the ability of a given agent to recognize social pressures and exert agency in changing their place in the social paradigm. It is through illumination and in-depth analysis of these value-laden phenomena and political, economic, and social stances where this study demonstrates research dependability and academic rigor.</w:t>
      </w:r>
    </w:p>
    <w:p w14:paraId="5D0E4A2E" w14:textId="77777777" w:rsidR="00B84936" w:rsidRPr="00C63180" w:rsidRDefault="00B84936">
      <w:pPr>
        <w:rPr>
          <w:rFonts w:ascii="Times New Roman" w:eastAsia="Times New Roman" w:hAnsi="Times New Roman" w:cs="Times New Roman"/>
        </w:rPr>
      </w:pPr>
    </w:p>
    <w:p w14:paraId="0840C172"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A completed ethics form was submitted to the supervisor in order to ensure that all ethical considerations are made before the commencement of research. Ethics is defined as “the appropriateness of the researcher’s behavior in relation to the rights of those who become the subject of a research project, or who are affected by it” (Saunders &amp; Lewis, 2012, p. 74). Primary sources obtained do not involve survey work, interviews, or focus groups with human subjects. Primary sources were derived from company websites, government department reports, professional organization research, government agency publications, official political party platforms, and federal government legislative proposals. In qualitative research, there are sometimes ethical conflicts in how a researcher accesses the group being studied and how the researcher influences and changes the participants involved (Orb et al., 2000, p. 93). However, for the purposes of this study, the researcher remotely accessed primary source documents already available </w:t>
      </w:r>
      <w:r w:rsidRPr="00C63180">
        <w:rPr>
          <w:rFonts w:ascii="Times New Roman" w:eastAsia="Times New Roman" w:hAnsi="Times New Roman" w:cs="Times New Roman"/>
          <w:color w:val="000000"/>
        </w:rPr>
        <w:lastRenderedPageBreak/>
        <w:t>to the public through the Internet, meaning the communities being studied are not impacted. Considerations of the power imbalance between researcher and subject are also absent since there was no face-to-face or in-person interaction between the researcher and the owners and creators of primary source documents. </w:t>
      </w:r>
    </w:p>
    <w:p w14:paraId="3749FA1F" w14:textId="77777777" w:rsidR="00B84936" w:rsidRPr="00C63180" w:rsidRDefault="00B84936">
      <w:pPr>
        <w:rPr>
          <w:rFonts w:ascii="Times New Roman" w:eastAsia="Times New Roman" w:hAnsi="Times New Roman" w:cs="Times New Roman"/>
        </w:rPr>
      </w:pPr>
    </w:p>
    <w:p w14:paraId="2C0D4A95"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With the guidance of the supervisor, risks are minimal and no individual reputation is threatened, inclusive of the reputation of the researcher and the university. The data collection plan to source primary and secondary source documents online through databases and publicly available websites were verified by the supervisor, which helps minimize risk and improve the reliability and validity of this study.</w:t>
      </w:r>
    </w:p>
    <w:p w14:paraId="14F30F5F" w14:textId="77777777" w:rsidR="00B84936" w:rsidRPr="00C63180" w:rsidRDefault="00B84936">
      <w:pPr>
        <w:rPr>
          <w:rFonts w:ascii="Times New Roman" w:eastAsia="Times New Roman" w:hAnsi="Times New Roman" w:cs="Times New Roman"/>
        </w:rPr>
      </w:pPr>
    </w:p>
    <w:p w14:paraId="4BA16FCD" w14:textId="77777777" w:rsidR="00B84936" w:rsidRPr="00C63180" w:rsidRDefault="001D1521" w:rsidP="00F30C77">
      <w:pPr>
        <w:pStyle w:val="Heading2"/>
        <w:rPr>
          <w:rFonts w:ascii="Times New Roman" w:hAnsi="Times New Roman"/>
          <w:sz w:val="24"/>
          <w:szCs w:val="24"/>
        </w:rPr>
      </w:pPr>
      <w:bookmarkStart w:id="11" w:name="_Toc448400706"/>
      <w:r w:rsidRPr="00C63180">
        <w:rPr>
          <w:rFonts w:ascii="Times New Roman" w:hAnsi="Times New Roman"/>
          <w:sz w:val="24"/>
          <w:szCs w:val="24"/>
        </w:rPr>
        <w:t>Conclusion</w:t>
      </w:r>
      <w:bookmarkEnd w:id="11"/>
    </w:p>
    <w:p w14:paraId="0B4ADF79"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This chapter has specified the driving questions and rationale behind the chosen research topic, along with the aims and objectives of this examination. This investigation uses cultural analysis’ expansionist regard of text and context in order to understand the significance of Diversity and Inclusion interventions and policy considerations in organizations and in society. This dissertation assesses the efficacy of organizational-level interventions in meeting the needs of the New Gilded Age and proceeds to then explore intersectional public policy opportunities that bridge the structural disparities of the time. The subsequent chapter, Chapter Two, reviews cross-disciplinary literature in order to elucidate the concepts of the New Gilded Age and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both of which serve as context and approach, respectively, for this dissertation. </w:t>
      </w:r>
    </w:p>
    <w:p w14:paraId="526BC9D2" w14:textId="77777777" w:rsidR="00B84936" w:rsidRPr="00C63180" w:rsidRDefault="00B84936">
      <w:pPr>
        <w:spacing w:before="400" w:after="120"/>
        <w:rPr>
          <w:rFonts w:ascii="Times New Roman" w:eastAsia="Times New Roman" w:hAnsi="Times New Roman" w:cs="Times New Roman"/>
          <w:b/>
          <w:color w:val="000000"/>
        </w:rPr>
      </w:pPr>
    </w:p>
    <w:p w14:paraId="0C2A6538" w14:textId="77777777" w:rsidR="00B84936" w:rsidRPr="00C63180" w:rsidRDefault="001D1521" w:rsidP="00F30C77">
      <w:pPr>
        <w:pStyle w:val="Heading1"/>
        <w:rPr>
          <w:rFonts w:ascii="Times New Roman" w:hAnsi="Times New Roman"/>
          <w:sz w:val="24"/>
          <w:szCs w:val="24"/>
        </w:rPr>
      </w:pPr>
      <w:bookmarkStart w:id="12" w:name="_Toc448400707"/>
      <w:r w:rsidRPr="00C63180">
        <w:rPr>
          <w:rFonts w:ascii="Times New Roman" w:hAnsi="Times New Roman"/>
          <w:sz w:val="24"/>
          <w:szCs w:val="24"/>
        </w:rPr>
        <w:lastRenderedPageBreak/>
        <w:t>Chapter 2 - Literature Review</w:t>
      </w:r>
      <w:bookmarkEnd w:id="12"/>
    </w:p>
    <w:p w14:paraId="5179C659" w14:textId="77777777" w:rsidR="00B84936" w:rsidRPr="00C63180" w:rsidRDefault="00B84936">
      <w:pPr>
        <w:rPr>
          <w:rFonts w:ascii="Times New Roman" w:eastAsia="Times New Roman" w:hAnsi="Times New Roman" w:cs="Times New Roman"/>
        </w:rPr>
      </w:pPr>
    </w:p>
    <w:p w14:paraId="47BB163A" w14:textId="77777777" w:rsidR="00B84936" w:rsidRPr="00C63180" w:rsidRDefault="001D1521" w:rsidP="00F30C77">
      <w:pPr>
        <w:pStyle w:val="Heading2"/>
        <w:rPr>
          <w:rFonts w:ascii="Times New Roman" w:hAnsi="Times New Roman"/>
          <w:sz w:val="24"/>
          <w:szCs w:val="24"/>
        </w:rPr>
      </w:pPr>
      <w:bookmarkStart w:id="13" w:name="_Toc448400708"/>
      <w:r w:rsidRPr="00C63180">
        <w:rPr>
          <w:rFonts w:ascii="Times New Roman" w:hAnsi="Times New Roman"/>
          <w:sz w:val="24"/>
          <w:szCs w:val="24"/>
        </w:rPr>
        <w:t>Introduction: From the Gilded Age and Back</w:t>
      </w:r>
      <w:bookmarkEnd w:id="13"/>
    </w:p>
    <w:p w14:paraId="6F509D5D"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The Gilded Age began with Reconstruction in the aftermath of the American Civil War. Emancipated from slavery, Black Americans had been promised equal status and inclusion in American civic life through the 13</w:t>
      </w:r>
      <w:r w:rsidRPr="00C63180">
        <w:rPr>
          <w:rFonts w:ascii="Times New Roman" w:eastAsia="Times New Roman" w:hAnsi="Times New Roman" w:cs="Times New Roman"/>
          <w:color w:val="000000"/>
          <w:vertAlign w:val="superscript"/>
        </w:rPr>
        <w:t>th</w:t>
      </w:r>
      <w:r w:rsidRPr="00C63180">
        <w:rPr>
          <w:rFonts w:ascii="Times New Roman" w:eastAsia="Times New Roman" w:hAnsi="Times New Roman" w:cs="Times New Roman"/>
          <w:color w:val="000000"/>
        </w:rPr>
        <w:t>, 14</w:t>
      </w:r>
      <w:r w:rsidRPr="00C63180">
        <w:rPr>
          <w:rFonts w:ascii="Times New Roman" w:eastAsia="Times New Roman" w:hAnsi="Times New Roman" w:cs="Times New Roman"/>
          <w:color w:val="000000"/>
          <w:vertAlign w:val="superscript"/>
        </w:rPr>
        <w:t>th</w:t>
      </w:r>
      <w:r w:rsidRPr="00C63180">
        <w:rPr>
          <w:rFonts w:ascii="Times New Roman" w:eastAsia="Times New Roman" w:hAnsi="Times New Roman" w:cs="Times New Roman"/>
          <w:color w:val="000000"/>
        </w:rPr>
        <w:t>, and 15</w:t>
      </w:r>
      <w:r w:rsidRPr="00C63180">
        <w:rPr>
          <w:rFonts w:ascii="Times New Roman" w:eastAsia="Times New Roman" w:hAnsi="Times New Roman" w:cs="Times New Roman"/>
          <w:color w:val="000000"/>
          <w:vertAlign w:val="superscript"/>
        </w:rPr>
        <w:t>th</w:t>
      </w:r>
      <w:r w:rsidRPr="00C63180">
        <w:rPr>
          <w:rFonts w:ascii="Times New Roman" w:eastAsia="Times New Roman" w:hAnsi="Times New Roman" w:cs="Times New Roman"/>
          <w:color w:val="000000"/>
        </w:rPr>
        <w:t xml:space="preserve"> Amendments during Reconstruction (Beatty, 2007). However, by the end of the century during the Gilded Age, sharecropping and Jim Crow laws replaced slavery and ensured Black Americans could not exercise their constitutional right to vote, despite the protections of the Fifteenth Amendment protecting the right of citizens to vote without regard to race, color, of previous condition of servitude (U.S. Constitution, 1868). The Gilded Age was also a time of rapid U.S. industrialization, when wealth generated was concentrated at the very top echelons of society, which left most people as wage factory and farm laborers. The corporate elite bought and corrupted the local, state, and federal governments through unregulated campaign contributions, vote buying, and boss-ruled political machines (Beatty, 2008). </w:t>
      </w:r>
    </w:p>
    <w:p w14:paraId="02B1E104" w14:textId="77777777" w:rsidR="00B84936" w:rsidRPr="00C63180" w:rsidRDefault="00B84936">
      <w:pPr>
        <w:rPr>
          <w:rFonts w:ascii="Times New Roman" w:eastAsia="Times New Roman" w:hAnsi="Times New Roman" w:cs="Times New Roman"/>
        </w:rPr>
      </w:pPr>
    </w:p>
    <w:p w14:paraId="7D11FD0A"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From an empire perspective, the Gilded Age also saw the fulfillment of the U.S. as a settler colonial state fueled by Manifest Destiny through the closing of the frontier, which involved the full-fledged genocide of American Indian nations from coast-to-coast. In line with the closing of the continental frontier, the Gilded Age was also a time of U.S. overseas expansion, when the U.S. subjugated Hawaii, the Philippines, Puerto Rico, and Guam as colonies. After the Spanish-American War, the U.S. betrayed Filipinos in its promise for the archipelago’s independence and continued to exert economic and military </w:t>
      </w:r>
      <w:r w:rsidRPr="00C63180">
        <w:rPr>
          <w:rFonts w:ascii="Times New Roman" w:eastAsia="Times New Roman" w:hAnsi="Times New Roman" w:cs="Times New Roman"/>
          <w:color w:val="000000"/>
        </w:rPr>
        <w:lastRenderedPageBreak/>
        <w:t>interference in Cuban affairs, despite Cuba’s formal political independence at the war’s aftermath. </w:t>
      </w:r>
    </w:p>
    <w:p w14:paraId="36255761" w14:textId="77777777" w:rsidR="00B84936" w:rsidRPr="00C63180" w:rsidRDefault="00B84936">
      <w:pPr>
        <w:rPr>
          <w:rFonts w:ascii="Times New Roman" w:eastAsia="Times New Roman" w:hAnsi="Times New Roman" w:cs="Times New Roman"/>
        </w:rPr>
      </w:pPr>
    </w:p>
    <w:p w14:paraId="519600A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At home, despite the U.S. being a second-rate industrial power in 1860 to eclipsing Great Britain, France, and Germany in value of manufactured goods by 1890 (</w:t>
      </w:r>
      <w:proofErr w:type="spellStart"/>
      <w:r w:rsidRPr="00C63180">
        <w:rPr>
          <w:rFonts w:ascii="Times New Roman" w:eastAsia="Times New Roman" w:hAnsi="Times New Roman" w:cs="Times New Roman"/>
          <w:color w:val="000000"/>
        </w:rPr>
        <w:t>Cashman</w:t>
      </w:r>
      <w:proofErr w:type="spellEnd"/>
      <w:r w:rsidRPr="00C63180">
        <w:rPr>
          <w:rFonts w:ascii="Times New Roman" w:eastAsia="Times New Roman" w:hAnsi="Times New Roman" w:cs="Times New Roman"/>
          <w:color w:val="000000"/>
        </w:rPr>
        <w:t xml:space="preserve">, 1993, p. 8), that same year, 11 million of the country’s 12 million families made less than $1,200 annually. Of the 11 million, the average annual income was $380, which at the time was below the national poverty line (Hoyt, 1999; </w:t>
      </w:r>
      <w:proofErr w:type="spellStart"/>
      <w:r w:rsidRPr="00C63180">
        <w:rPr>
          <w:rFonts w:ascii="Times New Roman" w:eastAsia="Times New Roman" w:hAnsi="Times New Roman" w:cs="Times New Roman"/>
          <w:color w:val="000000"/>
        </w:rPr>
        <w:t>Berube</w:t>
      </w:r>
      <w:proofErr w:type="spellEnd"/>
      <w:r w:rsidRPr="00C63180">
        <w:rPr>
          <w:rFonts w:ascii="Times New Roman" w:eastAsia="Times New Roman" w:hAnsi="Times New Roman" w:cs="Times New Roman"/>
          <w:color w:val="000000"/>
        </w:rPr>
        <w:t>, 2008, p. 2). Due to egregious income inequality, there was “a widespread feeling of unrest and brooding revolution” with the upper classes fearful of “carnivals of revenge” by the working class (Hoyt, 1999). </w:t>
      </w:r>
    </w:p>
    <w:p w14:paraId="02A2D28B" w14:textId="77777777" w:rsidR="00B84936" w:rsidRPr="00C63180" w:rsidRDefault="00B84936">
      <w:pPr>
        <w:rPr>
          <w:rFonts w:ascii="Times New Roman" w:eastAsia="Times New Roman" w:hAnsi="Times New Roman" w:cs="Times New Roman"/>
        </w:rPr>
      </w:pPr>
    </w:p>
    <w:p w14:paraId="3B73DED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With the Sixteenth Amendment to the Constitution instituting a federal income tax in 1913, the rise in labor union membership (U.S. Constitution, 1913), the introduction of the forty-hour workweek from the 1938 Fair Labor Standards Act (Grossman, 1938) and the institution of the five-day workweek as a result of labor organizing (Amalgamated Clothing Workers of America, Local 125, 1929), assisted the U.S. in emerging out of the Gilded Age and entered a time called “the Great Compression.” This new chapter of U.S. history was a period characterized by trends inverse to that of the Gilded Age. Americans achieved greater economic equality, diminishing income and wealth disparities between the rich and the poor, and the emergence of a strong middle class (Wagner, 2013). The Great Compression reversed Gilded Age trends in that between 1945 and 1974, incomes increased uniformly by 3 percent year-after-year for people at every level of American society (Frank, 2011).</w:t>
      </w:r>
    </w:p>
    <w:p w14:paraId="673978E3" w14:textId="77777777" w:rsidR="00B84936" w:rsidRPr="00C63180" w:rsidRDefault="00B84936">
      <w:pPr>
        <w:rPr>
          <w:rFonts w:ascii="Times New Roman" w:eastAsia="Times New Roman" w:hAnsi="Times New Roman" w:cs="Times New Roman"/>
        </w:rPr>
      </w:pPr>
    </w:p>
    <w:p w14:paraId="22DF7A94"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However, since the 1970s, the egalitarian trends that epitomized the Great Compression began to revert back. The middle class that the New Deal had built began to shrink, while income inequality between the highest income levels and the rest of American society worsened. Productivity rose since the 1970s, but wages for the working and middle class remained stagnant. Due to this exacerbation of income and wealth inequality, figures that rival and exceeded the inequalities during the peak of the Gilded Age, the New Gilded has been described as “more savage and anti-democratic than its predecessor” (Giroux, 2008, p. 587). </w:t>
      </w:r>
    </w:p>
    <w:p w14:paraId="726E38A2" w14:textId="77777777" w:rsidR="00B84936" w:rsidRPr="00C63180" w:rsidRDefault="00B84936">
      <w:pPr>
        <w:rPr>
          <w:rFonts w:ascii="Times New Roman" w:eastAsia="Times New Roman" w:hAnsi="Times New Roman" w:cs="Times New Roman"/>
        </w:rPr>
      </w:pPr>
    </w:p>
    <w:p w14:paraId="097F99E3" w14:textId="77777777" w:rsidR="00B84936" w:rsidRPr="00C63180" w:rsidRDefault="001D1521" w:rsidP="00F30C77">
      <w:pPr>
        <w:pStyle w:val="Heading2"/>
        <w:rPr>
          <w:rFonts w:ascii="Times New Roman" w:hAnsi="Times New Roman"/>
          <w:sz w:val="24"/>
          <w:szCs w:val="24"/>
        </w:rPr>
      </w:pPr>
      <w:bookmarkStart w:id="14" w:name="_Toc448400709"/>
      <w:r w:rsidRPr="00C63180">
        <w:rPr>
          <w:rFonts w:ascii="Times New Roman" w:hAnsi="Times New Roman"/>
          <w:sz w:val="24"/>
          <w:szCs w:val="24"/>
        </w:rPr>
        <w:t>Financial Deregulation and the Abandonment of the Working Class</w:t>
      </w:r>
      <w:bookmarkEnd w:id="14"/>
    </w:p>
    <w:p w14:paraId="7F3F56D4"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This return to Gilded Age trends is attributed to financial deregulation and political party policies on income inequality. The neoliberal movement to deregulate the financial sector gained momentum at the end of the Great Compression. In the late 1970s through the 1990s, the incomes of those in the upper levels of American society increased exponentially, which remained constant while controlling for multiple potential explanations for increasing inequality (Keller &amp; Kelly, 2015, p. 439). Due to fewer governmental protections that regulated risk-taking behavior, the financial industry, since the late 1970s, enriched itself while the majority’s share of national income remained stagnant (Keller &amp; Kelly, 2015, p. 439).</w:t>
      </w:r>
    </w:p>
    <w:p w14:paraId="3BF2FA27" w14:textId="77777777" w:rsidR="00B84936" w:rsidRPr="00C63180" w:rsidRDefault="00B84936">
      <w:pPr>
        <w:rPr>
          <w:rFonts w:ascii="Times New Roman" w:eastAsia="Times New Roman" w:hAnsi="Times New Roman" w:cs="Times New Roman"/>
        </w:rPr>
      </w:pPr>
    </w:p>
    <w:p w14:paraId="73737CD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For the majority of the 20th century, the Democratic Party and the Republican Party, the two dominant parties in U.S. politics, held differing platforms and policies on financial regulatory policy. For much of the century, when Democrats had more </w:t>
      </w:r>
      <w:r w:rsidRPr="00C63180">
        <w:rPr>
          <w:rFonts w:ascii="Times New Roman" w:eastAsia="Times New Roman" w:hAnsi="Times New Roman" w:cs="Times New Roman"/>
          <w:color w:val="000000"/>
        </w:rPr>
        <w:lastRenderedPageBreak/>
        <w:t>representation in policy-making bodies and institutions, the financial industry to be more regulated with increased protections for everyday Americans. In contrast, whenever Republicans won elections and their representatives and appointees assumed control of financial regulatory policy, deregulation was more likely. </w:t>
      </w:r>
    </w:p>
    <w:p w14:paraId="30881ED1" w14:textId="77777777" w:rsidR="00B84936" w:rsidRPr="00C63180" w:rsidRDefault="00B84936">
      <w:pPr>
        <w:rPr>
          <w:rFonts w:ascii="Times New Roman" w:eastAsia="Times New Roman" w:hAnsi="Times New Roman" w:cs="Times New Roman"/>
        </w:rPr>
      </w:pPr>
    </w:p>
    <w:p w14:paraId="7112F716"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Starting in the 1980s, however, the financial regulatory policy platforms of the two major parties produced “no discernible difference” (Keller &amp; Kelly, 2015, p. 439). Although the two parties were bifurcating on many social issues, the two began to rule on the side of financial deregulation. After 1982, “it did not matter whether Democrats or Republicans were ascendant in Washington in the realm of financial deregulation” (Keller &amp; Kelly, 2015, p. 439). In particular, the party that made the policy shift was the Democratic Party, while the Republicans maintained their deregulatory agenda. The Democratic Party and its economic platform veered right, abandoning its New Deal commitments that lifted millions of Americans out of poverty during the Great Depression. The Democratic Party abandoned its historical advocacy for the middle and working classes in favor of increasing the wealth of the already wealthy. With no solid opposition in place, financial deregulation became more politically attainable as law and was implemented broadly, thus “contributing to the rise of the </w:t>
      </w:r>
      <w:proofErr w:type="spellStart"/>
      <w:r w:rsidRPr="00C63180">
        <w:rPr>
          <w:rFonts w:ascii="Times New Roman" w:eastAsia="Times New Roman" w:hAnsi="Times New Roman" w:cs="Times New Roman"/>
          <w:color w:val="000000"/>
        </w:rPr>
        <w:t>uber</w:t>
      </w:r>
      <w:proofErr w:type="spellEnd"/>
      <w:r w:rsidRPr="00C63180">
        <w:rPr>
          <w:rFonts w:ascii="Times New Roman" w:eastAsia="Times New Roman" w:hAnsi="Times New Roman" w:cs="Times New Roman"/>
          <w:color w:val="000000"/>
        </w:rPr>
        <w:t>-rich” in the U.S. (Keller &amp; Kelly, 215, p. 439).  This 35-year trend of the Democrats converging with Republicans on financial deregulation policy “contributed to the recent rise of inequality and implicated both parties as drivers in the creation of America’s New Gilded Age” (Keller &amp; Kelly, 2015, p. 440). </w:t>
      </w:r>
    </w:p>
    <w:p w14:paraId="7F9E0BE9" w14:textId="77777777" w:rsidR="001D1521" w:rsidRPr="00C63180" w:rsidRDefault="001D1521">
      <w:pPr>
        <w:spacing w:line="480" w:lineRule="auto"/>
        <w:ind w:firstLine="720"/>
        <w:rPr>
          <w:rFonts w:ascii="Times New Roman" w:eastAsia="Times New Roman" w:hAnsi="Times New Roman" w:cs="Times New Roman"/>
        </w:rPr>
      </w:pPr>
    </w:p>
    <w:p w14:paraId="6D3BF2D6" w14:textId="77777777" w:rsidR="00B84936" w:rsidRPr="00C63180" w:rsidRDefault="001D1521" w:rsidP="00F30C77">
      <w:pPr>
        <w:pStyle w:val="Heading2"/>
        <w:rPr>
          <w:rFonts w:ascii="Times New Roman" w:hAnsi="Times New Roman"/>
          <w:sz w:val="24"/>
          <w:szCs w:val="24"/>
        </w:rPr>
      </w:pPr>
      <w:bookmarkStart w:id="15" w:name="_Toc448400710"/>
      <w:r w:rsidRPr="00C63180">
        <w:rPr>
          <w:rFonts w:ascii="Times New Roman" w:hAnsi="Times New Roman"/>
          <w:sz w:val="24"/>
          <w:szCs w:val="24"/>
        </w:rPr>
        <w:lastRenderedPageBreak/>
        <w:t>The New Gilded Age as Disposability</w:t>
      </w:r>
      <w:bookmarkEnd w:id="15"/>
    </w:p>
    <w:p w14:paraId="2FDFEC1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Responding to the current neoliberal epoch, critical pedagogy theorist Henry Giroux writes: “social death, disposability, and the promotion of human waste represent more than exceptional moments in an otherwise efficient neoliberal marketplace, such elements point to what is now commonplace, its promotion of a ruthless politics in which the categories of social justice, citizenship, democracy, and the public good are either barely acknowledged or dismissed with contempt” (Giroux, 2008, p. 596). Giroux describes that unexceptional and quotidian in the New Gilded Age is the dehumanization of people as disposable beings. Giroux identifies the part of the population </w:t>
      </w:r>
      <w:proofErr w:type="spellStart"/>
      <w:r w:rsidRPr="00C63180">
        <w:rPr>
          <w:rFonts w:ascii="Times New Roman" w:eastAsia="Times New Roman" w:hAnsi="Times New Roman" w:cs="Times New Roman"/>
          <w:color w:val="000000"/>
        </w:rPr>
        <w:t>abjected</w:t>
      </w:r>
      <w:proofErr w:type="spellEnd"/>
      <w:r w:rsidRPr="00C63180">
        <w:rPr>
          <w:rFonts w:ascii="Times New Roman" w:eastAsia="Times New Roman" w:hAnsi="Times New Roman" w:cs="Times New Roman"/>
          <w:color w:val="000000"/>
        </w:rPr>
        <w:t xml:space="preserve"> as disposable: </w:t>
      </w:r>
    </w:p>
    <w:p w14:paraId="3C6FE014" w14:textId="77777777" w:rsidR="00B84936" w:rsidRPr="00C63180" w:rsidRDefault="001D1521">
      <w:pPr>
        <w:ind w:left="720"/>
        <w:rPr>
          <w:rFonts w:ascii="Times New Roman" w:eastAsia="Times New Roman" w:hAnsi="Times New Roman" w:cs="Times New Roman"/>
          <w:sz w:val="20"/>
          <w:szCs w:val="20"/>
        </w:rPr>
      </w:pPr>
      <w:r w:rsidRPr="00C63180">
        <w:rPr>
          <w:rFonts w:ascii="Times New Roman" w:eastAsia="Times New Roman" w:hAnsi="Times New Roman" w:cs="Times New Roman"/>
          <w:color w:val="000000"/>
          <w:sz w:val="20"/>
          <w:szCs w:val="20"/>
        </w:rPr>
        <w:t>Disposable populations now include the 60 million people in the United States living one notch above the poverty line, the growing number of families living on bare government subsistence, the 46 million Americans without health insurance, the over 2,000,000 persons incarcerated in prisons, the young people laboring under enormous debt and rightly sensing that the American dream is on life support, the workers who are one paycheck away from joining the ranks of the disposable and permanently excluded, and the elderly whose fixed incomes and pensions are in danger of disappearing (Eisenhower Foundation Executive Summary, 2008; Giroux, 2008, p. 10).</w:t>
      </w:r>
    </w:p>
    <w:p w14:paraId="2AF436EF" w14:textId="77777777" w:rsidR="00B84936" w:rsidRPr="00C63180" w:rsidRDefault="00B84936">
      <w:pPr>
        <w:rPr>
          <w:rFonts w:ascii="Times New Roman" w:eastAsia="Times New Roman" w:hAnsi="Times New Roman" w:cs="Times New Roman"/>
        </w:rPr>
      </w:pPr>
    </w:p>
    <w:p w14:paraId="75EC363A"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Through a critical stance, Giroux enumerates an extensive list of communities impacted by the dehumanizing effects of the New Gilded Age. He illustrates a nexus among those approaching poverty level thresholds, the increasing number of families living on government social programs, such as food stamps, disability, and unemployment benefits, Americans living without health insurance, and those incarcerated by the prison industrial complex. He also includes students and young Americans straddled and impeded in economic participation due to mounting student debt, the same young people who realized that the social mobility promise of the American Dream has become tarnished and only reserved for a select few who inherit intergenerational wealth. Also disposable in the New Gilded Age are those who live </w:t>
      </w:r>
      <w:r w:rsidRPr="00C63180">
        <w:rPr>
          <w:rFonts w:ascii="Times New Roman" w:eastAsia="Times New Roman" w:hAnsi="Times New Roman" w:cs="Times New Roman"/>
          <w:color w:val="000000"/>
        </w:rPr>
        <w:lastRenderedPageBreak/>
        <w:t>paycheck-to-paycheck, a situation where one is unable to meet financial obligations should one become unemployed because one’s salary and wages are predominantly appropriated towards day-to-day living expenses. Collectively, the New Gilded Age, in its “mass privatization and deregulation have bred armies of locked-out people,” whose contributions to society are no longer needed, “whose lifestyles are written off as ‘backward,’ whose basic needs go unmet” (Klein, 2002, p. 21). The widespread dehumanization in the New Gilded Age has relegated millions of Americans into an abject status that hampers their active participation and engagement in American democracy and civic life.</w:t>
      </w:r>
    </w:p>
    <w:p w14:paraId="01E9533F" w14:textId="77777777" w:rsidR="00B84936" w:rsidRPr="00C63180" w:rsidRDefault="00B84936">
      <w:pPr>
        <w:rPr>
          <w:rFonts w:ascii="Times New Roman" w:eastAsia="Times New Roman" w:hAnsi="Times New Roman" w:cs="Times New Roman"/>
        </w:rPr>
      </w:pPr>
    </w:p>
    <w:p w14:paraId="6F2B5B3F" w14:textId="77777777" w:rsidR="00B84936" w:rsidRPr="00C63180" w:rsidRDefault="001D1521" w:rsidP="00F30C77">
      <w:pPr>
        <w:pStyle w:val="Heading2"/>
        <w:rPr>
          <w:rFonts w:ascii="Times New Roman" w:hAnsi="Times New Roman"/>
          <w:sz w:val="24"/>
          <w:szCs w:val="24"/>
        </w:rPr>
      </w:pPr>
      <w:bookmarkStart w:id="16" w:name="_Toc448400711"/>
      <w:r w:rsidRPr="00C63180">
        <w:rPr>
          <w:rFonts w:ascii="Times New Roman" w:hAnsi="Times New Roman"/>
          <w:sz w:val="24"/>
          <w:szCs w:val="24"/>
        </w:rPr>
        <w:t>The New Gilded Age and American Democracy</w:t>
      </w:r>
      <w:bookmarkEnd w:id="16"/>
    </w:p>
    <w:p w14:paraId="6D58650A"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Describing the psychological impact of the New Gilded Age, Giroux describes that the “outsourcing, uncertainty, deregulation, privatization, and downsizing” in this epoch positioned “hope [to be] in short supply because many people have little sense of a different future, or of what it means to seek justice collectively rather than individually, relying on their own meager resources to combat problems that far exceed individual solutions” (Giroux, 2008, p. 613). The New Gilded Age psychologically disempowers Americans into believing that alternative and improved realities are unfeasible. This same disempowerment discourages Americans from seeing collective action as a solution to structural problems, while erroneously placing individual attempts that lead to less systemically impactful solutions. The disempowerment takes the form of “shared fears, insecurities, and uncertainties,” jettisoning “shared responsibilities,” and degenerating a once vibrant democracy to “ignorance, indifference, and apathy” that lays out “the </w:t>
      </w:r>
      <w:r w:rsidRPr="00C63180">
        <w:rPr>
          <w:rFonts w:ascii="Times New Roman" w:eastAsia="Times New Roman" w:hAnsi="Times New Roman" w:cs="Times New Roman"/>
          <w:color w:val="000000"/>
        </w:rPr>
        <w:lastRenderedPageBreak/>
        <w:t>conditions for political inaction and the atrophy of democratic politics” (Giroux, 2008, p. 613). The unstable ground that the New Gilded Age established for those relegated as disposable beings has coerced Americans away from an ethos of shared social responsibility and instead, through disposability, towards a focus on the daily arduous endeavor of survival—a physical and psychological state that jeopardizes engaged participation in American democratic life.</w:t>
      </w:r>
    </w:p>
    <w:p w14:paraId="732929CA" w14:textId="77777777" w:rsidR="00B84936" w:rsidRPr="00C63180" w:rsidRDefault="00B84936">
      <w:pPr>
        <w:rPr>
          <w:rFonts w:ascii="Times New Roman" w:eastAsia="Times New Roman" w:hAnsi="Times New Roman" w:cs="Times New Roman"/>
        </w:rPr>
      </w:pPr>
    </w:p>
    <w:p w14:paraId="0D351FA6"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Hampering civic participation, the New Gilded Age focuses on “commercial spheres” with “dizzying sources of financial gain” and “advertisements for the profit-driven fantasies of the corporate elite” (Giroux, 2008, p. 595). In these hyper privatized, highly unequal, and profit-centric spaces that eschew collective social responsibility and public participation, “compassion turns to disdain for those who are considered without merit in a market economy, too poor to participate in the hyper-circuits of power that characterize the New Gilded Age” (Giroux, 2008, p. 595). In this age, working class Americans, abandoned by both major political parties from an income inequality standpoint, have become derided as unproductive and undeserving of worth in the deregulated and austere American capitalist economy. </w:t>
      </w:r>
    </w:p>
    <w:p w14:paraId="4A0BE11F" w14:textId="77777777" w:rsidR="00B84936" w:rsidRPr="00C63180" w:rsidRDefault="00B84936">
      <w:pPr>
        <w:rPr>
          <w:rFonts w:ascii="Times New Roman" w:eastAsia="Times New Roman" w:hAnsi="Times New Roman" w:cs="Times New Roman"/>
        </w:rPr>
      </w:pPr>
    </w:p>
    <w:p w14:paraId="44C8367B"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This degradation of humanity and social cohesion counters more novel ways of assessing a given country’s well-being: “the divide between rich and poor...creates an erosion of the cohesion and trust between people, which is so vital for the feeling of safety and security and therefore for the overall happiness of the American people” (</w:t>
      </w:r>
      <w:proofErr w:type="spellStart"/>
      <w:r w:rsidRPr="00C63180">
        <w:rPr>
          <w:rFonts w:ascii="Times New Roman" w:eastAsia="Times New Roman" w:hAnsi="Times New Roman" w:cs="Times New Roman"/>
          <w:color w:val="000000"/>
        </w:rPr>
        <w:t>Meik</w:t>
      </w:r>
      <w:proofErr w:type="spellEnd"/>
      <w:r w:rsidRPr="00C63180">
        <w:rPr>
          <w:rFonts w:ascii="Times New Roman" w:eastAsia="Times New Roman" w:hAnsi="Times New Roman" w:cs="Times New Roman"/>
          <w:color w:val="000000"/>
        </w:rPr>
        <w:t xml:space="preserve"> </w:t>
      </w:r>
      <w:proofErr w:type="spellStart"/>
      <w:r w:rsidRPr="00C63180">
        <w:rPr>
          <w:rFonts w:ascii="Times New Roman" w:eastAsia="Times New Roman" w:hAnsi="Times New Roman" w:cs="Times New Roman"/>
          <w:color w:val="000000"/>
        </w:rPr>
        <w:t>Wiking</w:t>
      </w:r>
      <w:proofErr w:type="spellEnd"/>
      <w:r w:rsidRPr="00C63180">
        <w:rPr>
          <w:rFonts w:ascii="Times New Roman" w:eastAsia="Times New Roman" w:hAnsi="Times New Roman" w:cs="Times New Roman"/>
          <w:color w:val="000000"/>
        </w:rPr>
        <w:t xml:space="preserve"> cited in Tanner, 2019). In the World Happiness Report, which ranked 156 countries by how happy citizens see themselves to be, the U.S. assumed 19th place in </w:t>
      </w:r>
      <w:r w:rsidRPr="00C63180">
        <w:rPr>
          <w:rFonts w:ascii="Times New Roman" w:eastAsia="Times New Roman" w:hAnsi="Times New Roman" w:cs="Times New Roman"/>
          <w:color w:val="000000"/>
        </w:rPr>
        <w:lastRenderedPageBreak/>
        <w:t>2019, while Nordic countries such as Finland, Denmark, Norway, and Iceland took the top spots with the Netherlands, Switzerland, Sweden, New Zealand, Canada, and Austria just trailing (</w:t>
      </w:r>
      <w:proofErr w:type="spellStart"/>
      <w:r w:rsidRPr="00C63180">
        <w:rPr>
          <w:rFonts w:ascii="Times New Roman" w:eastAsia="Times New Roman" w:hAnsi="Times New Roman" w:cs="Times New Roman"/>
          <w:color w:val="000000"/>
        </w:rPr>
        <w:t>Helliwell</w:t>
      </w:r>
      <w:proofErr w:type="spellEnd"/>
      <w:r w:rsidRPr="00C63180">
        <w:rPr>
          <w:rFonts w:ascii="Times New Roman" w:eastAsia="Times New Roman" w:hAnsi="Times New Roman" w:cs="Times New Roman"/>
          <w:color w:val="000000"/>
        </w:rPr>
        <w:t xml:space="preserve"> et al., 2019). The restoration of social trust would be integral in revitalizing both U.S. democracy and the population’s well being as there is a fundamental link between social trust, income inequality, and </w:t>
      </w:r>
      <w:proofErr w:type="gramStart"/>
      <w:r w:rsidRPr="00C63180">
        <w:rPr>
          <w:rFonts w:ascii="Times New Roman" w:eastAsia="Times New Roman" w:hAnsi="Times New Roman" w:cs="Times New Roman"/>
          <w:color w:val="000000"/>
        </w:rPr>
        <w:t>well-being</w:t>
      </w:r>
      <w:proofErr w:type="gramEnd"/>
      <w:r w:rsidRPr="00C63180">
        <w:rPr>
          <w:rFonts w:ascii="Times New Roman" w:eastAsia="Times New Roman" w:hAnsi="Times New Roman" w:cs="Times New Roman"/>
          <w:color w:val="000000"/>
        </w:rPr>
        <w:t xml:space="preserve">. In places where income inequality is greater, social trust tends to be lower, a correlation that positions social </w:t>
      </w:r>
      <w:proofErr w:type="gramStart"/>
      <w:r w:rsidRPr="00C63180">
        <w:rPr>
          <w:rFonts w:ascii="Times New Roman" w:eastAsia="Times New Roman" w:hAnsi="Times New Roman" w:cs="Times New Roman"/>
          <w:color w:val="000000"/>
        </w:rPr>
        <w:t>trust</w:t>
      </w:r>
      <w:proofErr w:type="gramEnd"/>
      <w:r w:rsidRPr="00C63180">
        <w:rPr>
          <w:rFonts w:ascii="Times New Roman" w:eastAsia="Times New Roman" w:hAnsi="Times New Roman" w:cs="Times New Roman"/>
          <w:color w:val="000000"/>
        </w:rPr>
        <w:t xml:space="preserve"> as an enabler subjective well-being (Goff et al., 2018). Should organizations and public policy cultivate social trust and alleviate income inequality in the New Gilded Age, these systemic transformations could fundamentally ameliorate the well being of most Americans.</w:t>
      </w:r>
    </w:p>
    <w:p w14:paraId="4FDEECD1" w14:textId="77777777" w:rsidR="00B84936" w:rsidRPr="00C63180" w:rsidRDefault="00B84936">
      <w:pPr>
        <w:rPr>
          <w:rFonts w:ascii="Times New Roman" w:eastAsia="Times New Roman" w:hAnsi="Times New Roman" w:cs="Times New Roman"/>
        </w:rPr>
      </w:pPr>
    </w:p>
    <w:p w14:paraId="362FE97D"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Historicizing the New Gilded Age by contextualizing it in America’s Gilded Age past, Giroux writes that the reemergence of Gilded Age levels of wealth, greed, and income inequality “reveals its link to a historical past in which the rich squander valuable resources and remove themselves from the violence, loss, pain, and death visited daily on billions of people on the planet.” He </w:t>
      </w:r>
      <w:proofErr w:type="gramStart"/>
      <w:r w:rsidRPr="00C63180">
        <w:rPr>
          <w:rFonts w:ascii="Times New Roman" w:eastAsia="Times New Roman" w:hAnsi="Times New Roman" w:cs="Times New Roman"/>
          <w:color w:val="000000"/>
        </w:rPr>
        <w:t>reasserts that</w:t>
      </w:r>
      <w:proofErr w:type="gramEnd"/>
      <w:r w:rsidRPr="00C63180">
        <w:rPr>
          <w:rFonts w:ascii="Times New Roman" w:eastAsia="Times New Roman" w:hAnsi="Times New Roman" w:cs="Times New Roman"/>
          <w:color w:val="000000"/>
        </w:rPr>
        <w:t xml:space="preserve"> “the return of the Gilded Age must be viewed not as historical reinvention, but as a referent for critique and collective struggles for democracy” (Giroux, 2008, p. 613). Giroux emphasizes that the present context of the New Gilded Age is ultimately a fight for reanimating American democracy. Giroux continues that there is an “assault on democratic public spheres, the hyper-commercialization of everything, and the militarizing of everyday life,” which contributed to the U.S. as a punishing society where the nation jails more than one of every 100 adults, with prison expenditures in some states higher than higher education spending (Associated Press, 2008). The New Gilded Age imperils citizenship, </w:t>
      </w:r>
      <w:r w:rsidRPr="00C63180">
        <w:rPr>
          <w:rFonts w:ascii="Times New Roman" w:eastAsia="Times New Roman" w:hAnsi="Times New Roman" w:cs="Times New Roman"/>
          <w:color w:val="000000"/>
        </w:rPr>
        <w:lastRenderedPageBreak/>
        <w:t>democracy, and social justice and shifts attention away from the monumental role that the public good has in invigorating American society.</w:t>
      </w:r>
    </w:p>
    <w:p w14:paraId="671D38E6" w14:textId="77777777" w:rsidR="00B84936" w:rsidRPr="00C63180" w:rsidRDefault="00B84936">
      <w:pPr>
        <w:rPr>
          <w:rFonts w:ascii="Times New Roman" w:eastAsia="Times New Roman" w:hAnsi="Times New Roman" w:cs="Times New Roman"/>
        </w:rPr>
      </w:pPr>
    </w:p>
    <w:p w14:paraId="671CBD3F"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The Gilded Age returned with “great extremes of wealth” and “a mocking haughtiness that suggests both an utter disregard for the widespread hardships that it promotes and a gloating arrogance on the part of those elites who are benefiting from the new extremes of wealth and power” (Giroux, 2008, p. 597). In this New Gilded Age, where Americans experience psychological, financial, and physical pressures of higher mortgage rates, exponential increases in college cost of attendance, skyrocketing healthcare expenditures and medical debt, and compromised retirement savings, American quality of life plummeted, “while executive compensation has gone through the roof” (Giroux, 2008, p. 597). These economic inequalities demonstrate how the New Gilded Age saw the financial and political power of the rich increase, at the expense of the dehumanization and psychological and economic deprivation of middle and working class Americans. </w:t>
      </w:r>
    </w:p>
    <w:p w14:paraId="54951717" w14:textId="77777777" w:rsidR="00B84936" w:rsidRPr="00C63180" w:rsidRDefault="00B84936">
      <w:pPr>
        <w:spacing w:after="240"/>
        <w:rPr>
          <w:rFonts w:ascii="Times New Roman" w:eastAsia="Times New Roman" w:hAnsi="Times New Roman" w:cs="Times New Roman"/>
        </w:rPr>
      </w:pPr>
    </w:p>
    <w:p w14:paraId="76A3BB33" w14:textId="77777777" w:rsidR="00B84936" w:rsidRPr="00C63180" w:rsidRDefault="001D1521" w:rsidP="00F30C77">
      <w:pPr>
        <w:pStyle w:val="Heading2"/>
        <w:rPr>
          <w:rFonts w:ascii="Times New Roman" w:hAnsi="Times New Roman"/>
          <w:sz w:val="24"/>
          <w:szCs w:val="24"/>
        </w:rPr>
      </w:pPr>
      <w:bookmarkStart w:id="17" w:name="_Toc448400712"/>
      <w:r w:rsidRPr="00C63180">
        <w:rPr>
          <w:rFonts w:ascii="Times New Roman" w:hAnsi="Times New Roman"/>
          <w:sz w:val="24"/>
          <w:szCs w:val="24"/>
        </w:rPr>
        <w:t>The Centrality of Corporate Power in the New Gilded Age</w:t>
      </w:r>
      <w:bookmarkEnd w:id="17"/>
    </w:p>
    <w:p w14:paraId="0251784F"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With the “emergence of a new class of rich tycoons” in the New Gilded Age, there is the imminent global threat where democracy is being redefined around corporate values and profits, and where “corporate power translates into political power for the rich and further impoverishment for everyone else” (Giroux, 2008, p. 613). In the New Gilded Age, corporate corruption of the democratic process proliferated through judicial legalization of money as speech in the Supreme Court case </w:t>
      </w:r>
      <w:r w:rsidRPr="00C63180">
        <w:rPr>
          <w:rFonts w:ascii="Times New Roman" w:eastAsia="Times New Roman" w:hAnsi="Times New Roman" w:cs="Times New Roman"/>
          <w:i/>
          <w:color w:val="000000"/>
        </w:rPr>
        <w:t>Citizens United</w:t>
      </w:r>
      <w:r w:rsidRPr="00C63180">
        <w:rPr>
          <w:rFonts w:ascii="Times New Roman" w:eastAsia="Times New Roman" w:hAnsi="Times New Roman" w:cs="Times New Roman"/>
          <w:color w:val="000000"/>
        </w:rPr>
        <w:t xml:space="preserve"> (Lau, 2019; Levitt, 2010). This ruling ushered in the creation of “laws that not only benefit the rich </w:t>
      </w:r>
      <w:r w:rsidRPr="00C63180">
        <w:rPr>
          <w:rFonts w:ascii="Times New Roman" w:eastAsia="Times New Roman" w:hAnsi="Times New Roman" w:cs="Times New Roman"/>
          <w:color w:val="000000"/>
        </w:rPr>
        <w:lastRenderedPageBreak/>
        <w:t>through tax subsidies and legal protections,” such as the tax cuts for the rich that the Barack Obama administration continued from the George W. Bush presidency and the 2017 Donald Trump tax cuts, which had a similar effect. The same corroding effect of moneyed elite interests on American democracy led to the “</w:t>
      </w:r>
      <w:proofErr w:type="gramStart"/>
      <w:r w:rsidRPr="00C63180">
        <w:rPr>
          <w:rFonts w:ascii="Times New Roman" w:eastAsia="Times New Roman" w:hAnsi="Times New Roman" w:cs="Times New Roman"/>
          <w:color w:val="000000"/>
        </w:rPr>
        <w:t>undercut[</w:t>
      </w:r>
      <w:proofErr w:type="gramEnd"/>
      <w:r w:rsidRPr="00C63180">
        <w:rPr>
          <w:rFonts w:ascii="Times New Roman" w:eastAsia="Times New Roman" w:hAnsi="Times New Roman" w:cs="Times New Roman"/>
          <w:color w:val="000000"/>
        </w:rPr>
        <w:t>ting], underfund[</w:t>
      </w:r>
      <w:proofErr w:type="spellStart"/>
      <w:r w:rsidRPr="00C63180">
        <w:rPr>
          <w:rFonts w:ascii="Times New Roman" w:eastAsia="Times New Roman" w:hAnsi="Times New Roman" w:cs="Times New Roman"/>
          <w:color w:val="000000"/>
        </w:rPr>
        <w:t>ing</w:t>
      </w:r>
      <w:proofErr w:type="spellEnd"/>
      <w:r w:rsidRPr="00C63180">
        <w:rPr>
          <w:rFonts w:ascii="Times New Roman" w:eastAsia="Times New Roman" w:hAnsi="Times New Roman" w:cs="Times New Roman"/>
          <w:color w:val="000000"/>
        </w:rPr>
        <w:t xml:space="preserve">] and the </w:t>
      </w:r>
      <w:proofErr w:type="spellStart"/>
      <w:r w:rsidRPr="00C63180">
        <w:rPr>
          <w:rFonts w:ascii="Times New Roman" w:eastAsia="Times New Roman" w:hAnsi="Times New Roman" w:cs="Times New Roman"/>
          <w:color w:val="000000"/>
        </w:rPr>
        <w:t>eliminat</w:t>
      </w:r>
      <w:proofErr w:type="spellEnd"/>
      <w:r w:rsidRPr="00C63180">
        <w:rPr>
          <w:rFonts w:ascii="Times New Roman" w:eastAsia="Times New Roman" w:hAnsi="Times New Roman" w:cs="Times New Roman"/>
          <w:color w:val="000000"/>
        </w:rPr>
        <w:t>[ion] of social protections aimed to help the poor, aged, and sick, including children” (Giroux, 2008, p. 613). This has led the unrestricted flooding of corporate money into American elections and subsequently to politicians writing legislation designed to entice wealthy campaign contributors to remain financially viable, while implementing austerity measures for the middle and working classes, the elderly, the sick, the youth, and other vulnerable front line communities.</w:t>
      </w:r>
    </w:p>
    <w:p w14:paraId="0A812E04" w14:textId="77777777" w:rsidR="00B84936" w:rsidRPr="00C63180" w:rsidRDefault="00B84936">
      <w:pPr>
        <w:spacing w:after="240"/>
        <w:rPr>
          <w:rFonts w:ascii="Times New Roman" w:eastAsia="Times New Roman" w:hAnsi="Times New Roman" w:cs="Times New Roman"/>
        </w:rPr>
      </w:pPr>
    </w:p>
    <w:p w14:paraId="18CF1597" w14:textId="77777777" w:rsidR="00B84936" w:rsidRPr="00C63180" w:rsidRDefault="001D1521" w:rsidP="00F30C77">
      <w:pPr>
        <w:pStyle w:val="Heading2"/>
        <w:rPr>
          <w:rFonts w:ascii="Times New Roman" w:hAnsi="Times New Roman"/>
          <w:sz w:val="24"/>
          <w:szCs w:val="24"/>
        </w:rPr>
      </w:pPr>
      <w:bookmarkStart w:id="18" w:name="_Toc448400713"/>
      <w:proofErr w:type="spellStart"/>
      <w:r w:rsidRPr="00C63180">
        <w:rPr>
          <w:rFonts w:ascii="Times New Roman" w:hAnsi="Times New Roman"/>
          <w:sz w:val="24"/>
          <w:szCs w:val="24"/>
        </w:rPr>
        <w:t>Intersectionality</w:t>
      </w:r>
      <w:proofErr w:type="spellEnd"/>
      <w:r w:rsidRPr="00C63180">
        <w:rPr>
          <w:rFonts w:ascii="Times New Roman" w:hAnsi="Times New Roman"/>
          <w:sz w:val="24"/>
          <w:szCs w:val="24"/>
        </w:rPr>
        <w:t xml:space="preserve"> as Coalitions: Organizational and Societal Transformation</w:t>
      </w:r>
      <w:bookmarkEnd w:id="18"/>
    </w:p>
    <w:p w14:paraId="5B7C0CEC" w14:textId="77777777" w:rsidR="00B84936" w:rsidRPr="00C63180" w:rsidRDefault="001D1521">
      <w:pPr>
        <w:spacing w:line="480" w:lineRule="auto"/>
        <w:ind w:firstLine="720"/>
        <w:rPr>
          <w:rFonts w:ascii="Times New Roman" w:eastAsia="Times New Roman" w:hAnsi="Times New Roman" w:cs="Times New Roman"/>
        </w:rPr>
      </w:pP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as coined by </w:t>
      </w:r>
      <w:proofErr w:type="spellStart"/>
      <w:r w:rsidRPr="00C63180">
        <w:rPr>
          <w:rFonts w:ascii="Times New Roman" w:eastAsia="Times New Roman" w:hAnsi="Times New Roman" w:cs="Times New Roman"/>
          <w:color w:val="000000"/>
        </w:rPr>
        <w:t>Kimberlé</w:t>
      </w:r>
      <w:proofErr w:type="spellEnd"/>
      <w:r w:rsidRPr="00C63180">
        <w:rPr>
          <w:rFonts w:ascii="Times New Roman" w:eastAsia="Times New Roman" w:hAnsi="Times New Roman" w:cs="Times New Roman"/>
          <w:color w:val="000000"/>
        </w:rPr>
        <w:t xml:space="preserve"> Crenshaw, positions identities as coalitions (Crenshaw, 1991, p. 1299; Collins, 2019; Collins &amp; Bilge, 2016). This coalitional view means that identities are “internally heterogeneous, complex unities constituted by their internal differences and dissonances as well as external relations of power”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6-7), thus emphasizing the political potential of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of “</w:t>
      </w:r>
      <w:proofErr w:type="spellStart"/>
      <w:r w:rsidRPr="00C63180">
        <w:rPr>
          <w:rFonts w:ascii="Times New Roman" w:eastAsia="Times New Roman" w:hAnsi="Times New Roman" w:cs="Times New Roman"/>
          <w:color w:val="000000"/>
        </w:rPr>
        <w:t>reimagin</w:t>
      </w:r>
      <w:proofErr w:type="spellEnd"/>
      <w:r w:rsidRPr="00C63180">
        <w:rPr>
          <w:rFonts w:ascii="Times New Roman" w:eastAsia="Times New Roman" w:hAnsi="Times New Roman" w:cs="Times New Roman"/>
          <w:color w:val="000000"/>
        </w:rPr>
        <w:t>[</w:t>
      </w:r>
      <w:proofErr w:type="spellStart"/>
      <w:r w:rsidRPr="00C63180">
        <w:rPr>
          <w:rFonts w:ascii="Times New Roman" w:eastAsia="Times New Roman" w:hAnsi="Times New Roman" w:cs="Times New Roman"/>
          <w:color w:val="000000"/>
        </w:rPr>
        <w:t>ing</w:t>
      </w:r>
      <w:proofErr w:type="spellEnd"/>
      <w:r w:rsidRPr="00C63180">
        <w:rPr>
          <w:rFonts w:ascii="Times New Roman" w:eastAsia="Times New Roman" w:hAnsi="Times New Roman" w:cs="Times New Roman"/>
          <w:color w:val="000000"/>
        </w:rPr>
        <w:t>] our identities and our alignment in coalitional terms,” predicated on interconnectedness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2016, p. 6-7). Approaching identities as coalitions is paramount in forming effective coalition-based movements and communities in mutual solidarity, which could address “the fragmentation of identities and the divisions within and among communities”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3) as a towering barrier in organizing inter-group social movements. As much as social justice movements are </w:t>
      </w:r>
      <w:r w:rsidRPr="00C63180">
        <w:rPr>
          <w:rFonts w:ascii="Times New Roman" w:eastAsia="Times New Roman" w:hAnsi="Times New Roman" w:cs="Times New Roman"/>
          <w:color w:val="000000"/>
        </w:rPr>
        <w:lastRenderedPageBreak/>
        <w:t xml:space="preserve">about struggles against “violence, </w:t>
      </w:r>
      <w:proofErr w:type="spellStart"/>
      <w:r w:rsidRPr="00C63180">
        <w:rPr>
          <w:rFonts w:ascii="Times New Roman" w:eastAsia="Times New Roman" w:hAnsi="Times New Roman" w:cs="Times New Roman"/>
          <w:color w:val="000000"/>
        </w:rPr>
        <w:t>marginalizations</w:t>
      </w:r>
      <w:proofErr w:type="spellEnd"/>
      <w:r w:rsidRPr="00C63180">
        <w:rPr>
          <w:rFonts w:ascii="Times New Roman" w:eastAsia="Times New Roman" w:hAnsi="Times New Roman" w:cs="Times New Roman"/>
          <w:color w:val="000000"/>
        </w:rPr>
        <w:t>, and collusion with hegemonic power,” barriers to them are equally about “inadequate imaginations, flawed cognitive habits, and misplaced allegiances”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4). Coalition-building psychologically in one’s own intersectional self and across communities is all the more important in the New Gilded Age, when global institutions have “adaptively </w:t>
      </w:r>
      <w:proofErr w:type="gramStart"/>
      <w:r w:rsidRPr="00C63180">
        <w:rPr>
          <w:rFonts w:ascii="Times New Roman" w:eastAsia="Times New Roman" w:hAnsi="Times New Roman" w:cs="Times New Roman"/>
          <w:color w:val="000000"/>
        </w:rPr>
        <w:t>reconfigure[</w:t>
      </w:r>
      <w:proofErr w:type="gramEnd"/>
      <w:r w:rsidRPr="00C63180">
        <w:rPr>
          <w:rFonts w:ascii="Times New Roman" w:eastAsia="Times New Roman" w:hAnsi="Times New Roman" w:cs="Times New Roman"/>
          <w:color w:val="000000"/>
        </w:rPr>
        <w:t>d] themselves in response to socially transformative movements,” wherein “oppressive power relations have become increasingly mystified, inequalities seemingly more intractable, and institutions seemingly more difficult to transform”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2-3). </w:t>
      </w:r>
      <w:proofErr w:type="spellStart"/>
      <w:r w:rsidRPr="00C63180">
        <w:rPr>
          <w:rFonts w:ascii="Times New Roman" w:eastAsia="Times New Roman" w:hAnsi="Times New Roman" w:cs="Times New Roman"/>
          <w:color w:val="000000"/>
        </w:rPr>
        <w:t>Intersectionality’s</w:t>
      </w:r>
      <w:proofErr w:type="spellEnd"/>
      <w:r w:rsidRPr="00C63180">
        <w:rPr>
          <w:rFonts w:ascii="Times New Roman" w:eastAsia="Times New Roman" w:hAnsi="Times New Roman" w:cs="Times New Roman"/>
          <w:color w:val="000000"/>
        </w:rPr>
        <w:t xml:space="preserve"> coalitional prominence allows a more thorough and nuanced critique of “oppressive power” that would allow better comprehension and analysis of the structural causes of inequality that would then shed light on both organizational and societal transformational possibilities. </w:t>
      </w:r>
    </w:p>
    <w:p w14:paraId="4108AAD7" w14:textId="77777777" w:rsidR="00B84936" w:rsidRPr="00C63180" w:rsidRDefault="00B84936">
      <w:pPr>
        <w:rPr>
          <w:rFonts w:ascii="Times New Roman" w:eastAsia="Times New Roman" w:hAnsi="Times New Roman" w:cs="Times New Roman"/>
        </w:rPr>
      </w:pPr>
    </w:p>
    <w:p w14:paraId="048EC7E3" w14:textId="77777777" w:rsidR="00B84936" w:rsidRPr="00C63180" w:rsidRDefault="001D1521" w:rsidP="00F30C77">
      <w:pPr>
        <w:pStyle w:val="Heading2"/>
        <w:rPr>
          <w:rFonts w:ascii="Times New Roman" w:hAnsi="Times New Roman"/>
          <w:sz w:val="24"/>
          <w:szCs w:val="24"/>
        </w:rPr>
      </w:pPr>
      <w:bookmarkStart w:id="19" w:name="_Toc448400714"/>
      <w:proofErr w:type="spellStart"/>
      <w:r w:rsidRPr="00C63180">
        <w:rPr>
          <w:rFonts w:ascii="Times New Roman" w:hAnsi="Times New Roman"/>
          <w:sz w:val="24"/>
          <w:szCs w:val="24"/>
        </w:rPr>
        <w:t>Intersectionality’s</w:t>
      </w:r>
      <w:proofErr w:type="spellEnd"/>
      <w:r w:rsidRPr="00C63180">
        <w:rPr>
          <w:rFonts w:ascii="Times New Roman" w:hAnsi="Times New Roman"/>
          <w:sz w:val="24"/>
          <w:szCs w:val="24"/>
        </w:rPr>
        <w:t xml:space="preserve"> Anti-Racist and Feminist Political Commitments</w:t>
      </w:r>
      <w:bookmarkEnd w:id="19"/>
    </w:p>
    <w:p w14:paraId="7496F168"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As an approach that holds promise in the New Gilded Age, intersectional analysis is a “horizon of possibility for </w:t>
      </w:r>
      <w:proofErr w:type="spellStart"/>
      <w:r w:rsidRPr="00C63180">
        <w:rPr>
          <w:rFonts w:ascii="Times New Roman" w:eastAsia="Times New Roman" w:hAnsi="Times New Roman" w:cs="Times New Roman"/>
          <w:color w:val="000000"/>
        </w:rPr>
        <w:t>liberatory</w:t>
      </w:r>
      <w:proofErr w:type="spellEnd"/>
      <w:r w:rsidRPr="00C63180">
        <w:rPr>
          <w:rFonts w:ascii="Times New Roman" w:eastAsia="Times New Roman" w:hAnsi="Times New Roman" w:cs="Times New Roman"/>
          <w:color w:val="000000"/>
        </w:rPr>
        <w:t>, coalitional feminist praxis in the embattled twenty-first century”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2). In its conceptual elucidation in Black feminist literature,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was designed explicitly to </w:t>
      </w:r>
      <w:proofErr w:type="gramStart"/>
      <w:r w:rsidRPr="00C63180">
        <w:rPr>
          <w:rFonts w:ascii="Times New Roman" w:eastAsia="Times New Roman" w:hAnsi="Times New Roman" w:cs="Times New Roman"/>
          <w:color w:val="000000"/>
        </w:rPr>
        <w:t>challenge</w:t>
      </w:r>
      <w:proofErr w:type="gramEnd"/>
      <w:r w:rsidRPr="00C63180">
        <w:rPr>
          <w:rFonts w:ascii="Times New Roman" w:eastAsia="Times New Roman" w:hAnsi="Times New Roman" w:cs="Times New Roman"/>
          <w:color w:val="000000"/>
        </w:rPr>
        <w:t xml:space="preserve"> “representational, discursive, and </w:t>
      </w:r>
      <w:proofErr w:type="spellStart"/>
      <w:r w:rsidRPr="00C63180">
        <w:rPr>
          <w:rFonts w:ascii="Times New Roman" w:eastAsia="Times New Roman" w:hAnsi="Times New Roman" w:cs="Times New Roman"/>
          <w:color w:val="000000"/>
        </w:rPr>
        <w:t>intersubjective</w:t>
      </w:r>
      <w:proofErr w:type="spellEnd"/>
      <w:r w:rsidRPr="00C63180">
        <w:rPr>
          <w:rFonts w:ascii="Times New Roman" w:eastAsia="Times New Roman" w:hAnsi="Times New Roman" w:cs="Times New Roman"/>
          <w:color w:val="000000"/>
        </w:rPr>
        <w:t xml:space="preserve"> dynamics within antiracist and feminist movements seeking to transform social relations”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3). Although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was founded to “redress Black women’s invisibility in law and social movement discourses” (Crenshaw, 1991), the concept has been borrowed and applied in feminist theory, human rights frameworks, and policy discourses (Nash, 2008). While </w:t>
      </w:r>
      <w:r w:rsidRPr="00C63180">
        <w:rPr>
          <w:rFonts w:ascii="Times New Roman" w:eastAsia="Times New Roman" w:hAnsi="Times New Roman" w:cs="Times New Roman"/>
          <w:color w:val="000000"/>
        </w:rPr>
        <w:lastRenderedPageBreak/>
        <w:t xml:space="preserve">this cross-pollination has been beneficial in legitimizing the approach, </w:t>
      </w:r>
      <w:proofErr w:type="spellStart"/>
      <w:r w:rsidRPr="00C63180">
        <w:rPr>
          <w:rFonts w:ascii="Times New Roman" w:eastAsia="Times New Roman" w:hAnsi="Times New Roman" w:cs="Times New Roman"/>
          <w:color w:val="000000"/>
        </w:rPr>
        <w:t>intersectionality’s</w:t>
      </w:r>
      <w:proofErr w:type="spellEnd"/>
      <w:r w:rsidRPr="00C63180">
        <w:rPr>
          <w:rFonts w:ascii="Times New Roman" w:eastAsia="Times New Roman" w:hAnsi="Times New Roman" w:cs="Times New Roman"/>
          <w:color w:val="000000"/>
        </w:rPr>
        <w:t xml:space="preserve"> original “roots in social justice movements and critical intellectual projects” should be “recovered, retraced, and embraced” (</w:t>
      </w:r>
      <w:proofErr w:type="spellStart"/>
      <w:r w:rsidRPr="00C63180">
        <w:rPr>
          <w:rFonts w:ascii="Times New Roman" w:eastAsia="Times New Roman" w:hAnsi="Times New Roman" w:cs="Times New Roman"/>
          <w:color w:val="000000"/>
        </w:rPr>
        <w:t>Carasthathis</w:t>
      </w:r>
      <w:proofErr w:type="spellEnd"/>
      <w:r w:rsidRPr="00C63180">
        <w:rPr>
          <w:rFonts w:ascii="Times New Roman" w:eastAsia="Times New Roman" w:hAnsi="Times New Roman" w:cs="Times New Roman"/>
          <w:color w:val="000000"/>
        </w:rPr>
        <w:t xml:space="preserve">, 2016, p. 4-5). </w:t>
      </w:r>
    </w:p>
    <w:p w14:paraId="5DB8077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Intersectional analysis points to coalitional possibilities by emphasizing </w:t>
      </w:r>
      <w:proofErr w:type="spellStart"/>
      <w:r w:rsidRPr="00C63180">
        <w:rPr>
          <w:rFonts w:ascii="Times New Roman" w:eastAsia="Times New Roman" w:hAnsi="Times New Roman" w:cs="Times New Roman"/>
          <w:color w:val="000000"/>
        </w:rPr>
        <w:t>decolonial</w:t>
      </w:r>
      <w:proofErr w:type="spellEnd"/>
      <w:r w:rsidRPr="00C63180">
        <w:rPr>
          <w:rFonts w:ascii="Times New Roman" w:eastAsia="Times New Roman" w:hAnsi="Times New Roman" w:cs="Times New Roman"/>
          <w:color w:val="000000"/>
        </w:rPr>
        <w:t xml:space="preserve"> feminism’s pursuit to expose and prevail against “the </w:t>
      </w:r>
      <w:proofErr w:type="spellStart"/>
      <w:r w:rsidRPr="00C63180">
        <w:rPr>
          <w:rFonts w:ascii="Times New Roman" w:eastAsia="Times New Roman" w:hAnsi="Times New Roman" w:cs="Times New Roman"/>
          <w:color w:val="000000"/>
        </w:rPr>
        <w:t>coloniality</w:t>
      </w:r>
      <w:proofErr w:type="spellEnd"/>
      <w:r w:rsidRPr="00C63180">
        <w:rPr>
          <w:rFonts w:ascii="Times New Roman" w:eastAsia="Times New Roman" w:hAnsi="Times New Roman" w:cs="Times New Roman"/>
          <w:color w:val="000000"/>
        </w:rPr>
        <w:t xml:space="preserve"> of </w:t>
      </w:r>
      <w:proofErr w:type="spellStart"/>
      <w:r w:rsidRPr="00C63180">
        <w:rPr>
          <w:rFonts w:ascii="Times New Roman" w:eastAsia="Times New Roman" w:hAnsi="Times New Roman" w:cs="Times New Roman"/>
          <w:color w:val="000000"/>
        </w:rPr>
        <w:t>heteropatriarchal</w:t>
      </w:r>
      <w:proofErr w:type="spellEnd"/>
      <w:r w:rsidRPr="00C63180">
        <w:rPr>
          <w:rFonts w:ascii="Times New Roman" w:eastAsia="Times New Roman" w:hAnsi="Times New Roman" w:cs="Times New Roman"/>
          <w:color w:val="000000"/>
        </w:rPr>
        <w:t xml:space="preserve"> gender” and “the violent historical enmeshing of binary gender in systems of capital, white supremacy, and empire” (</w:t>
      </w:r>
      <w:proofErr w:type="spellStart"/>
      <w:r w:rsidRPr="00C63180">
        <w:rPr>
          <w:rFonts w:ascii="Times New Roman" w:eastAsia="Times New Roman" w:hAnsi="Times New Roman" w:cs="Times New Roman"/>
          <w:color w:val="000000"/>
        </w:rPr>
        <w:t>Lugones</w:t>
      </w:r>
      <w:proofErr w:type="spellEnd"/>
      <w:r w:rsidRPr="00C63180">
        <w:rPr>
          <w:rFonts w:ascii="Times New Roman" w:eastAsia="Times New Roman" w:hAnsi="Times New Roman" w:cs="Times New Roman"/>
          <w:color w:val="000000"/>
        </w:rPr>
        <w:t xml:space="preserve">, 2010, p. 747). As the Combahee River Collective expressed in “A Black Feminist Statement” regarding the “destruction of all the systems of oppression,” Black (lesbian) women are able to “use our positions at the bottom to make a clear lap into revolutionary action. If Black women were free, it would mean that everyone else would have to be free since our freedom would necessitate the destruction of all the systems of oppression” (Combahee River Collective, 2000, p. 215). The Black feminist origins of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as an approach to analysis, movement building, and social transformation would pave way for the liberation not only of Black lesbian women but of all who are structurally marginalized and systemically underserved in organizations and society.</w:t>
      </w:r>
    </w:p>
    <w:p w14:paraId="7803FEAE" w14:textId="77777777" w:rsidR="00B84936" w:rsidRPr="00C63180" w:rsidRDefault="00B84936">
      <w:pPr>
        <w:rPr>
          <w:rFonts w:ascii="Times New Roman" w:eastAsia="Times New Roman" w:hAnsi="Times New Roman" w:cs="Times New Roman"/>
        </w:rPr>
      </w:pPr>
    </w:p>
    <w:p w14:paraId="4C4E42DC" w14:textId="77777777" w:rsidR="00B84936" w:rsidRPr="00C63180" w:rsidRDefault="001D1521" w:rsidP="00F30C77">
      <w:pPr>
        <w:pStyle w:val="Heading2"/>
        <w:rPr>
          <w:rFonts w:ascii="Times New Roman" w:hAnsi="Times New Roman"/>
          <w:sz w:val="24"/>
          <w:szCs w:val="24"/>
        </w:rPr>
      </w:pPr>
      <w:bookmarkStart w:id="20" w:name="_Toc448400715"/>
      <w:r w:rsidRPr="00C63180">
        <w:rPr>
          <w:rFonts w:ascii="Times New Roman" w:hAnsi="Times New Roman"/>
          <w:sz w:val="24"/>
          <w:szCs w:val="24"/>
        </w:rPr>
        <w:t>Unearthing Disparities</w:t>
      </w:r>
      <w:bookmarkEnd w:id="20"/>
    </w:p>
    <w:p w14:paraId="7167D041" w14:textId="04233979"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For policy to be intersectional, there has to be recognition that policy is not neutral since </w:t>
      </w:r>
      <w:r w:rsidR="00867841" w:rsidRPr="00C63180">
        <w:rPr>
          <w:rFonts w:ascii="Times New Roman" w:eastAsia="Times New Roman" w:hAnsi="Times New Roman" w:cs="Times New Roman"/>
          <w:color w:val="000000"/>
        </w:rPr>
        <w:t xml:space="preserve">all populations are not uniformly impacted by policy </w:t>
      </w:r>
      <w:r w:rsidRPr="00C63180">
        <w:rPr>
          <w:rFonts w:ascii="Times New Roman" w:eastAsia="Times New Roman" w:hAnsi="Times New Roman" w:cs="Times New Roman"/>
          <w:color w:val="000000"/>
        </w:rPr>
        <w:t>(</w:t>
      </w:r>
      <w:proofErr w:type="spellStart"/>
      <w:r w:rsidRPr="00C63180">
        <w:rPr>
          <w:rFonts w:ascii="Times New Roman" w:eastAsia="Times New Roman" w:hAnsi="Times New Roman" w:cs="Times New Roman"/>
          <w:color w:val="000000"/>
        </w:rPr>
        <w:t>Hankivsky</w:t>
      </w:r>
      <w:proofErr w:type="spellEnd"/>
      <w:r w:rsidRPr="00C63180">
        <w:rPr>
          <w:rFonts w:ascii="Times New Roman" w:eastAsia="Times New Roman" w:hAnsi="Times New Roman" w:cs="Times New Roman"/>
          <w:color w:val="000000"/>
        </w:rPr>
        <w:t xml:space="preserve"> &amp; Cormier, 2011, p. 218; </w:t>
      </w:r>
      <w:proofErr w:type="spellStart"/>
      <w:r w:rsidRPr="00C63180">
        <w:rPr>
          <w:rFonts w:ascii="Times New Roman" w:eastAsia="Times New Roman" w:hAnsi="Times New Roman" w:cs="Times New Roman"/>
          <w:color w:val="000000"/>
        </w:rPr>
        <w:t>Parken</w:t>
      </w:r>
      <w:proofErr w:type="spellEnd"/>
      <w:r w:rsidRPr="00C63180">
        <w:rPr>
          <w:rFonts w:ascii="Times New Roman" w:eastAsia="Times New Roman" w:hAnsi="Times New Roman" w:cs="Times New Roman"/>
          <w:color w:val="000000"/>
        </w:rPr>
        <w:t xml:space="preserve">, 2010; </w:t>
      </w:r>
      <w:proofErr w:type="spellStart"/>
      <w:r w:rsidRPr="00C63180">
        <w:rPr>
          <w:rFonts w:ascii="Times New Roman" w:eastAsia="Times New Roman" w:hAnsi="Times New Roman" w:cs="Times New Roman"/>
          <w:color w:val="000000"/>
        </w:rPr>
        <w:t>Parken</w:t>
      </w:r>
      <w:proofErr w:type="spellEnd"/>
      <w:r w:rsidRPr="00C63180">
        <w:rPr>
          <w:rFonts w:ascii="Times New Roman" w:eastAsia="Times New Roman" w:hAnsi="Times New Roman" w:cs="Times New Roman"/>
          <w:color w:val="000000"/>
        </w:rPr>
        <w:t xml:space="preserve"> &amp; Young, 2007; CRIAW, 2006; </w:t>
      </w:r>
      <w:proofErr w:type="spellStart"/>
      <w:r w:rsidRPr="00C63180">
        <w:rPr>
          <w:rFonts w:ascii="Times New Roman" w:eastAsia="Times New Roman" w:hAnsi="Times New Roman" w:cs="Times New Roman"/>
          <w:color w:val="000000"/>
        </w:rPr>
        <w:t>Hankivsky</w:t>
      </w:r>
      <w:proofErr w:type="spellEnd"/>
      <w:r w:rsidRPr="00C63180">
        <w:rPr>
          <w:rFonts w:ascii="Times New Roman" w:eastAsia="Times New Roman" w:hAnsi="Times New Roman" w:cs="Times New Roman"/>
          <w:color w:val="000000"/>
        </w:rPr>
        <w:t xml:space="preserve">, 2005; </w:t>
      </w:r>
      <w:proofErr w:type="spellStart"/>
      <w:r w:rsidRPr="00C63180">
        <w:rPr>
          <w:rFonts w:ascii="Times New Roman" w:eastAsia="Times New Roman" w:hAnsi="Times New Roman" w:cs="Times New Roman"/>
          <w:color w:val="000000"/>
        </w:rPr>
        <w:t>Hankivsky</w:t>
      </w:r>
      <w:proofErr w:type="spellEnd"/>
      <w:r w:rsidRPr="00C63180">
        <w:rPr>
          <w:rFonts w:ascii="Times New Roman" w:eastAsia="Times New Roman" w:hAnsi="Times New Roman" w:cs="Times New Roman"/>
          <w:color w:val="000000"/>
        </w:rPr>
        <w:t xml:space="preserve"> &amp; Jordan-Zachery, 2019). Intersectional policies emerge when policy makers incorporate indispensable differences and particular community needs are </w:t>
      </w:r>
      <w:r w:rsidRPr="00C63180">
        <w:rPr>
          <w:rFonts w:ascii="Times New Roman" w:eastAsia="Times New Roman" w:hAnsi="Times New Roman" w:cs="Times New Roman"/>
          <w:color w:val="000000"/>
        </w:rPr>
        <w:lastRenderedPageBreak/>
        <w:t xml:space="preserve">consulted and drive the development, implementation, and evaluation of public policy. In doing so,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pinpoints and addresses “the way specific acts and policies address the inequalities experienced by various social groups” (</w:t>
      </w:r>
      <w:proofErr w:type="spellStart"/>
      <w:r w:rsidRPr="00C63180">
        <w:rPr>
          <w:rFonts w:ascii="Times New Roman" w:eastAsia="Times New Roman" w:hAnsi="Times New Roman" w:cs="Times New Roman"/>
          <w:color w:val="000000"/>
        </w:rPr>
        <w:t>Bishwakarma</w:t>
      </w:r>
      <w:proofErr w:type="spellEnd"/>
      <w:r w:rsidRPr="00C63180">
        <w:rPr>
          <w:rFonts w:ascii="Times New Roman" w:eastAsia="Times New Roman" w:hAnsi="Times New Roman" w:cs="Times New Roman"/>
          <w:color w:val="000000"/>
        </w:rPr>
        <w:t xml:space="preserve"> et al, 2007, p. 9). This means that when researchers and policy-makers assess policies </w:t>
      </w:r>
      <w:proofErr w:type="spellStart"/>
      <w:r w:rsidRPr="00C63180">
        <w:rPr>
          <w:rFonts w:ascii="Times New Roman" w:eastAsia="Times New Roman" w:hAnsi="Times New Roman" w:cs="Times New Roman"/>
          <w:color w:val="000000"/>
        </w:rPr>
        <w:t>intersectionally</w:t>
      </w:r>
      <w:proofErr w:type="spellEnd"/>
      <w:r w:rsidRPr="00C63180">
        <w:rPr>
          <w:rFonts w:ascii="Times New Roman" w:eastAsia="Times New Roman" w:hAnsi="Times New Roman" w:cs="Times New Roman"/>
          <w:color w:val="000000"/>
        </w:rPr>
        <w:t>, this would involve incorporation of class, race, gender, ability, disability, geography, age, among other identities and communities in order to “form unique meanings and complex experiences” (</w:t>
      </w:r>
      <w:proofErr w:type="spellStart"/>
      <w:r w:rsidRPr="00C63180">
        <w:rPr>
          <w:rFonts w:ascii="Times New Roman" w:eastAsia="Times New Roman" w:hAnsi="Times New Roman" w:cs="Times New Roman"/>
          <w:color w:val="000000"/>
        </w:rPr>
        <w:t>Hankivsky</w:t>
      </w:r>
      <w:proofErr w:type="spellEnd"/>
      <w:r w:rsidRPr="00C63180">
        <w:rPr>
          <w:rFonts w:ascii="Times New Roman" w:eastAsia="Times New Roman" w:hAnsi="Times New Roman" w:cs="Times New Roman"/>
          <w:color w:val="000000"/>
        </w:rPr>
        <w:t xml:space="preserve"> &amp; Cormier, 2011, p. 217), unearth disparate impacts, and propose policy solutions that would mitigate or solve the disparities uncovered. Moreover, intersectional analysis can be used as a framework to analyze how policies inform the creation and perpetuation of systemic inequalities (</w:t>
      </w:r>
      <w:proofErr w:type="spellStart"/>
      <w:r w:rsidRPr="00C63180">
        <w:rPr>
          <w:rFonts w:ascii="Times New Roman" w:eastAsia="Times New Roman" w:hAnsi="Times New Roman" w:cs="Times New Roman"/>
          <w:color w:val="000000"/>
        </w:rPr>
        <w:t>Simien</w:t>
      </w:r>
      <w:proofErr w:type="spellEnd"/>
      <w:r w:rsidRPr="00C63180">
        <w:rPr>
          <w:rFonts w:ascii="Times New Roman" w:eastAsia="Times New Roman" w:hAnsi="Times New Roman" w:cs="Times New Roman"/>
          <w:color w:val="000000"/>
        </w:rPr>
        <w:t>, 2007, p. 269) by unmasking how certain populations get categorized, treated, and labeled as “different, troubled and in some instances, marginalized,” (</w:t>
      </w:r>
      <w:proofErr w:type="spellStart"/>
      <w:r w:rsidRPr="00C63180">
        <w:rPr>
          <w:rFonts w:ascii="Times New Roman" w:eastAsia="Times New Roman" w:hAnsi="Times New Roman" w:cs="Times New Roman"/>
          <w:color w:val="000000"/>
        </w:rPr>
        <w:t>Staunaes</w:t>
      </w:r>
      <w:proofErr w:type="spellEnd"/>
      <w:r w:rsidRPr="00C63180">
        <w:rPr>
          <w:rFonts w:ascii="Times New Roman" w:eastAsia="Times New Roman" w:hAnsi="Times New Roman" w:cs="Times New Roman"/>
          <w:color w:val="000000"/>
        </w:rPr>
        <w:t>, 2003). Researchers and policy-makers can then wield knowledge of these disparate effects and their structural root causes to arrive at intersectional solutions. </w:t>
      </w:r>
    </w:p>
    <w:p w14:paraId="36AD41C1" w14:textId="77777777" w:rsidR="00B84936" w:rsidRPr="00C63180" w:rsidRDefault="001D1521" w:rsidP="00F30C77">
      <w:pPr>
        <w:pStyle w:val="Heading2"/>
        <w:rPr>
          <w:rFonts w:ascii="Times New Roman" w:hAnsi="Times New Roman"/>
          <w:sz w:val="24"/>
          <w:szCs w:val="24"/>
        </w:rPr>
      </w:pPr>
      <w:bookmarkStart w:id="21" w:name="_Toc448400716"/>
      <w:r w:rsidRPr="00C63180">
        <w:rPr>
          <w:rFonts w:ascii="Times New Roman" w:hAnsi="Times New Roman"/>
          <w:sz w:val="24"/>
          <w:szCs w:val="24"/>
        </w:rPr>
        <w:t>Intersectional Analysis Exemplified</w:t>
      </w:r>
      <w:bookmarkEnd w:id="21"/>
    </w:p>
    <w:p w14:paraId="2FC05192"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Applying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to education policy would involve a more expansive way in conceptualizing causes and solutions. In pursuing education reform, an intersectional education policy approach would not be confined to solutions strictly at the school level or on standardized test score results in order to tackle educational disparities. Instead, intersectional education policy would have a hyper focus on educational outcomes, how they are experienced by various populations based on their identities or the communities to whom they belong and the “context of their lives,” (</w:t>
      </w:r>
      <w:proofErr w:type="spellStart"/>
      <w:r w:rsidRPr="00C63180">
        <w:rPr>
          <w:rFonts w:ascii="Times New Roman" w:eastAsia="Times New Roman" w:hAnsi="Times New Roman" w:cs="Times New Roman"/>
          <w:color w:val="000000"/>
        </w:rPr>
        <w:t>Hankivsky</w:t>
      </w:r>
      <w:proofErr w:type="spellEnd"/>
      <w:r w:rsidRPr="00C63180">
        <w:rPr>
          <w:rFonts w:ascii="Times New Roman" w:eastAsia="Times New Roman" w:hAnsi="Times New Roman" w:cs="Times New Roman"/>
          <w:color w:val="000000"/>
        </w:rPr>
        <w:t xml:space="preserve"> &amp; Cormier, 2011). This would involve identifying root causes at the societal level, which </w:t>
      </w:r>
      <w:r w:rsidRPr="00C63180">
        <w:rPr>
          <w:rFonts w:ascii="Times New Roman" w:eastAsia="Times New Roman" w:hAnsi="Times New Roman" w:cs="Times New Roman"/>
          <w:color w:val="000000"/>
        </w:rPr>
        <w:lastRenderedPageBreak/>
        <w:t>should entail solutions at the systemic level as well by comprehensively addressing issues like job and food security, unemployment, tax revenue, income and wealth inequality, and health insurance as socioeconomic determinants to bridge gaps in educational outcomes. </w:t>
      </w:r>
    </w:p>
    <w:p w14:paraId="00061A52" w14:textId="77777777" w:rsidR="00B84936" w:rsidRPr="00C63180" w:rsidRDefault="00B84936">
      <w:pPr>
        <w:rPr>
          <w:rFonts w:ascii="Times New Roman" w:eastAsia="Times New Roman" w:hAnsi="Times New Roman" w:cs="Times New Roman"/>
        </w:rPr>
      </w:pPr>
    </w:p>
    <w:p w14:paraId="052C6BD2" w14:textId="77777777" w:rsidR="00B84936" w:rsidRPr="00C63180" w:rsidRDefault="001D1521" w:rsidP="00F30C77">
      <w:pPr>
        <w:pStyle w:val="Heading2"/>
        <w:rPr>
          <w:rFonts w:ascii="Times New Roman" w:hAnsi="Times New Roman"/>
          <w:sz w:val="24"/>
          <w:szCs w:val="24"/>
        </w:rPr>
      </w:pPr>
      <w:bookmarkStart w:id="22" w:name="_Toc448400717"/>
      <w:r w:rsidRPr="00C63180">
        <w:rPr>
          <w:rFonts w:ascii="Times New Roman" w:hAnsi="Times New Roman"/>
          <w:sz w:val="24"/>
          <w:szCs w:val="24"/>
        </w:rPr>
        <w:t>Conclusion</w:t>
      </w:r>
      <w:bookmarkEnd w:id="22"/>
    </w:p>
    <w:p w14:paraId="14311B54" w14:textId="2E50C9E0"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Using intersectional analysis as a lens for policy allows for a more comprehensive recognition of how people on the ground comprehend and make sense of their own experiences, why certain populations make particular decisions, and the role of public policy in shaping individual perception, human behavior, and unequal outcomes. Most importantly, policies become “more precise, more predictive, and ultimately, more impactful” (Manuel, 2019, p. 34) with the help of intersectional analysis. In addition to helping researchers and practitioners arrive at more anticipatory, accurate, and effective public policies, intersectional public policy poses a question and a fundamental challenge: Instead of “designing policies that create a talented tenth or a fortunate fifth of a marginalized group, how might we redesign domestic and foreign policies to ensure that </w:t>
      </w:r>
      <w:r w:rsidRPr="00C63180">
        <w:rPr>
          <w:rFonts w:ascii="Times New Roman" w:eastAsia="Times New Roman" w:hAnsi="Times New Roman" w:cs="Times New Roman"/>
          <w:i/>
          <w:color w:val="000000"/>
        </w:rPr>
        <w:t>all</w:t>
      </w:r>
      <w:r w:rsidRPr="00C63180">
        <w:rPr>
          <w:rFonts w:ascii="Times New Roman" w:eastAsia="Times New Roman" w:hAnsi="Times New Roman" w:cs="Times New Roman"/>
          <w:color w:val="000000"/>
        </w:rPr>
        <w:t xml:space="preserve"> members of any marginalized group are enabled to empower themselves?” </w:t>
      </w:r>
      <w:proofErr w:type="gramStart"/>
      <w:r w:rsidRPr="00C63180">
        <w:rPr>
          <w:rFonts w:ascii="Times New Roman" w:eastAsia="Times New Roman" w:hAnsi="Times New Roman" w:cs="Times New Roman"/>
          <w:color w:val="000000"/>
        </w:rPr>
        <w:t>(Hancock, 2007, p. 66).</w:t>
      </w:r>
      <w:proofErr w:type="gramEnd"/>
      <w:r w:rsidRPr="00C63180">
        <w:rPr>
          <w:rFonts w:ascii="Times New Roman" w:eastAsia="Times New Roman" w:hAnsi="Times New Roman" w:cs="Times New Roman"/>
          <w:color w:val="000000"/>
        </w:rPr>
        <w:t xml:space="preserve"> This question speaks to the political, </w:t>
      </w:r>
      <w:proofErr w:type="spellStart"/>
      <w:r w:rsidRPr="00C63180">
        <w:rPr>
          <w:rFonts w:ascii="Times New Roman" w:eastAsia="Times New Roman" w:hAnsi="Times New Roman" w:cs="Times New Roman"/>
          <w:color w:val="000000"/>
        </w:rPr>
        <w:t>decolonial</w:t>
      </w:r>
      <w:proofErr w:type="spellEnd"/>
      <w:r w:rsidRPr="00C63180">
        <w:rPr>
          <w:rFonts w:ascii="Times New Roman" w:eastAsia="Times New Roman" w:hAnsi="Times New Roman" w:cs="Times New Roman"/>
          <w:color w:val="000000"/>
        </w:rPr>
        <w:t xml:space="preserve">, and universal objectives of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Beyond academia, </w:t>
      </w:r>
      <w:proofErr w:type="gramStart"/>
      <w:r w:rsidR="00024374" w:rsidRPr="00C63180">
        <w:rPr>
          <w:rFonts w:ascii="Times New Roman" w:eastAsia="Times New Roman" w:hAnsi="Times New Roman" w:cs="Times New Roman"/>
          <w:color w:val="000000"/>
        </w:rPr>
        <w:t>think-tanks</w:t>
      </w:r>
      <w:proofErr w:type="gramEnd"/>
      <w:r w:rsidRPr="00C63180">
        <w:rPr>
          <w:rFonts w:ascii="Times New Roman" w:eastAsia="Times New Roman" w:hAnsi="Times New Roman" w:cs="Times New Roman"/>
          <w:color w:val="000000"/>
        </w:rPr>
        <w:t xml:space="preserve">, executive bureaucracies, and legislatures, intersectional public policy aims to empower the very individuals that the referent subjects of analysis seeks to illuminate. For intersectional analysis to be most effective, it must not only map but also find ways for those at the margins to empower themselves with the assistance of social structures and systems that recognize and work </w:t>
      </w:r>
      <w:r w:rsidRPr="00C63180">
        <w:rPr>
          <w:rFonts w:ascii="Times New Roman" w:eastAsia="Times New Roman" w:hAnsi="Times New Roman" w:cs="Times New Roman"/>
          <w:color w:val="000000"/>
        </w:rPr>
        <w:lastRenderedPageBreak/>
        <w:t>effectively with them. The next two chapters leverage intersectional analysis to analyze the Federal Jobs Guarantee and the Workplace Democracy Act as case studies in how they provide social uplift and empowerment within the grander socioeconomic context of the New Gilded Age.</w:t>
      </w:r>
    </w:p>
    <w:p w14:paraId="3AF223F3" w14:textId="77777777" w:rsidR="00B84936" w:rsidRPr="00C63180" w:rsidRDefault="001D1521">
      <w:pPr>
        <w:spacing w:after="240"/>
        <w:rPr>
          <w:rFonts w:ascii="Times New Roman" w:eastAsia="Times New Roman" w:hAnsi="Times New Roman" w:cs="Times New Roman"/>
        </w:rPr>
      </w:pPr>
      <w:r w:rsidRPr="00C63180">
        <w:rPr>
          <w:rFonts w:ascii="Times New Roman" w:eastAsia="Times New Roman" w:hAnsi="Times New Roman" w:cs="Times New Roman"/>
        </w:rPr>
        <w:br/>
      </w:r>
      <w:r w:rsidRPr="00C63180">
        <w:rPr>
          <w:rFonts w:ascii="Times New Roman" w:eastAsia="Times New Roman" w:hAnsi="Times New Roman" w:cs="Times New Roman"/>
        </w:rPr>
        <w:br/>
      </w:r>
      <w:r w:rsidRPr="00C63180">
        <w:rPr>
          <w:rFonts w:ascii="Times New Roman" w:eastAsia="Times New Roman" w:hAnsi="Times New Roman" w:cs="Times New Roman"/>
        </w:rPr>
        <w:br/>
      </w:r>
      <w:r w:rsidRPr="00C63180">
        <w:rPr>
          <w:rFonts w:ascii="Times New Roman" w:eastAsia="Times New Roman" w:hAnsi="Times New Roman" w:cs="Times New Roman"/>
        </w:rPr>
        <w:br/>
      </w:r>
    </w:p>
    <w:p w14:paraId="7659FF07" w14:textId="77777777" w:rsidR="00B84936" w:rsidRPr="00C63180" w:rsidRDefault="00B84936">
      <w:pPr>
        <w:spacing w:after="240"/>
        <w:rPr>
          <w:rFonts w:ascii="Times New Roman" w:eastAsia="Times New Roman" w:hAnsi="Times New Roman" w:cs="Times New Roman"/>
        </w:rPr>
      </w:pPr>
    </w:p>
    <w:p w14:paraId="7599B0CB" w14:textId="77777777" w:rsidR="00B84936" w:rsidRPr="00C63180" w:rsidRDefault="00B84936">
      <w:pPr>
        <w:spacing w:after="240"/>
        <w:rPr>
          <w:rFonts w:ascii="Times New Roman" w:eastAsia="Times New Roman" w:hAnsi="Times New Roman" w:cs="Times New Roman"/>
        </w:rPr>
      </w:pPr>
    </w:p>
    <w:p w14:paraId="24204253" w14:textId="77777777" w:rsidR="00B84936" w:rsidRPr="00C63180" w:rsidRDefault="00B84936">
      <w:pPr>
        <w:spacing w:after="240"/>
        <w:rPr>
          <w:rFonts w:ascii="Times New Roman" w:eastAsia="Times New Roman" w:hAnsi="Times New Roman" w:cs="Times New Roman"/>
        </w:rPr>
      </w:pPr>
    </w:p>
    <w:p w14:paraId="049D3742" w14:textId="77777777" w:rsidR="00B84936" w:rsidRPr="00C63180" w:rsidRDefault="00B84936">
      <w:pPr>
        <w:spacing w:after="240"/>
        <w:rPr>
          <w:rFonts w:ascii="Times New Roman" w:eastAsia="Times New Roman" w:hAnsi="Times New Roman" w:cs="Times New Roman"/>
        </w:rPr>
      </w:pPr>
    </w:p>
    <w:p w14:paraId="1E5D8EEF" w14:textId="77777777" w:rsidR="00B84936" w:rsidRPr="00C63180" w:rsidRDefault="00B84936">
      <w:pPr>
        <w:spacing w:after="240"/>
        <w:rPr>
          <w:rFonts w:ascii="Times New Roman" w:eastAsia="Times New Roman" w:hAnsi="Times New Roman" w:cs="Times New Roman"/>
        </w:rPr>
      </w:pPr>
    </w:p>
    <w:p w14:paraId="064123E5" w14:textId="77777777" w:rsidR="00B84936" w:rsidRPr="00C63180" w:rsidRDefault="00B84936">
      <w:pPr>
        <w:spacing w:after="240"/>
        <w:rPr>
          <w:rFonts w:ascii="Times New Roman" w:eastAsia="Times New Roman" w:hAnsi="Times New Roman" w:cs="Times New Roman"/>
        </w:rPr>
      </w:pPr>
    </w:p>
    <w:p w14:paraId="0C0ABD18" w14:textId="77777777" w:rsidR="00B84936" w:rsidRPr="00C63180" w:rsidRDefault="00B84936">
      <w:pPr>
        <w:spacing w:after="240"/>
        <w:rPr>
          <w:rFonts w:ascii="Times New Roman" w:eastAsia="Times New Roman" w:hAnsi="Times New Roman" w:cs="Times New Roman"/>
        </w:rPr>
      </w:pPr>
    </w:p>
    <w:p w14:paraId="1304FE57" w14:textId="77777777" w:rsidR="00B84936" w:rsidRPr="00C63180" w:rsidRDefault="00B84936">
      <w:pPr>
        <w:spacing w:after="240"/>
        <w:rPr>
          <w:rFonts w:ascii="Times New Roman" w:eastAsia="Times New Roman" w:hAnsi="Times New Roman" w:cs="Times New Roman"/>
        </w:rPr>
      </w:pPr>
    </w:p>
    <w:p w14:paraId="419E010F" w14:textId="77777777" w:rsidR="00B84936" w:rsidRPr="00C63180" w:rsidRDefault="00B84936">
      <w:pPr>
        <w:spacing w:after="240"/>
        <w:rPr>
          <w:rFonts w:ascii="Times New Roman" w:eastAsia="Times New Roman" w:hAnsi="Times New Roman" w:cs="Times New Roman"/>
        </w:rPr>
      </w:pPr>
    </w:p>
    <w:p w14:paraId="659B71CA" w14:textId="77777777" w:rsidR="00B84936" w:rsidRPr="00C63180" w:rsidRDefault="00B84936">
      <w:pPr>
        <w:spacing w:after="240"/>
        <w:rPr>
          <w:rFonts w:ascii="Times New Roman" w:eastAsia="Times New Roman" w:hAnsi="Times New Roman" w:cs="Times New Roman"/>
        </w:rPr>
      </w:pPr>
    </w:p>
    <w:p w14:paraId="17694E51" w14:textId="77777777" w:rsidR="00B84936" w:rsidRPr="00C63180" w:rsidRDefault="00B84936">
      <w:pPr>
        <w:spacing w:after="240"/>
        <w:rPr>
          <w:rFonts w:ascii="Times New Roman" w:eastAsia="Times New Roman" w:hAnsi="Times New Roman" w:cs="Times New Roman"/>
        </w:rPr>
      </w:pPr>
    </w:p>
    <w:p w14:paraId="3DEE3D89" w14:textId="77777777" w:rsidR="001D1521" w:rsidRPr="00C63180" w:rsidRDefault="001D1521">
      <w:pPr>
        <w:spacing w:after="240"/>
        <w:rPr>
          <w:rFonts w:ascii="Times New Roman" w:eastAsia="Times New Roman" w:hAnsi="Times New Roman" w:cs="Times New Roman"/>
        </w:rPr>
      </w:pPr>
    </w:p>
    <w:p w14:paraId="77BB8EE0" w14:textId="77777777" w:rsidR="001D1521" w:rsidRPr="00C63180" w:rsidRDefault="001D1521">
      <w:pPr>
        <w:spacing w:after="240"/>
        <w:rPr>
          <w:rFonts w:ascii="Times New Roman" w:eastAsia="Times New Roman" w:hAnsi="Times New Roman" w:cs="Times New Roman"/>
        </w:rPr>
      </w:pPr>
    </w:p>
    <w:p w14:paraId="71652CF8" w14:textId="77777777" w:rsidR="001D1521" w:rsidRPr="00C63180" w:rsidRDefault="001D1521">
      <w:pPr>
        <w:spacing w:after="240"/>
        <w:rPr>
          <w:rFonts w:ascii="Times New Roman" w:eastAsia="Times New Roman" w:hAnsi="Times New Roman" w:cs="Times New Roman"/>
        </w:rPr>
      </w:pPr>
    </w:p>
    <w:p w14:paraId="517B2133" w14:textId="77777777" w:rsidR="00B84936" w:rsidRPr="00C63180" w:rsidRDefault="00B84936">
      <w:pPr>
        <w:spacing w:after="240"/>
        <w:rPr>
          <w:rFonts w:ascii="Times New Roman" w:eastAsia="Times New Roman" w:hAnsi="Times New Roman" w:cs="Times New Roman"/>
        </w:rPr>
      </w:pPr>
    </w:p>
    <w:p w14:paraId="7BB58C26" w14:textId="77777777" w:rsidR="00B84936" w:rsidRPr="00C63180" w:rsidRDefault="00B84936">
      <w:pPr>
        <w:spacing w:after="240"/>
        <w:rPr>
          <w:rFonts w:ascii="Times New Roman" w:eastAsia="Times New Roman" w:hAnsi="Times New Roman" w:cs="Times New Roman"/>
        </w:rPr>
      </w:pPr>
    </w:p>
    <w:p w14:paraId="7ECE79D9" w14:textId="77777777" w:rsidR="00B84936" w:rsidRPr="00C63180" w:rsidRDefault="00B84936">
      <w:pPr>
        <w:spacing w:after="240"/>
        <w:rPr>
          <w:rFonts w:ascii="Times New Roman" w:eastAsia="Times New Roman" w:hAnsi="Times New Roman" w:cs="Times New Roman"/>
        </w:rPr>
      </w:pPr>
    </w:p>
    <w:p w14:paraId="52257756" w14:textId="77777777" w:rsidR="00B84936" w:rsidRPr="00C63180" w:rsidRDefault="001D1521" w:rsidP="00F30C77">
      <w:pPr>
        <w:pStyle w:val="Heading1"/>
        <w:rPr>
          <w:rFonts w:ascii="Times New Roman" w:hAnsi="Times New Roman"/>
          <w:sz w:val="24"/>
          <w:szCs w:val="24"/>
        </w:rPr>
      </w:pPr>
      <w:bookmarkStart w:id="23" w:name="_Toc448400718"/>
      <w:r w:rsidRPr="00C63180">
        <w:rPr>
          <w:rFonts w:ascii="Times New Roman" w:hAnsi="Times New Roman"/>
          <w:sz w:val="24"/>
          <w:szCs w:val="24"/>
        </w:rPr>
        <w:lastRenderedPageBreak/>
        <w:t>Chapter 3 - Mass Incarceration, Access to Employment, and the Federal Jobs Guarantee</w:t>
      </w:r>
      <w:bookmarkEnd w:id="23"/>
    </w:p>
    <w:p w14:paraId="026001AD" w14:textId="77777777" w:rsidR="00B84936" w:rsidRPr="00C63180" w:rsidRDefault="00B84936">
      <w:pPr>
        <w:rPr>
          <w:rFonts w:ascii="Times New Roman" w:eastAsia="Times New Roman" w:hAnsi="Times New Roman" w:cs="Times New Roman"/>
        </w:rPr>
      </w:pPr>
    </w:p>
    <w:p w14:paraId="382CFEBF" w14:textId="77777777" w:rsidR="00B84936" w:rsidRPr="00C63180" w:rsidRDefault="001D1521" w:rsidP="00F30C77">
      <w:pPr>
        <w:pStyle w:val="Heading2"/>
        <w:rPr>
          <w:rFonts w:ascii="Times New Roman" w:hAnsi="Times New Roman"/>
          <w:sz w:val="24"/>
          <w:szCs w:val="24"/>
        </w:rPr>
      </w:pPr>
      <w:bookmarkStart w:id="24" w:name="_Toc448400719"/>
      <w:r w:rsidRPr="00C63180">
        <w:rPr>
          <w:rFonts w:ascii="Times New Roman" w:hAnsi="Times New Roman"/>
          <w:sz w:val="24"/>
          <w:szCs w:val="24"/>
        </w:rPr>
        <w:t>Introduction</w:t>
      </w:r>
      <w:bookmarkEnd w:id="24"/>
    </w:p>
    <w:p w14:paraId="3135C85F"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Through mass incarceration as case study, this chapter analyzes how Diversity and Inclusion interfaces with Talent Acquisition and Learning &amp; Development as an approach in addressing structural inequalities through organizations. It then analyzes and recommends policy proposals to address the deleterious effects of mass incarceration and to improve the lives of working class people and people of color in accessing employment and equitable pay and benefits in the New Gilded Age.</w:t>
      </w:r>
    </w:p>
    <w:p w14:paraId="7754ACF7" w14:textId="77777777" w:rsidR="00336BB7" w:rsidRPr="00C63180" w:rsidRDefault="00336BB7">
      <w:pPr>
        <w:spacing w:line="480" w:lineRule="auto"/>
        <w:ind w:firstLine="720"/>
        <w:rPr>
          <w:rFonts w:ascii="Times New Roman" w:eastAsia="Times New Roman" w:hAnsi="Times New Roman" w:cs="Times New Roman"/>
        </w:rPr>
      </w:pPr>
    </w:p>
    <w:p w14:paraId="067C7260" w14:textId="77777777" w:rsidR="00B84936" w:rsidRPr="00C63180" w:rsidRDefault="001D1521" w:rsidP="00F30C77">
      <w:pPr>
        <w:pStyle w:val="Heading2"/>
        <w:rPr>
          <w:rFonts w:ascii="Times New Roman" w:hAnsi="Times New Roman"/>
          <w:sz w:val="24"/>
          <w:szCs w:val="24"/>
        </w:rPr>
      </w:pPr>
      <w:bookmarkStart w:id="25" w:name="_Toc448400720"/>
      <w:r w:rsidRPr="00C63180">
        <w:rPr>
          <w:rFonts w:ascii="Times New Roman" w:hAnsi="Times New Roman"/>
          <w:sz w:val="24"/>
          <w:szCs w:val="24"/>
        </w:rPr>
        <w:t>The Socio-Ecological Model</w:t>
      </w:r>
      <w:bookmarkEnd w:id="25"/>
    </w:p>
    <w:p w14:paraId="6F3C7D0D"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The interdependent relationship of social impact between public policy and organizations is illustrated in the Socio-Ecological Model (Figure 1, Centers for Disease Control and Prevention, 2019). According to the Socio-Ecological Model, oppression and inequalities occur at the individual, interpersonal, community, organizational, and public policy levels. Effective solutions require a combination of interventions at all levels of the Socio-Ecological Model. Doing so would also increase the likelihood that prevention efforts are sustained longitudinally when juxtaposed to a singularly focused intervention. This study uses the Socio-Ecological Model in its intersectional cultural analysis.</w:t>
      </w:r>
    </w:p>
    <w:p w14:paraId="7E96540E" w14:textId="77777777" w:rsidR="00B84936" w:rsidRPr="00C63180" w:rsidRDefault="00B84936">
      <w:pPr>
        <w:rPr>
          <w:rFonts w:ascii="Times New Roman" w:eastAsia="Times New Roman" w:hAnsi="Times New Roman" w:cs="Times New Roman"/>
        </w:rPr>
      </w:pPr>
    </w:p>
    <w:p w14:paraId="6823927F"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noProof/>
          <w:color w:val="000000"/>
        </w:rPr>
        <w:lastRenderedPageBreak/>
        <w:drawing>
          <wp:inline distT="0" distB="0" distL="0" distR="0" wp14:anchorId="787BA212" wp14:editId="3A058134">
            <wp:extent cx="3939639" cy="3023718"/>
            <wp:effectExtent l="0" t="0" r="0" b="0"/>
            <wp:docPr id="14" name="image8.png" descr="https://lh5.googleusercontent.com/c1r-WP85J-FK2pQlMI3-AOPdXx3bfqy7__dN0Y6eFlB08YYtBhhJIW2UCfUrl_62O0CD-8GZCpGHJk_oxHUGtb_xopZS-hGIbJyX6_tBn0j7wa_Lwm8QI9sGdbmbzaRJsIe3U1zi"/>
            <wp:cNvGraphicFramePr/>
            <a:graphic xmlns:a="http://schemas.openxmlformats.org/drawingml/2006/main">
              <a:graphicData uri="http://schemas.openxmlformats.org/drawingml/2006/picture">
                <pic:pic xmlns:pic="http://schemas.openxmlformats.org/drawingml/2006/picture">
                  <pic:nvPicPr>
                    <pic:cNvPr id="0" name="image8.png" descr="https://lh5.googleusercontent.com/c1r-WP85J-FK2pQlMI3-AOPdXx3bfqy7__dN0Y6eFlB08YYtBhhJIW2UCfUrl_62O0CD-8GZCpGHJk_oxHUGtb_xopZS-hGIbJyX6_tBn0j7wa_Lwm8QI9sGdbmbzaRJsIe3U1zi"/>
                    <pic:cNvPicPr preferRelativeResize="0"/>
                  </pic:nvPicPr>
                  <pic:blipFill>
                    <a:blip r:embed="rId11"/>
                    <a:srcRect/>
                    <a:stretch>
                      <a:fillRect/>
                    </a:stretch>
                  </pic:blipFill>
                  <pic:spPr>
                    <a:xfrm>
                      <a:off x="0" y="0"/>
                      <a:ext cx="3939639" cy="3023718"/>
                    </a:xfrm>
                    <a:prstGeom prst="rect">
                      <a:avLst/>
                    </a:prstGeom>
                    <a:ln/>
                  </pic:spPr>
                </pic:pic>
              </a:graphicData>
            </a:graphic>
          </wp:inline>
        </w:drawing>
      </w:r>
    </w:p>
    <w:p w14:paraId="37B80441" w14:textId="77777777" w:rsidR="00B84936" w:rsidRPr="00C63180" w:rsidRDefault="001D1521">
      <w:pPr>
        <w:spacing w:line="480" w:lineRule="auto"/>
        <w:jc w:val="center"/>
        <w:rPr>
          <w:rFonts w:ascii="Times New Roman" w:eastAsia="Times New Roman" w:hAnsi="Times New Roman" w:cs="Times New Roman"/>
        </w:rPr>
      </w:pPr>
      <w:proofErr w:type="gramStart"/>
      <w:r w:rsidRPr="00C63180">
        <w:rPr>
          <w:rFonts w:ascii="Times New Roman" w:eastAsia="Times New Roman" w:hAnsi="Times New Roman" w:cs="Times New Roman"/>
          <w:color w:val="000000"/>
        </w:rPr>
        <w:t>Figure 1 (Centers for Disease Control, 2019).</w:t>
      </w:r>
      <w:proofErr w:type="gramEnd"/>
    </w:p>
    <w:p w14:paraId="2987FD98" w14:textId="77777777" w:rsidR="00B84936" w:rsidRPr="00C63180" w:rsidRDefault="001D1521" w:rsidP="00F30C77">
      <w:pPr>
        <w:pStyle w:val="Heading2"/>
        <w:rPr>
          <w:rFonts w:ascii="Times New Roman" w:hAnsi="Times New Roman"/>
          <w:sz w:val="24"/>
          <w:szCs w:val="24"/>
        </w:rPr>
      </w:pPr>
      <w:bookmarkStart w:id="26" w:name="_Toc448400721"/>
      <w:r w:rsidRPr="00C63180">
        <w:rPr>
          <w:rFonts w:ascii="Times New Roman" w:hAnsi="Times New Roman"/>
          <w:sz w:val="24"/>
          <w:szCs w:val="24"/>
        </w:rPr>
        <w:t>The Problem of Mass Incarceration</w:t>
      </w:r>
      <w:bookmarkEnd w:id="26"/>
    </w:p>
    <w:p w14:paraId="61186AB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The incarcerated population in the U.S. quadrupled from 1980 through 2015 (Figure 2, </w:t>
      </w:r>
      <w:proofErr w:type="spellStart"/>
      <w:r w:rsidRPr="00C63180">
        <w:rPr>
          <w:rFonts w:ascii="Times New Roman" w:eastAsia="Times New Roman" w:hAnsi="Times New Roman" w:cs="Times New Roman"/>
          <w:color w:val="000000"/>
        </w:rPr>
        <w:t>Morsy</w:t>
      </w:r>
      <w:proofErr w:type="spellEnd"/>
      <w:r w:rsidRPr="00C63180">
        <w:rPr>
          <w:rFonts w:ascii="Times New Roman" w:eastAsia="Times New Roman" w:hAnsi="Times New Roman" w:cs="Times New Roman"/>
          <w:color w:val="000000"/>
        </w:rPr>
        <w:t xml:space="preserve"> &amp; Rothstein, 2016), despite no dramatic rise in crime, due to policy changes. Long mandatory minimum sentences, the decline of issuing paroles, and more punitive punishments to substance use disorders contributed to the rise in prison population (Travis &amp; Western, 2014). Entanglements with the criminal justice system have caused the prison population to increase despite crime rates decreasing by more than 50 percent after peaking in 1991 (</w:t>
      </w:r>
      <w:proofErr w:type="spellStart"/>
      <w:r w:rsidRPr="00C63180">
        <w:rPr>
          <w:rFonts w:ascii="Times New Roman" w:eastAsia="Times New Roman" w:hAnsi="Times New Roman" w:cs="Times New Roman"/>
          <w:color w:val="000000"/>
        </w:rPr>
        <w:t>Ghandnoosh</w:t>
      </w:r>
      <w:proofErr w:type="spellEnd"/>
      <w:r w:rsidRPr="00C63180">
        <w:rPr>
          <w:rFonts w:ascii="Times New Roman" w:eastAsia="Times New Roman" w:hAnsi="Times New Roman" w:cs="Times New Roman"/>
          <w:color w:val="000000"/>
        </w:rPr>
        <w:t>, 2017). Globally compared, other OECD countries have incarceration rates that are 5 to 10 times lower (Figure 3, Wagner &amp; Walsh, 2016). This dramatic rise in mass incarceration has had detrimental impacts on working class people, particularly people of color in the U.S.</w:t>
      </w:r>
    </w:p>
    <w:p w14:paraId="00C3A92F"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noProof/>
          <w:color w:val="000000"/>
        </w:rPr>
        <w:lastRenderedPageBreak/>
        <w:drawing>
          <wp:inline distT="0" distB="0" distL="0" distR="0" wp14:anchorId="003A7AB1" wp14:editId="5E8180C3">
            <wp:extent cx="4189961" cy="3652894"/>
            <wp:effectExtent l="0" t="0" r="0" b="0"/>
            <wp:docPr id="13" name="image11.png" descr="https://lh4.googleusercontent.com/K-Eh_1WxbvOtqC0Vzxk0kua5gWL31RNb1A0rLvDeg4Pk7M9ke3eCVDOHE0ENRJrbP4DdA-EgaWV-rg73caOIdBgLOfmRaypSxb24hdMeKthtjQCYFteL_wg9KRXFJ-J71nBszyjS"/>
            <wp:cNvGraphicFramePr/>
            <a:graphic xmlns:a="http://schemas.openxmlformats.org/drawingml/2006/main">
              <a:graphicData uri="http://schemas.openxmlformats.org/drawingml/2006/picture">
                <pic:pic xmlns:pic="http://schemas.openxmlformats.org/drawingml/2006/picture">
                  <pic:nvPicPr>
                    <pic:cNvPr id="0" name="image11.png" descr="https://lh4.googleusercontent.com/K-Eh_1WxbvOtqC0Vzxk0kua5gWL31RNb1A0rLvDeg4Pk7M9ke3eCVDOHE0ENRJrbP4DdA-EgaWV-rg73caOIdBgLOfmRaypSxb24hdMeKthtjQCYFteL_wg9KRXFJ-J71nBszyjS"/>
                    <pic:cNvPicPr preferRelativeResize="0"/>
                  </pic:nvPicPr>
                  <pic:blipFill>
                    <a:blip r:embed="rId12"/>
                    <a:srcRect/>
                    <a:stretch>
                      <a:fillRect/>
                    </a:stretch>
                  </pic:blipFill>
                  <pic:spPr>
                    <a:xfrm>
                      <a:off x="0" y="0"/>
                      <a:ext cx="4189961" cy="3652894"/>
                    </a:xfrm>
                    <a:prstGeom prst="rect">
                      <a:avLst/>
                    </a:prstGeom>
                    <a:ln/>
                  </pic:spPr>
                </pic:pic>
              </a:graphicData>
            </a:graphic>
          </wp:inline>
        </w:drawing>
      </w:r>
    </w:p>
    <w:p w14:paraId="6D3E1F5A"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color w:val="000000"/>
        </w:rPr>
        <w:t>Figure 2 (</w:t>
      </w:r>
      <w:proofErr w:type="spellStart"/>
      <w:r w:rsidRPr="00C63180">
        <w:rPr>
          <w:rFonts w:ascii="Times New Roman" w:eastAsia="Times New Roman" w:hAnsi="Times New Roman" w:cs="Times New Roman"/>
          <w:color w:val="000000"/>
        </w:rPr>
        <w:t>Morsy</w:t>
      </w:r>
      <w:proofErr w:type="spellEnd"/>
      <w:r w:rsidRPr="00C63180">
        <w:rPr>
          <w:rFonts w:ascii="Times New Roman" w:eastAsia="Times New Roman" w:hAnsi="Times New Roman" w:cs="Times New Roman"/>
          <w:color w:val="000000"/>
        </w:rPr>
        <w:t xml:space="preserve"> &amp; Rothstein, 2016)</w:t>
      </w:r>
    </w:p>
    <w:p w14:paraId="0345B124" w14:textId="77777777" w:rsidR="00B84936" w:rsidRPr="00C63180" w:rsidRDefault="00B84936">
      <w:pPr>
        <w:rPr>
          <w:rFonts w:ascii="Times New Roman" w:eastAsia="Times New Roman" w:hAnsi="Times New Roman" w:cs="Times New Roman"/>
        </w:rPr>
      </w:pPr>
    </w:p>
    <w:p w14:paraId="23A9713F"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noProof/>
          <w:color w:val="000000"/>
        </w:rPr>
        <w:drawing>
          <wp:inline distT="0" distB="0" distL="0" distR="0" wp14:anchorId="293595FB" wp14:editId="07C77795">
            <wp:extent cx="5308953" cy="3429000"/>
            <wp:effectExtent l="0" t="0" r="0" b="0"/>
            <wp:docPr id="16" name="image7.png" descr="https://lh4.googleusercontent.com/BLRnq-bUiFKLvFElmA_1oOA2x9plWfr7cyOaCIBJJFlIbPjVkSKlzkkoAOVKzrRtOZEf_uPqGeO6kMg_SuykLRnUR1nBIRqMlOksmedpcbeM5ZQo_82_k2C9yB8j6OrjwqywX77G"/>
            <wp:cNvGraphicFramePr/>
            <a:graphic xmlns:a="http://schemas.openxmlformats.org/drawingml/2006/main">
              <a:graphicData uri="http://schemas.openxmlformats.org/drawingml/2006/picture">
                <pic:pic xmlns:pic="http://schemas.openxmlformats.org/drawingml/2006/picture">
                  <pic:nvPicPr>
                    <pic:cNvPr id="0" name="image7.png" descr="https://lh4.googleusercontent.com/BLRnq-bUiFKLvFElmA_1oOA2x9plWfr7cyOaCIBJJFlIbPjVkSKlzkkoAOVKzrRtOZEf_uPqGeO6kMg_SuykLRnUR1nBIRqMlOksmedpcbeM5ZQo_82_k2C9yB8j6OrjwqywX77G"/>
                    <pic:cNvPicPr preferRelativeResize="0"/>
                  </pic:nvPicPr>
                  <pic:blipFill>
                    <a:blip r:embed="rId13"/>
                    <a:srcRect/>
                    <a:stretch>
                      <a:fillRect/>
                    </a:stretch>
                  </pic:blipFill>
                  <pic:spPr>
                    <a:xfrm>
                      <a:off x="0" y="0"/>
                      <a:ext cx="5308953" cy="3429000"/>
                    </a:xfrm>
                    <a:prstGeom prst="rect">
                      <a:avLst/>
                    </a:prstGeom>
                    <a:ln/>
                  </pic:spPr>
                </pic:pic>
              </a:graphicData>
            </a:graphic>
          </wp:inline>
        </w:drawing>
      </w:r>
    </w:p>
    <w:p w14:paraId="366A3616"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color w:val="000000"/>
        </w:rPr>
        <w:t>Figure 3 (Wagner &amp; Walsh, 2016)</w:t>
      </w:r>
    </w:p>
    <w:p w14:paraId="23A9BD51" w14:textId="77777777" w:rsidR="00B84936" w:rsidRPr="00C63180" w:rsidRDefault="00B84936">
      <w:pPr>
        <w:rPr>
          <w:rFonts w:ascii="Times New Roman" w:eastAsia="Times New Roman" w:hAnsi="Times New Roman" w:cs="Times New Roman"/>
        </w:rPr>
      </w:pPr>
    </w:p>
    <w:p w14:paraId="41D07F4D"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From a racial perspective, more Black Americans in 2016 were incarcerated than there were slaves in 1850 (Alexander, 2012). Black people disproportionately constitute the 7 million Americans behind bars or monitored by probation or parole officers. Specifically, Black people make up 40 percent of the country’s prison population, while being only 13 percent of the broader population (Alexander, 2012). Although the Civil Rights Movement improved economic and social conditions of Black people in the U.S., mass incarceration has undermined the successes of the Civil Rights Movement. Incarceration amounted to Black American marginalization and disenfranchisement, continuing the legacy of racial exclusion and discrimination throughout generations. Although the rationalizations of racial discrimination have shape-shifted over time, from slavery, to Jim Crow, and to mass incarceration, the outcome of ostracizing Black Americans has remained the same (Alexander, 2012). Given that mass incarceration of Black men mean mass political disenfranchisement, the Black American community and people of color in general have less electoral influence in shaping the policies that structure their lives.</w:t>
      </w:r>
    </w:p>
    <w:p w14:paraId="76B0939F" w14:textId="77777777" w:rsidR="00336BB7" w:rsidRPr="00C63180" w:rsidRDefault="00336BB7">
      <w:pPr>
        <w:spacing w:line="480" w:lineRule="auto"/>
        <w:ind w:firstLine="720"/>
        <w:rPr>
          <w:rFonts w:ascii="Times New Roman" w:eastAsia="Times New Roman" w:hAnsi="Times New Roman" w:cs="Times New Roman"/>
        </w:rPr>
      </w:pPr>
    </w:p>
    <w:p w14:paraId="6F1C351E" w14:textId="77777777" w:rsidR="00B84936" w:rsidRPr="00C63180" w:rsidRDefault="001D1521" w:rsidP="00F30C77">
      <w:pPr>
        <w:pStyle w:val="Heading2"/>
        <w:rPr>
          <w:rFonts w:ascii="Times New Roman" w:hAnsi="Times New Roman"/>
          <w:sz w:val="24"/>
          <w:szCs w:val="24"/>
        </w:rPr>
      </w:pPr>
      <w:bookmarkStart w:id="27" w:name="_Toc448400722"/>
      <w:r w:rsidRPr="00C63180">
        <w:rPr>
          <w:rFonts w:ascii="Times New Roman" w:hAnsi="Times New Roman"/>
          <w:sz w:val="24"/>
          <w:szCs w:val="24"/>
        </w:rPr>
        <w:t>Intersectional Cultural Analysis of Mass Incarceration</w:t>
      </w:r>
      <w:bookmarkEnd w:id="27"/>
      <w:r w:rsidRPr="00C63180">
        <w:rPr>
          <w:rFonts w:ascii="Times New Roman" w:hAnsi="Times New Roman"/>
          <w:sz w:val="24"/>
          <w:szCs w:val="24"/>
        </w:rPr>
        <w:t xml:space="preserve"> </w:t>
      </w:r>
    </w:p>
    <w:p w14:paraId="282EB191"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The impacts of mass incarceration are not confined mostly on Black and Latino males alone. Further detrimental impacts emerge when interpersonal and community levels are assessed. One out of every 12 children, which amounts to more than 5.7 million under the age of 18 (approximately the size of Denmark’s 2020 population of 5.7 million), have had parents incarcerated at some point during their lives (Child and </w:t>
      </w:r>
      <w:r w:rsidRPr="00C63180">
        <w:rPr>
          <w:rFonts w:ascii="Times New Roman" w:eastAsia="Times New Roman" w:hAnsi="Times New Roman" w:cs="Times New Roman"/>
          <w:color w:val="000000"/>
        </w:rPr>
        <w:lastRenderedPageBreak/>
        <w:t xml:space="preserve">Adolescent Health Measurement Initiative, 2016). Impacts on these 5.7 million children range from depression, anxiety, aggression, and delinquency. The children of arrested and incarcerated parents experience trauma: </w:t>
      </w:r>
    </w:p>
    <w:p w14:paraId="225ED049" w14:textId="77777777" w:rsidR="00B84936" w:rsidRPr="00C63180" w:rsidRDefault="001D1521">
      <w:pPr>
        <w:ind w:left="720"/>
        <w:rPr>
          <w:rFonts w:ascii="Times New Roman" w:eastAsia="Times New Roman" w:hAnsi="Times New Roman" w:cs="Times New Roman"/>
          <w:color w:val="000000"/>
          <w:sz w:val="20"/>
          <w:szCs w:val="20"/>
        </w:rPr>
      </w:pPr>
      <w:r w:rsidRPr="00C63180">
        <w:rPr>
          <w:rFonts w:ascii="Times New Roman" w:eastAsia="Times New Roman" w:hAnsi="Times New Roman" w:cs="Times New Roman"/>
          <w:color w:val="000000"/>
          <w:sz w:val="20"/>
          <w:szCs w:val="20"/>
        </w:rPr>
        <w:t>With appalling regularity, young people describe being left to fend for themselves in empty apartments for weeks or even months in the wake of a parent’s arrest. In most cases, these children were not present when their parent was arrested; they simply came home from school to find their parents gone and were left to draw their own conclusions—not to mention cook their own dinner. But some told of watching police handcuff and remove a parent—the only adult in the house—and simply leave them behind (Bernstein, 2007, p. 14). </w:t>
      </w:r>
      <w:r w:rsidRPr="00C63180">
        <w:rPr>
          <w:rFonts w:ascii="Times New Roman" w:eastAsia="Times New Roman" w:hAnsi="Times New Roman" w:cs="Times New Roman"/>
          <w:color w:val="000000"/>
          <w:sz w:val="20"/>
          <w:szCs w:val="20"/>
        </w:rPr>
        <w:br/>
      </w:r>
    </w:p>
    <w:p w14:paraId="2A69345F"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Consequences vary based on the child’s age and the length of parental incarceration (Child Welfare </w:t>
      </w:r>
      <w:proofErr w:type="spellStart"/>
      <w:r w:rsidRPr="00C63180">
        <w:rPr>
          <w:rFonts w:ascii="Times New Roman" w:eastAsia="Times New Roman" w:hAnsi="Times New Roman" w:cs="Times New Roman"/>
          <w:color w:val="000000"/>
        </w:rPr>
        <w:t>Gotsch</w:t>
      </w:r>
      <w:proofErr w:type="spellEnd"/>
      <w:r w:rsidRPr="00C63180">
        <w:rPr>
          <w:rFonts w:ascii="Times New Roman" w:eastAsia="Times New Roman" w:hAnsi="Times New Roman" w:cs="Times New Roman"/>
          <w:color w:val="000000"/>
        </w:rPr>
        <w:t>, 2018). Additionally, parental incarceration also impacts student performance and educational attainment. Children of incarcerated parents are more likely to drop out of school, develop learning disabilities, misbehave in school, suffer from migrates, asthma, high cholesterol, depression, anxiety, post-traumatic stress disorder, and homelessness (</w:t>
      </w:r>
      <w:proofErr w:type="spellStart"/>
      <w:r w:rsidRPr="00C63180">
        <w:rPr>
          <w:rFonts w:ascii="Times New Roman" w:eastAsia="Times New Roman" w:hAnsi="Times New Roman" w:cs="Times New Roman"/>
          <w:color w:val="000000"/>
        </w:rPr>
        <w:t>Morsy</w:t>
      </w:r>
      <w:proofErr w:type="spellEnd"/>
      <w:r w:rsidRPr="00C63180">
        <w:rPr>
          <w:rFonts w:ascii="Times New Roman" w:eastAsia="Times New Roman" w:hAnsi="Times New Roman" w:cs="Times New Roman"/>
          <w:color w:val="000000"/>
        </w:rPr>
        <w:t xml:space="preserve"> &amp; Rothstein, 2016)—all of which are social determinants of lower social mobility and increased inequality. </w:t>
      </w:r>
    </w:p>
    <w:p w14:paraId="210AEEAA" w14:textId="77777777" w:rsidR="00B84936" w:rsidRPr="00C63180" w:rsidRDefault="00B84936">
      <w:pPr>
        <w:rPr>
          <w:rFonts w:ascii="Times New Roman" w:eastAsia="Times New Roman" w:hAnsi="Times New Roman" w:cs="Times New Roman"/>
        </w:rPr>
      </w:pPr>
    </w:p>
    <w:p w14:paraId="3B72B48B"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To further hamper potential healing from patient to child bonding, prison location and policies also serve as obstacles in maintaining contact. The majority of parents in state and federal prisons are held more than 100 miles (160.9 km) from their prior residence. 43 percent of parents in federal prisons are more than 500 miles (804.6 km) away (The Sentencing Project, 2007). To compound these remote distances from their regular home, many prisons have limited hours of visitation and charge inordinate amounts for calls home at about $1 per minute, in addition to auxiliary fees, such as deposit, monthly account, and refund, and other non-transparent fees (</w:t>
      </w:r>
      <w:proofErr w:type="spellStart"/>
      <w:r w:rsidRPr="00C63180">
        <w:rPr>
          <w:rFonts w:ascii="Times New Roman" w:eastAsia="Times New Roman" w:hAnsi="Times New Roman" w:cs="Times New Roman"/>
          <w:color w:val="000000"/>
        </w:rPr>
        <w:t>Kukorowski</w:t>
      </w:r>
      <w:proofErr w:type="spellEnd"/>
      <w:r w:rsidRPr="00C63180">
        <w:rPr>
          <w:rFonts w:ascii="Times New Roman" w:eastAsia="Times New Roman" w:hAnsi="Times New Roman" w:cs="Times New Roman"/>
          <w:color w:val="000000"/>
        </w:rPr>
        <w:t xml:space="preserve"> et al., 2013). Although increased policing, harsher penalties, and longer sentences were purportedly designed to deter crime, viewing mass incarceration from the lens of the </w:t>
      </w:r>
      <w:r w:rsidRPr="00C63180">
        <w:rPr>
          <w:rFonts w:ascii="Times New Roman" w:eastAsia="Times New Roman" w:hAnsi="Times New Roman" w:cs="Times New Roman"/>
          <w:color w:val="000000"/>
        </w:rPr>
        <w:lastRenderedPageBreak/>
        <w:t>Socio-Ecological model illuminates the intersectional consequences that mass incarceration has on the collective.</w:t>
      </w:r>
    </w:p>
    <w:p w14:paraId="3A850898" w14:textId="77777777" w:rsidR="00B84936" w:rsidRPr="00C63180" w:rsidRDefault="00B84936">
      <w:pPr>
        <w:rPr>
          <w:rFonts w:ascii="Times New Roman" w:eastAsia="Times New Roman" w:hAnsi="Times New Roman" w:cs="Times New Roman"/>
        </w:rPr>
      </w:pPr>
    </w:p>
    <w:p w14:paraId="1CA78FBB" w14:textId="77777777" w:rsidR="00B84936" w:rsidRPr="00C63180" w:rsidRDefault="001D1521" w:rsidP="00F30C77">
      <w:pPr>
        <w:pStyle w:val="Heading2"/>
        <w:rPr>
          <w:rFonts w:ascii="Times New Roman" w:hAnsi="Times New Roman"/>
          <w:sz w:val="24"/>
          <w:szCs w:val="24"/>
        </w:rPr>
      </w:pPr>
      <w:bookmarkStart w:id="28" w:name="_Toc448400723"/>
      <w:r w:rsidRPr="00C63180">
        <w:rPr>
          <w:rFonts w:ascii="Times New Roman" w:hAnsi="Times New Roman"/>
          <w:sz w:val="24"/>
          <w:szCs w:val="24"/>
        </w:rPr>
        <w:t>The Impact of Mass Incarceration and Criminal Records on Access to Employment</w:t>
      </w:r>
      <w:bookmarkEnd w:id="28"/>
    </w:p>
    <w:p w14:paraId="6341AA9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Mass incarceration and its injurious outcomes on adults, children, and communities, most of </w:t>
      </w:r>
      <w:proofErr w:type="gramStart"/>
      <w:r w:rsidRPr="00C63180">
        <w:rPr>
          <w:rFonts w:ascii="Times New Roman" w:eastAsia="Times New Roman" w:hAnsi="Times New Roman" w:cs="Times New Roman"/>
          <w:color w:val="000000"/>
        </w:rPr>
        <w:t>whom</w:t>
      </w:r>
      <w:proofErr w:type="gramEnd"/>
      <w:r w:rsidRPr="00C63180">
        <w:rPr>
          <w:rFonts w:ascii="Times New Roman" w:eastAsia="Times New Roman" w:hAnsi="Times New Roman" w:cs="Times New Roman"/>
          <w:color w:val="000000"/>
        </w:rPr>
        <w:t xml:space="preserve"> are from working class families and communities of color, serve as impediments in entering the workforce. When people with criminal records apply for a job, there are no federal and scant protections at the state and local levels designed to prevent employers from discriminating. In 2012, the Equal Employment Opportunity Commission advised employers to exercise caution when basing hiring decisions on job applicants’ criminal records, explaining that it could disproportionately impact race and national origin (Maurer, 2018). Although court rulings have affirmed that blanket bans on hiring former felons are unlawful, criminal background checks remain as routine pre-screening hiring methods. </w:t>
      </w:r>
    </w:p>
    <w:p w14:paraId="693B0CEB" w14:textId="77777777" w:rsidR="00B84936" w:rsidRPr="00C63180" w:rsidRDefault="00B84936">
      <w:pPr>
        <w:rPr>
          <w:rFonts w:ascii="Times New Roman" w:eastAsia="Times New Roman" w:hAnsi="Times New Roman" w:cs="Times New Roman"/>
        </w:rPr>
      </w:pPr>
    </w:p>
    <w:p w14:paraId="196B82F1"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Although there is some willingness to hire people with criminal records, only 5 percent of manager and 3 percent of Human Resource professionals indicated that their organization actively recruits people with criminal records. Employer concerns include the employer’s legal liability, unsatisfactory customer reactions, and punitive government regulations in local or state jurisdictions (</w:t>
      </w:r>
      <w:proofErr w:type="spellStart"/>
      <w:r w:rsidRPr="00C63180">
        <w:rPr>
          <w:rFonts w:ascii="Times New Roman" w:eastAsia="Times New Roman" w:hAnsi="Times New Roman" w:cs="Times New Roman"/>
          <w:color w:val="000000"/>
        </w:rPr>
        <w:t>Gurchiek</w:t>
      </w:r>
      <w:proofErr w:type="spellEnd"/>
      <w:r w:rsidRPr="00C63180">
        <w:rPr>
          <w:rFonts w:ascii="Times New Roman" w:eastAsia="Times New Roman" w:hAnsi="Times New Roman" w:cs="Times New Roman"/>
          <w:color w:val="000000"/>
        </w:rPr>
        <w:t>, 2018). The Society of Human Resource Management released a toolkit to support hiring those with criminal records for interested organizations (</w:t>
      </w:r>
      <w:proofErr w:type="spellStart"/>
      <w:r w:rsidRPr="00C63180">
        <w:rPr>
          <w:rFonts w:ascii="Times New Roman" w:eastAsia="Times New Roman" w:hAnsi="Times New Roman" w:cs="Times New Roman"/>
          <w:color w:val="000000"/>
        </w:rPr>
        <w:t>Gurchiek</w:t>
      </w:r>
      <w:proofErr w:type="spellEnd"/>
      <w:r w:rsidRPr="00C63180">
        <w:rPr>
          <w:rFonts w:ascii="Times New Roman" w:eastAsia="Times New Roman" w:hAnsi="Times New Roman" w:cs="Times New Roman"/>
          <w:color w:val="000000"/>
        </w:rPr>
        <w:t xml:space="preserve">, 2018). An intersectional Diversity and Inclusion intervention with Talent Acquisition involves a close consideration not only of organizational benefit but also of the social impact in the public’s interest that improves </w:t>
      </w:r>
      <w:r w:rsidRPr="00C63180">
        <w:rPr>
          <w:rFonts w:ascii="Times New Roman" w:eastAsia="Times New Roman" w:hAnsi="Times New Roman" w:cs="Times New Roman"/>
          <w:color w:val="000000"/>
        </w:rPr>
        <w:lastRenderedPageBreak/>
        <w:t>the lives of working class people of color—the very communities that endured mass incarceration disproportionately.  </w:t>
      </w:r>
    </w:p>
    <w:p w14:paraId="4C8B1CC9" w14:textId="77777777" w:rsidR="00336BB7" w:rsidRPr="00C63180" w:rsidRDefault="00336BB7">
      <w:pPr>
        <w:spacing w:line="480" w:lineRule="auto"/>
        <w:ind w:firstLine="720"/>
        <w:rPr>
          <w:rFonts w:ascii="Times New Roman" w:eastAsia="Times New Roman" w:hAnsi="Times New Roman" w:cs="Times New Roman"/>
        </w:rPr>
      </w:pPr>
    </w:p>
    <w:p w14:paraId="0FDC1E91" w14:textId="77777777" w:rsidR="00B84936" w:rsidRPr="00C63180" w:rsidRDefault="001D1521" w:rsidP="00F30C77">
      <w:pPr>
        <w:pStyle w:val="Heading2"/>
        <w:rPr>
          <w:rFonts w:ascii="Times New Roman" w:hAnsi="Times New Roman"/>
          <w:sz w:val="24"/>
          <w:szCs w:val="24"/>
        </w:rPr>
      </w:pPr>
      <w:bookmarkStart w:id="29" w:name="_Toc448400724"/>
      <w:r w:rsidRPr="00C63180">
        <w:rPr>
          <w:rFonts w:ascii="Times New Roman" w:hAnsi="Times New Roman"/>
          <w:sz w:val="24"/>
          <w:szCs w:val="24"/>
        </w:rPr>
        <w:t>Fostering Access to Employment: Fair-Chance Policies</w:t>
      </w:r>
      <w:bookmarkEnd w:id="29"/>
    </w:p>
    <w:p w14:paraId="0A8D6876"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Talent Acquisition practices </w:t>
      </w:r>
      <w:proofErr w:type="gramStart"/>
      <w:r w:rsidRPr="00C63180">
        <w:rPr>
          <w:rFonts w:ascii="Times New Roman" w:eastAsia="Times New Roman" w:hAnsi="Times New Roman" w:cs="Times New Roman"/>
          <w:color w:val="000000"/>
        </w:rPr>
        <w:t>involve</w:t>
      </w:r>
      <w:proofErr w:type="gramEnd"/>
      <w:r w:rsidRPr="00C63180">
        <w:rPr>
          <w:rFonts w:ascii="Times New Roman" w:eastAsia="Times New Roman" w:hAnsi="Times New Roman" w:cs="Times New Roman"/>
          <w:color w:val="000000"/>
        </w:rPr>
        <w:t xml:space="preserve"> fair-chance policies, where organizations could remove questions about arrests and convictions from job applications and delay them until post-job offer (Rodriguez, 2019). This application process change would enable recruiters and hiring managers to evaluate applicants first and foremost on qualifications instead of criminal records. Furthermore, organizations could go beyond eliminating “the box” and also make individualized assessments in lieu of blanket exclusions. This action involves the organization integrating the Equal Employment Opportunity Commission arrest and conviction record guidelines that requires employers to factor time passed since the offense. There could additionally be consideration of rehabilitation documentation and assessments whether the offense is position-related (National Employment Law Project, 2017). </w:t>
      </w:r>
    </w:p>
    <w:p w14:paraId="6DED2ACA" w14:textId="77777777" w:rsidR="00336BB7" w:rsidRPr="00C63180" w:rsidRDefault="00336BB7">
      <w:pPr>
        <w:spacing w:line="480" w:lineRule="auto"/>
        <w:ind w:firstLine="720"/>
        <w:rPr>
          <w:rFonts w:ascii="Times New Roman" w:eastAsia="Times New Roman" w:hAnsi="Times New Roman" w:cs="Times New Roman"/>
        </w:rPr>
      </w:pPr>
    </w:p>
    <w:p w14:paraId="3E8F82DD" w14:textId="77777777" w:rsidR="00B84936" w:rsidRPr="00C63180" w:rsidRDefault="001D1521" w:rsidP="00F30C77">
      <w:pPr>
        <w:pStyle w:val="Heading2"/>
        <w:rPr>
          <w:rFonts w:ascii="Times New Roman" w:hAnsi="Times New Roman"/>
          <w:sz w:val="24"/>
          <w:szCs w:val="24"/>
        </w:rPr>
      </w:pPr>
      <w:bookmarkStart w:id="30" w:name="_Toc448400725"/>
      <w:r w:rsidRPr="00C63180">
        <w:rPr>
          <w:rFonts w:ascii="Times New Roman" w:hAnsi="Times New Roman"/>
          <w:sz w:val="24"/>
          <w:szCs w:val="24"/>
        </w:rPr>
        <w:t>Organizational Incentives and their Limitations</w:t>
      </w:r>
      <w:bookmarkEnd w:id="30"/>
    </w:p>
    <w:p w14:paraId="229C3F5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The U.S. Internal Revenue Service offers the Work Opportunity Tax Credit, a federal tax credit available to employers for hiring individuals “from certain targeted groups that consistently faced significant barriers to employment” (U.S. Internal Revenue Service, 2020), which includes the formerly incarcerated. Through this tax credit, if a worker works at least 120 hours per year, their organization could claim a 25 percent tax </w:t>
      </w:r>
      <w:r w:rsidRPr="00C63180">
        <w:rPr>
          <w:rFonts w:ascii="Times New Roman" w:eastAsia="Times New Roman" w:hAnsi="Times New Roman" w:cs="Times New Roman"/>
          <w:color w:val="000000"/>
        </w:rPr>
        <w:lastRenderedPageBreak/>
        <w:t xml:space="preserve">credit for their first year’s wages and 40 percent should that worker work 400 </w:t>
      </w:r>
      <w:proofErr w:type="gramStart"/>
      <w:r w:rsidRPr="00C63180">
        <w:rPr>
          <w:rFonts w:ascii="Times New Roman" w:eastAsia="Times New Roman" w:hAnsi="Times New Roman" w:cs="Times New Roman"/>
          <w:color w:val="000000"/>
        </w:rPr>
        <w:t>hours.</w:t>
      </w:r>
      <w:proofErr w:type="gramEnd"/>
      <w:r w:rsidRPr="00C63180">
        <w:rPr>
          <w:rFonts w:ascii="Times New Roman" w:eastAsia="Times New Roman" w:hAnsi="Times New Roman" w:cs="Times New Roman"/>
          <w:color w:val="000000"/>
        </w:rPr>
        <w:t> 59 percent of employers would consider a formerly incarcerated individual with one conviction if they were given an incentive in the form of a tax credit, which employers are offered under the federal Work Opportunity Tax Credit (Hunt et al., 2018).</w:t>
      </w:r>
    </w:p>
    <w:p w14:paraId="5F35B089" w14:textId="77777777" w:rsidR="00B84936" w:rsidRPr="00C63180" w:rsidRDefault="00B84936">
      <w:pPr>
        <w:rPr>
          <w:rFonts w:ascii="Times New Roman" w:eastAsia="Times New Roman" w:hAnsi="Times New Roman" w:cs="Times New Roman"/>
        </w:rPr>
      </w:pPr>
    </w:p>
    <w:p w14:paraId="29C254C2"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Similar public policy incentives for organizations exist in local jurisdictions. For example, the Philadelphia Fair Chance Hiring Initiative grants cash reimbursement to employers who hire the formerly incarcerated released recently within the past five years (City of Philadelphia, 2020). Designed to reassure </w:t>
      </w:r>
      <w:proofErr w:type="gramStart"/>
      <w:r w:rsidRPr="00C63180">
        <w:rPr>
          <w:rFonts w:ascii="Times New Roman" w:eastAsia="Times New Roman" w:hAnsi="Times New Roman" w:cs="Times New Roman"/>
          <w:color w:val="000000"/>
        </w:rPr>
        <w:t>employers</w:t>
      </w:r>
      <w:proofErr w:type="gramEnd"/>
      <w:r w:rsidRPr="00C63180">
        <w:rPr>
          <w:rFonts w:ascii="Times New Roman" w:eastAsia="Times New Roman" w:hAnsi="Times New Roman" w:cs="Times New Roman"/>
          <w:color w:val="000000"/>
        </w:rPr>
        <w:t xml:space="preserve"> who are apprehensive of risk, the U.S. Federal Bonding Program bonds former felons who organizations have hired (U.S. Department of Labor, 2016). The federal bond provides the organization with compensation in the event that the employer experiences theft or loss due to the hire’s dishonest actions. </w:t>
      </w:r>
    </w:p>
    <w:p w14:paraId="1F3A59EA" w14:textId="77777777" w:rsidR="00B84936" w:rsidRPr="00C63180" w:rsidRDefault="00B84936">
      <w:pPr>
        <w:rPr>
          <w:rFonts w:ascii="Times New Roman" w:eastAsia="Times New Roman" w:hAnsi="Times New Roman" w:cs="Times New Roman"/>
        </w:rPr>
      </w:pPr>
    </w:p>
    <w:p w14:paraId="1C982BC5"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Despite a high percentage of employer interest in hiring those with records, these tax incentives remain to be insufficient in eliminating joblessness among the formerly incarcerated, the working class, people of color, and their intersections. This leaves opportunity for public policy makers in pursuing full employment for the populations most impacted by the New Gilded Age. </w:t>
      </w:r>
    </w:p>
    <w:p w14:paraId="14D3DC2B" w14:textId="77777777" w:rsidR="00336BB7" w:rsidRPr="00C63180" w:rsidRDefault="00336BB7">
      <w:pPr>
        <w:spacing w:line="480" w:lineRule="auto"/>
        <w:ind w:firstLine="720"/>
        <w:rPr>
          <w:rFonts w:ascii="Times New Roman" w:eastAsia="Times New Roman" w:hAnsi="Times New Roman" w:cs="Times New Roman"/>
        </w:rPr>
      </w:pPr>
    </w:p>
    <w:p w14:paraId="1EB2088F" w14:textId="77777777" w:rsidR="00B84936" w:rsidRPr="00C63180" w:rsidRDefault="001D1521" w:rsidP="00F30C77">
      <w:pPr>
        <w:pStyle w:val="Heading2"/>
        <w:rPr>
          <w:rFonts w:ascii="Times New Roman" w:hAnsi="Times New Roman"/>
          <w:sz w:val="24"/>
          <w:szCs w:val="24"/>
        </w:rPr>
      </w:pPr>
      <w:bookmarkStart w:id="31" w:name="_Toc448400726"/>
      <w:r w:rsidRPr="00C63180">
        <w:rPr>
          <w:rFonts w:ascii="Times New Roman" w:hAnsi="Times New Roman"/>
          <w:sz w:val="24"/>
          <w:szCs w:val="24"/>
        </w:rPr>
        <w:t>Diversity Talent Pools and Enrichment Pipeline Programs</w:t>
      </w:r>
      <w:bookmarkEnd w:id="31"/>
    </w:p>
    <w:p w14:paraId="2EFF0C80"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Diversity and Inclusion, together with Learning and Development, could engage in strategic community partnerships to rehabilitate those with criminal records. For example, the Johns Hopkins Health System has hired more than 1,000 people with </w:t>
      </w:r>
      <w:r w:rsidRPr="00C63180">
        <w:rPr>
          <w:rFonts w:ascii="Times New Roman" w:eastAsia="Times New Roman" w:hAnsi="Times New Roman" w:cs="Times New Roman"/>
          <w:color w:val="000000"/>
        </w:rPr>
        <w:lastRenderedPageBreak/>
        <w:t>criminal backgrounds at its hospitals and clinics in Maryland and Florida by partnering with non-profit organizations, such as Our Daily Bread Employment Center, Helping Up Mission, and Turnaround Tuesday. Through engaging with the local community, the health system cultivates a talent pool trained by developing an enrichment pipeline program in soft skills, hand shakes, providing and receiving feedback, and operational skills, such as planning and scheduling (Rosenberg, 2019). </w:t>
      </w:r>
    </w:p>
    <w:p w14:paraId="098F46F9" w14:textId="77777777" w:rsidR="00B84936" w:rsidRPr="00C63180" w:rsidRDefault="00B84936">
      <w:pPr>
        <w:rPr>
          <w:rFonts w:ascii="Times New Roman" w:eastAsia="Times New Roman" w:hAnsi="Times New Roman" w:cs="Times New Roman"/>
        </w:rPr>
      </w:pPr>
    </w:p>
    <w:p w14:paraId="58A261F9"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Another example of a pipeline program that trains the formerly incarcerated to be more qualified candidates is at the tech company Slack. Slack names its program Next Chapter, a Learning and Development pilot, which cultivates formerly incarcerated individuals into engineering roles (Slack, 2019c). Participants undergo eight months of coding training, career development conversations, one-on-one coaching (Butterfield, 2018), in order to complete the Next Chapter apprenticeship program (Slack, 2019b). Although the apprenticeship is not a job guarantee, Slack’s 2019 Diversity and Inclusion Annual Report states that finishing the apprenticeship allows the formerly incarcerated candidate to be recruited and offered full-time Slack positions (Slack, 2019a). </w:t>
      </w:r>
    </w:p>
    <w:p w14:paraId="68956B0A" w14:textId="77777777" w:rsidR="00B84936" w:rsidRPr="00C63180" w:rsidRDefault="00B84936">
      <w:pPr>
        <w:rPr>
          <w:rFonts w:ascii="Times New Roman" w:eastAsia="Times New Roman" w:hAnsi="Times New Roman" w:cs="Times New Roman"/>
        </w:rPr>
      </w:pPr>
    </w:p>
    <w:p w14:paraId="473859D1"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After the pilot’s first iteration, Slack decided to place all three graduates (100 percent of its cohort) into full-time jobs internally. While Slack’s Next Chapter was a courageous and trailblazing Diversity and Inclusion intervention, its social impact was limited given its cohort size of three—a humble figure out of California’s approximately 115,000 incarcerated individuals spread across its 35 overcrowded prisons in 2017 (Public Policy Institute of California, 2019). The pilot would have to be emulated by more companies across industries in order to scale social impact and create a prison to </w:t>
      </w:r>
      <w:r w:rsidRPr="00C63180">
        <w:rPr>
          <w:rFonts w:ascii="Times New Roman" w:eastAsia="Times New Roman" w:hAnsi="Times New Roman" w:cs="Times New Roman"/>
          <w:color w:val="000000"/>
        </w:rPr>
        <w:lastRenderedPageBreak/>
        <w:t>career diversity talent pipeline that would meaningfully facilitate the reentry of America’s large prison population into the workforce.</w:t>
      </w:r>
    </w:p>
    <w:p w14:paraId="57DA7214" w14:textId="77777777" w:rsidR="001D1521" w:rsidRPr="00C63180" w:rsidRDefault="001D1521">
      <w:pPr>
        <w:spacing w:line="480" w:lineRule="auto"/>
        <w:ind w:firstLine="720"/>
        <w:rPr>
          <w:rFonts w:ascii="Times New Roman" w:eastAsia="Times New Roman" w:hAnsi="Times New Roman" w:cs="Times New Roman"/>
        </w:rPr>
      </w:pPr>
    </w:p>
    <w:p w14:paraId="72574A38" w14:textId="77777777" w:rsidR="00B84936" w:rsidRPr="00C63180" w:rsidRDefault="001D1521" w:rsidP="00F30C77">
      <w:pPr>
        <w:pStyle w:val="Heading2"/>
        <w:rPr>
          <w:rFonts w:ascii="Times New Roman" w:hAnsi="Times New Roman"/>
          <w:sz w:val="24"/>
          <w:szCs w:val="24"/>
        </w:rPr>
      </w:pPr>
      <w:bookmarkStart w:id="32" w:name="_Toc448400727"/>
      <w:r w:rsidRPr="00C63180">
        <w:rPr>
          <w:rFonts w:ascii="Times New Roman" w:hAnsi="Times New Roman"/>
          <w:sz w:val="24"/>
          <w:szCs w:val="24"/>
        </w:rPr>
        <w:t>Innovative Yet Modest Organizational Social Impacts</w:t>
      </w:r>
      <w:bookmarkEnd w:id="32"/>
    </w:p>
    <w:p w14:paraId="19C74832"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Because private and non-profit initiatives such as Next Chapter are in their early stages with modest social impact to date, intersectional public policy could scale the improvement of the socioeconomic well being of the formerly incarcerated, people of color, and working class people by creating secure jobs and increasing compensation. Although the U.S. has a low official unemployment rate at 3.5 percent as of December 2019 (U.S. Bureau of Labor Statistics, 2019), millions who occupy part-time roles seek full-time jobs. In addition, discouraged parts of the workforce are uncounted in the unemployment rate (U.S. Bureau of Labor Statistics, 2014), meaning that those who have endured the physical and psychological toll of the job search and those who face discrimination and subsequently give up applying are uncounted in the nation’s assessment of employment. Additionally, despite low official reported unemployment, many jobs pay insufficient income in order to lift Americans out of poverty. A policy proposal that would tackle joblessness, subpar earnings, and cater to discouraged workers is the “Jobs and an Economy for All,” or what in economics literature is called the Federal Jobs Guarantee (</w:t>
      </w:r>
      <w:proofErr w:type="spellStart"/>
      <w:r w:rsidRPr="00C63180">
        <w:rPr>
          <w:rFonts w:ascii="Times New Roman" w:eastAsia="Times New Roman" w:hAnsi="Times New Roman" w:cs="Times New Roman"/>
          <w:color w:val="000000"/>
        </w:rPr>
        <w:t>Kelton</w:t>
      </w:r>
      <w:proofErr w:type="spellEnd"/>
      <w:r w:rsidRPr="00C63180">
        <w:rPr>
          <w:rFonts w:ascii="Times New Roman" w:eastAsia="Times New Roman" w:hAnsi="Times New Roman" w:cs="Times New Roman"/>
          <w:color w:val="000000"/>
        </w:rPr>
        <w:t xml:space="preserve">, 2020; Wray, 2018; </w:t>
      </w:r>
      <w:proofErr w:type="spellStart"/>
      <w:r w:rsidRPr="00C63180">
        <w:rPr>
          <w:rFonts w:ascii="Times New Roman" w:eastAsia="Times New Roman" w:hAnsi="Times New Roman" w:cs="Times New Roman"/>
          <w:color w:val="000000"/>
        </w:rPr>
        <w:t>Tcherneva</w:t>
      </w:r>
      <w:proofErr w:type="spellEnd"/>
      <w:r w:rsidRPr="00C63180">
        <w:rPr>
          <w:rFonts w:ascii="Times New Roman" w:eastAsia="Times New Roman" w:hAnsi="Times New Roman" w:cs="Times New Roman"/>
          <w:color w:val="000000"/>
        </w:rPr>
        <w:t xml:space="preserve">, 2018), as spearheaded by U.S. Vermont Senator Bernie Sanders and the progressive movement (Sanders, 2019ba; </w:t>
      </w:r>
      <w:proofErr w:type="spellStart"/>
      <w:r w:rsidRPr="00C63180">
        <w:rPr>
          <w:rFonts w:ascii="Times New Roman" w:eastAsia="Times New Roman" w:hAnsi="Times New Roman" w:cs="Times New Roman"/>
          <w:color w:val="000000"/>
        </w:rPr>
        <w:t>Paddison</w:t>
      </w:r>
      <w:proofErr w:type="spellEnd"/>
      <w:r w:rsidRPr="00C63180">
        <w:rPr>
          <w:rFonts w:ascii="Times New Roman" w:eastAsia="Times New Roman" w:hAnsi="Times New Roman" w:cs="Times New Roman"/>
          <w:color w:val="000000"/>
        </w:rPr>
        <w:t>, 2018; Matthews, 2018). </w:t>
      </w:r>
    </w:p>
    <w:p w14:paraId="0D2977C4" w14:textId="77777777" w:rsidR="00336BB7" w:rsidRPr="00C63180" w:rsidRDefault="00336BB7">
      <w:pPr>
        <w:spacing w:line="480" w:lineRule="auto"/>
        <w:ind w:firstLine="720"/>
        <w:rPr>
          <w:rFonts w:ascii="Times New Roman" w:eastAsia="Times New Roman" w:hAnsi="Times New Roman" w:cs="Times New Roman"/>
        </w:rPr>
      </w:pPr>
    </w:p>
    <w:p w14:paraId="0AE44644" w14:textId="77777777" w:rsidR="00B84936" w:rsidRPr="00C63180" w:rsidRDefault="001D1521" w:rsidP="00F30C77">
      <w:pPr>
        <w:pStyle w:val="Heading2"/>
        <w:rPr>
          <w:rFonts w:ascii="Times New Roman" w:hAnsi="Times New Roman"/>
          <w:sz w:val="24"/>
          <w:szCs w:val="24"/>
        </w:rPr>
      </w:pPr>
      <w:bookmarkStart w:id="33" w:name="_Toc448400728"/>
      <w:r w:rsidRPr="00C63180">
        <w:rPr>
          <w:rFonts w:ascii="Times New Roman" w:hAnsi="Times New Roman"/>
          <w:sz w:val="24"/>
          <w:szCs w:val="24"/>
        </w:rPr>
        <w:lastRenderedPageBreak/>
        <w:t>An Intersectional Public Policy Solution: Guaranteed Government Jobs</w:t>
      </w:r>
      <w:bookmarkEnd w:id="33"/>
    </w:p>
    <w:p w14:paraId="72684AAF"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The guaranteed federal jobs would focus on positions to support seniors and people with disabilities, greening U.S. infrastructure as part of the Green New Deal to repair infrastructure and create a 100 percent renewable energy system, public early childhood education, eldercare, and staffing national parks. The federal government would serve as a job creator and safety net by connecting jobs to people who are unable to find a job that pays a living wage with decent benefits and predictable hours. </w:t>
      </w:r>
    </w:p>
    <w:p w14:paraId="26060D51"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The program would offer a job at the living wage of $15 per hour for approximately 32 hours per week with a basic benefits package, inclusive of health insurance and childcare, to those who are ready and willing to work on projects that serve a public purpose (Wray et al., 2018). The Federal Jobs Guarantee would have the effect of serving as a nation-wide economic stabilizer during economic recessions. Given that the working class often lose their jobs during economic downturns, the federal government would serve as the employer of last resort should people and struggle in finding a job in the private sector (</w:t>
      </w:r>
      <w:proofErr w:type="spellStart"/>
      <w:r w:rsidRPr="00C63180">
        <w:rPr>
          <w:rFonts w:ascii="Times New Roman" w:eastAsia="Times New Roman" w:hAnsi="Times New Roman" w:cs="Times New Roman"/>
          <w:color w:val="000000"/>
        </w:rPr>
        <w:t>Fullwiler</w:t>
      </w:r>
      <w:proofErr w:type="spellEnd"/>
      <w:r w:rsidRPr="00C63180">
        <w:rPr>
          <w:rFonts w:ascii="Times New Roman" w:eastAsia="Times New Roman" w:hAnsi="Times New Roman" w:cs="Times New Roman"/>
          <w:color w:val="000000"/>
        </w:rPr>
        <w:t>, 2007, p. 93). Moreover, by creating guaranteed jobs, the proposal would serve as the new floor for job quality nation-wide as it would give low-wage workers increased bargaining powers towards more manageable hours and higher wages (Figure 4, Reich 2019). Workers could leverage the option of the guaranteed public job if their employers do not provide higher working standards in hours, compensation, and benefits.</w:t>
      </w:r>
    </w:p>
    <w:p w14:paraId="5139AC13" w14:textId="77777777" w:rsidR="001D1521" w:rsidRPr="00C63180" w:rsidRDefault="001D1521">
      <w:pPr>
        <w:spacing w:line="480" w:lineRule="auto"/>
        <w:ind w:firstLine="720"/>
        <w:rPr>
          <w:rFonts w:ascii="Times New Roman" w:eastAsia="Times New Roman" w:hAnsi="Times New Roman" w:cs="Times New Roman"/>
          <w:color w:val="000000"/>
        </w:rPr>
      </w:pPr>
    </w:p>
    <w:p w14:paraId="2C8B31F7" w14:textId="77777777" w:rsidR="00B84936" w:rsidRPr="00C63180" w:rsidRDefault="00B84936">
      <w:pPr>
        <w:rPr>
          <w:rFonts w:ascii="Times New Roman" w:eastAsia="Times New Roman" w:hAnsi="Times New Roman" w:cs="Times New Roman"/>
        </w:rPr>
      </w:pPr>
    </w:p>
    <w:p w14:paraId="73089B22"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noProof/>
          <w:color w:val="000000"/>
        </w:rPr>
        <w:lastRenderedPageBreak/>
        <w:drawing>
          <wp:inline distT="0" distB="0" distL="0" distR="0" wp14:anchorId="0A4347DA" wp14:editId="52283CED">
            <wp:extent cx="2482230" cy="2267736"/>
            <wp:effectExtent l="0" t="0" r="0" b="0"/>
            <wp:docPr id="15" name="image12.png" descr="https://lh5.googleusercontent.com/AAwx8-8q11EBcek6-NS-VUJyxTdwQSE4ssSAY5zT8hJEKBw9HbJXOsHy_vQ12pad_J2fhF33LSOjPmDS6cgDQlwI_7rVvZspT7WOXvESq5V0FRwYXIy794pbRXdsAseU9ECKQNVi"/>
            <wp:cNvGraphicFramePr/>
            <a:graphic xmlns:a="http://schemas.openxmlformats.org/drawingml/2006/main">
              <a:graphicData uri="http://schemas.openxmlformats.org/drawingml/2006/picture">
                <pic:pic xmlns:pic="http://schemas.openxmlformats.org/drawingml/2006/picture">
                  <pic:nvPicPr>
                    <pic:cNvPr id="0" name="image12.png" descr="https://lh5.googleusercontent.com/AAwx8-8q11EBcek6-NS-VUJyxTdwQSE4ssSAY5zT8hJEKBw9HbJXOsHy_vQ12pad_J2fhF33LSOjPmDS6cgDQlwI_7rVvZspT7WOXvESq5V0FRwYXIy794pbRXdsAseU9ECKQNVi"/>
                    <pic:cNvPicPr preferRelativeResize="0"/>
                  </pic:nvPicPr>
                  <pic:blipFill>
                    <a:blip r:embed="rId14"/>
                    <a:srcRect/>
                    <a:stretch>
                      <a:fillRect/>
                    </a:stretch>
                  </pic:blipFill>
                  <pic:spPr>
                    <a:xfrm>
                      <a:off x="0" y="0"/>
                      <a:ext cx="2482230" cy="2267736"/>
                    </a:xfrm>
                    <a:prstGeom prst="rect">
                      <a:avLst/>
                    </a:prstGeom>
                    <a:ln/>
                  </pic:spPr>
                </pic:pic>
              </a:graphicData>
            </a:graphic>
          </wp:inline>
        </w:drawing>
      </w:r>
    </w:p>
    <w:p w14:paraId="2C344F5B" w14:textId="77777777" w:rsidR="00B84936" w:rsidRPr="00C63180" w:rsidRDefault="001D1521">
      <w:pPr>
        <w:spacing w:line="480" w:lineRule="auto"/>
        <w:jc w:val="center"/>
        <w:rPr>
          <w:rFonts w:ascii="Times New Roman" w:eastAsia="Times New Roman" w:hAnsi="Times New Roman" w:cs="Times New Roman"/>
        </w:rPr>
      </w:pPr>
      <w:r w:rsidRPr="00C63180">
        <w:rPr>
          <w:rFonts w:ascii="Times New Roman" w:eastAsia="Times New Roman" w:hAnsi="Times New Roman" w:cs="Times New Roman"/>
          <w:color w:val="000000"/>
        </w:rPr>
        <w:t>Figure 4 (Reich, 2019)</w:t>
      </w:r>
    </w:p>
    <w:p w14:paraId="6DD50E07" w14:textId="77777777" w:rsidR="00B84936" w:rsidRPr="00C63180" w:rsidRDefault="00B84936">
      <w:pPr>
        <w:rPr>
          <w:rFonts w:ascii="Times New Roman" w:eastAsia="Times New Roman" w:hAnsi="Times New Roman" w:cs="Times New Roman"/>
        </w:rPr>
      </w:pPr>
    </w:p>
    <w:p w14:paraId="218816AF"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While the proposed Federal Jobs Guarantee’s first year projected expenditure is priced at $670 billion, this is $30 billion less than the military budget. The annual operational cost would also diminish quickly over time (Reich, 2019). By lifting Americans out of poverty and increasing productivity and output (Paul et al., 2018, p. 44), the job guarantee would lead to increased wages, elevating purchasing power. This increased productivity, economic activity, and demand for goods and services would lead to more hiring in the private sector (Wray, 2018). Collectively, the increased number of people in the workforce, higher wages, and the rise in demand for goods and services, would generate more tax revenue, which would offset start-up and annual operational program costs (Reich, 2019). Furthermore, additional savings would come from public assistance savings. Since the job guarantee would lift millions from poverty and create a larger middle class, fewer would require public assistance to survive, which would generate up to $150 billion in savings per year. This is the amount that the federal government spends on “corporate welfare,” what taxpayers provide to working class workers to survive because their employers do not pay them a living wage (Jacobs et al., </w:t>
      </w:r>
      <w:r w:rsidRPr="00C63180">
        <w:rPr>
          <w:rFonts w:ascii="Times New Roman" w:eastAsia="Times New Roman" w:hAnsi="Times New Roman" w:cs="Times New Roman"/>
          <w:color w:val="000000"/>
        </w:rPr>
        <w:lastRenderedPageBreak/>
        <w:t>2015), meaning taxpayers in effect publicly subsidize corporations that insufficiently pay their workforce.</w:t>
      </w:r>
    </w:p>
    <w:p w14:paraId="7CDB0007" w14:textId="77777777" w:rsidR="00336BB7" w:rsidRPr="00C63180" w:rsidRDefault="00336BB7">
      <w:pPr>
        <w:spacing w:line="480" w:lineRule="auto"/>
        <w:ind w:firstLine="720"/>
        <w:rPr>
          <w:rFonts w:ascii="Times New Roman" w:eastAsia="Times New Roman" w:hAnsi="Times New Roman" w:cs="Times New Roman"/>
        </w:rPr>
      </w:pPr>
    </w:p>
    <w:p w14:paraId="789CFF2E" w14:textId="77777777" w:rsidR="00B84936" w:rsidRPr="00C63180" w:rsidRDefault="001D1521" w:rsidP="00F30C77">
      <w:pPr>
        <w:pStyle w:val="Heading2"/>
        <w:rPr>
          <w:rFonts w:ascii="Times New Roman" w:hAnsi="Times New Roman"/>
          <w:sz w:val="24"/>
          <w:szCs w:val="24"/>
        </w:rPr>
      </w:pPr>
      <w:bookmarkStart w:id="34" w:name="_Toc448400729"/>
      <w:r w:rsidRPr="00C63180">
        <w:rPr>
          <w:rFonts w:ascii="Times New Roman" w:hAnsi="Times New Roman"/>
          <w:sz w:val="24"/>
          <w:szCs w:val="24"/>
        </w:rPr>
        <w:t>Transforming the U.S. Economy to be Inclusive</w:t>
      </w:r>
      <w:bookmarkEnd w:id="34"/>
    </w:p>
    <w:p w14:paraId="39F6849E"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The Federal Jobs Guarantee would “eliminate working poverty and involuntary unemployment together” (</w:t>
      </w:r>
      <w:proofErr w:type="spellStart"/>
      <w:r w:rsidRPr="00C63180">
        <w:rPr>
          <w:rFonts w:ascii="Times New Roman" w:eastAsia="Times New Roman" w:hAnsi="Times New Roman" w:cs="Times New Roman"/>
          <w:color w:val="000000"/>
        </w:rPr>
        <w:t>Darrick</w:t>
      </w:r>
      <w:proofErr w:type="spellEnd"/>
      <w:r w:rsidRPr="00C63180">
        <w:rPr>
          <w:rFonts w:ascii="Times New Roman" w:eastAsia="Times New Roman" w:hAnsi="Times New Roman" w:cs="Times New Roman"/>
          <w:color w:val="000000"/>
        </w:rPr>
        <w:t xml:space="preserve"> Hamilton as cited in Stein, 2018), since guaranteed federal jobs would pay compensation and benefits and all who would like and are seeking for a job would be entitled to one. The program would eradicate involuntary unemployment because it would create jobs that fit people as they are, regardless of disparities in qualifications, and would create employment in the communities where people live. Acting as a “radical departure from the neoliberalism that has dominated national policy for the past decade” (Wray et al., 2018, p. 3), the job guarantee would fundamentally restructure the U.S. economy, economy that has experienced “stagnant wages, chronically high unemployment, declining labor force participation among prime-age male workers, rising inequality that already exceeds the levels achieved during America’s notorious ‘Gilded Age,’ and an explosion of household debt” (Wray et al., 2018, p. 3). In 2016, despite having a job, 9.5 million spent more than half a year working remained in poverty. Under the job guarantee, Americans who paid $15 an hour for 32 hours a week, one full-time worker would be able to lift their family of up to five out of poverty. With one full-time and one part-time worker in the program, an eight-person household would be lifted above the poverty line (Wray et al., 2018, p. 2).</w:t>
      </w:r>
    </w:p>
    <w:p w14:paraId="414A7372"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Through its universal approach, the program would rebuild the middle class, improve working conditions, and increase pay for most Americans in both public and </w:t>
      </w:r>
      <w:r w:rsidRPr="00C63180">
        <w:rPr>
          <w:rFonts w:ascii="Times New Roman" w:eastAsia="Times New Roman" w:hAnsi="Times New Roman" w:cs="Times New Roman"/>
          <w:color w:val="000000"/>
        </w:rPr>
        <w:lastRenderedPageBreak/>
        <w:t xml:space="preserve">private sectors. The universality of the guarantee emphasizes interconnectedness across groups and </w:t>
      </w:r>
      <w:proofErr w:type="gramStart"/>
      <w:r w:rsidRPr="00C63180">
        <w:rPr>
          <w:rFonts w:ascii="Times New Roman" w:eastAsia="Times New Roman" w:hAnsi="Times New Roman" w:cs="Times New Roman"/>
          <w:color w:val="000000"/>
        </w:rPr>
        <w:t>communities</w:t>
      </w:r>
      <w:proofErr w:type="gramEnd"/>
      <w:r w:rsidRPr="00C63180">
        <w:rPr>
          <w:rFonts w:ascii="Times New Roman" w:eastAsia="Times New Roman" w:hAnsi="Times New Roman" w:cs="Times New Roman"/>
          <w:color w:val="000000"/>
        </w:rPr>
        <w:t xml:space="preserve"> nation-wide, an indispensable value and strategy in coalition-based movements. The universal impact of the job guarantee would advance economic justice, racial justice, gender equity, and environmental justice, while transforming a government for “the 1 percent,” as has been the 30-year macroeconomic trend, to one that serves all Americans. As </w:t>
      </w:r>
      <w:proofErr w:type="spellStart"/>
      <w:r w:rsidRPr="00C63180">
        <w:rPr>
          <w:rFonts w:ascii="Times New Roman" w:eastAsia="Times New Roman" w:hAnsi="Times New Roman" w:cs="Times New Roman"/>
          <w:color w:val="000000"/>
        </w:rPr>
        <w:t>Lugones</w:t>
      </w:r>
      <w:proofErr w:type="spellEnd"/>
      <w:r w:rsidRPr="00C63180">
        <w:rPr>
          <w:rFonts w:ascii="Times New Roman" w:eastAsia="Times New Roman" w:hAnsi="Times New Roman" w:cs="Times New Roman"/>
          <w:color w:val="000000"/>
        </w:rPr>
        <w:t xml:space="preserve"> writes, if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is to fulfill its coalitional </w:t>
      </w:r>
      <w:proofErr w:type="spellStart"/>
      <w:r w:rsidRPr="00C63180">
        <w:rPr>
          <w:rFonts w:ascii="Times New Roman" w:eastAsia="Times New Roman" w:hAnsi="Times New Roman" w:cs="Times New Roman"/>
          <w:color w:val="000000"/>
        </w:rPr>
        <w:t>decolonial</w:t>
      </w:r>
      <w:proofErr w:type="spellEnd"/>
      <w:r w:rsidRPr="00C63180">
        <w:rPr>
          <w:rFonts w:ascii="Times New Roman" w:eastAsia="Times New Roman" w:hAnsi="Times New Roman" w:cs="Times New Roman"/>
          <w:color w:val="000000"/>
        </w:rPr>
        <w:t xml:space="preserve"> praxis, it would expose and triumph against the violent entanglements of gender “in systems of capital, white supremacy, and empire” (</w:t>
      </w:r>
      <w:proofErr w:type="spellStart"/>
      <w:r w:rsidRPr="00C63180">
        <w:rPr>
          <w:rFonts w:ascii="Times New Roman" w:eastAsia="Times New Roman" w:hAnsi="Times New Roman" w:cs="Times New Roman"/>
          <w:color w:val="000000"/>
        </w:rPr>
        <w:t>Lugones</w:t>
      </w:r>
      <w:proofErr w:type="spellEnd"/>
      <w:r w:rsidRPr="00C63180">
        <w:rPr>
          <w:rFonts w:ascii="Times New Roman" w:eastAsia="Times New Roman" w:hAnsi="Times New Roman" w:cs="Times New Roman"/>
          <w:color w:val="000000"/>
        </w:rPr>
        <w:t xml:space="preserve">, 2010, p. 747). Applying to </w:t>
      </w:r>
      <w:proofErr w:type="spellStart"/>
      <w:r w:rsidRPr="00C63180">
        <w:rPr>
          <w:rFonts w:ascii="Times New Roman" w:eastAsia="Times New Roman" w:hAnsi="Times New Roman" w:cs="Times New Roman"/>
          <w:color w:val="000000"/>
        </w:rPr>
        <w:t>intersectionality</w:t>
      </w:r>
      <w:proofErr w:type="spellEnd"/>
      <w:r w:rsidRPr="00C63180">
        <w:rPr>
          <w:rFonts w:ascii="Times New Roman" w:eastAsia="Times New Roman" w:hAnsi="Times New Roman" w:cs="Times New Roman"/>
          <w:color w:val="000000"/>
        </w:rPr>
        <w:t xml:space="preserve">, the job guarantee would serve as a monumental boost for working class communities, people of color, the youth and their intersections—all of </w:t>
      </w:r>
      <w:proofErr w:type="gramStart"/>
      <w:r w:rsidRPr="00C63180">
        <w:rPr>
          <w:rFonts w:ascii="Times New Roman" w:eastAsia="Times New Roman" w:hAnsi="Times New Roman" w:cs="Times New Roman"/>
          <w:color w:val="000000"/>
        </w:rPr>
        <w:t>whom</w:t>
      </w:r>
      <w:proofErr w:type="gramEnd"/>
      <w:r w:rsidRPr="00C63180">
        <w:rPr>
          <w:rFonts w:ascii="Times New Roman" w:eastAsia="Times New Roman" w:hAnsi="Times New Roman" w:cs="Times New Roman"/>
          <w:color w:val="000000"/>
        </w:rPr>
        <w:t xml:space="preserve"> disproportionately experience the detrimental planetary effects of climate change due to carbon-emitting products manufactured by the fossil fuel industry. By elevating compensation, securing jobs, and achieving full employment, the job guarantee would serve as a direct economic stimulus for the entire country and provide opportunities and structural support after four decades of siphoning resources and plundering talent from Black and Brown communities, immigrants, indigenous people, rural Americans, people with disabilities, transgender people, and discouraged workers—all populations that have been jettisoned as disposable collateral to advance corporate interests in the New Gilded Age.</w:t>
      </w:r>
    </w:p>
    <w:p w14:paraId="603BB248" w14:textId="77777777" w:rsidR="00336BB7" w:rsidRPr="00C63180" w:rsidRDefault="00336BB7">
      <w:pPr>
        <w:spacing w:line="480" w:lineRule="auto"/>
        <w:ind w:firstLine="720"/>
        <w:rPr>
          <w:rFonts w:ascii="Times New Roman" w:eastAsia="Times New Roman" w:hAnsi="Times New Roman" w:cs="Times New Roman"/>
          <w:color w:val="000000"/>
        </w:rPr>
      </w:pPr>
    </w:p>
    <w:p w14:paraId="6D335423" w14:textId="77777777" w:rsidR="00B84936" w:rsidRPr="00C63180" w:rsidRDefault="001D1521" w:rsidP="00F30C77">
      <w:pPr>
        <w:pStyle w:val="Heading2"/>
        <w:rPr>
          <w:rFonts w:ascii="Times New Roman" w:hAnsi="Times New Roman"/>
          <w:sz w:val="24"/>
          <w:szCs w:val="24"/>
        </w:rPr>
      </w:pPr>
      <w:bookmarkStart w:id="35" w:name="_Toc448400730"/>
      <w:r w:rsidRPr="00C63180">
        <w:rPr>
          <w:rFonts w:ascii="Times New Roman" w:hAnsi="Times New Roman"/>
          <w:sz w:val="24"/>
          <w:szCs w:val="24"/>
        </w:rPr>
        <w:t>Guaranteed Jobs &amp; Coalitions</w:t>
      </w:r>
      <w:bookmarkEnd w:id="35"/>
    </w:p>
    <w:p w14:paraId="652FB6B4"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The Federal Jobs Guarantee’s universality and coalitional promise would be transformative from a racial and gender perspective. Blacks and Latinos experience the </w:t>
      </w:r>
      <w:r w:rsidRPr="00C63180">
        <w:rPr>
          <w:rFonts w:ascii="Times New Roman" w:eastAsia="Times New Roman" w:hAnsi="Times New Roman" w:cs="Times New Roman"/>
          <w:color w:val="000000"/>
        </w:rPr>
        <w:lastRenderedPageBreak/>
        <w:t xml:space="preserve">labor market to be </w:t>
      </w:r>
      <w:proofErr w:type="gramStart"/>
      <w:r w:rsidRPr="00C63180">
        <w:rPr>
          <w:rFonts w:ascii="Times New Roman" w:eastAsia="Times New Roman" w:hAnsi="Times New Roman" w:cs="Times New Roman"/>
          <w:color w:val="000000"/>
        </w:rPr>
        <w:t>more unstable</w:t>
      </w:r>
      <w:proofErr w:type="gramEnd"/>
      <w:r w:rsidRPr="00C63180">
        <w:rPr>
          <w:rFonts w:ascii="Times New Roman" w:eastAsia="Times New Roman" w:hAnsi="Times New Roman" w:cs="Times New Roman"/>
          <w:color w:val="000000"/>
        </w:rPr>
        <w:t>, as the two groups tend to face higher unemployment and underemployment levels compared to Whites and Americans generally. Blacks and Latinos are also less likely to work in managerial and professional jobs that pay higher, meaning that they earn lower median earnings in almost all occupational groups (U.S. Bureau of Labor Statistics, 2017a, 2017b) and twice as likely to be among the working poor (U.S. Bureau of Labor Statistics, 2017a; Wray et al., 2018). Since a goal of an inclusive economy is to combat racial poverty through employment, the Federal Jobs Guarantee would be a step towards equal citizenship among racial groups (</w:t>
      </w:r>
      <w:proofErr w:type="spellStart"/>
      <w:r w:rsidRPr="00C63180">
        <w:rPr>
          <w:rFonts w:ascii="Times New Roman" w:eastAsia="Times New Roman" w:hAnsi="Times New Roman" w:cs="Times New Roman"/>
          <w:color w:val="000000"/>
        </w:rPr>
        <w:t>Forstater</w:t>
      </w:r>
      <w:proofErr w:type="spellEnd"/>
      <w:r w:rsidRPr="00C63180">
        <w:rPr>
          <w:rFonts w:ascii="Times New Roman" w:eastAsia="Times New Roman" w:hAnsi="Times New Roman" w:cs="Times New Roman"/>
          <w:color w:val="000000"/>
        </w:rPr>
        <w:t>, 2002, p. 45). In that the job guarantee proposed would address early childhood education and eldercare, this would have the effect of “legitimizing caregiving labor,” (</w:t>
      </w:r>
      <w:proofErr w:type="spellStart"/>
      <w:r w:rsidRPr="00C63180">
        <w:rPr>
          <w:rFonts w:ascii="Times New Roman" w:eastAsia="Times New Roman" w:hAnsi="Times New Roman" w:cs="Times New Roman"/>
          <w:color w:val="000000"/>
        </w:rPr>
        <w:t>Karcher</w:t>
      </w:r>
      <w:proofErr w:type="spellEnd"/>
      <w:r w:rsidRPr="00C63180">
        <w:rPr>
          <w:rFonts w:ascii="Times New Roman" w:eastAsia="Times New Roman" w:hAnsi="Times New Roman" w:cs="Times New Roman"/>
          <w:color w:val="000000"/>
        </w:rPr>
        <w:t xml:space="preserve">, 2019, p. 48; </w:t>
      </w:r>
      <w:proofErr w:type="spellStart"/>
      <w:r w:rsidRPr="00C63180">
        <w:rPr>
          <w:rFonts w:ascii="Times New Roman" w:eastAsia="Times New Roman" w:hAnsi="Times New Roman" w:cs="Times New Roman"/>
          <w:color w:val="000000"/>
        </w:rPr>
        <w:t>Baiman</w:t>
      </w:r>
      <w:proofErr w:type="spellEnd"/>
      <w:r w:rsidRPr="00C63180">
        <w:rPr>
          <w:rFonts w:ascii="Times New Roman" w:eastAsia="Times New Roman" w:hAnsi="Times New Roman" w:cs="Times New Roman"/>
          <w:color w:val="000000"/>
        </w:rPr>
        <w:t xml:space="preserve"> et al., 2012) most of which is unrecognized, underpaid, or unpaid in the informal economy. From a gender perspective, the federal jobs guarantee would challenge “the root causes of women’s oppression via marginalization and cultural imperialism” that women experience and render traditionally feminized jobs as invisible and less valuable (</w:t>
      </w:r>
      <w:proofErr w:type="spellStart"/>
      <w:r w:rsidRPr="00C63180">
        <w:rPr>
          <w:rFonts w:ascii="Times New Roman" w:eastAsia="Times New Roman" w:hAnsi="Times New Roman" w:cs="Times New Roman"/>
          <w:color w:val="000000"/>
        </w:rPr>
        <w:t>Karcher</w:t>
      </w:r>
      <w:proofErr w:type="spellEnd"/>
      <w:r w:rsidRPr="00C63180">
        <w:rPr>
          <w:rFonts w:ascii="Times New Roman" w:eastAsia="Times New Roman" w:hAnsi="Times New Roman" w:cs="Times New Roman"/>
          <w:color w:val="000000"/>
        </w:rPr>
        <w:t xml:space="preserve">, 2019; Crain et al., 2016; Mehta &amp; </w:t>
      </w:r>
      <w:proofErr w:type="spellStart"/>
      <w:r w:rsidRPr="00C63180">
        <w:rPr>
          <w:rFonts w:ascii="Times New Roman" w:eastAsia="Times New Roman" w:hAnsi="Times New Roman" w:cs="Times New Roman"/>
          <w:color w:val="000000"/>
        </w:rPr>
        <w:t>Awasthi</w:t>
      </w:r>
      <w:proofErr w:type="spellEnd"/>
      <w:r w:rsidRPr="00C63180">
        <w:rPr>
          <w:rFonts w:ascii="Times New Roman" w:eastAsia="Times New Roman" w:hAnsi="Times New Roman" w:cs="Times New Roman"/>
          <w:color w:val="000000"/>
        </w:rPr>
        <w:t>, 2019).</w:t>
      </w:r>
    </w:p>
    <w:p w14:paraId="7280F81F" w14:textId="77777777" w:rsidR="00B84936" w:rsidRPr="00C63180" w:rsidRDefault="00B84936">
      <w:pPr>
        <w:rPr>
          <w:rFonts w:ascii="Times New Roman" w:eastAsia="Times New Roman" w:hAnsi="Times New Roman" w:cs="Times New Roman"/>
        </w:rPr>
      </w:pPr>
    </w:p>
    <w:p w14:paraId="58BBAA35"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The public mission of the federal jobs guarantee speaks </w:t>
      </w:r>
      <w:proofErr w:type="spellStart"/>
      <w:r w:rsidRPr="00C63180">
        <w:rPr>
          <w:rFonts w:ascii="Times New Roman" w:eastAsia="Times New Roman" w:hAnsi="Times New Roman" w:cs="Times New Roman"/>
          <w:color w:val="000000"/>
        </w:rPr>
        <w:t>intersectionally</w:t>
      </w:r>
      <w:proofErr w:type="spellEnd"/>
      <w:r w:rsidRPr="00C63180">
        <w:rPr>
          <w:rFonts w:ascii="Times New Roman" w:eastAsia="Times New Roman" w:hAnsi="Times New Roman" w:cs="Times New Roman"/>
          <w:color w:val="000000"/>
        </w:rPr>
        <w:t xml:space="preserve"> to </w:t>
      </w:r>
      <w:proofErr w:type="gramStart"/>
      <w:r w:rsidRPr="00C63180">
        <w:rPr>
          <w:rFonts w:ascii="Times New Roman" w:eastAsia="Times New Roman" w:hAnsi="Times New Roman" w:cs="Times New Roman"/>
          <w:color w:val="000000"/>
        </w:rPr>
        <w:t>shared</w:t>
      </w:r>
      <w:proofErr w:type="gramEnd"/>
      <w:r w:rsidRPr="00C63180">
        <w:rPr>
          <w:rFonts w:ascii="Times New Roman" w:eastAsia="Times New Roman" w:hAnsi="Times New Roman" w:cs="Times New Roman"/>
          <w:color w:val="000000"/>
        </w:rPr>
        <w:t xml:space="preserve"> aims of social movements in U.S. history. The objective of full employment, achieved through the public provision of high-paying guaranteed government jobs, has been central to the labor movement, as stated in the 1912 Socialist Party platform in the Eugene V. Debs run for the U.S. presidency (Socialist Party, 1912). The Civil Rights Movement likewise had the key demand of a public job guarantee. Dr. Marin Luther King, Jr. envisioned guaranteed federal jobs as a conduit of equality across racial lines (</w:t>
      </w:r>
      <w:proofErr w:type="spellStart"/>
      <w:r w:rsidRPr="00C63180">
        <w:rPr>
          <w:rFonts w:ascii="Times New Roman" w:eastAsia="Times New Roman" w:hAnsi="Times New Roman" w:cs="Times New Roman"/>
          <w:color w:val="000000"/>
        </w:rPr>
        <w:t>Forstater</w:t>
      </w:r>
      <w:proofErr w:type="spellEnd"/>
      <w:r w:rsidRPr="00C63180">
        <w:rPr>
          <w:rFonts w:ascii="Times New Roman" w:eastAsia="Times New Roman" w:hAnsi="Times New Roman" w:cs="Times New Roman"/>
          <w:color w:val="000000"/>
        </w:rPr>
        <w:t xml:space="preserve">, 2002, p. 45). </w:t>
      </w:r>
      <w:proofErr w:type="gramStart"/>
      <w:r w:rsidRPr="00C63180">
        <w:rPr>
          <w:rFonts w:ascii="Times New Roman" w:eastAsia="Times New Roman" w:hAnsi="Times New Roman" w:cs="Times New Roman"/>
          <w:color w:val="000000"/>
        </w:rPr>
        <w:t xml:space="preserve">In 1963, the March on Washington for Jobs and Freedom was </w:t>
      </w:r>
      <w:r w:rsidRPr="00C63180">
        <w:rPr>
          <w:rFonts w:ascii="Times New Roman" w:eastAsia="Times New Roman" w:hAnsi="Times New Roman" w:cs="Times New Roman"/>
          <w:color w:val="000000"/>
        </w:rPr>
        <w:lastRenderedPageBreak/>
        <w:t>organized by socialists, such as A. Philip Randolph, Bayard Rustin, and Martin Luther King, Jr.</w:t>
      </w:r>
      <w:proofErr w:type="gramEnd"/>
      <w:r w:rsidRPr="00C63180">
        <w:rPr>
          <w:rFonts w:ascii="Times New Roman" w:eastAsia="Times New Roman" w:hAnsi="Times New Roman" w:cs="Times New Roman"/>
          <w:color w:val="000000"/>
        </w:rPr>
        <w:t xml:space="preserve"> (Martin Luther King, Jr. Research and Education Institute, 2019). A few years later, Rustin and Randolph co-authored a pamphlet in 1966 titled “A ‘Freedom Budget’ for all Americans,” where a public job guarantee was a centerpiece demand. In the pamphlet that elucidated economic rights, Randolph and Rustin enumerated as the first of its seven demand: “to provide full employment for all who are willing and able to work” (Rustin &amp; Randolph, 1967, p. 9). In the 1970s, Coretta Scott King, author, civil rights leader, and wife of Martin Luther King, Jr., along with the National Welfare Rights Organization, called for full employment in the sense that the government needed to provide a decent job for all who wanted one. In denouncing unemployment as a public policy tool, the National Welfare Rights Organization wrote that it is an “unconscionable view that the evils imposed by unemployment upon scores of millions of people whose breadwinners are unemployed are acceptable in the name of restraining inflation” (National Welfare Rights Organization as cited in Rogers et al., 2017 p. 133). These intersections between the labor movement and Civil Rights Movement demonstrate how the Federal Jobs Guarantee serves as a coalitional nexus point, providing opportunity for the two movements to coalesce in order to improve the lives of people of color, the working class, and their intersections.</w:t>
      </w:r>
    </w:p>
    <w:p w14:paraId="327D914A" w14:textId="77777777" w:rsidR="00B84936" w:rsidRPr="00C63180" w:rsidRDefault="00B84936">
      <w:pPr>
        <w:spacing w:line="480" w:lineRule="auto"/>
        <w:rPr>
          <w:rFonts w:ascii="Times New Roman" w:eastAsia="Times New Roman" w:hAnsi="Times New Roman" w:cs="Times New Roman"/>
          <w:color w:val="000000"/>
        </w:rPr>
      </w:pPr>
    </w:p>
    <w:p w14:paraId="163B9C27" w14:textId="77777777" w:rsidR="00B84936" w:rsidRPr="00C63180" w:rsidRDefault="001D1521" w:rsidP="00F30C77">
      <w:pPr>
        <w:pStyle w:val="Heading2"/>
        <w:rPr>
          <w:rFonts w:ascii="Times New Roman" w:hAnsi="Times New Roman"/>
          <w:sz w:val="24"/>
          <w:szCs w:val="24"/>
        </w:rPr>
      </w:pPr>
      <w:bookmarkStart w:id="36" w:name="_Toc448400731"/>
      <w:r w:rsidRPr="00C63180">
        <w:rPr>
          <w:rFonts w:ascii="Times New Roman" w:hAnsi="Times New Roman"/>
          <w:sz w:val="24"/>
          <w:szCs w:val="24"/>
        </w:rPr>
        <w:t>Future Opportunities: A Supplementary Universal Basic Income</w:t>
      </w:r>
      <w:bookmarkEnd w:id="36"/>
    </w:p>
    <w:p w14:paraId="07E23699"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color w:val="000000"/>
        </w:rPr>
        <w:t xml:space="preserve">While the Federal Jobs Guaranteed would enact a fundamental shift in restructuring the U.S. economy, structurally lift Americans out of poverty, and reinforce the middle class, it could be paired with a Universal Basic Income, which could provide </w:t>
      </w:r>
      <w:r w:rsidRPr="00C63180">
        <w:rPr>
          <w:rFonts w:ascii="Times New Roman" w:eastAsia="Times New Roman" w:hAnsi="Times New Roman" w:cs="Times New Roman"/>
          <w:color w:val="000000"/>
        </w:rPr>
        <w:lastRenderedPageBreak/>
        <w:t>regular payments to everyday people that would serve as government social support. As the Federal Jobs Guarantee is predicated on guaranteeing employment to those seeking employment, a Universal Basic Income as supplement to, not replacement of, existing social programs would ensure that those who are unable to work from more vulnerable populations, such as children, the sick, the elderly, the homeless, veterans, single parents, youth in foster care, and individuals with physical and mental disabilities, would be provided with sufficient and humane financial government support to enable a dignified life in a twenty-first century United States. Instituting a Federal Jobs Guarantee with a supplementary Universal Basic Income that would augment, not replace, existing social programs would guarantee that the transformational restructuring and growth achieved would build an inclusive economy that supports multiple communities at their diverse intersections.</w:t>
      </w:r>
    </w:p>
    <w:p w14:paraId="0C55486D" w14:textId="77777777" w:rsidR="00B84936" w:rsidRPr="00C63180" w:rsidRDefault="00B84936">
      <w:pPr>
        <w:rPr>
          <w:rFonts w:ascii="Times New Roman" w:eastAsia="Times New Roman" w:hAnsi="Times New Roman" w:cs="Times New Roman"/>
        </w:rPr>
      </w:pPr>
    </w:p>
    <w:p w14:paraId="3EC843F5" w14:textId="77777777" w:rsidR="00B84936" w:rsidRPr="00C63180" w:rsidRDefault="001D1521" w:rsidP="00F30C77">
      <w:pPr>
        <w:pStyle w:val="Heading2"/>
        <w:rPr>
          <w:rFonts w:ascii="Times New Roman" w:hAnsi="Times New Roman"/>
          <w:sz w:val="24"/>
          <w:szCs w:val="24"/>
        </w:rPr>
      </w:pPr>
      <w:bookmarkStart w:id="37" w:name="_Toc448400732"/>
      <w:r w:rsidRPr="00C63180">
        <w:rPr>
          <w:rFonts w:ascii="Times New Roman" w:hAnsi="Times New Roman"/>
          <w:sz w:val="24"/>
          <w:szCs w:val="24"/>
        </w:rPr>
        <w:t>Conclusion: Guaranteeing Jobs to Revitalize American Democracy</w:t>
      </w:r>
      <w:bookmarkEnd w:id="37"/>
    </w:p>
    <w:p w14:paraId="23E3D6FC" w14:textId="77777777" w:rsidR="00B84936" w:rsidRPr="00C63180" w:rsidRDefault="001D1521">
      <w:pPr>
        <w:spacing w:line="480" w:lineRule="auto"/>
        <w:ind w:firstLine="720"/>
        <w:rPr>
          <w:rFonts w:ascii="Times New Roman" w:eastAsia="Times New Roman" w:hAnsi="Times New Roman" w:cs="Times New Roman"/>
          <w:color w:val="000000"/>
        </w:rPr>
      </w:pPr>
      <w:r w:rsidRPr="00C63180">
        <w:rPr>
          <w:rFonts w:ascii="Times New Roman" w:eastAsia="Times New Roman" w:hAnsi="Times New Roman" w:cs="Times New Roman"/>
          <w:color w:val="000000"/>
        </w:rPr>
        <w:t xml:space="preserve">A universal and movement-building undertaking like the job guarantee would empower Americans to see public policy, propelled by demands from frontline communities, as an instrument to solve structural problems as a collective. By improving work conditions, elevating compensation, increasing purchasing power, serving as a stimulus during economic downturns, and positioning government programs to serve the needs of all of its people, instead of only the top income and wealth brackets, the federal jobs guarantee would have the effect of revitalizing American democracy. These intersectional and structural improvements would dispel the prevalent New Gilded Age notion that people are disposable by re-humanizing people and animating the public. </w:t>
      </w:r>
      <w:r w:rsidRPr="00C63180">
        <w:rPr>
          <w:rFonts w:ascii="Times New Roman" w:eastAsia="Times New Roman" w:hAnsi="Times New Roman" w:cs="Times New Roman"/>
          <w:color w:val="000000"/>
        </w:rPr>
        <w:lastRenderedPageBreak/>
        <w:t>With its transformative “public purpose” (</w:t>
      </w:r>
      <w:proofErr w:type="spellStart"/>
      <w:r w:rsidRPr="00C63180">
        <w:rPr>
          <w:rFonts w:ascii="Times New Roman" w:eastAsia="Times New Roman" w:hAnsi="Times New Roman" w:cs="Times New Roman"/>
          <w:color w:val="000000"/>
        </w:rPr>
        <w:t>Tcherneva</w:t>
      </w:r>
      <w:proofErr w:type="spellEnd"/>
      <w:r w:rsidRPr="00C63180">
        <w:rPr>
          <w:rFonts w:ascii="Times New Roman" w:eastAsia="Times New Roman" w:hAnsi="Times New Roman" w:cs="Times New Roman"/>
          <w:color w:val="000000"/>
        </w:rPr>
        <w:t>, 2018) of achieving 100 percent renewable energy, healthcare for the elderly and the disabled, public early childhood education, eldercare, a greening and repair of infrastructure, and protection and expansion of national parks, it would take back employment as a revitalized public sphere where job creation goes hand-in-hand with shared social responsibility (Giroux, 2008, p. 613), thus heralding a new time period of a more dignified life for all Americans in the 21st century.</w:t>
      </w:r>
    </w:p>
    <w:p w14:paraId="76BB583C" w14:textId="77777777" w:rsidR="00B84936" w:rsidRPr="00C63180" w:rsidRDefault="00B84936">
      <w:pPr>
        <w:spacing w:line="480" w:lineRule="auto"/>
        <w:rPr>
          <w:rFonts w:ascii="Times New Roman" w:eastAsia="Times New Roman" w:hAnsi="Times New Roman" w:cs="Times New Roman"/>
        </w:rPr>
      </w:pPr>
    </w:p>
    <w:p w14:paraId="0C34FC12" w14:textId="77777777" w:rsidR="001D1521" w:rsidRPr="00C63180" w:rsidRDefault="001D1521">
      <w:pPr>
        <w:spacing w:line="276" w:lineRule="auto"/>
        <w:rPr>
          <w:rFonts w:ascii="Times New Roman" w:eastAsia="Times New Roman" w:hAnsi="Times New Roman" w:cs="Times New Roman"/>
          <w:b/>
        </w:rPr>
      </w:pPr>
    </w:p>
    <w:p w14:paraId="67B70532" w14:textId="77777777" w:rsidR="001D1521" w:rsidRPr="00C63180" w:rsidRDefault="001D1521">
      <w:pPr>
        <w:spacing w:line="276" w:lineRule="auto"/>
        <w:rPr>
          <w:rFonts w:ascii="Times New Roman" w:eastAsia="Times New Roman" w:hAnsi="Times New Roman" w:cs="Times New Roman"/>
          <w:b/>
        </w:rPr>
      </w:pPr>
    </w:p>
    <w:p w14:paraId="734F3404" w14:textId="77777777" w:rsidR="001D1521" w:rsidRPr="00C63180" w:rsidRDefault="001D1521">
      <w:pPr>
        <w:spacing w:line="276" w:lineRule="auto"/>
        <w:rPr>
          <w:rFonts w:ascii="Times New Roman" w:eastAsia="Times New Roman" w:hAnsi="Times New Roman" w:cs="Times New Roman"/>
          <w:b/>
        </w:rPr>
      </w:pPr>
    </w:p>
    <w:p w14:paraId="408B6A06" w14:textId="77777777" w:rsidR="001D1521" w:rsidRPr="00C63180" w:rsidRDefault="001D1521">
      <w:pPr>
        <w:spacing w:line="276" w:lineRule="auto"/>
        <w:rPr>
          <w:rFonts w:ascii="Times New Roman" w:eastAsia="Times New Roman" w:hAnsi="Times New Roman" w:cs="Times New Roman"/>
          <w:b/>
        </w:rPr>
      </w:pPr>
    </w:p>
    <w:p w14:paraId="3F6F49A9" w14:textId="77777777" w:rsidR="001D1521" w:rsidRPr="00C63180" w:rsidRDefault="001D1521">
      <w:pPr>
        <w:spacing w:line="276" w:lineRule="auto"/>
        <w:rPr>
          <w:rFonts w:ascii="Times New Roman" w:eastAsia="Times New Roman" w:hAnsi="Times New Roman" w:cs="Times New Roman"/>
          <w:b/>
        </w:rPr>
      </w:pPr>
    </w:p>
    <w:p w14:paraId="2B69BE4C" w14:textId="77777777" w:rsidR="001D1521" w:rsidRPr="00C63180" w:rsidRDefault="001D1521">
      <w:pPr>
        <w:spacing w:line="276" w:lineRule="auto"/>
        <w:rPr>
          <w:rFonts w:ascii="Times New Roman" w:eastAsia="Times New Roman" w:hAnsi="Times New Roman" w:cs="Times New Roman"/>
          <w:b/>
        </w:rPr>
      </w:pPr>
    </w:p>
    <w:p w14:paraId="12B644A6" w14:textId="77777777" w:rsidR="001D1521" w:rsidRPr="00C63180" w:rsidRDefault="001D1521">
      <w:pPr>
        <w:spacing w:line="276" w:lineRule="auto"/>
        <w:rPr>
          <w:rFonts w:ascii="Times New Roman" w:eastAsia="Times New Roman" w:hAnsi="Times New Roman" w:cs="Times New Roman"/>
          <w:b/>
        </w:rPr>
      </w:pPr>
    </w:p>
    <w:p w14:paraId="75746261" w14:textId="77777777" w:rsidR="001D1521" w:rsidRPr="00C63180" w:rsidRDefault="001D1521">
      <w:pPr>
        <w:spacing w:line="276" w:lineRule="auto"/>
        <w:rPr>
          <w:rFonts w:ascii="Times New Roman" w:eastAsia="Times New Roman" w:hAnsi="Times New Roman" w:cs="Times New Roman"/>
          <w:b/>
        </w:rPr>
      </w:pPr>
    </w:p>
    <w:p w14:paraId="0CEF076C" w14:textId="77777777" w:rsidR="001D1521" w:rsidRPr="00C63180" w:rsidRDefault="001D1521">
      <w:pPr>
        <w:spacing w:line="276" w:lineRule="auto"/>
        <w:rPr>
          <w:rFonts w:ascii="Times New Roman" w:eastAsia="Times New Roman" w:hAnsi="Times New Roman" w:cs="Times New Roman"/>
          <w:b/>
        </w:rPr>
      </w:pPr>
    </w:p>
    <w:p w14:paraId="48FC682A" w14:textId="77777777" w:rsidR="001D1521" w:rsidRPr="00C63180" w:rsidRDefault="001D1521">
      <w:pPr>
        <w:spacing w:line="276" w:lineRule="auto"/>
        <w:rPr>
          <w:rFonts w:ascii="Times New Roman" w:eastAsia="Times New Roman" w:hAnsi="Times New Roman" w:cs="Times New Roman"/>
          <w:b/>
        </w:rPr>
      </w:pPr>
    </w:p>
    <w:p w14:paraId="1634FA5D" w14:textId="77777777" w:rsidR="001D1521" w:rsidRPr="00C63180" w:rsidRDefault="001D1521">
      <w:pPr>
        <w:spacing w:line="276" w:lineRule="auto"/>
        <w:rPr>
          <w:rFonts w:ascii="Times New Roman" w:eastAsia="Times New Roman" w:hAnsi="Times New Roman" w:cs="Times New Roman"/>
          <w:b/>
        </w:rPr>
      </w:pPr>
    </w:p>
    <w:p w14:paraId="097572DE" w14:textId="77777777" w:rsidR="001D1521" w:rsidRPr="00C63180" w:rsidRDefault="001D1521">
      <w:pPr>
        <w:spacing w:line="276" w:lineRule="auto"/>
        <w:rPr>
          <w:rFonts w:ascii="Times New Roman" w:eastAsia="Times New Roman" w:hAnsi="Times New Roman" w:cs="Times New Roman"/>
          <w:b/>
        </w:rPr>
      </w:pPr>
    </w:p>
    <w:p w14:paraId="79C46126" w14:textId="77777777" w:rsidR="001D1521" w:rsidRPr="00C63180" w:rsidRDefault="001D1521">
      <w:pPr>
        <w:spacing w:line="276" w:lineRule="auto"/>
        <w:rPr>
          <w:rFonts w:ascii="Times New Roman" w:eastAsia="Times New Roman" w:hAnsi="Times New Roman" w:cs="Times New Roman"/>
          <w:b/>
        </w:rPr>
      </w:pPr>
    </w:p>
    <w:p w14:paraId="7DCFD8FA" w14:textId="77777777" w:rsidR="001D1521" w:rsidRPr="00C63180" w:rsidRDefault="001D1521">
      <w:pPr>
        <w:spacing w:line="276" w:lineRule="auto"/>
        <w:rPr>
          <w:rFonts w:ascii="Times New Roman" w:eastAsia="Times New Roman" w:hAnsi="Times New Roman" w:cs="Times New Roman"/>
          <w:b/>
        </w:rPr>
      </w:pPr>
    </w:p>
    <w:p w14:paraId="29C3D77F" w14:textId="77777777" w:rsidR="001D1521" w:rsidRPr="00C63180" w:rsidRDefault="001D1521">
      <w:pPr>
        <w:spacing w:line="276" w:lineRule="auto"/>
        <w:rPr>
          <w:rFonts w:ascii="Times New Roman" w:eastAsia="Times New Roman" w:hAnsi="Times New Roman" w:cs="Times New Roman"/>
          <w:b/>
        </w:rPr>
      </w:pPr>
    </w:p>
    <w:p w14:paraId="592EF389" w14:textId="77777777" w:rsidR="001D1521" w:rsidRPr="00C63180" w:rsidRDefault="001D1521">
      <w:pPr>
        <w:spacing w:line="276" w:lineRule="auto"/>
        <w:rPr>
          <w:rFonts w:ascii="Times New Roman" w:eastAsia="Times New Roman" w:hAnsi="Times New Roman" w:cs="Times New Roman"/>
          <w:b/>
        </w:rPr>
      </w:pPr>
    </w:p>
    <w:p w14:paraId="7941A4C9" w14:textId="77777777" w:rsidR="001D1521" w:rsidRPr="00C63180" w:rsidRDefault="001D1521">
      <w:pPr>
        <w:spacing w:line="276" w:lineRule="auto"/>
        <w:rPr>
          <w:rFonts w:ascii="Times New Roman" w:eastAsia="Times New Roman" w:hAnsi="Times New Roman" w:cs="Times New Roman"/>
          <w:b/>
        </w:rPr>
      </w:pPr>
    </w:p>
    <w:p w14:paraId="665BA0F0" w14:textId="77777777" w:rsidR="001D1521" w:rsidRPr="00C63180" w:rsidRDefault="001D1521">
      <w:pPr>
        <w:spacing w:line="276" w:lineRule="auto"/>
        <w:rPr>
          <w:rFonts w:ascii="Times New Roman" w:eastAsia="Times New Roman" w:hAnsi="Times New Roman" w:cs="Times New Roman"/>
          <w:b/>
        </w:rPr>
      </w:pPr>
    </w:p>
    <w:p w14:paraId="643A0302" w14:textId="77777777" w:rsidR="001D1521" w:rsidRPr="00C63180" w:rsidRDefault="001D1521">
      <w:pPr>
        <w:spacing w:line="276" w:lineRule="auto"/>
        <w:rPr>
          <w:rFonts w:ascii="Times New Roman" w:eastAsia="Times New Roman" w:hAnsi="Times New Roman" w:cs="Times New Roman"/>
          <w:b/>
        </w:rPr>
      </w:pPr>
    </w:p>
    <w:p w14:paraId="20924C2E" w14:textId="77777777" w:rsidR="001D1521" w:rsidRPr="00C63180" w:rsidRDefault="001D1521">
      <w:pPr>
        <w:spacing w:line="276" w:lineRule="auto"/>
        <w:rPr>
          <w:rFonts w:ascii="Times New Roman" w:eastAsia="Times New Roman" w:hAnsi="Times New Roman" w:cs="Times New Roman"/>
          <w:b/>
        </w:rPr>
      </w:pPr>
    </w:p>
    <w:p w14:paraId="27813C22" w14:textId="77777777" w:rsidR="001D1521" w:rsidRPr="00C63180" w:rsidRDefault="001D1521">
      <w:pPr>
        <w:spacing w:line="276" w:lineRule="auto"/>
        <w:rPr>
          <w:rFonts w:ascii="Times New Roman" w:eastAsia="Times New Roman" w:hAnsi="Times New Roman" w:cs="Times New Roman"/>
          <w:b/>
        </w:rPr>
      </w:pPr>
    </w:p>
    <w:p w14:paraId="23EC9967" w14:textId="77777777" w:rsidR="001D1521" w:rsidRPr="00C63180" w:rsidRDefault="001D1521">
      <w:pPr>
        <w:spacing w:line="276" w:lineRule="auto"/>
        <w:rPr>
          <w:rFonts w:ascii="Times New Roman" w:eastAsia="Times New Roman" w:hAnsi="Times New Roman" w:cs="Times New Roman"/>
          <w:b/>
        </w:rPr>
      </w:pPr>
    </w:p>
    <w:p w14:paraId="46C5CEF9" w14:textId="77777777" w:rsidR="001D1521" w:rsidRPr="00C63180" w:rsidRDefault="001D1521">
      <w:pPr>
        <w:spacing w:line="276" w:lineRule="auto"/>
        <w:rPr>
          <w:rFonts w:ascii="Times New Roman" w:eastAsia="Times New Roman" w:hAnsi="Times New Roman" w:cs="Times New Roman"/>
          <w:b/>
        </w:rPr>
      </w:pPr>
    </w:p>
    <w:p w14:paraId="2DA1F608" w14:textId="77777777" w:rsidR="00F562F3" w:rsidRPr="00C63180" w:rsidRDefault="00F562F3">
      <w:pPr>
        <w:spacing w:line="276" w:lineRule="auto"/>
        <w:rPr>
          <w:rFonts w:ascii="Times New Roman" w:eastAsia="Times New Roman" w:hAnsi="Times New Roman" w:cs="Times New Roman"/>
          <w:b/>
        </w:rPr>
      </w:pPr>
    </w:p>
    <w:p w14:paraId="39686700" w14:textId="77777777" w:rsidR="001D1521" w:rsidRPr="00C63180" w:rsidRDefault="001D1521">
      <w:pPr>
        <w:spacing w:line="276" w:lineRule="auto"/>
        <w:rPr>
          <w:rFonts w:ascii="Times New Roman" w:eastAsia="Times New Roman" w:hAnsi="Times New Roman" w:cs="Times New Roman"/>
          <w:b/>
        </w:rPr>
      </w:pPr>
    </w:p>
    <w:p w14:paraId="75443986" w14:textId="77777777" w:rsidR="001D1521" w:rsidRPr="00C63180" w:rsidRDefault="001D1521">
      <w:pPr>
        <w:spacing w:line="276" w:lineRule="auto"/>
        <w:rPr>
          <w:rFonts w:ascii="Times New Roman" w:eastAsia="Times New Roman" w:hAnsi="Times New Roman" w:cs="Times New Roman"/>
          <w:b/>
        </w:rPr>
      </w:pPr>
    </w:p>
    <w:p w14:paraId="555FB14E" w14:textId="77777777" w:rsidR="001D1521" w:rsidRPr="00C63180" w:rsidRDefault="001D1521">
      <w:pPr>
        <w:spacing w:line="276" w:lineRule="auto"/>
        <w:rPr>
          <w:rFonts w:ascii="Times New Roman" w:eastAsia="Times New Roman" w:hAnsi="Times New Roman" w:cs="Times New Roman"/>
          <w:b/>
        </w:rPr>
      </w:pPr>
    </w:p>
    <w:p w14:paraId="5321DF44" w14:textId="77777777" w:rsidR="00B84936" w:rsidRPr="00C63180" w:rsidRDefault="001D1521" w:rsidP="00F30C77">
      <w:pPr>
        <w:pStyle w:val="Heading1"/>
        <w:rPr>
          <w:rFonts w:ascii="Times New Roman" w:hAnsi="Times New Roman"/>
          <w:sz w:val="24"/>
          <w:szCs w:val="24"/>
        </w:rPr>
      </w:pPr>
      <w:bookmarkStart w:id="38" w:name="_Toc448400733"/>
      <w:r w:rsidRPr="00C63180">
        <w:rPr>
          <w:rFonts w:ascii="Times New Roman" w:hAnsi="Times New Roman"/>
          <w:sz w:val="24"/>
          <w:szCs w:val="24"/>
        </w:rPr>
        <w:lastRenderedPageBreak/>
        <w:t>Chapter 4  - Economic Inequality and Democracy in the Workplace</w:t>
      </w:r>
      <w:bookmarkEnd w:id="38"/>
      <w:r w:rsidRPr="00C63180">
        <w:rPr>
          <w:rFonts w:ascii="Times New Roman" w:hAnsi="Times New Roman"/>
          <w:sz w:val="24"/>
          <w:szCs w:val="24"/>
        </w:rPr>
        <w:t xml:space="preserve"> </w:t>
      </w:r>
    </w:p>
    <w:p w14:paraId="557F1D0D" w14:textId="77777777" w:rsidR="00B84936" w:rsidRPr="00C63180" w:rsidRDefault="00B84936">
      <w:pPr>
        <w:spacing w:line="276" w:lineRule="auto"/>
        <w:rPr>
          <w:rFonts w:ascii="Times New Roman" w:eastAsia="Times New Roman" w:hAnsi="Times New Roman" w:cs="Times New Roman"/>
        </w:rPr>
      </w:pPr>
    </w:p>
    <w:p w14:paraId="088A6467" w14:textId="77777777" w:rsidR="00B84936" w:rsidRPr="00C63180" w:rsidRDefault="001D1521" w:rsidP="00F30C77">
      <w:pPr>
        <w:pStyle w:val="Heading2"/>
        <w:rPr>
          <w:rFonts w:ascii="Times New Roman" w:hAnsi="Times New Roman"/>
          <w:sz w:val="24"/>
          <w:szCs w:val="24"/>
        </w:rPr>
      </w:pPr>
      <w:bookmarkStart w:id="39" w:name="_Toc448400734"/>
      <w:r w:rsidRPr="00C63180">
        <w:rPr>
          <w:rFonts w:ascii="Times New Roman" w:hAnsi="Times New Roman"/>
          <w:sz w:val="24"/>
          <w:szCs w:val="24"/>
        </w:rPr>
        <w:t>Introduction</w:t>
      </w:r>
      <w:bookmarkEnd w:id="39"/>
    </w:p>
    <w:p w14:paraId="403A6D61" w14:textId="77777777" w:rsidR="00B84936" w:rsidRPr="00C63180" w:rsidRDefault="00B84936">
      <w:pPr>
        <w:spacing w:line="276" w:lineRule="auto"/>
        <w:rPr>
          <w:rFonts w:ascii="Times New Roman" w:eastAsia="Times New Roman" w:hAnsi="Times New Roman" w:cs="Times New Roman"/>
        </w:rPr>
      </w:pPr>
    </w:p>
    <w:p w14:paraId="1C82F14A" w14:textId="77777777" w:rsidR="00B84936" w:rsidRPr="00C63180" w:rsidRDefault="001D1521" w:rsidP="00F562F3">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Through the decline of labor unions as a case study, this chapter analyzes the macroeconomic trajectory of the New Gilded Age. It then explores the relationship between Diversity and Inclusion and Labor Relations at the organizational level within the macroeconomic backdrop of a shrinking middle class, increasing income and wealth inequality, and racial and gender economic disparities. It then proceeds to analyze and recommend the Workplace Democracy Act, an intersectional public policy proposal designed to re-strengthen labor unions, which would lift wages, advocate for gender equity, and foster interracial working class solidarity in the New Gilded Age.</w:t>
      </w:r>
    </w:p>
    <w:p w14:paraId="666F6F8F" w14:textId="77777777" w:rsidR="00B84936" w:rsidRPr="00C63180" w:rsidRDefault="001D1521" w:rsidP="00F30C77">
      <w:pPr>
        <w:pStyle w:val="Heading2"/>
        <w:rPr>
          <w:rFonts w:ascii="Times New Roman" w:hAnsi="Times New Roman"/>
          <w:sz w:val="24"/>
          <w:szCs w:val="24"/>
        </w:rPr>
      </w:pPr>
      <w:bookmarkStart w:id="40" w:name="_Toc448400735"/>
      <w:r w:rsidRPr="00C63180">
        <w:rPr>
          <w:rFonts w:ascii="Times New Roman" w:hAnsi="Times New Roman"/>
          <w:sz w:val="24"/>
          <w:szCs w:val="24"/>
        </w:rPr>
        <w:t>A Return to the Gilded Age: Income and Wealth Concentration</w:t>
      </w:r>
      <w:bookmarkEnd w:id="40"/>
    </w:p>
    <w:p w14:paraId="5C17AC52" w14:textId="77777777" w:rsidR="00B84936" w:rsidRPr="00C63180" w:rsidRDefault="00B84936">
      <w:pPr>
        <w:spacing w:line="276" w:lineRule="auto"/>
        <w:ind w:firstLine="720"/>
        <w:rPr>
          <w:rFonts w:ascii="Times New Roman" w:eastAsia="Times New Roman" w:hAnsi="Times New Roman" w:cs="Times New Roman"/>
        </w:rPr>
      </w:pPr>
    </w:p>
    <w:p w14:paraId="133AAAC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During the Gilded Age and into the roaring 1920s, the share of national income of the very wealthy stacked at approximately 9 to 11 percent of total national income. The New Deal and post-World War II U.S. until the early 1970s saw the share of total U.S. income of the very wealthy dip to 3 to 4 percent and 1 percent respectively as middle class income rose, however predominantly only for the White middle class since shared prosperity across racial lines remain to be the unfinished work of the New Deal. Due to financial deregulation, austerity measures, and decline of labor unions in the 1970s, the shares of total national income for the top 0.1 percent and top 0.01 percent increased to Gilded Age levels at around 11 percent and 5 percent respectively in 2017, nearly 10 years after the 2008 Great Recession.</w:t>
      </w:r>
    </w:p>
    <w:p w14:paraId="4CB701E4"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noProof/>
        </w:rPr>
        <w:lastRenderedPageBreak/>
        <w:drawing>
          <wp:inline distT="114300" distB="114300" distL="114300" distR="114300" wp14:anchorId="6CB63BEB" wp14:editId="26258ED3">
            <wp:extent cx="4210050" cy="321589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210050" cy="3215890"/>
                    </a:xfrm>
                    <a:prstGeom prst="rect">
                      <a:avLst/>
                    </a:prstGeom>
                    <a:ln/>
                  </pic:spPr>
                </pic:pic>
              </a:graphicData>
            </a:graphic>
          </wp:inline>
        </w:drawing>
      </w:r>
    </w:p>
    <w:p w14:paraId="6A5C19F3" w14:textId="77777777" w:rsidR="008E087E" w:rsidRPr="00C63180" w:rsidRDefault="008E087E">
      <w:pPr>
        <w:spacing w:line="276" w:lineRule="auto"/>
        <w:jc w:val="center"/>
        <w:rPr>
          <w:rFonts w:ascii="Times New Roman" w:eastAsia="Times New Roman" w:hAnsi="Times New Roman" w:cs="Times New Roman"/>
        </w:rPr>
      </w:pPr>
    </w:p>
    <w:p w14:paraId="23D060FF" w14:textId="77777777" w:rsidR="00B84936" w:rsidRPr="00C63180" w:rsidRDefault="00F562F3">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5 (</w:t>
      </w:r>
      <w:proofErr w:type="spellStart"/>
      <w:r w:rsidRPr="00C63180">
        <w:rPr>
          <w:rFonts w:ascii="Times New Roman" w:eastAsia="Times New Roman" w:hAnsi="Times New Roman" w:cs="Times New Roman"/>
        </w:rPr>
        <w:t>Saez</w:t>
      </w:r>
      <w:proofErr w:type="spellEnd"/>
      <w:r w:rsidRPr="00C63180">
        <w:rPr>
          <w:rFonts w:ascii="Times New Roman" w:eastAsia="Times New Roman" w:hAnsi="Times New Roman" w:cs="Times New Roman"/>
        </w:rPr>
        <w:t>, 2017, p.10)</w:t>
      </w:r>
    </w:p>
    <w:p w14:paraId="67BD75C6" w14:textId="77777777" w:rsidR="008E087E" w:rsidRPr="00C63180" w:rsidRDefault="008E087E">
      <w:pPr>
        <w:spacing w:line="276" w:lineRule="auto"/>
        <w:jc w:val="center"/>
        <w:rPr>
          <w:rFonts w:ascii="Times New Roman" w:eastAsia="Times New Roman" w:hAnsi="Times New Roman" w:cs="Times New Roman"/>
        </w:rPr>
      </w:pPr>
    </w:p>
    <w:p w14:paraId="0C25CFF6"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noProof/>
        </w:rPr>
        <w:drawing>
          <wp:inline distT="114300" distB="114300" distL="114300" distR="114300" wp14:anchorId="09E4F039" wp14:editId="2EE07DB2">
            <wp:extent cx="5486400" cy="38989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486400" cy="3898900"/>
                    </a:xfrm>
                    <a:prstGeom prst="rect">
                      <a:avLst/>
                    </a:prstGeom>
                    <a:ln/>
                  </pic:spPr>
                </pic:pic>
              </a:graphicData>
            </a:graphic>
          </wp:inline>
        </w:drawing>
      </w:r>
    </w:p>
    <w:p w14:paraId="21A7C21F" w14:textId="77777777" w:rsidR="00B84936" w:rsidRPr="00C63180" w:rsidRDefault="00B84936">
      <w:pPr>
        <w:spacing w:line="276" w:lineRule="auto"/>
        <w:jc w:val="center"/>
        <w:rPr>
          <w:rFonts w:ascii="Times New Roman" w:eastAsia="Times New Roman" w:hAnsi="Times New Roman" w:cs="Times New Roman"/>
        </w:rPr>
      </w:pPr>
    </w:p>
    <w:p w14:paraId="3BCEEA1E" w14:textId="77777777" w:rsidR="00B84936" w:rsidRPr="00C63180" w:rsidRDefault="001D1521" w:rsidP="00F562F3">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 xml:space="preserve">(Figure 6, </w:t>
      </w:r>
      <w:proofErr w:type="spellStart"/>
      <w:r w:rsidRPr="00C63180">
        <w:rPr>
          <w:rFonts w:ascii="Times New Roman" w:eastAsia="Times New Roman" w:hAnsi="Times New Roman" w:cs="Times New Roman"/>
        </w:rPr>
        <w:t>Roser</w:t>
      </w:r>
      <w:proofErr w:type="spellEnd"/>
      <w:r w:rsidRPr="00C63180">
        <w:rPr>
          <w:rFonts w:ascii="Times New Roman" w:eastAsia="Times New Roman" w:hAnsi="Times New Roman" w:cs="Times New Roman"/>
        </w:rPr>
        <w:t xml:space="preserve"> &amp; Ortiz-</w:t>
      </w:r>
      <w:proofErr w:type="spellStart"/>
      <w:r w:rsidRPr="00C63180">
        <w:rPr>
          <w:rFonts w:ascii="Times New Roman" w:eastAsia="Times New Roman" w:hAnsi="Times New Roman" w:cs="Times New Roman"/>
        </w:rPr>
        <w:t>Ospina</w:t>
      </w:r>
      <w:proofErr w:type="spellEnd"/>
      <w:r w:rsidRPr="00C63180">
        <w:rPr>
          <w:rFonts w:ascii="Times New Roman" w:eastAsia="Times New Roman" w:hAnsi="Times New Roman" w:cs="Times New Roman"/>
        </w:rPr>
        <w:t>, 2016)</w:t>
      </w:r>
    </w:p>
    <w:p w14:paraId="0BF845FC"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lastRenderedPageBreak/>
        <w:t xml:space="preserve">From the 1920s to the present, wealth inequality followed a U-shaped trajectory (Figure 5, </w:t>
      </w:r>
      <w:proofErr w:type="spellStart"/>
      <w:r w:rsidRPr="00C63180">
        <w:rPr>
          <w:rFonts w:ascii="Times New Roman" w:eastAsia="Times New Roman" w:hAnsi="Times New Roman" w:cs="Times New Roman"/>
        </w:rPr>
        <w:t>Saez</w:t>
      </w:r>
      <w:proofErr w:type="spellEnd"/>
      <w:r w:rsidRPr="00C63180">
        <w:rPr>
          <w:rFonts w:ascii="Times New Roman" w:eastAsia="Times New Roman" w:hAnsi="Times New Roman" w:cs="Times New Roman"/>
        </w:rPr>
        <w:t xml:space="preserve"> &amp; </w:t>
      </w:r>
      <w:proofErr w:type="spellStart"/>
      <w:r w:rsidRPr="00C63180">
        <w:rPr>
          <w:rFonts w:ascii="Times New Roman" w:eastAsia="Times New Roman" w:hAnsi="Times New Roman" w:cs="Times New Roman"/>
        </w:rPr>
        <w:t>Zucman</w:t>
      </w:r>
      <w:proofErr w:type="spellEnd"/>
      <w:r w:rsidRPr="00C63180">
        <w:rPr>
          <w:rFonts w:ascii="Times New Roman" w:eastAsia="Times New Roman" w:hAnsi="Times New Roman" w:cs="Times New Roman"/>
        </w:rPr>
        <w:t xml:space="preserve">, 2014; Figure 6, </w:t>
      </w:r>
      <w:proofErr w:type="spellStart"/>
      <w:r w:rsidRPr="00C63180">
        <w:rPr>
          <w:rFonts w:ascii="Times New Roman" w:eastAsia="Times New Roman" w:hAnsi="Times New Roman" w:cs="Times New Roman"/>
        </w:rPr>
        <w:t>Roser</w:t>
      </w:r>
      <w:proofErr w:type="spellEnd"/>
      <w:r w:rsidRPr="00C63180">
        <w:rPr>
          <w:rFonts w:ascii="Times New Roman" w:eastAsia="Times New Roman" w:hAnsi="Times New Roman" w:cs="Times New Roman"/>
        </w:rPr>
        <w:t xml:space="preserve"> &amp; Ortiz-</w:t>
      </w:r>
      <w:proofErr w:type="spellStart"/>
      <w:r w:rsidRPr="00C63180">
        <w:rPr>
          <w:rFonts w:ascii="Times New Roman" w:eastAsia="Times New Roman" w:hAnsi="Times New Roman" w:cs="Times New Roman"/>
        </w:rPr>
        <w:t>Ospina</w:t>
      </w:r>
      <w:proofErr w:type="spellEnd"/>
      <w:r w:rsidRPr="00C63180">
        <w:rPr>
          <w:rFonts w:ascii="Times New Roman" w:eastAsia="Times New Roman" w:hAnsi="Times New Roman" w:cs="Times New Roman"/>
        </w:rPr>
        <w:t xml:space="preserve">, 2016), with inequality weaning through the Great Depression until the 1980s, then steadily increasing since. By the second half of the 1920s, the top 10 percent owned 84 percent of the national wealth. By the 2010s, the wealthiest Americans had a share of the nation’s wealth at a size nearly identical to rival wealth inequality in the late 1920s, at higher levels of inequality compared to other English speaking countries with similar U-shaped trajectories (Figure 5, </w:t>
      </w:r>
      <w:proofErr w:type="spellStart"/>
      <w:r w:rsidRPr="00C63180">
        <w:rPr>
          <w:rFonts w:ascii="Times New Roman" w:eastAsia="Times New Roman" w:hAnsi="Times New Roman" w:cs="Times New Roman"/>
        </w:rPr>
        <w:t>Saez</w:t>
      </w:r>
      <w:proofErr w:type="spellEnd"/>
      <w:r w:rsidRPr="00C63180">
        <w:rPr>
          <w:rFonts w:ascii="Times New Roman" w:eastAsia="Times New Roman" w:hAnsi="Times New Roman" w:cs="Times New Roman"/>
        </w:rPr>
        <w:t xml:space="preserve"> &amp; </w:t>
      </w:r>
      <w:proofErr w:type="spellStart"/>
      <w:r w:rsidRPr="00C63180">
        <w:rPr>
          <w:rFonts w:ascii="Times New Roman" w:eastAsia="Times New Roman" w:hAnsi="Times New Roman" w:cs="Times New Roman"/>
        </w:rPr>
        <w:t>Zucman</w:t>
      </w:r>
      <w:proofErr w:type="spellEnd"/>
      <w:r w:rsidRPr="00C63180">
        <w:rPr>
          <w:rFonts w:ascii="Times New Roman" w:eastAsia="Times New Roman" w:hAnsi="Times New Roman" w:cs="Times New Roman"/>
        </w:rPr>
        <w:t xml:space="preserve">, 2014; Figure 6, </w:t>
      </w:r>
      <w:proofErr w:type="spellStart"/>
      <w:r w:rsidRPr="00C63180">
        <w:rPr>
          <w:rFonts w:ascii="Times New Roman" w:eastAsia="Times New Roman" w:hAnsi="Times New Roman" w:cs="Times New Roman"/>
        </w:rPr>
        <w:t>Roser</w:t>
      </w:r>
      <w:proofErr w:type="spellEnd"/>
      <w:r w:rsidRPr="00C63180">
        <w:rPr>
          <w:rFonts w:ascii="Times New Roman" w:eastAsia="Times New Roman" w:hAnsi="Times New Roman" w:cs="Times New Roman"/>
        </w:rPr>
        <w:t xml:space="preserve"> &amp; Ortiz-</w:t>
      </w:r>
      <w:proofErr w:type="spellStart"/>
      <w:r w:rsidRPr="00C63180">
        <w:rPr>
          <w:rFonts w:ascii="Times New Roman" w:eastAsia="Times New Roman" w:hAnsi="Times New Roman" w:cs="Times New Roman"/>
        </w:rPr>
        <w:t>Ospina</w:t>
      </w:r>
      <w:proofErr w:type="spellEnd"/>
      <w:r w:rsidRPr="00C63180">
        <w:rPr>
          <w:rFonts w:ascii="Times New Roman" w:eastAsia="Times New Roman" w:hAnsi="Times New Roman" w:cs="Times New Roman"/>
        </w:rPr>
        <w:t xml:space="preserve">, 2016). </w:t>
      </w:r>
    </w:p>
    <w:p w14:paraId="4EA19A28" w14:textId="77777777" w:rsidR="00B84936" w:rsidRPr="00C63180" w:rsidRDefault="001D1521" w:rsidP="00F562F3">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A retrospective examination of income levels of the top 1 percent and the bottom 50 percent of earners from 1980 through 2016 demonstrates that the percentage share of national income of the top 1 percent increased from approximately 11 percent in 1980 to 20 percent in 2016. Simultaneous to this development, when the top 1 percent’s share of national income doubled, the bottom 50 percent of earners saw their national income share dip from approximately 21 to 13 percent (Figure 7, World Inequality Lab, 2018). The top 1 percent amassed, nearly double the share of national wealth than 163 million Americans. Putting this income and wealth inequality into perspective, a fifth of Americans “have zero or negative net worth” (Collins &amp; Hoxie, 2017, p. 2), with over 30 percent of Black households and 27 percent of Latino households having zero or negative net worth. These “underwater” households, who have zero net assets or more liabilities than assets, have to live paycheck-to-paycheck or borrow money as their means of sustenance. This economic </w:t>
      </w:r>
      <w:proofErr w:type="spellStart"/>
      <w:r w:rsidRPr="00C63180">
        <w:rPr>
          <w:rFonts w:ascii="Times New Roman" w:eastAsia="Times New Roman" w:hAnsi="Times New Roman" w:cs="Times New Roman"/>
        </w:rPr>
        <w:t>precarity</w:t>
      </w:r>
      <w:proofErr w:type="spellEnd"/>
      <w:r w:rsidRPr="00C63180">
        <w:rPr>
          <w:rFonts w:ascii="Times New Roman" w:eastAsia="Times New Roman" w:hAnsi="Times New Roman" w:cs="Times New Roman"/>
        </w:rPr>
        <w:t xml:space="preserve"> from a racial and socioeconomic standpoint is simultaneous to the three wealthiest people in the U.S., namely, Bill Gates, Jeff Bezos, and Warren Buffett, owning more wealth than the entire bottom half of the population </w:t>
      </w:r>
      <w:r w:rsidRPr="00C63180">
        <w:rPr>
          <w:rFonts w:ascii="Times New Roman" w:eastAsia="Times New Roman" w:hAnsi="Times New Roman" w:cs="Times New Roman"/>
        </w:rPr>
        <w:lastRenderedPageBreak/>
        <w:t>combined, a total of 160 million people or 63 million households (Collins &amp; Hoxie, 2017, p. 2).</w:t>
      </w:r>
    </w:p>
    <w:p w14:paraId="28A3C08E" w14:textId="77777777" w:rsidR="00B84936" w:rsidRPr="00C63180" w:rsidRDefault="001D1521">
      <w:pPr>
        <w:spacing w:line="276" w:lineRule="auto"/>
        <w:rPr>
          <w:rFonts w:ascii="Times New Roman" w:eastAsia="Times New Roman" w:hAnsi="Times New Roman" w:cs="Times New Roman"/>
        </w:rPr>
      </w:pPr>
      <w:r w:rsidRPr="00C63180">
        <w:rPr>
          <w:rFonts w:ascii="Times New Roman" w:eastAsia="Times New Roman" w:hAnsi="Times New Roman" w:cs="Times New Roman"/>
          <w:noProof/>
        </w:rPr>
        <w:drawing>
          <wp:inline distT="114300" distB="114300" distL="114300" distR="114300" wp14:anchorId="7542D7F9" wp14:editId="20646225">
            <wp:extent cx="5486400" cy="36195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486400" cy="3619500"/>
                    </a:xfrm>
                    <a:prstGeom prst="rect">
                      <a:avLst/>
                    </a:prstGeom>
                    <a:ln/>
                  </pic:spPr>
                </pic:pic>
              </a:graphicData>
            </a:graphic>
          </wp:inline>
        </w:drawing>
      </w:r>
    </w:p>
    <w:p w14:paraId="2D1EE120"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7 (World Inequality Lab, 2018)</w:t>
      </w:r>
    </w:p>
    <w:p w14:paraId="14AF64CA" w14:textId="77777777" w:rsidR="00B84936" w:rsidRPr="00C63180" w:rsidRDefault="00B84936">
      <w:pPr>
        <w:spacing w:line="276" w:lineRule="auto"/>
        <w:rPr>
          <w:rFonts w:ascii="Times New Roman" w:eastAsia="Times New Roman" w:hAnsi="Times New Roman" w:cs="Times New Roman"/>
        </w:rPr>
      </w:pPr>
    </w:p>
    <w:p w14:paraId="27BA5CE5" w14:textId="77777777" w:rsidR="00B84936" w:rsidRPr="00C63180" w:rsidRDefault="001D1521">
      <w:pPr>
        <w:spacing w:line="276" w:lineRule="auto"/>
        <w:rPr>
          <w:rFonts w:ascii="Times New Roman" w:eastAsia="Times New Roman" w:hAnsi="Times New Roman" w:cs="Times New Roman"/>
        </w:rPr>
      </w:pPr>
      <w:r w:rsidRPr="00C63180">
        <w:rPr>
          <w:rFonts w:ascii="Times New Roman" w:eastAsia="Times New Roman" w:hAnsi="Times New Roman" w:cs="Times New Roman"/>
          <w:noProof/>
        </w:rPr>
        <w:drawing>
          <wp:inline distT="114300" distB="114300" distL="114300" distR="114300" wp14:anchorId="4615F47E" wp14:editId="53515173">
            <wp:extent cx="5486400" cy="3149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486400" cy="3149600"/>
                    </a:xfrm>
                    <a:prstGeom prst="rect">
                      <a:avLst/>
                    </a:prstGeom>
                    <a:ln/>
                  </pic:spPr>
                </pic:pic>
              </a:graphicData>
            </a:graphic>
          </wp:inline>
        </w:drawing>
      </w:r>
    </w:p>
    <w:p w14:paraId="338A89EB"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8 (World Inequality Lab, 2018)</w:t>
      </w:r>
    </w:p>
    <w:p w14:paraId="64D9D635" w14:textId="77777777" w:rsidR="00B84936" w:rsidRPr="00C63180" w:rsidRDefault="00B84936">
      <w:pPr>
        <w:spacing w:line="276" w:lineRule="auto"/>
        <w:rPr>
          <w:rFonts w:ascii="Times New Roman" w:eastAsia="Times New Roman" w:hAnsi="Times New Roman" w:cs="Times New Roman"/>
        </w:rPr>
      </w:pPr>
    </w:p>
    <w:p w14:paraId="13FBA74B" w14:textId="77777777" w:rsidR="00B84936" w:rsidRPr="00C63180" w:rsidRDefault="001D1521">
      <w:pPr>
        <w:spacing w:line="480" w:lineRule="auto"/>
        <w:rPr>
          <w:rFonts w:ascii="Times New Roman" w:eastAsia="Times New Roman" w:hAnsi="Times New Roman" w:cs="Times New Roman"/>
        </w:rPr>
      </w:pPr>
      <w:r w:rsidRPr="00C63180">
        <w:rPr>
          <w:rFonts w:ascii="Times New Roman" w:eastAsia="Times New Roman" w:hAnsi="Times New Roman" w:cs="Times New Roman"/>
        </w:rPr>
        <w:t xml:space="preserve">Placing this 36-year American macroeconomic trend in a global context, juxtaposition with Western Europe paints a vastly different picture. The U.S. and the European Union have had similar levels of development, size, and exposure to globalization and technologies since the 1980s. However, since then, the two have had fundamentally diverging inequality trajectories due to varying policies, such as less progressive taxation, unequal education, falling minimum wage, among other policy decisions. </w:t>
      </w:r>
    </w:p>
    <w:p w14:paraId="384D9B46"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Europe similarly witnessed a decline in percent share of the national income of the bottom 50 percent and an increase for the top 1 percent (Figure 8, World Inequality Lab, 2018). Despite this uptick in inequality, Western European income inequality increases were slight compared to the U.S., and continental Europe in particular does not have the same U-shaped inequality trajectory that the U.S. exhibits (Figure 6, </w:t>
      </w:r>
      <w:proofErr w:type="spellStart"/>
      <w:r w:rsidRPr="00C63180">
        <w:rPr>
          <w:rFonts w:ascii="Times New Roman" w:eastAsia="Times New Roman" w:hAnsi="Times New Roman" w:cs="Times New Roman"/>
        </w:rPr>
        <w:t>Roser</w:t>
      </w:r>
      <w:proofErr w:type="spellEnd"/>
      <w:r w:rsidRPr="00C63180">
        <w:rPr>
          <w:rFonts w:ascii="Times New Roman" w:eastAsia="Times New Roman" w:hAnsi="Times New Roman" w:cs="Times New Roman"/>
        </w:rPr>
        <w:t xml:space="preserve"> &amp; Ortiz-</w:t>
      </w:r>
      <w:proofErr w:type="spellStart"/>
      <w:r w:rsidRPr="00C63180">
        <w:rPr>
          <w:rFonts w:ascii="Times New Roman" w:eastAsia="Times New Roman" w:hAnsi="Times New Roman" w:cs="Times New Roman"/>
        </w:rPr>
        <w:t>Ospina</w:t>
      </w:r>
      <w:proofErr w:type="spellEnd"/>
      <w:r w:rsidRPr="00C63180">
        <w:rPr>
          <w:rFonts w:ascii="Times New Roman" w:eastAsia="Times New Roman" w:hAnsi="Times New Roman" w:cs="Times New Roman"/>
        </w:rPr>
        <w:t xml:space="preserve">, 2016). The bottom 50 percent of Western Europeans owned about 23 to 24 percent of national income in 1980, identical to Americans’ 23 percent in the same year. Yet, the share of national income for the bottom half of Western European earners remained relatively the same, only dipping to 22 percent in 2016, while the bottom half of Americans in 2016 owned 13 percent. The top 1 percent in Europe, however, began at 10 percent in 1980 to approximately 12 percent in 2016, compared to the U.S. top 1 percent starting at 11 percent in 1980 and nearly doubling to 20 percent in 2018. This doubling occurred while the bottom half of Americans saw their share of national income shrink by half (Figure 7, World Inequality Lab, 2018). Conversely, the bottom half of Western Europeans saw their share more-or-less preserved over 30 years without fundamentally increasing the share of national income of the top 1 percent. These </w:t>
      </w:r>
      <w:r w:rsidRPr="00C63180">
        <w:rPr>
          <w:rFonts w:ascii="Times New Roman" w:eastAsia="Times New Roman" w:hAnsi="Times New Roman" w:cs="Times New Roman"/>
        </w:rPr>
        <w:lastRenderedPageBreak/>
        <w:t>divergent trajectories of these two similar regions highlight the significance of policy in determining the economic future populations.</w:t>
      </w:r>
    </w:p>
    <w:p w14:paraId="144A9AA8" w14:textId="77777777" w:rsidR="00F562F3" w:rsidRPr="00C63180" w:rsidRDefault="00F562F3">
      <w:pPr>
        <w:spacing w:line="480" w:lineRule="auto"/>
        <w:ind w:firstLine="720"/>
        <w:rPr>
          <w:rFonts w:ascii="Times New Roman" w:eastAsia="Times New Roman" w:hAnsi="Times New Roman" w:cs="Times New Roman"/>
        </w:rPr>
      </w:pPr>
    </w:p>
    <w:p w14:paraId="0D1BEACA" w14:textId="77777777" w:rsidR="00B84936" w:rsidRPr="00C63180" w:rsidRDefault="001D1521" w:rsidP="00F30C77">
      <w:pPr>
        <w:pStyle w:val="Heading2"/>
        <w:rPr>
          <w:rFonts w:ascii="Times New Roman" w:hAnsi="Times New Roman"/>
          <w:sz w:val="24"/>
          <w:szCs w:val="24"/>
        </w:rPr>
      </w:pPr>
      <w:bookmarkStart w:id="41" w:name="_Toc448400736"/>
      <w:r w:rsidRPr="00C63180">
        <w:rPr>
          <w:rFonts w:ascii="Times New Roman" w:hAnsi="Times New Roman"/>
          <w:sz w:val="24"/>
          <w:szCs w:val="24"/>
        </w:rPr>
        <w:t>The Decline of Unions and Weakening of the Middle Class</w:t>
      </w:r>
      <w:bookmarkEnd w:id="41"/>
    </w:p>
    <w:p w14:paraId="030AED00" w14:textId="77777777" w:rsidR="00B84936" w:rsidRPr="00C63180" w:rsidRDefault="00B84936">
      <w:pPr>
        <w:spacing w:line="276" w:lineRule="auto"/>
        <w:rPr>
          <w:rFonts w:ascii="Times New Roman" w:eastAsia="Times New Roman" w:hAnsi="Times New Roman" w:cs="Times New Roman"/>
          <w:b/>
        </w:rPr>
      </w:pPr>
    </w:p>
    <w:p w14:paraId="5532D385" w14:textId="77777777" w:rsidR="00B84936" w:rsidRPr="00C63180" w:rsidRDefault="001D1521">
      <w:pPr>
        <w:spacing w:line="276" w:lineRule="auto"/>
        <w:jc w:val="center"/>
        <w:rPr>
          <w:rFonts w:ascii="Times New Roman" w:eastAsia="Times New Roman" w:hAnsi="Times New Roman" w:cs="Times New Roman"/>
          <w:b/>
        </w:rPr>
      </w:pPr>
      <w:r w:rsidRPr="00C63180">
        <w:rPr>
          <w:rFonts w:ascii="Times New Roman" w:eastAsia="Times New Roman" w:hAnsi="Times New Roman" w:cs="Times New Roman"/>
          <w:noProof/>
        </w:rPr>
        <w:drawing>
          <wp:inline distT="114300" distB="114300" distL="114300" distR="114300" wp14:anchorId="71AE9426" wp14:editId="51765ACF">
            <wp:extent cx="4057650" cy="377241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057650" cy="3772418"/>
                    </a:xfrm>
                    <a:prstGeom prst="rect">
                      <a:avLst/>
                    </a:prstGeom>
                    <a:ln/>
                  </pic:spPr>
                </pic:pic>
              </a:graphicData>
            </a:graphic>
          </wp:inline>
        </w:drawing>
      </w:r>
    </w:p>
    <w:p w14:paraId="19E969D7"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9 (Gordon, 2012)</w:t>
      </w:r>
    </w:p>
    <w:p w14:paraId="2A8E2364" w14:textId="77777777" w:rsidR="00B84936" w:rsidRPr="00C63180" w:rsidRDefault="00B84936">
      <w:pPr>
        <w:spacing w:line="276" w:lineRule="auto"/>
        <w:jc w:val="center"/>
        <w:rPr>
          <w:rFonts w:ascii="Times New Roman" w:eastAsia="Times New Roman" w:hAnsi="Times New Roman" w:cs="Times New Roman"/>
        </w:rPr>
      </w:pPr>
    </w:p>
    <w:p w14:paraId="29F07557"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In the 1910s, the share of the unionized workforce hovered just above 10 percent. In 1918, 40 percent of the share of national income was going to the richest 10 percent, a share that increased in the 1920s. In the 1930s, the New Deal, President Franklin Roosevelt’s series of landmark legislation designed to lift the U.S. out of the Great Depression, won workers basic rights to collectively bargain, allowed union membership to increase exponentially, and led to increased economic equality. Due to the New Deal, </w:t>
      </w:r>
      <w:r w:rsidRPr="00C63180">
        <w:rPr>
          <w:rFonts w:ascii="Times New Roman" w:eastAsia="Times New Roman" w:hAnsi="Times New Roman" w:cs="Times New Roman"/>
        </w:rPr>
        <w:lastRenderedPageBreak/>
        <w:t>the 1940s through the 1970s saw prosperity shared broadly, with around 30 percent of American workers in a union (</w:t>
      </w:r>
      <w:proofErr w:type="spellStart"/>
      <w:r w:rsidRPr="00C63180">
        <w:rPr>
          <w:rFonts w:ascii="Times New Roman" w:eastAsia="Times New Roman" w:hAnsi="Times New Roman" w:cs="Times New Roman"/>
        </w:rPr>
        <w:t>Denice</w:t>
      </w:r>
      <w:proofErr w:type="spellEnd"/>
      <w:r w:rsidRPr="00C63180">
        <w:rPr>
          <w:rFonts w:ascii="Times New Roman" w:eastAsia="Times New Roman" w:hAnsi="Times New Roman" w:cs="Times New Roman"/>
        </w:rPr>
        <w:t xml:space="preserve"> &amp; Rosenfeld, 2018; Fortin et al., 2019; Freeman &amp; </w:t>
      </w:r>
      <w:proofErr w:type="spellStart"/>
      <w:r w:rsidRPr="00C63180">
        <w:rPr>
          <w:rFonts w:ascii="Times New Roman" w:eastAsia="Times New Roman" w:hAnsi="Times New Roman" w:cs="Times New Roman"/>
        </w:rPr>
        <w:t>Medoff</w:t>
      </w:r>
      <w:proofErr w:type="spellEnd"/>
      <w:r w:rsidRPr="00C63180">
        <w:rPr>
          <w:rFonts w:ascii="Times New Roman" w:eastAsia="Times New Roman" w:hAnsi="Times New Roman" w:cs="Times New Roman"/>
        </w:rPr>
        <w:t xml:space="preserve">, 1984). However, beginning in the 1970s, unions met formidable opposition in the workplace, the judicial branch, and in public policy—a series of concerted efforts that precipitated to drastic declines in union membership and to a regression of income inequality to levels </w:t>
      </w:r>
      <w:proofErr w:type="spellStart"/>
      <w:r w:rsidRPr="00C63180">
        <w:rPr>
          <w:rFonts w:ascii="Times New Roman" w:eastAsia="Times New Roman" w:hAnsi="Times New Roman" w:cs="Times New Roman"/>
        </w:rPr>
        <w:t>unwitnessed</w:t>
      </w:r>
      <w:proofErr w:type="spellEnd"/>
      <w:r w:rsidRPr="00C63180">
        <w:rPr>
          <w:rFonts w:ascii="Times New Roman" w:eastAsia="Times New Roman" w:hAnsi="Times New Roman" w:cs="Times New Roman"/>
        </w:rPr>
        <w:t xml:space="preserve"> since the 1920s (Figure 9, Gordon 2012).</w:t>
      </w:r>
    </w:p>
    <w:p w14:paraId="08D2656C" w14:textId="77777777" w:rsidR="00B84936" w:rsidRPr="00C63180" w:rsidRDefault="001D1521">
      <w:pPr>
        <w:spacing w:before="240" w:after="240" w:line="276" w:lineRule="auto"/>
        <w:jc w:val="center"/>
        <w:rPr>
          <w:rFonts w:ascii="Times New Roman" w:eastAsia="Times New Roman" w:hAnsi="Times New Roman" w:cs="Times New Roman"/>
        </w:rPr>
      </w:pPr>
      <w:r w:rsidRPr="00C63180">
        <w:rPr>
          <w:rFonts w:ascii="Times New Roman" w:eastAsia="Times New Roman" w:hAnsi="Times New Roman" w:cs="Times New Roman"/>
          <w:noProof/>
        </w:rPr>
        <w:drawing>
          <wp:inline distT="114300" distB="114300" distL="114300" distR="114300" wp14:anchorId="44868B58" wp14:editId="789C8821">
            <wp:extent cx="5291138" cy="3050076"/>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291138" cy="3050076"/>
                    </a:xfrm>
                    <a:prstGeom prst="rect">
                      <a:avLst/>
                    </a:prstGeom>
                    <a:ln/>
                  </pic:spPr>
                </pic:pic>
              </a:graphicData>
            </a:graphic>
          </wp:inline>
        </w:drawing>
      </w:r>
    </w:p>
    <w:p w14:paraId="0A899969"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10 (Nunn et al., 2019, p.3)</w:t>
      </w:r>
    </w:p>
    <w:p w14:paraId="5BCEF4F5" w14:textId="77777777" w:rsidR="00B84936" w:rsidRPr="00C63180" w:rsidRDefault="00B84936">
      <w:pPr>
        <w:spacing w:line="276" w:lineRule="auto"/>
        <w:rPr>
          <w:rFonts w:ascii="Times New Roman" w:eastAsia="Times New Roman" w:hAnsi="Times New Roman" w:cs="Times New Roman"/>
        </w:rPr>
      </w:pPr>
    </w:p>
    <w:p w14:paraId="2D985477"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The passage of union-friendly legislation, such as the National Labor Relations Act of 1935, led to dramatic increases in unionization rates and thus fortified the middle class, while legislation such as the Taft-Hartley Act of 1947, which curtailed the right to organize and bargain collectively by restricting labor organizing tactics, gave the President increased authority over striking workers, and empowered companies to control labor agreements, led to decreases in unionization rates (Figure 10, Nunn et al., 2019, p.3).</w:t>
      </w:r>
    </w:p>
    <w:p w14:paraId="47ED1D91" w14:textId="77777777" w:rsidR="00B84936" w:rsidRPr="00C63180" w:rsidRDefault="001D1521">
      <w:pPr>
        <w:spacing w:line="480" w:lineRule="auto"/>
        <w:ind w:firstLine="720"/>
        <w:jc w:val="center"/>
        <w:rPr>
          <w:rFonts w:ascii="Times New Roman" w:eastAsia="Times New Roman" w:hAnsi="Times New Roman" w:cs="Times New Roman"/>
        </w:rPr>
      </w:pPr>
      <w:r w:rsidRPr="00C63180">
        <w:rPr>
          <w:rFonts w:ascii="Times New Roman" w:eastAsia="Times New Roman" w:hAnsi="Times New Roman" w:cs="Times New Roman"/>
          <w:noProof/>
        </w:rPr>
        <w:lastRenderedPageBreak/>
        <w:drawing>
          <wp:inline distT="114300" distB="114300" distL="114300" distR="114300" wp14:anchorId="281F6009" wp14:editId="56B41176">
            <wp:extent cx="5038415" cy="4652963"/>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038415" cy="4652963"/>
                    </a:xfrm>
                    <a:prstGeom prst="rect">
                      <a:avLst/>
                    </a:prstGeom>
                    <a:ln/>
                  </pic:spPr>
                </pic:pic>
              </a:graphicData>
            </a:graphic>
          </wp:inline>
        </w:drawing>
      </w:r>
    </w:p>
    <w:p w14:paraId="6E941053" w14:textId="77777777" w:rsidR="00B84936" w:rsidRPr="00C63180" w:rsidRDefault="001D1521">
      <w:pPr>
        <w:spacing w:line="276" w:lineRule="auto"/>
        <w:jc w:val="center"/>
        <w:rPr>
          <w:rFonts w:ascii="Times New Roman" w:eastAsia="Times New Roman" w:hAnsi="Times New Roman" w:cs="Times New Roman"/>
        </w:rPr>
      </w:pPr>
      <w:r w:rsidRPr="00C63180">
        <w:rPr>
          <w:rFonts w:ascii="Times New Roman" w:eastAsia="Times New Roman" w:hAnsi="Times New Roman" w:cs="Times New Roman"/>
        </w:rPr>
        <w:t>Figure 11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&amp; Miller, 2013)</w:t>
      </w:r>
    </w:p>
    <w:p w14:paraId="41433963" w14:textId="77777777" w:rsidR="00B84936" w:rsidRPr="00C63180" w:rsidRDefault="00B84936">
      <w:pPr>
        <w:spacing w:line="480" w:lineRule="auto"/>
        <w:ind w:firstLine="720"/>
        <w:rPr>
          <w:rFonts w:ascii="Times New Roman" w:eastAsia="Times New Roman" w:hAnsi="Times New Roman" w:cs="Times New Roman"/>
        </w:rPr>
      </w:pPr>
    </w:p>
    <w:p w14:paraId="4AFD60E8" w14:textId="77777777" w:rsidR="00B84936" w:rsidRPr="00C63180" w:rsidRDefault="001D1521">
      <w:pPr>
        <w:spacing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In the 1960s, labor unions began to decline precipitously with only 10.5 percent of union membership, a figure that mirrors unionization rate figures from the Gilded Age (Figure 10, Nunn et al., 2019, p.3). Between 1967 and 2012, union membership declined from 28.3 percent of all workers to 11.3 percent. During this same time frame, the middle 60 percent of households witnessed a share of national income decrease from 52.3 to 45.7 percent (Figure 11,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&amp; Miller, 2013). As suggested by this rapid decline of union membership correlation with the decrease in middle class share of aggregate income, the presence of fewer unions in the workplace is a demonstrated catalyst of increased income </w:t>
      </w:r>
      <w:r w:rsidRPr="00C63180">
        <w:rPr>
          <w:rFonts w:ascii="Times New Roman" w:eastAsia="Times New Roman" w:hAnsi="Times New Roman" w:cs="Times New Roman"/>
        </w:rPr>
        <w:lastRenderedPageBreak/>
        <w:t xml:space="preserve">inequality and a weaker middle class (Figure 11,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&amp; Miller, 2013; Card et al., 2004, p. 519). This strong negative correlation between the middle 60 percent of household’s share of national income and union membership suggests that the preservation and cultivation of strong labor unions would be transformational in developing a robust middle class. </w:t>
      </w:r>
    </w:p>
    <w:p w14:paraId="757B8B3B" w14:textId="77777777" w:rsidR="00F562F3" w:rsidRPr="00C63180" w:rsidRDefault="00F562F3">
      <w:pPr>
        <w:spacing w:line="480" w:lineRule="auto"/>
        <w:ind w:firstLine="720"/>
        <w:rPr>
          <w:rFonts w:ascii="Times New Roman" w:eastAsia="Times New Roman" w:hAnsi="Times New Roman" w:cs="Times New Roman"/>
          <w:b/>
        </w:rPr>
      </w:pPr>
    </w:p>
    <w:p w14:paraId="1F99464E" w14:textId="77777777" w:rsidR="00B84936" w:rsidRPr="00C63180" w:rsidRDefault="001D1521" w:rsidP="00F30C77">
      <w:pPr>
        <w:pStyle w:val="Heading2"/>
        <w:rPr>
          <w:rFonts w:ascii="Times New Roman" w:hAnsi="Times New Roman"/>
          <w:sz w:val="24"/>
          <w:szCs w:val="24"/>
        </w:rPr>
      </w:pPr>
      <w:bookmarkStart w:id="42" w:name="_Toc448400737"/>
      <w:r w:rsidRPr="00C63180">
        <w:rPr>
          <w:rFonts w:ascii="Times New Roman" w:hAnsi="Times New Roman"/>
          <w:sz w:val="24"/>
          <w:szCs w:val="24"/>
        </w:rPr>
        <w:t>Employee Resource Group Limitations</w:t>
      </w:r>
      <w:bookmarkEnd w:id="42"/>
      <w:r w:rsidRPr="00C63180">
        <w:rPr>
          <w:rFonts w:ascii="Times New Roman" w:hAnsi="Times New Roman"/>
          <w:sz w:val="24"/>
          <w:szCs w:val="24"/>
        </w:rPr>
        <w:t xml:space="preserve"> </w:t>
      </w:r>
    </w:p>
    <w:p w14:paraId="562AD927" w14:textId="77777777" w:rsidR="00B84936" w:rsidRPr="00C63180" w:rsidRDefault="001D1521">
      <w:pPr>
        <w:spacing w:before="240" w:after="240" w:line="480" w:lineRule="auto"/>
        <w:rPr>
          <w:rFonts w:ascii="Times New Roman" w:eastAsia="Times New Roman" w:hAnsi="Times New Roman" w:cs="Times New Roman"/>
        </w:rPr>
      </w:pPr>
      <w:r w:rsidRPr="00C63180">
        <w:rPr>
          <w:rFonts w:ascii="Times New Roman" w:eastAsia="Times New Roman" w:hAnsi="Times New Roman" w:cs="Times New Roman"/>
          <w:b/>
        </w:rPr>
        <w:tab/>
      </w:r>
      <w:r w:rsidRPr="00C63180">
        <w:rPr>
          <w:rFonts w:ascii="Times New Roman" w:eastAsia="Times New Roman" w:hAnsi="Times New Roman" w:cs="Times New Roman"/>
        </w:rPr>
        <w:t>In order to elevate the voice of underserved communities in the workplace, the Diversity and Inclusion function has concentrated on creating employee resource groups. Employee resource groups serve as platforms for employees to shape organizational strategy as it affects their particular demographic community (</w:t>
      </w:r>
      <w:proofErr w:type="spellStart"/>
      <w:r w:rsidRPr="00C63180">
        <w:rPr>
          <w:rFonts w:ascii="Times New Roman" w:eastAsia="Times New Roman" w:hAnsi="Times New Roman" w:cs="Times New Roman"/>
        </w:rPr>
        <w:t>Welbourne</w:t>
      </w:r>
      <w:proofErr w:type="spellEnd"/>
      <w:r w:rsidRPr="00C63180">
        <w:rPr>
          <w:rFonts w:ascii="Times New Roman" w:eastAsia="Times New Roman" w:hAnsi="Times New Roman" w:cs="Times New Roman"/>
        </w:rPr>
        <w:t xml:space="preserve"> et al., 2017). While Diversity and Inclusion has contributed to employee empowerment in advancing inclusion through employee resource groups, the latter structurally lacks access to formal leverage powers, such as legally binding contracts. Additionally, as employee resource groups report to management and since most, if not all members, are in “at-will” employment positions, where workers can be legally terminated for no reason at all (Legal Information Institute, 2020b), employee resource groups are not structurally empowered to organize strikes in the same way that labor unions can. </w:t>
      </w:r>
    </w:p>
    <w:p w14:paraId="44D99D8F" w14:textId="77777777" w:rsidR="00F562F3" w:rsidRPr="00C63180" w:rsidRDefault="00F562F3">
      <w:pPr>
        <w:spacing w:before="240" w:after="240" w:line="480" w:lineRule="auto"/>
        <w:rPr>
          <w:rFonts w:ascii="Times New Roman" w:eastAsia="Times New Roman" w:hAnsi="Times New Roman" w:cs="Times New Roman"/>
        </w:rPr>
      </w:pPr>
    </w:p>
    <w:p w14:paraId="6B7E6278" w14:textId="77777777" w:rsidR="00B84936" w:rsidRPr="00C63180" w:rsidRDefault="001D1521" w:rsidP="00F30C77">
      <w:pPr>
        <w:pStyle w:val="Heading2"/>
        <w:rPr>
          <w:rFonts w:ascii="Times New Roman" w:hAnsi="Times New Roman"/>
          <w:sz w:val="24"/>
          <w:szCs w:val="24"/>
        </w:rPr>
      </w:pPr>
      <w:bookmarkStart w:id="43" w:name="_Toc448400738"/>
      <w:r w:rsidRPr="00C63180">
        <w:rPr>
          <w:rFonts w:ascii="Times New Roman" w:hAnsi="Times New Roman"/>
          <w:sz w:val="24"/>
          <w:szCs w:val="24"/>
        </w:rPr>
        <w:t>Diversity and Inclusion as Labor Relations Strategy</w:t>
      </w:r>
      <w:bookmarkEnd w:id="43"/>
    </w:p>
    <w:p w14:paraId="6A948888"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While it may not be the principal objective of Diversity and Inclusion, the function contributes to Labor Relations in the broader Human Resources strategy. In </w:t>
      </w:r>
      <w:r w:rsidRPr="00C63180">
        <w:rPr>
          <w:rFonts w:ascii="Times New Roman" w:eastAsia="Times New Roman" w:hAnsi="Times New Roman" w:cs="Times New Roman"/>
        </w:rPr>
        <w:lastRenderedPageBreak/>
        <w:t>serving as a platform to amplify employee voice, employee resource groups have the net effect of appeasing employee dissatisfaction enough in order to prevent them from organizing. Diverting worker energy from union organizing and to employee resource groups would result to depriving workers of protections, ensure that equalizing compensation and providing benefits remains fully at management’s volition, and maintaining the country’s “at-will” hire and fire culture (Harcourt et al., 2013; Head &amp; Lucas, 2004, p. 239; Freeman, 2007). This pacification of workers as a union avoidance strategy would channel workers away from forming labor unions that otherwise would have better empowered them, contractually and legally through the National Labor Relations Board, in achieving collective aims. Human Resources can channel both Diversity and Inclusion and Labor Relations functions towards union avoidance efforts, such as utilizing diversity training with Labor Relations, diversity leadership development by Learning &amp; Development, and other Diversity and Inclusion collaborations, as part of the broader trend to “keep employees engaged in diversity &amp; inclusion” as Human Resources’ conduit in maintaining a “union-proof” organization (</w:t>
      </w:r>
      <w:proofErr w:type="spellStart"/>
      <w:r w:rsidRPr="00C63180">
        <w:rPr>
          <w:rFonts w:ascii="Times New Roman" w:eastAsia="Times New Roman" w:hAnsi="Times New Roman" w:cs="Times New Roman"/>
        </w:rPr>
        <w:t>UnionProof</w:t>
      </w:r>
      <w:proofErr w:type="spellEnd"/>
      <w:r w:rsidRPr="00C63180">
        <w:rPr>
          <w:rFonts w:ascii="Times New Roman" w:eastAsia="Times New Roman" w:hAnsi="Times New Roman" w:cs="Times New Roman"/>
        </w:rPr>
        <w:t>, 2020).</w:t>
      </w:r>
    </w:p>
    <w:p w14:paraId="5F46BBD2" w14:textId="77777777" w:rsidR="00F562F3" w:rsidRPr="00C63180" w:rsidRDefault="00F562F3">
      <w:pPr>
        <w:spacing w:before="240" w:after="240" w:line="480" w:lineRule="auto"/>
        <w:ind w:firstLine="720"/>
        <w:rPr>
          <w:rFonts w:ascii="Times New Roman" w:eastAsia="Times New Roman" w:hAnsi="Times New Roman" w:cs="Times New Roman"/>
        </w:rPr>
      </w:pPr>
    </w:p>
    <w:p w14:paraId="37A04F24" w14:textId="77777777" w:rsidR="00B84936" w:rsidRPr="00C63180" w:rsidRDefault="001D1521" w:rsidP="00F30C77">
      <w:pPr>
        <w:pStyle w:val="Heading2"/>
        <w:rPr>
          <w:rFonts w:ascii="Times New Roman" w:hAnsi="Times New Roman"/>
          <w:sz w:val="24"/>
          <w:szCs w:val="24"/>
        </w:rPr>
      </w:pPr>
      <w:bookmarkStart w:id="44" w:name="_Toc448400739"/>
      <w:r w:rsidRPr="00C63180">
        <w:rPr>
          <w:rFonts w:ascii="Times New Roman" w:hAnsi="Times New Roman"/>
          <w:sz w:val="24"/>
          <w:szCs w:val="24"/>
        </w:rPr>
        <w:t>Intersectional Policy Consideration: Democracy in the Workplace</w:t>
      </w:r>
      <w:bookmarkEnd w:id="44"/>
    </w:p>
    <w:p w14:paraId="1C08E87B"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Given that the Diversity and Inclusion amplification of employee voice through employee resource groups is superseded by higher management priorities such as at-will employment (Legal Information Institute, 2020b) and enervated by the absence of legally binding contracts, an intersectional and more effective approach in advocating for worker needs, especially from a socioeconomic perspective and their gender and racial </w:t>
      </w:r>
      <w:r w:rsidRPr="00C63180">
        <w:rPr>
          <w:rFonts w:ascii="Times New Roman" w:eastAsia="Times New Roman" w:hAnsi="Times New Roman" w:cs="Times New Roman"/>
        </w:rPr>
        <w:lastRenderedPageBreak/>
        <w:t xml:space="preserve">intersections, is the re-cultivation of labor unions. Labor unions emerge as the sufficiently powerful agent in advocating for higher and fairer incomes and rebuilding the middle class. The Workplace Democracy Act (the “Act” hereafter), as envisioned and proposed by U.S. Senator from Vermont Bernie Sanders (2019b; McCarthy, 2019, p. 71; </w:t>
      </w:r>
      <w:proofErr w:type="spellStart"/>
      <w:r w:rsidRPr="00C63180">
        <w:rPr>
          <w:rFonts w:ascii="Times New Roman" w:eastAsia="Times New Roman" w:hAnsi="Times New Roman" w:cs="Times New Roman"/>
        </w:rPr>
        <w:t>Eidlin</w:t>
      </w:r>
      <w:proofErr w:type="spellEnd"/>
      <w:r w:rsidRPr="00C63180">
        <w:rPr>
          <w:rFonts w:ascii="Times New Roman" w:eastAsia="Times New Roman" w:hAnsi="Times New Roman" w:cs="Times New Roman"/>
        </w:rPr>
        <w:t xml:space="preserve">, 2019, </w:t>
      </w:r>
      <w:proofErr w:type="spellStart"/>
      <w:r w:rsidRPr="00C63180">
        <w:rPr>
          <w:rFonts w:ascii="Times New Roman" w:eastAsia="Times New Roman" w:hAnsi="Times New Roman" w:cs="Times New Roman"/>
        </w:rPr>
        <w:t>Goldshan</w:t>
      </w:r>
      <w:proofErr w:type="spellEnd"/>
      <w:r w:rsidRPr="00C63180">
        <w:rPr>
          <w:rFonts w:ascii="Times New Roman" w:eastAsia="Times New Roman" w:hAnsi="Times New Roman" w:cs="Times New Roman"/>
        </w:rPr>
        <w:t xml:space="preserve">, 2019) and the progressive movement, is the blueprint in rebuilding the American working class and democratizing the workplace for workers. </w:t>
      </w:r>
    </w:p>
    <w:p w14:paraId="1CCB6657" w14:textId="77777777" w:rsidR="00B84936" w:rsidRPr="00C63180" w:rsidRDefault="001D1521" w:rsidP="00F30C77">
      <w:pPr>
        <w:pStyle w:val="Heading2"/>
        <w:rPr>
          <w:rFonts w:ascii="Times New Roman" w:hAnsi="Times New Roman"/>
          <w:sz w:val="24"/>
          <w:szCs w:val="24"/>
        </w:rPr>
      </w:pPr>
      <w:bookmarkStart w:id="45" w:name="_Toc448400740"/>
      <w:r w:rsidRPr="00C63180">
        <w:rPr>
          <w:rFonts w:ascii="Times New Roman" w:hAnsi="Times New Roman"/>
          <w:sz w:val="24"/>
          <w:szCs w:val="24"/>
        </w:rPr>
        <w:t>The Unionization Process Simplified</w:t>
      </w:r>
      <w:bookmarkEnd w:id="45"/>
    </w:p>
    <w:p w14:paraId="4221DF2A"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The Workplace Democracy Act would allow workers to vote for a union using a majority sign up process through a card-check system where a majority of eligible workers would sign union cards that authorize union representation. This provision was a fundamental component of the Employee Free Choice Act (</w:t>
      </w:r>
      <w:proofErr w:type="spellStart"/>
      <w:r w:rsidRPr="00C63180">
        <w:rPr>
          <w:rFonts w:ascii="Times New Roman" w:eastAsia="Times New Roman" w:hAnsi="Times New Roman" w:cs="Times New Roman"/>
        </w:rPr>
        <w:t>Hagedorn</w:t>
      </w:r>
      <w:proofErr w:type="spellEnd"/>
      <w:r w:rsidRPr="00C63180">
        <w:rPr>
          <w:rFonts w:ascii="Times New Roman" w:eastAsia="Times New Roman" w:hAnsi="Times New Roman" w:cs="Times New Roman"/>
        </w:rPr>
        <w:t xml:space="preserve">, 2016), a key provision that organized labor demanded from the early Barack Obama presidency. This change would be a simplification of current labor law that mandates workers to undergo a drawn-out two-step election process, the first of which must demonstrate that at least 30 percent of the proposed bargaining unit supports an election. Workers must then wait for the second to be held, which must demonstrate a majority vote. Many employers, cognizant of unionization underway, implement union-busting strategies at this critical organizing time (Von </w:t>
      </w:r>
      <w:proofErr w:type="spellStart"/>
      <w:r w:rsidRPr="00C63180">
        <w:rPr>
          <w:rFonts w:ascii="Times New Roman" w:eastAsia="Times New Roman" w:hAnsi="Times New Roman" w:cs="Times New Roman"/>
        </w:rPr>
        <w:t>Wilpertt</w:t>
      </w:r>
      <w:proofErr w:type="spellEnd"/>
      <w:r w:rsidRPr="00C63180">
        <w:rPr>
          <w:rFonts w:ascii="Times New Roman" w:eastAsia="Times New Roman" w:hAnsi="Times New Roman" w:cs="Times New Roman"/>
        </w:rPr>
        <w:t xml:space="preserve">, 2017) in order to foreclose union formation. A card-check way of unionizing would allow workers to freely organize without management’s intimidation and threats, while also making the unionization process simpler for workers. </w:t>
      </w:r>
    </w:p>
    <w:p w14:paraId="287B13A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The Workplace Democracy Plan would pave the way for either the union or the company to request compulsory mediation if they fail to achieve an agreement within 90 days. If both still have not reached an agreement after 30 days of compulsory mediation, </w:t>
      </w:r>
      <w:r w:rsidRPr="00C63180">
        <w:rPr>
          <w:rFonts w:ascii="Times New Roman" w:eastAsia="Times New Roman" w:hAnsi="Times New Roman" w:cs="Times New Roman"/>
        </w:rPr>
        <w:lastRenderedPageBreak/>
        <w:t>either the union or the company would be allowed to submit the remaining issues to a binding third-party arbitration. The Society for Human Resource Management (SHRM) has voiced opposition to these “first contract” provisions, arguing that the mandatory binding arbitration would curtail HR’s, management’s, and employees’ ability to shape the terms of workplace contracts. SHRM also argued that honoring the first contract “would take away employees’ voice in the workplace twice—by taking away employees’ right to a private vote on unionization and disallowing employees a chance to ratify new union contracts'' (Society for Human Resource Management, 2020). These counter-arguments by SHRM would preserve the status quo and inhibit the likelihood of a formation of a union in the first place. It would also cast motivational doubt in new union members, as first contracts are often deliberately drawn out by management as a union avoidance strategy in order to foster uncertainty and frustration amongst workers during the unionization process (</w:t>
      </w:r>
      <w:proofErr w:type="spellStart"/>
      <w:r w:rsidRPr="00C63180">
        <w:rPr>
          <w:rFonts w:ascii="Times New Roman" w:eastAsia="Times New Roman" w:hAnsi="Times New Roman" w:cs="Times New Roman"/>
        </w:rPr>
        <w:t>McNicholas</w:t>
      </w:r>
      <w:proofErr w:type="spellEnd"/>
      <w:r w:rsidRPr="00C63180">
        <w:rPr>
          <w:rFonts w:ascii="Times New Roman" w:eastAsia="Times New Roman" w:hAnsi="Times New Roman" w:cs="Times New Roman"/>
        </w:rPr>
        <w:t xml:space="preserve"> et al., 2019; Logan, 2006; Logan, 2004; </w:t>
      </w:r>
      <w:proofErr w:type="spellStart"/>
      <w:r w:rsidRPr="00C63180">
        <w:rPr>
          <w:rFonts w:ascii="Times New Roman" w:eastAsia="Times New Roman" w:hAnsi="Times New Roman" w:cs="Times New Roman"/>
        </w:rPr>
        <w:t>Gunnigle</w:t>
      </w:r>
      <w:proofErr w:type="spellEnd"/>
      <w:r w:rsidRPr="00C63180">
        <w:rPr>
          <w:rFonts w:ascii="Times New Roman" w:eastAsia="Times New Roman" w:hAnsi="Times New Roman" w:cs="Times New Roman"/>
        </w:rPr>
        <w:t xml:space="preserve"> et al., 2009).</w:t>
      </w:r>
    </w:p>
    <w:p w14:paraId="14AD5C10" w14:textId="0D561A83"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The Workplace Democracy Act would also decrease union avoidance training for workers. In these meetings, which typically occur in tandem with active unionization campaigns, employers are brought in to meet with supervisors and at times with employees. Employers would simulate through “what if” scenarios where workers may lose their job should they unionize. The Workplace Democracy Act would ensure that </w:t>
      </w:r>
      <w:proofErr w:type="gramStart"/>
      <w:r w:rsidRPr="00C63180">
        <w:rPr>
          <w:rFonts w:ascii="Times New Roman" w:eastAsia="Times New Roman" w:hAnsi="Times New Roman" w:cs="Times New Roman"/>
        </w:rPr>
        <w:t xml:space="preserve">these “captive audience” meetings </w:t>
      </w:r>
      <w:r w:rsidR="00AE696A" w:rsidRPr="00C63180">
        <w:rPr>
          <w:rFonts w:ascii="Times New Roman" w:eastAsia="Times New Roman" w:hAnsi="Times New Roman" w:cs="Times New Roman"/>
        </w:rPr>
        <w:t>could not</w:t>
      </w:r>
      <w:r w:rsidRPr="00C63180">
        <w:rPr>
          <w:rFonts w:ascii="Times New Roman" w:eastAsia="Times New Roman" w:hAnsi="Times New Roman" w:cs="Times New Roman"/>
        </w:rPr>
        <w:t xml:space="preserve"> be mandated by management</w:t>
      </w:r>
      <w:proofErr w:type="gramEnd"/>
      <w:r w:rsidRPr="00C63180">
        <w:rPr>
          <w:rFonts w:ascii="Times New Roman" w:eastAsia="Times New Roman" w:hAnsi="Times New Roman" w:cs="Times New Roman"/>
        </w:rPr>
        <w:t>.</w:t>
      </w:r>
    </w:p>
    <w:p w14:paraId="59B1915A" w14:textId="77777777" w:rsidR="00F562F3" w:rsidRPr="00C63180" w:rsidRDefault="00F562F3">
      <w:pPr>
        <w:spacing w:before="240" w:after="240" w:line="480" w:lineRule="auto"/>
        <w:ind w:firstLine="720"/>
        <w:rPr>
          <w:rFonts w:ascii="Times New Roman" w:eastAsia="Times New Roman" w:hAnsi="Times New Roman" w:cs="Times New Roman"/>
        </w:rPr>
      </w:pPr>
    </w:p>
    <w:p w14:paraId="0C2204BD" w14:textId="77777777" w:rsidR="00F562F3" w:rsidRPr="00C63180" w:rsidRDefault="00F562F3">
      <w:pPr>
        <w:spacing w:before="240" w:after="240" w:line="480" w:lineRule="auto"/>
        <w:ind w:firstLine="720"/>
        <w:rPr>
          <w:rFonts w:ascii="Times New Roman" w:eastAsia="Times New Roman" w:hAnsi="Times New Roman" w:cs="Times New Roman"/>
        </w:rPr>
      </w:pPr>
    </w:p>
    <w:p w14:paraId="101C6E60" w14:textId="77777777" w:rsidR="00B84936" w:rsidRPr="00C63180" w:rsidRDefault="001D1521" w:rsidP="00F30C77">
      <w:pPr>
        <w:pStyle w:val="Heading2"/>
        <w:rPr>
          <w:rFonts w:ascii="Times New Roman" w:hAnsi="Times New Roman"/>
          <w:sz w:val="24"/>
          <w:szCs w:val="24"/>
        </w:rPr>
      </w:pPr>
      <w:bookmarkStart w:id="46" w:name="_Toc448400741"/>
      <w:r w:rsidRPr="00C63180">
        <w:rPr>
          <w:rFonts w:ascii="Times New Roman" w:hAnsi="Times New Roman"/>
          <w:sz w:val="24"/>
          <w:szCs w:val="24"/>
        </w:rPr>
        <w:lastRenderedPageBreak/>
        <w:t>Expand Union Eligibility &amp; Protections</w:t>
      </w:r>
      <w:bookmarkEnd w:id="46"/>
    </w:p>
    <w:p w14:paraId="2DC316B1" w14:textId="77777777" w:rsidR="00B84936" w:rsidRPr="00C63180" w:rsidRDefault="001D1521">
      <w:pPr>
        <w:spacing w:before="240" w:after="240" w:line="480" w:lineRule="auto"/>
        <w:ind w:firstLine="720"/>
        <w:rPr>
          <w:rFonts w:ascii="Times New Roman" w:eastAsia="Times New Roman" w:hAnsi="Times New Roman" w:cs="Times New Roman"/>
          <w:b/>
        </w:rPr>
      </w:pPr>
      <w:r w:rsidRPr="00C63180">
        <w:rPr>
          <w:rFonts w:ascii="Times New Roman" w:eastAsia="Times New Roman" w:hAnsi="Times New Roman" w:cs="Times New Roman"/>
        </w:rPr>
        <w:t>The Act would eliminate “Right-to-Work” laws that curtail the growth of unions, deprive unions of funds (</w:t>
      </w:r>
      <w:proofErr w:type="spellStart"/>
      <w:r w:rsidRPr="00C63180">
        <w:rPr>
          <w:rFonts w:ascii="Times New Roman" w:eastAsia="Times New Roman" w:hAnsi="Times New Roman" w:cs="Times New Roman"/>
        </w:rPr>
        <w:t>FindLaw</w:t>
      </w:r>
      <w:proofErr w:type="spellEnd"/>
      <w:r w:rsidRPr="00C63180">
        <w:rPr>
          <w:rFonts w:ascii="Times New Roman" w:eastAsia="Times New Roman" w:hAnsi="Times New Roman" w:cs="Times New Roman"/>
        </w:rPr>
        <w:t xml:space="preserve">, 2020), and encourage union members to view their membership to the union as a mere transaction as opposed to cross-racial working class solidarity. Additionally, the Workplace Democracy Act would respond to the employment challenges in the “gig economy,” where workers are erroneously classified as “independent contractors” on a 1099 form and non-supervising workers are categorized as “managers.” Employers use this legal misclassification in order to avoid payroll taxes, withhold benefits, and ensure that those </w:t>
      </w:r>
      <w:proofErr w:type="spellStart"/>
      <w:r w:rsidRPr="00C63180">
        <w:rPr>
          <w:rFonts w:ascii="Times New Roman" w:eastAsia="Times New Roman" w:hAnsi="Times New Roman" w:cs="Times New Roman"/>
        </w:rPr>
        <w:t>miscategorized</w:t>
      </w:r>
      <w:proofErr w:type="spellEnd"/>
      <w:r w:rsidRPr="00C63180">
        <w:rPr>
          <w:rFonts w:ascii="Times New Roman" w:eastAsia="Times New Roman" w:hAnsi="Times New Roman" w:cs="Times New Roman"/>
        </w:rPr>
        <w:t xml:space="preserve"> remain ineligible for union rights. This purposeful misclassification also exempts those affected from federal labor protections, such as the Fair Labor Standards Act, which mandates overtime pay. Ensuring that independent contractors and non-supervising managers are properly classified would ensure improved ability to unionize, while securing benefits and increased legal protections. Moreover, the Workplace Democracy Act would prevent large corporations from using franchise agreements or service subcontracting in order to exempt </w:t>
      </w:r>
      <w:proofErr w:type="gramStart"/>
      <w:r w:rsidRPr="00C63180">
        <w:rPr>
          <w:rFonts w:ascii="Times New Roman" w:eastAsia="Times New Roman" w:hAnsi="Times New Roman" w:cs="Times New Roman"/>
        </w:rPr>
        <w:t>themselves</w:t>
      </w:r>
      <w:proofErr w:type="gramEnd"/>
      <w:r w:rsidRPr="00C63180">
        <w:rPr>
          <w:rFonts w:ascii="Times New Roman" w:eastAsia="Times New Roman" w:hAnsi="Times New Roman" w:cs="Times New Roman"/>
        </w:rPr>
        <w:t xml:space="preserve"> from collectively bargaining with workers. Closing these loopholes would be transformative in unionizing the fast food industry, cell phone companies with non-union licensed retailers, and those </w:t>
      </w:r>
      <w:proofErr w:type="spellStart"/>
      <w:r w:rsidRPr="00C63180">
        <w:rPr>
          <w:rFonts w:ascii="Times New Roman" w:eastAsia="Times New Roman" w:hAnsi="Times New Roman" w:cs="Times New Roman"/>
        </w:rPr>
        <w:t>miscategorized</w:t>
      </w:r>
      <w:proofErr w:type="spellEnd"/>
      <w:r w:rsidRPr="00C63180">
        <w:rPr>
          <w:rFonts w:ascii="Times New Roman" w:eastAsia="Times New Roman" w:hAnsi="Times New Roman" w:cs="Times New Roman"/>
        </w:rPr>
        <w:t xml:space="preserve"> and in the “gig economy.” </w:t>
      </w:r>
    </w:p>
    <w:p w14:paraId="304A588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Agricultural and domestic workers were exempted from the right to unionize under the 1935 National Labor Relations Act. At the time, President Roosevelt realized that many working class people of color worked as domestic workers and in agriculture, and he wanted to appease White segregationists in exchange for their New Deal support (Lewis, 2019a). The Workplace Democracy Plan would eliminate these loopholes that </w:t>
      </w:r>
      <w:r w:rsidRPr="00C63180">
        <w:rPr>
          <w:rFonts w:ascii="Times New Roman" w:eastAsia="Times New Roman" w:hAnsi="Times New Roman" w:cs="Times New Roman"/>
        </w:rPr>
        <w:lastRenderedPageBreak/>
        <w:t>withheld domestic and agricultural workers from labor protections and would ensure that many working class people of color have the right to unionize.</w:t>
      </w:r>
    </w:p>
    <w:p w14:paraId="2F32C673" w14:textId="77777777" w:rsidR="001D1521" w:rsidRPr="00C63180" w:rsidRDefault="001D1521">
      <w:pPr>
        <w:spacing w:before="240" w:after="240" w:line="480" w:lineRule="auto"/>
        <w:ind w:firstLine="720"/>
        <w:rPr>
          <w:rFonts w:ascii="Times New Roman" w:eastAsia="Times New Roman" w:hAnsi="Times New Roman" w:cs="Times New Roman"/>
        </w:rPr>
      </w:pPr>
    </w:p>
    <w:p w14:paraId="49F40557" w14:textId="77777777" w:rsidR="00B84936" w:rsidRPr="00C63180" w:rsidRDefault="001D1521" w:rsidP="00F30C77">
      <w:pPr>
        <w:pStyle w:val="Heading2"/>
        <w:rPr>
          <w:rFonts w:ascii="Times New Roman" w:hAnsi="Times New Roman"/>
          <w:sz w:val="24"/>
          <w:szCs w:val="24"/>
        </w:rPr>
      </w:pPr>
      <w:bookmarkStart w:id="47" w:name="_Toc448400742"/>
      <w:r w:rsidRPr="00C63180">
        <w:rPr>
          <w:rFonts w:ascii="Times New Roman" w:hAnsi="Times New Roman"/>
          <w:sz w:val="24"/>
          <w:szCs w:val="24"/>
        </w:rPr>
        <w:t>Increase Union Negotiating Power</w:t>
      </w:r>
      <w:bookmarkEnd w:id="47"/>
    </w:p>
    <w:p w14:paraId="317DB319" w14:textId="77777777" w:rsidR="00B84936" w:rsidRPr="00C63180" w:rsidRDefault="001D1521">
      <w:pPr>
        <w:spacing w:before="240" w:after="240" w:line="480" w:lineRule="auto"/>
        <w:ind w:firstLine="720"/>
        <w:rPr>
          <w:rFonts w:ascii="Times New Roman" w:eastAsia="Times New Roman" w:hAnsi="Times New Roman" w:cs="Times New Roman"/>
          <w:b/>
        </w:rPr>
      </w:pPr>
      <w:r w:rsidRPr="00C63180">
        <w:rPr>
          <w:rFonts w:ascii="Times New Roman" w:eastAsia="Times New Roman" w:hAnsi="Times New Roman" w:cs="Times New Roman"/>
        </w:rPr>
        <w:t>The Workplace Democracy Act would also create minimum union rights for all public workers. The Act would grant federal workers the right to strike and remove penalties when they do. Having no right to strike would deprive federal workers of significant leverage in collective bargaining and enforcing contracts. In the public sector, bargaining law is administered on a state-by-state basis, and many states, predominantly in the South, have moved to impede or outright prohibit public sector unionization. For example, in K-12 and higher education, six states prohibit K-12 teachers from bargaining completely. Tennessee allows limited bargaining for K-12 teachers but prohibits administrative support staff bargaining. In some states like Wisconsin, Iowa, and Missouri, unions are limited on what they are able to bargain over, and these states require regular recertification union elections for unions to continue their bargaining rights (Flanders &amp; Tunney, 2019; Iowa Public Employment Relations Board, 2019).</w:t>
      </w:r>
    </w:p>
    <w:p w14:paraId="3E4C8D6A" w14:textId="40CF386A"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The A</w:t>
      </w:r>
      <w:r w:rsidR="00BD0DD1" w:rsidRPr="00C63180">
        <w:rPr>
          <w:rFonts w:ascii="Times New Roman" w:eastAsia="Times New Roman" w:hAnsi="Times New Roman" w:cs="Times New Roman"/>
        </w:rPr>
        <w:t>c</w:t>
      </w:r>
      <w:r w:rsidRPr="00C63180">
        <w:rPr>
          <w:rFonts w:ascii="Times New Roman" w:eastAsia="Times New Roman" w:hAnsi="Times New Roman" w:cs="Times New Roman"/>
        </w:rPr>
        <w:t xml:space="preserve">t would additionally ensure that striking workers </w:t>
      </w:r>
      <w:proofErr w:type="gramStart"/>
      <w:r w:rsidRPr="00C63180">
        <w:rPr>
          <w:rFonts w:ascii="Times New Roman" w:eastAsia="Times New Roman" w:hAnsi="Times New Roman" w:cs="Times New Roman"/>
        </w:rPr>
        <w:t>cannot</w:t>
      </w:r>
      <w:proofErr w:type="gramEnd"/>
      <w:r w:rsidRPr="00C63180">
        <w:rPr>
          <w:rFonts w:ascii="Times New Roman" w:eastAsia="Times New Roman" w:hAnsi="Times New Roman" w:cs="Times New Roman"/>
        </w:rPr>
        <w:t xml:space="preserve"> be permanently replaced. Current labor law distinguishes between economic strikes, such as those geared towards obtaining concessions on wages, benefits, and conditions of employment, versus strikes against unfair labor practices (ULPs) Most unions regard economic strikes as a gamble since employers can permanently hire “scabs” to break the strike. In an ULP strike, however, employers cannot permanently replace striking workers, and a </w:t>
      </w:r>
      <w:r w:rsidRPr="00C63180">
        <w:rPr>
          <w:rFonts w:ascii="Times New Roman" w:eastAsia="Times New Roman" w:hAnsi="Times New Roman" w:cs="Times New Roman"/>
        </w:rPr>
        <w:lastRenderedPageBreak/>
        <w:t>documented ULP must be filed to the National Labor Relations Bureau first. The Workplace Democracy Act would codify into labor law that irrespective of the type of strike, striking workers cannot be permanently replaced (Lewis, 2019b). With job security protection during the strike process, this provision would provide greater reassurance to workers and endow unions with a formidable bargaining tool.</w:t>
      </w:r>
    </w:p>
    <w:p w14:paraId="19D9F25A"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Furthermore, the Act would reauthorize secondary boycotts in order to strengthen union bargaining. Before the anti-union 1947 Taft-Hartley Act was passed, unions had been able to pressure suppliers and other businesses through pickets and boycotts. Secondary boycotts entail pickets or boycotts of an employer with which a union does not have a dispute. It is intended to induce the employer to halt business with another employer with which the labor union does have a dispute. For example, if a grocery chain’s workers are on strike, a secondary boycott would involve their union discouraging a delivery drivers’ union from moving the products of the chain’s largest food supply companies (Legal Information Institute, 2020a). The Act would repeal the Taft-Hartley prohibition of secondary boycotts in order to allow unions to use this tactic that would increase </w:t>
      </w:r>
      <w:proofErr w:type="gramStart"/>
      <w:r w:rsidRPr="00C63180">
        <w:rPr>
          <w:rFonts w:ascii="Times New Roman" w:eastAsia="Times New Roman" w:hAnsi="Times New Roman" w:cs="Times New Roman"/>
        </w:rPr>
        <w:t>their</w:t>
      </w:r>
      <w:proofErr w:type="gramEnd"/>
      <w:r w:rsidRPr="00C63180">
        <w:rPr>
          <w:rFonts w:ascii="Times New Roman" w:eastAsia="Times New Roman" w:hAnsi="Times New Roman" w:cs="Times New Roman"/>
        </w:rPr>
        <w:t xml:space="preserve"> bargaining power.</w:t>
      </w:r>
    </w:p>
    <w:p w14:paraId="59332E2D" w14:textId="77777777" w:rsidR="00F562F3" w:rsidRPr="00C63180" w:rsidRDefault="00F562F3">
      <w:pPr>
        <w:spacing w:before="240" w:after="240" w:line="480" w:lineRule="auto"/>
        <w:ind w:firstLine="720"/>
        <w:rPr>
          <w:rFonts w:ascii="Times New Roman" w:eastAsia="Times New Roman" w:hAnsi="Times New Roman" w:cs="Times New Roman"/>
        </w:rPr>
      </w:pPr>
    </w:p>
    <w:p w14:paraId="1B7F5921" w14:textId="77777777" w:rsidR="00B84936" w:rsidRPr="00C63180" w:rsidRDefault="001D1521" w:rsidP="00F30C77">
      <w:pPr>
        <w:pStyle w:val="Heading2"/>
        <w:rPr>
          <w:rFonts w:ascii="Times New Roman" w:hAnsi="Times New Roman"/>
          <w:sz w:val="24"/>
          <w:szCs w:val="24"/>
        </w:rPr>
      </w:pPr>
      <w:bookmarkStart w:id="48" w:name="_Toc448400743"/>
      <w:r w:rsidRPr="00C63180">
        <w:rPr>
          <w:rFonts w:ascii="Times New Roman" w:hAnsi="Times New Roman"/>
          <w:sz w:val="24"/>
          <w:szCs w:val="24"/>
        </w:rPr>
        <w:t>Honor Existing Commitments to Workers</w:t>
      </w:r>
      <w:bookmarkEnd w:id="48"/>
    </w:p>
    <w:p w14:paraId="7F8B0639"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During mergers and acquisitions, the Workplace Democracy Act would mandate new management to honor collective bargaining agreements already in place for the lifetime of the agreement. This would prevent opportunities for new management to decrease wages and extract further concessions from workers. The Workplace </w:t>
      </w:r>
      <w:r w:rsidRPr="00C63180">
        <w:rPr>
          <w:rFonts w:ascii="Times New Roman" w:eastAsia="Times New Roman" w:hAnsi="Times New Roman" w:cs="Times New Roman"/>
        </w:rPr>
        <w:lastRenderedPageBreak/>
        <w:t>Democracy Act would also safeguard multiemployer pension plans, which are funded by union members employed by multiple employers. These plans are at risk of underfunding or tied to high-risk investments, and they were compromised during the 2008 Great Recession and due to declining union membership. To improve sustainability over time, payouts were cut, inclusive of those for current retirees. The Workplace Democracy Act would improve the solvency of multiemployer pension plans by taxing the wealthy to maintain union pension commitments.</w:t>
      </w:r>
    </w:p>
    <w:p w14:paraId="137AC49A" w14:textId="77777777" w:rsidR="00F562F3" w:rsidRPr="00C63180" w:rsidRDefault="00F562F3">
      <w:pPr>
        <w:spacing w:before="240" w:after="240" w:line="480" w:lineRule="auto"/>
        <w:ind w:firstLine="720"/>
        <w:rPr>
          <w:rFonts w:ascii="Times New Roman" w:eastAsia="Times New Roman" w:hAnsi="Times New Roman" w:cs="Times New Roman"/>
        </w:rPr>
      </w:pPr>
    </w:p>
    <w:p w14:paraId="67D50037" w14:textId="77777777" w:rsidR="00B84936" w:rsidRPr="00C63180" w:rsidRDefault="001D1521" w:rsidP="00F30C77">
      <w:pPr>
        <w:pStyle w:val="Heading2"/>
        <w:rPr>
          <w:rFonts w:ascii="Times New Roman" w:hAnsi="Times New Roman"/>
          <w:sz w:val="24"/>
          <w:szCs w:val="24"/>
        </w:rPr>
      </w:pPr>
      <w:bookmarkStart w:id="49" w:name="_Toc448400744"/>
      <w:r w:rsidRPr="00C63180">
        <w:rPr>
          <w:rFonts w:ascii="Times New Roman" w:hAnsi="Times New Roman"/>
          <w:sz w:val="24"/>
          <w:szCs w:val="24"/>
        </w:rPr>
        <w:t>Mandate and Incentivize Good Employer Behavior</w:t>
      </w:r>
      <w:bookmarkEnd w:id="49"/>
    </w:p>
    <w:p w14:paraId="717627A0" w14:textId="77777777" w:rsidR="00B84936" w:rsidRPr="00C63180" w:rsidRDefault="001D1521">
      <w:pPr>
        <w:spacing w:before="240" w:after="240" w:line="480" w:lineRule="auto"/>
        <w:ind w:firstLine="720"/>
        <w:rPr>
          <w:rFonts w:ascii="Times New Roman" w:eastAsia="Times New Roman" w:hAnsi="Times New Roman" w:cs="Times New Roman"/>
          <w:b/>
        </w:rPr>
      </w:pPr>
      <w:r w:rsidRPr="00C63180">
        <w:rPr>
          <w:rFonts w:ascii="Times New Roman" w:eastAsia="Times New Roman" w:hAnsi="Times New Roman" w:cs="Times New Roman"/>
        </w:rPr>
        <w:t>The Workplace Democracy Act would ensure that corporations that benefit from federal contracts, such as military contractors and colleges and universities, would allow the government to revoke or deny union contracts to employers that pay wages below a living wage, outsource jobs overseas, engage in union-busting, deny good benefits, and pay high CEO salaries. This leverage to revoke and deny federal contracts would create an incentive for companies to better treat workers and the labor unions that represent them.</w:t>
      </w:r>
    </w:p>
    <w:p w14:paraId="5CDB29AC"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The Act would likewise eliminate “at-will” employment (Legal Information Institute, 2020b), the predominant employment type in the country where employers can fire their workers for any reason or no reason at all, except for those protected by legislation such as the Civil Rights Act and the Americans with Disabilities Act and other protected classes (</w:t>
      </w:r>
      <w:proofErr w:type="spellStart"/>
      <w:r w:rsidRPr="00C63180">
        <w:rPr>
          <w:rFonts w:ascii="Times New Roman" w:eastAsia="Times New Roman" w:hAnsi="Times New Roman" w:cs="Times New Roman"/>
        </w:rPr>
        <w:t>Muhl</w:t>
      </w:r>
      <w:proofErr w:type="spellEnd"/>
      <w:r w:rsidRPr="00C63180">
        <w:rPr>
          <w:rFonts w:ascii="Times New Roman" w:eastAsia="Times New Roman" w:hAnsi="Times New Roman" w:cs="Times New Roman"/>
        </w:rPr>
        <w:t xml:space="preserve">, 2001). The Act would institute a “just cause” standard of employment where workers can only be discharged for serious, work and performance </w:t>
      </w:r>
      <w:r w:rsidRPr="00C63180">
        <w:rPr>
          <w:rFonts w:ascii="Times New Roman" w:eastAsia="Times New Roman" w:hAnsi="Times New Roman" w:cs="Times New Roman"/>
        </w:rPr>
        <w:lastRenderedPageBreak/>
        <w:t xml:space="preserve">related reasons (Falcone, 2016). Employers would have to implement punitive action that matches the alleged infraction and cannot jump from a first infraction to firing. While “just cause” is common in most union contracts, it has to be bargained, and employers often mandate probationary periods early in one’s employment. “Just cause” employment would provide increased job security, while ensuring that workers can organize with lessened fear of retaliation. </w:t>
      </w:r>
    </w:p>
    <w:p w14:paraId="5EDA91C3"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The National Labor Relations Board has standard restrictions on what employers are unable to do lawfully when workers are organizing to form a union. Summed up in the acronym TIPS by the Society for Human Resource Management, employers are unable to threaten, intimidate, promise, or </w:t>
      </w:r>
      <w:proofErr w:type="spellStart"/>
      <w:r w:rsidRPr="00C63180">
        <w:rPr>
          <w:rFonts w:ascii="Times New Roman" w:eastAsia="Times New Roman" w:hAnsi="Times New Roman" w:cs="Times New Roman"/>
        </w:rPr>
        <w:t>surveil</w:t>
      </w:r>
      <w:proofErr w:type="spellEnd"/>
      <w:r w:rsidRPr="00C63180">
        <w:rPr>
          <w:rFonts w:ascii="Times New Roman" w:eastAsia="Times New Roman" w:hAnsi="Times New Roman" w:cs="Times New Roman"/>
        </w:rPr>
        <w:t xml:space="preserve"> (</w:t>
      </w:r>
      <w:proofErr w:type="spellStart"/>
      <w:r w:rsidRPr="00C63180">
        <w:rPr>
          <w:rFonts w:ascii="Times New Roman" w:eastAsia="Times New Roman" w:hAnsi="Times New Roman" w:cs="Times New Roman"/>
        </w:rPr>
        <w:t>Purdie</w:t>
      </w:r>
      <w:proofErr w:type="spellEnd"/>
      <w:r w:rsidRPr="00C63180">
        <w:rPr>
          <w:rFonts w:ascii="Times New Roman" w:eastAsia="Times New Roman" w:hAnsi="Times New Roman" w:cs="Times New Roman"/>
        </w:rPr>
        <w:t xml:space="preserve"> &amp; </w:t>
      </w:r>
      <w:proofErr w:type="spellStart"/>
      <w:r w:rsidRPr="00C63180">
        <w:rPr>
          <w:rFonts w:ascii="Times New Roman" w:eastAsia="Times New Roman" w:hAnsi="Times New Roman" w:cs="Times New Roman"/>
        </w:rPr>
        <w:t>Rhollans</w:t>
      </w:r>
      <w:proofErr w:type="spellEnd"/>
      <w:r w:rsidRPr="00C63180">
        <w:rPr>
          <w:rFonts w:ascii="Times New Roman" w:eastAsia="Times New Roman" w:hAnsi="Times New Roman" w:cs="Times New Roman"/>
        </w:rPr>
        <w:t xml:space="preserve">, 2016). While this protection exists, employers are still able to maneuver union-busting tactics. In response, the National Labor Relations Bureau in 2016 proposed a “persuader rule,” which mandates employers to disclose to the Department of Labor the advice that employers receive on activities that persuade workers not to unionize (Smith, 2018). In July 2018, the Trump administration’s Labor Department issued a final rule that rescinded the persuader rule (Office of Labor-Management Standards, 2018; Hutchinson &amp; </w:t>
      </w:r>
      <w:proofErr w:type="spellStart"/>
      <w:r w:rsidRPr="00C63180">
        <w:rPr>
          <w:rFonts w:ascii="Times New Roman" w:eastAsia="Times New Roman" w:hAnsi="Times New Roman" w:cs="Times New Roman"/>
        </w:rPr>
        <w:t>Meisburg</w:t>
      </w:r>
      <w:proofErr w:type="spellEnd"/>
      <w:r w:rsidRPr="00C63180">
        <w:rPr>
          <w:rFonts w:ascii="Times New Roman" w:eastAsia="Times New Roman" w:hAnsi="Times New Roman" w:cs="Times New Roman"/>
        </w:rPr>
        <w:t xml:space="preserve">, 2018). The Workplace Democracy Act would restore the persuader rule and further strengthen its mandate by requiring employers to report to the Department of Labor the methods they used to reach workers and their expenditures on anti-unionization drives. This increased transparency would lend the government visibility on union avoidance tactics and precisely how much management values </w:t>
      </w:r>
      <w:proofErr w:type="gramStart"/>
      <w:r w:rsidRPr="00C63180">
        <w:rPr>
          <w:rFonts w:ascii="Times New Roman" w:eastAsia="Times New Roman" w:hAnsi="Times New Roman" w:cs="Times New Roman"/>
        </w:rPr>
        <w:t>union-busting</w:t>
      </w:r>
      <w:proofErr w:type="gramEnd"/>
      <w:r w:rsidRPr="00C63180">
        <w:rPr>
          <w:rFonts w:ascii="Times New Roman" w:eastAsia="Times New Roman" w:hAnsi="Times New Roman" w:cs="Times New Roman"/>
        </w:rPr>
        <w:t xml:space="preserve"> monetarily.</w:t>
      </w:r>
    </w:p>
    <w:p w14:paraId="0216BD5C" w14:textId="77777777" w:rsidR="00F562F3" w:rsidRPr="00C63180" w:rsidRDefault="00F562F3">
      <w:pPr>
        <w:spacing w:before="240" w:after="240" w:line="480" w:lineRule="auto"/>
        <w:ind w:firstLine="720"/>
        <w:rPr>
          <w:rFonts w:ascii="Times New Roman" w:eastAsia="Times New Roman" w:hAnsi="Times New Roman" w:cs="Times New Roman"/>
        </w:rPr>
      </w:pPr>
    </w:p>
    <w:p w14:paraId="3D6B2BE4" w14:textId="77777777" w:rsidR="00B84936" w:rsidRPr="00C63180" w:rsidRDefault="001D1521" w:rsidP="00F30C77">
      <w:pPr>
        <w:pStyle w:val="Heading2"/>
        <w:rPr>
          <w:rFonts w:ascii="Times New Roman" w:hAnsi="Times New Roman"/>
          <w:sz w:val="24"/>
          <w:szCs w:val="24"/>
        </w:rPr>
      </w:pPr>
      <w:bookmarkStart w:id="50" w:name="_Toc448400745"/>
      <w:r w:rsidRPr="00C63180">
        <w:rPr>
          <w:rFonts w:ascii="Times New Roman" w:hAnsi="Times New Roman"/>
          <w:sz w:val="24"/>
          <w:szCs w:val="24"/>
        </w:rPr>
        <w:lastRenderedPageBreak/>
        <w:t>Create Wage Boards to Set Sector-Based Wages</w:t>
      </w:r>
      <w:bookmarkEnd w:id="50"/>
      <w:r w:rsidRPr="00C63180">
        <w:rPr>
          <w:rFonts w:ascii="Times New Roman" w:hAnsi="Times New Roman"/>
          <w:sz w:val="24"/>
          <w:szCs w:val="24"/>
        </w:rPr>
        <w:t xml:space="preserve"> </w:t>
      </w:r>
    </w:p>
    <w:p w14:paraId="537FAFE2"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Presently, American collective bargaining occurs in a specific workplace with unions being certified as the “bargaining agent” for particular “bargaining units,” and collective bargaining agreements are specific to those bargaining units. For example, if a hospital has locations in two different cities, workers in one facility can unionize but does not mean that workers in the other city are unionized as well. Additionally, there could be two similar hospitals in the same city with similar operations and could be represented by the same union but operated by different corporations; these two unionized hospitals would be under two different union contracts. This system is juxtaposed to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bargaining where unions would bargain with employers, frequently with government involvement, and this group would negotiate and set sector-wide standards (</w:t>
      </w:r>
      <w:proofErr w:type="spellStart"/>
      <w:r w:rsidRPr="00C63180">
        <w:rPr>
          <w:rFonts w:ascii="Times New Roman" w:eastAsia="Times New Roman" w:hAnsi="Times New Roman" w:cs="Times New Roman"/>
        </w:rPr>
        <w:t>Marginston</w:t>
      </w:r>
      <w:proofErr w:type="spellEnd"/>
      <w:r w:rsidRPr="00C63180">
        <w:rPr>
          <w:rFonts w:ascii="Times New Roman" w:eastAsia="Times New Roman" w:hAnsi="Times New Roman" w:cs="Times New Roman"/>
        </w:rPr>
        <w:t xml:space="preserve"> et al., 2003; </w:t>
      </w:r>
      <w:proofErr w:type="spellStart"/>
      <w:r w:rsidRPr="00C63180">
        <w:rPr>
          <w:rFonts w:ascii="Times New Roman" w:eastAsia="Times New Roman" w:hAnsi="Times New Roman" w:cs="Times New Roman"/>
        </w:rPr>
        <w:t>Bercusson</w:t>
      </w:r>
      <w:proofErr w:type="spellEnd"/>
      <w:r w:rsidRPr="00C63180">
        <w:rPr>
          <w:rFonts w:ascii="Times New Roman" w:eastAsia="Times New Roman" w:hAnsi="Times New Roman" w:cs="Times New Roman"/>
        </w:rPr>
        <w:t xml:space="preserve">, 1993; </w:t>
      </w:r>
      <w:proofErr w:type="spellStart"/>
      <w:r w:rsidRPr="00C63180">
        <w:rPr>
          <w:rFonts w:ascii="Times New Roman" w:eastAsia="Times New Roman" w:hAnsi="Times New Roman" w:cs="Times New Roman"/>
        </w:rPr>
        <w:t>Traxler</w:t>
      </w:r>
      <w:proofErr w:type="spellEnd"/>
      <w:r w:rsidRPr="00C63180">
        <w:rPr>
          <w:rFonts w:ascii="Times New Roman" w:eastAsia="Times New Roman" w:hAnsi="Times New Roman" w:cs="Times New Roman"/>
        </w:rPr>
        <w:t xml:space="preserve"> &amp; </w:t>
      </w:r>
      <w:proofErr w:type="spellStart"/>
      <w:r w:rsidRPr="00C63180">
        <w:rPr>
          <w:rFonts w:ascii="Times New Roman" w:eastAsia="Times New Roman" w:hAnsi="Times New Roman" w:cs="Times New Roman"/>
        </w:rPr>
        <w:t>Brandl</w:t>
      </w:r>
      <w:proofErr w:type="spellEnd"/>
      <w:r w:rsidRPr="00C63180">
        <w:rPr>
          <w:rFonts w:ascii="Times New Roman" w:eastAsia="Times New Roman" w:hAnsi="Times New Roman" w:cs="Times New Roman"/>
        </w:rPr>
        <w:t>, 2012). Under the Workplace Democracy Plan, the U.S. would shift to a limited sector-wide bargaining in the private sector by creating wage boards, where employers would bargain with unions in order to set sector wage standards (</w:t>
      </w:r>
      <w:proofErr w:type="spellStart"/>
      <w:r w:rsidRPr="00C63180">
        <w:rPr>
          <w:rFonts w:ascii="Times New Roman" w:eastAsia="Times New Roman" w:hAnsi="Times New Roman" w:cs="Times New Roman"/>
        </w:rPr>
        <w:t>Dube</w:t>
      </w:r>
      <w:proofErr w:type="spellEnd"/>
      <w:r w:rsidRPr="00C63180">
        <w:rPr>
          <w:rFonts w:ascii="Times New Roman" w:eastAsia="Times New Roman" w:hAnsi="Times New Roman" w:cs="Times New Roman"/>
        </w:rPr>
        <w:t xml:space="preserve">, 2019; </w:t>
      </w:r>
      <w:proofErr w:type="spellStart"/>
      <w:r w:rsidRPr="00C63180">
        <w:rPr>
          <w:rFonts w:ascii="Times New Roman" w:eastAsia="Times New Roman" w:hAnsi="Times New Roman" w:cs="Times New Roman"/>
        </w:rPr>
        <w:t>Andrias</w:t>
      </w:r>
      <w:proofErr w:type="spellEnd"/>
      <w:r w:rsidRPr="00C63180">
        <w:rPr>
          <w:rFonts w:ascii="Times New Roman" w:eastAsia="Times New Roman" w:hAnsi="Times New Roman" w:cs="Times New Roman"/>
        </w:rPr>
        <w:t xml:space="preserve">, 2016; </w:t>
      </w:r>
      <w:proofErr w:type="spellStart"/>
      <w:r w:rsidRPr="00C63180">
        <w:rPr>
          <w:rFonts w:ascii="Times New Roman" w:eastAsia="Times New Roman" w:hAnsi="Times New Roman" w:cs="Times New Roman"/>
        </w:rPr>
        <w:t>Wallerstein</w:t>
      </w:r>
      <w:proofErr w:type="spellEnd"/>
      <w:r w:rsidRPr="00C63180">
        <w:rPr>
          <w:rFonts w:ascii="Times New Roman" w:eastAsia="Times New Roman" w:hAnsi="Times New Roman" w:cs="Times New Roman"/>
        </w:rPr>
        <w:t xml:space="preserve"> et al., 1997). All levels of government ranging from local, to state, and national would have the right to establish their own minimum wage, and states would be prohibited from restricting local governments from setting their own higher minimum wage. Allowing states and cities to enact stronger labor standards and prohibiting higher-level jurisdictions from preempting state and local laws that expand workers’ rights would ensure that the expanded National Labor Relations Act and Employee Retirement Income Security Act would serve as the floor, not the ceiling, for labor standards.</w:t>
      </w:r>
    </w:p>
    <w:p w14:paraId="648B4AB7" w14:textId="58D50135"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lastRenderedPageBreak/>
        <w:t>Wage boards would serve as additional reinforcements of federal, state, and local level minimum wage laws in existence. They would also enable unions to apply a slate of minimum wages to a large swath of the labor market. For example, Australia has wage boards that determine the compensation of approximately 25 percent of the entire labor market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2018). Having an effect similar to increasing the minimum wage, wage boards have the net effect of lifting compensation, not only at the bottom compensation quartiles but also at the middle segments of the income distribution (</w:t>
      </w:r>
      <w:proofErr w:type="spellStart"/>
      <w:r w:rsidRPr="00C63180">
        <w:rPr>
          <w:rFonts w:ascii="Times New Roman" w:eastAsia="Times New Roman" w:hAnsi="Times New Roman" w:cs="Times New Roman"/>
        </w:rPr>
        <w:t>Dube</w:t>
      </w:r>
      <w:proofErr w:type="spellEnd"/>
      <w:r w:rsidRPr="00C63180">
        <w:rPr>
          <w:rFonts w:ascii="Times New Roman" w:eastAsia="Times New Roman" w:hAnsi="Times New Roman" w:cs="Times New Roman"/>
        </w:rPr>
        <w:t xml:space="preserve">, 2019). This increasing pay at the bottom and </w:t>
      </w:r>
      <w:r w:rsidR="006D53F9" w:rsidRPr="00C63180">
        <w:rPr>
          <w:rFonts w:ascii="Times New Roman" w:eastAsia="Times New Roman" w:hAnsi="Times New Roman" w:cs="Times New Roman"/>
        </w:rPr>
        <w:t>middle-income</w:t>
      </w:r>
      <w:r w:rsidRPr="00C63180">
        <w:rPr>
          <w:rFonts w:ascii="Times New Roman" w:eastAsia="Times New Roman" w:hAnsi="Times New Roman" w:cs="Times New Roman"/>
        </w:rPr>
        <w:t xml:space="preserve"> brackets would thus have the effect of not only lifting many Americans out of poverty and rebuilding the middle class but would also ensure that when the middle class is rebuilt, working and middle class incomes are continuously underpinned systemically through the wage board system. </w:t>
      </w:r>
    </w:p>
    <w:p w14:paraId="4EBE319C"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Politically, the wage board practice has the historical backdrop of some European countries not having a national minimum wage law as they instead rely on wage boards to create wage floors at the industry or occupational levels (</w:t>
      </w:r>
      <w:proofErr w:type="spellStart"/>
      <w:r w:rsidRPr="00C63180">
        <w:rPr>
          <w:rFonts w:ascii="Times New Roman" w:eastAsia="Times New Roman" w:hAnsi="Times New Roman" w:cs="Times New Roman"/>
        </w:rPr>
        <w:t>Dolado</w:t>
      </w:r>
      <w:proofErr w:type="spellEnd"/>
      <w:r w:rsidRPr="00C63180">
        <w:rPr>
          <w:rFonts w:ascii="Times New Roman" w:eastAsia="Times New Roman" w:hAnsi="Times New Roman" w:cs="Times New Roman"/>
        </w:rPr>
        <w:t xml:space="preserve"> et al., 1996). In the U.S. context, given that there is conservative resistance to lift the minimum wage, wage boards would continue to have the impact of serving as a de-facto increased minimum wage for a considerable portion of the country, which would simultaneously lift middle income levels (</w:t>
      </w:r>
      <w:proofErr w:type="spellStart"/>
      <w:r w:rsidRPr="00C63180">
        <w:rPr>
          <w:rFonts w:ascii="Times New Roman" w:eastAsia="Times New Roman" w:hAnsi="Times New Roman" w:cs="Times New Roman"/>
        </w:rPr>
        <w:t>Dube</w:t>
      </w:r>
      <w:proofErr w:type="spellEnd"/>
      <w:r w:rsidRPr="00C63180">
        <w:rPr>
          <w:rFonts w:ascii="Times New Roman" w:eastAsia="Times New Roman" w:hAnsi="Times New Roman" w:cs="Times New Roman"/>
        </w:rPr>
        <w:t xml:space="preserve">, 2019; Figure 11,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&amp; Miller, 2013). Wage boards would serve either complementarily as a reinforcement of the minimum wage or as a temporary substitute to it. </w:t>
      </w:r>
    </w:p>
    <w:p w14:paraId="7182136C" w14:textId="77777777" w:rsidR="00F562F3" w:rsidRPr="00C63180" w:rsidRDefault="00F562F3">
      <w:pPr>
        <w:spacing w:before="240" w:after="240" w:line="480" w:lineRule="auto"/>
        <w:ind w:firstLine="720"/>
        <w:rPr>
          <w:rFonts w:ascii="Times New Roman" w:eastAsia="Times New Roman" w:hAnsi="Times New Roman" w:cs="Times New Roman"/>
        </w:rPr>
      </w:pPr>
    </w:p>
    <w:p w14:paraId="263009B3" w14:textId="77777777" w:rsidR="00F562F3" w:rsidRPr="00C63180" w:rsidRDefault="00F562F3">
      <w:pPr>
        <w:spacing w:before="240" w:after="240" w:line="480" w:lineRule="auto"/>
        <w:ind w:firstLine="720"/>
        <w:rPr>
          <w:rFonts w:ascii="Times New Roman" w:eastAsia="Times New Roman" w:hAnsi="Times New Roman" w:cs="Times New Roman"/>
        </w:rPr>
      </w:pPr>
    </w:p>
    <w:p w14:paraId="1BF0EE6C" w14:textId="77777777" w:rsidR="00B84936" w:rsidRPr="00C63180" w:rsidRDefault="001D1521" w:rsidP="00F30C77">
      <w:pPr>
        <w:pStyle w:val="Heading2"/>
        <w:rPr>
          <w:rFonts w:ascii="Times New Roman" w:hAnsi="Times New Roman"/>
          <w:sz w:val="24"/>
          <w:szCs w:val="24"/>
        </w:rPr>
      </w:pPr>
      <w:bookmarkStart w:id="51" w:name="_Toc448400746"/>
      <w:r w:rsidRPr="00C63180">
        <w:rPr>
          <w:rFonts w:ascii="Times New Roman" w:hAnsi="Times New Roman"/>
          <w:sz w:val="24"/>
          <w:szCs w:val="24"/>
        </w:rPr>
        <w:lastRenderedPageBreak/>
        <w:t>Labor &amp; Single Payer Universal Healthcare</w:t>
      </w:r>
      <w:bookmarkEnd w:id="51"/>
    </w:p>
    <w:p w14:paraId="04F76946"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During collective bargaining, management often pits healthcare and compensation against one another, coercing unionized workers to select either compensation increases or maintained healthcare costs. Similar to non-union healthcare plans, however, per-visit co-payments, regular premium contributions, and annual deductibles continue to be standard in negotiated healthcare plans. The Workplace Democracy Act would work in tandem with Medicare for All, the progressive movement’s proposal for single payer universal healthcare in the U.S. (Galvani et al., 2020), which would eliminate these types of out-of-pocket costs to workers, thus resulting in savings for unions and workers, while driving down costs and ensuring coverage for everyone nationwide (Marmot, 2013, p. 1227).</w:t>
      </w:r>
    </w:p>
    <w:p w14:paraId="228E5336"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Single payer universal healthcare would take healthcare discussions off bargaining agendas and give workers increased leverage in demanding higher wages (Sanders, 2019a). The Workplace Democracy Act would require employers, as supervised by the National Labor Relations Bureau, to shift some of their healthcare costs savings as wage increases, thus ensuring that as healthcare costs for employers and unions are reduced by single payer universal healthcare, the savings would translate as direct wage increases for workers. </w:t>
      </w:r>
    </w:p>
    <w:p w14:paraId="491AFB9C" w14:textId="77777777" w:rsidR="00F562F3" w:rsidRPr="00C63180" w:rsidRDefault="00F562F3">
      <w:pPr>
        <w:spacing w:before="240" w:after="240" w:line="480" w:lineRule="auto"/>
        <w:ind w:firstLine="720"/>
        <w:rPr>
          <w:rFonts w:ascii="Times New Roman" w:eastAsia="Times New Roman" w:hAnsi="Times New Roman" w:cs="Times New Roman"/>
        </w:rPr>
      </w:pPr>
    </w:p>
    <w:p w14:paraId="2B3363F8" w14:textId="77777777" w:rsidR="00B84936" w:rsidRPr="00C63180" w:rsidRDefault="001D1521" w:rsidP="00F30C77">
      <w:pPr>
        <w:pStyle w:val="Heading2"/>
        <w:rPr>
          <w:rFonts w:ascii="Times New Roman" w:hAnsi="Times New Roman"/>
          <w:sz w:val="24"/>
          <w:szCs w:val="24"/>
        </w:rPr>
      </w:pPr>
      <w:bookmarkStart w:id="52" w:name="_Toc448400747"/>
      <w:r w:rsidRPr="00C63180">
        <w:rPr>
          <w:rFonts w:ascii="Times New Roman" w:hAnsi="Times New Roman"/>
          <w:sz w:val="24"/>
          <w:szCs w:val="24"/>
        </w:rPr>
        <w:t xml:space="preserve">Future Opportunities: Full </w:t>
      </w:r>
      <w:proofErr w:type="spellStart"/>
      <w:r w:rsidRPr="00C63180">
        <w:rPr>
          <w:rFonts w:ascii="Times New Roman" w:hAnsi="Times New Roman"/>
          <w:sz w:val="24"/>
          <w:szCs w:val="24"/>
        </w:rPr>
        <w:t>Sectoral</w:t>
      </w:r>
      <w:proofErr w:type="spellEnd"/>
      <w:r w:rsidRPr="00C63180">
        <w:rPr>
          <w:rFonts w:ascii="Times New Roman" w:hAnsi="Times New Roman"/>
          <w:sz w:val="24"/>
          <w:szCs w:val="24"/>
        </w:rPr>
        <w:t xml:space="preserve"> Bargaining</w:t>
      </w:r>
      <w:bookmarkEnd w:id="52"/>
    </w:p>
    <w:p w14:paraId="6D8EE1D4"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The Workplace Democracy Act’s proposal for limited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bargaining through wage boards mirrors the dominant Labor Relations practice found in France, Spain, the </w:t>
      </w:r>
      <w:r w:rsidRPr="00C63180">
        <w:rPr>
          <w:rFonts w:ascii="Times New Roman" w:eastAsia="Times New Roman" w:hAnsi="Times New Roman" w:cs="Times New Roman"/>
        </w:rPr>
        <w:lastRenderedPageBreak/>
        <w:t xml:space="preserve">Netherlands, and Germany, among others, where management, union representatives, and government officials meet in tripartite meetings to negotiate wages, benefits, and other sector-based issues (Nunn, 2019, p. 13). The Act would work under a strengthened framework of the National Labor Relations Act. Since wage boards do not constitute a full shift to sector-based federation bargaining that leads to one singular contract. Collective bargaining agreements would remain at the worksite level on other non-wage matters, such as vacation days, sick days, and other benefits. In order to push negotiations up to the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-level, a more progressive consideration beyond the Workplace Democracy Act would entail full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bargaining through union and employer federations. This more comprehensive shift would create a Labor Relations environment where employers exhibit less union resistance. No individual organization would have a pressing incentive to oppose unionization as the individual employer no longer bargains at the worksite-level and since all employers in that given sector would be bound by the same contract and outcomes (</w:t>
      </w:r>
      <w:proofErr w:type="spellStart"/>
      <w:r w:rsidRPr="00C63180">
        <w:rPr>
          <w:rFonts w:ascii="Times New Roman" w:eastAsia="Times New Roman" w:hAnsi="Times New Roman" w:cs="Times New Roman"/>
        </w:rPr>
        <w:t>Dube</w:t>
      </w:r>
      <w:proofErr w:type="spellEnd"/>
      <w:r w:rsidRPr="00C63180">
        <w:rPr>
          <w:rFonts w:ascii="Times New Roman" w:eastAsia="Times New Roman" w:hAnsi="Times New Roman" w:cs="Times New Roman"/>
        </w:rPr>
        <w:t xml:space="preserve">, 2019). Full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bargaining would also shift bargaining away from the worksite level to the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level, meaning that there would be fewer parties in negotiations and arbitrations. This higher-level bargaining and fewer number of stakeholders would ensure that the National Labor Relations Board would be more empowered in monitoring legal compliance to union contracts and labor laws and could more adequately lend itself as support for negotiations and dispute settlements as they arise between management and labor unions.</w:t>
      </w:r>
    </w:p>
    <w:p w14:paraId="1D7A7FD3" w14:textId="77777777" w:rsidR="00F562F3" w:rsidRPr="00C63180" w:rsidRDefault="00F562F3">
      <w:pPr>
        <w:spacing w:before="240" w:after="240" w:line="480" w:lineRule="auto"/>
        <w:ind w:firstLine="720"/>
        <w:rPr>
          <w:rFonts w:ascii="Times New Roman" w:eastAsia="Times New Roman" w:hAnsi="Times New Roman" w:cs="Times New Roman"/>
        </w:rPr>
      </w:pPr>
    </w:p>
    <w:p w14:paraId="7F86743A" w14:textId="77777777" w:rsidR="00F562F3" w:rsidRPr="00C63180" w:rsidRDefault="00F562F3">
      <w:pPr>
        <w:spacing w:before="240" w:after="240" w:line="480" w:lineRule="auto"/>
        <w:ind w:firstLine="720"/>
        <w:rPr>
          <w:rFonts w:ascii="Times New Roman" w:eastAsia="Times New Roman" w:hAnsi="Times New Roman" w:cs="Times New Roman"/>
        </w:rPr>
      </w:pPr>
    </w:p>
    <w:p w14:paraId="6425C636" w14:textId="77777777" w:rsidR="00B84936" w:rsidRPr="00C63180" w:rsidRDefault="001D1521" w:rsidP="00F30C77">
      <w:pPr>
        <w:pStyle w:val="Heading2"/>
        <w:rPr>
          <w:rFonts w:ascii="Times New Roman" w:hAnsi="Times New Roman"/>
          <w:sz w:val="24"/>
          <w:szCs w:val="24"/>
        </w:rPr>
      </w:pPr>
      <w:bookmarkStart w:id="53" w:name="_Toc448400748"/>
      <w:r w:rsidRPr="00C63180">
        <w:rPr>
          <w:rFonts w:ascii="Times New Roman" w:hAnsi="Times New Roman"/>
          <w:sz w:val="24"/>
          <w:szCs w:val="24"/>
        </w:rPr>
        <w:lastRenderedPageBreak/>
        <w:t>The Intersectional Legacy of the Civil Rights &amp; Labor Movements</w:t>
      </w:r>
      <w:bookmarkEnd w:id="53"/>
    </w:p>
    <w:p w14:paraId="1831EA40"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The nexus between economic and racial justice is a legacy of pivotal movements in U.S. history. In February 1968, the deaths of two sanitation workers, poor working conditions, and insufficient pay propelled sanitation workers in Memphis, Tennessee to go on strike with the objective of forcing the Memphis city government to negotiate. In face of sacrificing their already low pay during the strike, and despite Memphis Mayor Henry Loeb who declared the sanitation strike </w:t>
      </w:r>
      <w:proofErr w:type="gramStart"/>
      <w:r w:rsidRPr="00C63180">
        <w:rPr>
          <w:rFonts w:ascii="Times New Roman" w:eastAsia="Times New Roman" w:hAnsi="Times New Roman" w:cs="Times New Roman"/>
        </w:rPr>
        <w:t>illegal,</w:t>
      </w:r>
      <w:proofErr w:type="gramEnd"/>
      <w:r w:rsidRPr="00C63180">
        <w:rPr>
          <w:rFonts w:ascii="Times New Roman" w:eastAsia="Times New Roman" w:hAnsi="Times New Roman" w:cs="Times New Roman"/>
        </w:rPr>
        <w:t xml:space="preserve"> the sanitation workers went on strike for hours daily for 65 days. </w:t>
      </w:r>
      <w:proofErr w:type="spellStart"/>
      <w:r w:rsidRPr="00C63180">
        <w:rPr>
          <w:rFonts w:ascii="Times New Roman" w:eastAsia="Times New Roman" w:hAnsi="Times New Roman" w:cs="Times New Roman"/>
        </w:rPr>
        <w:t>Maced</w:t>
      </w:r>
      <w:proofErr w:type="spellEnd"/>
      <w:r w:rsidRPr="00C63180">
        <w:rPr>
          <w:rFonts w:ascii="Times New Roman" w:eastAsia="Times New Roman" w:hAnsi="Times New Roman" w:cs="Times New Roman"/>
        </w:rPr>
        <w:t xml:space="preserve">, clubbed, and tear-gassed by the police, civil rights organizer Dr. Martin Luther King, Jr. visited Memphis in support of the strike, and it was during this visit to support the sanitation worker strike when Dr. King was murdered on a motel balcony. The sanitation strike exemplifies the intertwining of the struggles for racial and economic justice as coalitional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in the U.S. </w:t>
      </w:r>
    </w:p>
    <w:p w14:paraId="4DF44A8D" w14:textId="77777777" w:rsidR="00F562F3" w:rsidRPr="00C63180" w:rsidRDefault="00F562F3">
      <w:pPr>
        <w:spacing w:before="240" w:after="240" w:line="480" w:lineRule="auto"/>
        <w:ind w:firstLine="720"/>
        <w:rPr>
          <w:rFonts w:ascii="Times New Roman" w:eastAsia="Times New Roman" w:hAnsi="Times New Roman" w:cs="Times New Roman"/>
        </w:rPr>
      </w:pPr>
    </w:p>
    <w:p w14:paraId="2FDCF0FE" w14:textId="77777777" w:rsidR="00B84936" w:rsidRPr="00C63180" w:rsidRDefault="001D1521" w:rsidP="00F30C77">
      <w:pPr>
        <w:pStyle w:val="Heading2"/>
        <w:rPr>
          <w:rFonts w:ascii="Times New Roman" w:hAnsi="Times New Roman"/>
          <w:sz w:val="24"/>
          <w:szCs w:val="24"/>
        </w:rPr>
      </w:pPr>
      <w:bookmarkStart w:id="54" w:name="_Toc448400749"/>
      <w:r w:rsidRPr="00C63180">
        <w:rPr>
          <w:rFonts w:ascii="Times New Roman" w:hAnsi="Times New Roman"/>
          <w:sz w:val="24"/>
          <w:szCs w:val="24"/>
        </w:rPr>
        <w:t>The Role of Labor Unions in Bridging Racial, Gender, and Economic Disparities</w:t>
      </w:r>
      <w:bookmarkEnd w:id="54"/>
    </w:p>
    <w:p w14:paraId="4A161E1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Today, labor unions bring forth the improved ability to better close pay gaps from a racial, socioeconomic, and gender perspective. Particularly, Black women in unionized positions are paid 94.9 percent of what Black men make, while non-union Black women make only 91 percent compared to what non-union men make (</w:t>
      </w:r>
      <w:proofErr w:type="spellStart"/>
      <w:r w:rsidRPr="00C63180">
        <w:rPr>
          <w:rFonts w:ascii="Times New Roman" w:eastAsia="Times New Roman" w:hAnsi="Times New Roman" w:cs="Times New Roman"/>
        </w:rPr>
        <w:t>McNicholas</w:t>
      </w:r>
      <w:proofErr w:type="spellEnd"/>
      <w:r w:rsidRPr="00C63180">
        <w:rPr>
          <w:rFonts w:ascii="Times New Roman" w:eastAsia="Times New Roman" w:hAnsi="Times New Roman" w:cs="Times New Roman"/>
        </w:rPr>
        <w:t xml:space="preserve"> &amp; Jones, 2018). Additionally, unions assist in elevating the compensation of women broadly and Black and Latino workers, all of whose wages trail White men pay. Black workers are the most represented by unions out of all racial categories at 14.5 percent for ages 18 to 64 covered by a union contract (</w:t>
      </w:r>
      <w:proofErr w:type="spellStart"/>
      <w:r w:rsidRPr="00C63180">
        <w:rPr>
          <w:rFonts w:ascii="Times New Roman" w:eastAsia="Times New Roman" w:hAnsi="Times New Roman" w:cs="Times New Roman"/>
        </w:rPr>
        <w:t>Bivens</w:t>
      </w:r>
      <w:proofErr w:type="spellEnd"/>
      <w:r w:rsidRPr="00C63180">
        <w:rPr>
          <w:rFonts w:ascii="Times New Roman" w:eastAsia="Times New Roman" w:hAnsi="Times New Roman" w:cs="Times New Roman"/>
        </w:rPr>
        <w:t xml:space="preserve"> et al., 2017). For Black union workers with less than a high school education, they carry a 19.6 percent wage advantage over non-union </w:t>
      </w:r>
      <w:r w:rsidRPr="00C63180">
        <w:rPr>
          <w:rFonts w:ascii="Times New Roman" w:eastAsia="Times New Roman" w:hAnsi="Times New Roman" w:cs="Times New Roman"/>
        </w:rPr>
        <w:lastRenderedPageBreak/>
        <w:t>workers, and are 23.4 percent and 25.2 percent more likely to have health insurance and a retirement plan than if not in a union (</w:t>
      </w: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2016, p. 14). Among Black workers, Black immigrants also enjoy a higher unionization rate than U.S.-born peers (</w:t>
      </w: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2016, p. 14), with 23.9 percent immigrant Black workers unionized versus 22.9 percent of U.S.-born Black workers. By standardizing compensation rates among workers in similar positions and narrowing compensation gaps between workers with different skill levels (Freeman, 1980), labor unions have been an instrumental catalyst in combating overall wage inequality and the Black and White wage gap specifically (</w:t>
      </w: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xml:space="preserve">, 2016, p. 17). </w:t>
      </w:r>
    </w:p>
    <w:p w14:paraId="4D8CF55A"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While the overall unionization rate decreased 48 percent from 23 percent in 1983 to 12 percent in 2015, the de-unionization rate for Black workers stacked at 56 percent (from 32 percent in unionized roles in 1983 to 14 percent in 2015). This steep de-unionization trend in the New Gilded Age resulted in lower rates of economic upward mobility for Black workers compared to Whites (</w:t>
      </w:r>
      <w:proofErr w:type="spellStart"/>
      <w:r w:rsidRPr="00C63180">
        <w:rPr>
          <w:rFonts w:ascii="Times New Roman" w:eastAsia="Times New Roman" w:hAnsi="Times New Roman" w:cs="Times New Roman"/>
        </w:rPr>
        <w:t>Chetty</w:t>
      </w:r>
      <w:proofErr w:type="spellEnd"/>
      <w:r w:rsidRPr="00C63180">
        <w:rPr>
          <w:rFonts w:ascii="Times New Roman" w:eastAsia="Times New Roman" w:hAnsi="Times New Roman" w:cs="Times New Roman"/>
        </w:rPr>
        <w:t xml:space="preserve"> et al., 2018), and widened the Black and White wage gap (</w:t>
      </w: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xml:space="preserve">, 2016, p. 18). The assault on unions thus disproportionately impacted people of color (John-Paul Ferguson, cited in </w:t>
      </w: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xml:space="preserve">, 2016). From an intersectional lens, the re-cultivation of labor unions in improving workplace protections would have a transformative impact on the working class, people of color, women, immigrants, and their intersections. </w:t>
      </w:r>
    </w:p>
    <w:p w14:paraId="33AD62D9" w14:textId="77777777" w:rsidR="00F562F3" w:rsidRPr="00C63180" w:rsidRDefault="00F562F3">
      <w:pPr>
        <w:spacing w:before="240" w:after="240" w:line="480" w:lineRule="auto"/>
        <w:ind w:firstLine="720"/>
        <w:rPr>
          <w:rFonts w:ascii="Times New Roman" w:eastAsia="Times New Roman" w:hAnsi="Times New Roman" w:cs="Times New Roman"/>
        </w:rPr>
      </w:pPr>
    </w:p>
    <w:p w14:paraId="1DB600EA" w14:textId="77777777" w:rsidR="00F562F3" w:rsidRPr="00C63180" w:rsidRDefault="00F562F3">
      <w:pPr>
        <w:spacing w:before="240" w:after="240" w:line="480" w:lineRule="auto"/>
        <w:ind w:firstLine="720"/>
        <w:rPr>
          <w:rFonts w:ascii="Times New Roman" w:eastAsia="Times New Roman" w:hAnsi="Times New Roman" w:cs="Times New Roman"/>
        </w:rPr>
      </w:pPr>
    </w:p>
    <w:p w14:paraId="6A4DE1EE" w14:textId="77777777" w:rsidR="00B84936" w:rsidRPr="00C63180" w:rsidRDefault="001D1521" w:rsidP="00F30C77">
      <w:pPr>
        <w:pStyle w:val="Heading2"/>
        <w:rPr>
          <w:rFonts w:ascii="Times New Roman" w:hAnsi="Times New Roman"/>
          <w:sz w:val="24"/>
          <w:szCs w:val="24"/>
        </w:rPr>
      </w:pPr>
      <w:bookmarkStart w:id="55" w:name="_Toc448400750"/>
      <w:r w:rsidRPr="00C63180">
        <w:rPr>
          <w:rFonts w:ascii="Times New Roman" w:hAnsi="Times New Roman"/>
          <w:sz w:val="24"/>
          <w:szCs w:val="24"/>
        </w:rPr>
        <w:lastRenderedPageBreak/>
        <w:t>Conclusion: Racial Justice, Interracial Working Class Solidarity, and Gender Equity</w:t>
      </w:r>
      <w:bookmarkEnd w:id="55"/>
    </w:p>
    <w:p w14:paraId="48E147E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In the early 20th century, anti-union organizer Vance Muse popularized the term “Right-to-Work,” the anti-union doctrine and legislation responsible for de-unionization in the U.S. that deprive unions of needed financial resources by guaranteeing in legislation that no person can be compelled to join a union or pay union dues as a condition of employment and by prohibiting collective bargaining agreements that require the hiring of unionized workers only (</w:t>
      </w:r>
      <w:proofErr w:type="spellStart"/>
      <w:r w:rsidRPr="00C63180">
        <w:rPr>
          <w:rFonts w:ascii="Times New Roman" w:eastAsia="Times New Roman" w:hAnsi="Times New Roman" w:cs="Times New Roman"/>
        </w:rPr>
        <w:t>FindLaw</w:t>
      </w:r>
      <w:proofErr w:type="spellEnd"/>
      <w:r w:rsidRPr="00C63180">
        <w:rPr>
          <w:rFonts w:ascii="Times New Roman" w:eastAsia="Times New Roman" w:hAnsi="Times New Roman" w:cs="Times New Roman"/>
        </w:rPr>
        <w:t xml:space="preserve">, 2020). As an anti-labor advocate and segregationist who proudly said in a 1936 Senate committee hearing “I am a Southerner and I am for white supremacy” (Gayle, 2018), Vance Muse was driven by his predilection for White supremacy in his anti-union organizing. Muse’s 1944 Right-to-Work campaign literature distributed to White Arkansans stated: “white women and white men will be forced into organizations [labor unions] with black African apes whom they will have to call ‘brother’ or lose their jobs” (Gayle, 2018). To Muse, pitting working class Whites and African Americans against each other was key to advancing the interests of White supremacists and corporations. In halting unionization by sabotaging interracial working class solidarity as a divide and conquer strategy, Muse reproduced Black racial subjugation and advocated for the continued suppression of both Black and White working class wages (Gayle, 2018). </w:t>
      </w:r>
    </w:p>
    <w:p w14:paraId="058FED4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Muse’s legacy lived on with 12 states instituting “Right-to-Work” laws by 1950 at the time of his death. Reed Larson, in the mid-1950s, continued this pro-corporate and White supremacist legacy as leader of the National Right-to-Work Committee and the National Right-to-Work Legal Foundation. He was a member of the John Birch Society, which staunchly opposed the Civil Rights Movement and alleged that desegregation </w:t>
      </w:r>
      <w:r w:rsidRPr="00C63180">
        <w:rPr>
          <w:rFonts w:ascii="Times New Roman" w:eastAsia="Times New Roman" w:hAnsi="Times New Roman" w:cs="Times New Roman"/>
        </w:rPr>
        <w:lastRenderedPageBreak/>
        <w:t xml:space="preserve">efforts were a communist, anti-capitalist plot (Toy, Jr., 2004). “Right-to-Work” and anti-unionization campaigns stem from this strategy of dividing working class Whites and people of color in order to advance White supremacy and corporate interests. Since labor unions promote compensation equality between people of color and Whites and serve as catalysts of elevating working class people by propelling them into the middle class, labor unions and social movements emerge as spaces with coalitional possibilities in solidarity work across racial and gender lines. This ability of labor unions to uplift communities of color, working class communities, and those with lower levels of education makes labor unions and social movements as the catalysts and the milieus of </w:t>
      </w:r>
      <w:proofErr w:type="spellStart"/>
      <w:r w:rsidRPr="00C63180">
        <w:rPr>
          <w:rFonts w:ascii="Times New Roman" w:eastAsia="Times New Roman" w:hAnsi="Times New Roman" w:cs="Times New Roman"/>
        </w:rPr>
        <w:t>intersectionality’s</w:t>
      </w:r>
      <w:proofErr w:type="spellEnd"/>
      <w:r w:rsidRPr="00C63180">
        <w:rPr>
          <w:rFonts w:ascii="Times New Roman" w:eastAsia="Times New Roman" w:hAnsi="Times New Roman" w:cs="Times New Roman"/>
        </w:rPr>
        <w:t xml:space="preserve"> anti-racist and feminist commitments (Combahee River Collective, 2000; Crenshaw, 1991; </w:t>
      </w:r>
      <w:proofErr w:type="spellStart"/>
      <w:r w:rsidRPr="00C63180">
        <w:rPr>
          <w:rFonts w:ascii="Times New Roman" w:eastAsia="Times New Roman" w:hAnsi="Times New Roman" w:cs="Times New Roman"/>
        </w:rPr>
        <w:t>Carasthathis</w:t>
      </w:r>
      <w:proofErr w:type="spellEnd"/>
      <w:r w:rsidRPr="00C63180">
        <w:rPr>
          <w:rFonts w:ascii="Times New Roman" w:eastAsia="Times New Roman" w:hAnsi="Times New Roman" w:cs="Times New Roman"/>
        </w:rPr>
        <w:t xml:space="preserve">, 2016; </w:t>
      </w:r>
      <w:proofErr w:type="spellStart"/>
      <w:r w:rsidRPr="00C63180">
        <w:rPr>
          <w:rFonts w:ascii="Times New Roman" w:eastAsia="Times New Roman" w:hAnsi="Times New Roman" w:cs="Times New Roman"/>
        </w:rPr>
        <w:t>Sidler</w:t>
      </w:r>
      <w:proofErr w:type="spellEnd"/>
      <w:r w:rsidRPr="00C63180">
        <w:rPr>
          <w:rFonts w:ascii="Times New Roman" w:eastAsia="Times New Roman" w:hAnsi="Times New Roman" w:cs="Times New Roman"/>
        </w:rPr>
        <w:t xml:space="preserve">, 1997; </w:t>
      </w:r>
      <w:proofErr w:type="spellStart"/>
      <w:r w:rsidRPr="00C63180">
        <w:rPr>
          <w:rFonts w:ascii="Times New Roman" w:eastAsia="Times New Roman" w:hAnsi="Times New Roman" w:cs="Times New Roman"/>
        </w:rPr>
        <w:t>Lugones</w:t>
      </w:r>
      <w:proofErr w:type="spellEnd"/>
      <w:r w:rsidRPr="00C63180">
        <w:rPr>
          <w:rFonts w:ascii="Times New Roman" w:eastAsia="Times New Roman" w:hAnsi="Times New Roman" w:cs="Times New Roman"/>
        </w:rPr>
        <w:t>, 2010) in democratizing the workplace as a participatory public sphere (Giroux, 2008).</w:t>
      </w:r>
    </w:p>
    <w:p w14:paraId="7D8E11B5" w14:textId="77777777" w:rsidR="00B84936" w:rsidRPr="00C63180" w:rsidRDefault="001D1521">
      <w:pPr>
        <w:spacing w:before="240" w:after="240" w:line="480" w:lineRule="auto"/>
        <w:ind w:firstLine="720"/>
        <w:rPr>
          <w:rFonts w:ascii="Times New Roman" w:eastAsia="Times New Roman" w:hAnsi="Times New Roman" w:cs="Times New Roman"/>
        </w:rPr>
      </w:pPr>
      <w:r w:rsidRPr="00C63180">
        <w:rPr>
          <w:rFonts w:ascii="Times New Roman" w:eastAsia="Times New Roman" w:hAnsi="Times New Roman" w:cs="Times New Roman"/>
        </w:rPr>
        <w:t xml:space="preserve">Strengthening labor unions is equally significant for third-wave feminism. Starting in the early 1990s, around the same time when </w:t>
      </w:r>
      <w:proofErr w:type="spellStart"/>
      <w:r w:rsidRPr="00C63180">
        <w:rPr>
          <w:rFonts w:ascii="Times New Roman" w:eastAsia="Times New Roman" w:hAnsi="Times New Roman" w:cs="Times New Roman"/>
        </w:rPr>
        <w:t>Kimberlé</w:t>
      </w:r>
      <w:proofErr w:type="spellEnd"/>
      <w:r w:rsidRPr="00C63180">
        <w:rPr>
          <w:rFonts w:ascii="Times New Roman" w:eastAsia="Times New Roman" w:hAnsi="Times New Roman" w:cs="Times New Roman"/>
        </w:rPr>
        <w:t xml:space="preserve"> Crenshaw coined the term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third-wave feminism responded to the shortcomings of feminism’s second-wave in the 1960s through the 1980s. Third-wave feminism underscored that the second-wave overly emphasized the experiences of upper middle class White women (Combahee River Collective, 2000; </w:t>
      </w:r>
      <w:proofErr w:type="spellStart"/>
      <w:r w:rsidRPr="00C63180">
        <w:rPr>
          <w:rFonts w:ascii="Times New Roman" w:eastAsia="Times New Roman" w:hAnsi="Times New Roman" w:cs="Times New Roman"/>
        </w:rPr>
        <w:t>Carasthathis</w:t>
      </w:r>
      <w:proofErr w:type="spellEnd"/>
      <w:r w:rsidRPr="00C63180">
        <w:rPr>
          <w:rFonts w:ascii="Times New Roman" w:eastAsia="Times New Roman" w:hAnsi="Times New Roman" w:cs="Times New Roman"/>
        </w:rPr>
        <w:t xml:space="preserve">, 2016; Crenshaw, 1991). Third-wave feminism instead </w:t>
      </w:r>
      <w:proofErr w:type="spellStart"/>
      <w:r w:rsidRPr="00C63180">
        <w:rPr>
          <w:rFonts w:ascii="Times New Roman" w:eastAsia="Times New Roman" w:hAnsi="Times New Roman" w:cs="Times New Roman"/>
        </w:rPr>
        <w:t>lended</w:t>
      </w:r>
      <w:proofErr w:type="spellEnd"/>
      <w:r w:rsidRPr="00C63180">
        <w:rPr>
          <w:rFonts w:ascii="Times New Roman" w:eastAsia="Times New Roman" w:hAnsi="Times New Roman" w:cs="Times New Roman"/>
        </w:rPr>
        <w:t xml:space="preserve"> its focus on casting the lives of women as intersectional, showcasing how race, ethnicity, class, gender, religion, nationality, among other aspects of one’s identity interlock and are at the crux of feminism (Heywood, 2006; Mann &amp; Huffman, 2005; Snyder, 2008). Third-wave feminism emerged out of the larger macroeconomic backdrop of the New Gilded Age and had to face austere economic </w:t>
      </w:r>
      <w:r w:rsidRPr="00C63180">
        <w:rPr>
          <w:rFonts w:ascii="Times New Roman" w:eastAsia="Times New Roman" w:hAnsi="Times New Roman" w:cs="Times New Roman"/>
        </w:rPr>
        <w:lastRenderedPageBreak/>
        <w:t>conditions starting in the 1980s that “destabilized employment for both men and women” (</w:t>
      </w:r>
      <w:proofErr w:type="spellStart"/>
      <w:r w:rsidRPr="00C63180">
        <w:rPr>
          <w:rFonts w:ascii="Times New Roman" w:eastAsia="Times New Roman" w:hAnsi="Times New Roman" w:cs="Times New Roman"/>
        </w:rPr>
        <w:t>Sidler</w:t>
      </w:r>
      <w:proofErr w:type="spellEnd"/>
      <w:r w:rsidRPr="00C63180">
        <w:rPr>
          <w:rFonts w:ascii="Times New Roman" w:eastAsia="Times New Roman" w:hAnsi="Times New Roman" w:cs="Times New Roman"/>
        </w:rPr>
        <w:t>, 1997, p. 27), characterized by increasing debt, unemployment, a shrinking middle class, and decreased social mobility. Intersectional feminism, as conceptualized through the third-wave, has coalitional potential with the cultivation of labor unions and how they equalize and improve wages, fight for sick days, vacation days, parental leave, retirement security, and childcare, among other benefits. These union-based advocacy and democratized reclamation of the workplace for the marginalized falls in line with the third-wave’s intersectional feminist commitments of gender equity, racial justice, and interracial working class solidarity (</w:t>
      </w:r>
      <w:proofErr w:type="spellStart"/>
      <w:r w:rsidRPr="00C63180">
        <w:rPr>
          <w:rFonts w:ascii="Times New Roman" w:eastAsia="Times New Roman" w:hAnsi="Times New Roman" w:cs="Times New Roman"/>
        </w:rPr>
        <w:t>Lugones</w:t>
      </w:r>
      <w:proofErr w:type="spellEnd"/>
      <w:r w:rsidRPr="00C63180">
        <w:rPr>
          <w:rFonts w:ascii="Times New Roman" w:eastAsia="Times New Roman" w:hAnsi="Times New Roman" w:cs="Times New Roman"/>
        </w:rPr>
        <w:t xml:space="preserve">, 2010; </w:t>
      </w:r>
      <w:proofErr w:type="spellStart"/>
      <w:r w:rsidRPr="00C63180">
        <w:rPr>
          <w:rFonts w:ascii="Times New Roman" w:eastAsia="Times New Roman" w:hAnsi="Times New Roman" w:cs="Times New Roman"/>
        </w:rPr>
        <w:t>Carasthathis</w:t>
      </w:r>
      <w:proofErr w:type="spellEnd"/>
      <w:r w:rsidRPr="00C63180">
        <w:rPr>
          <w:rFonts w:ascii="Times New Roman" w:eastAsia="Times New Roman" w:hAnsi="Times New Roman" w:cs="Times New Roman"/>
        </w:rPr>
        <w:t>, 2016, Crenshaw, 1991; Hancock, 2007).</w:t>
      </w:r>
    </w:p>
    <w:p w14:paraId="4E4A3BF2" w14:textId="77777777" w:rsidR="001D1521" w:rsidRPr="00C63180" w:rsidRDefault="001D1521">
      <w:pPr>
        <w:spacing w:before="240" w:after="240" w:line="480" w:lineRule="auto"/>
        <w:ind w:firstLine="720"/>
        <w:rPr>
          <w:rFonts w:ascii="Times New Roman" w:eastAsia="Times New Roman" w:hAnsi="Times New Roman" w:cs="Times New Roman"/>
        </w:rPr>
      </w:pPr>
    </w:p>
    <w:p w14:paraId="10EAA209" w14:textId="77777777" w:rsidR="001D1521" w:rsidRPr="00C63180" w:rsidRDefault="001D1521">
      <w:pPr>
        <w:spacing w:before="240" w:after="240" w:line="480" w:lineRule="auto"/>
        <w:ind w:firstLine="720"/>
        <w:rPr>
          <w:rFonts w:ascii="Times New Roman" w:eastAsia="Times New Roman" w:hAnsi="Times New Roman" w:cs="Times New Roman"/>
        </w:rPr>
      </w:pPr>
    </w:p>
    <w:p w14:paraId="1456F50F" w14:textId="77777777" w:rsidR="001D1521" w:rsidRPr="00C63180" w:rsidRDefault="001D1521">
      <w:pPr>
        <w:spacing w:before="240" w:after="240" w:line="480" w:lineRule="auto"/>
        <w:ind w:firstLine="720"/>
        <w:rPr>
          <w:rFonts w:ascii="Times New Roman" w:eastAsia="Times New Roman" w:hAnsi="Times New Roman" w:cs="Times New Roman"/>
        </w:rPr>
      </w:pPr>
    </w:p>
    <w:p w14:paraId="6704065B" w14:textId="77777777" w:rsidR="001D1521" w:rsidRPr="00C63180" w:rsidRDefault="001D1521">
      <w:pPr>
        <w:spacing w:before="240" w:after="240" w:line="480" w:lineRule="auto"/>
        <w:ind w:firstLine="720"/>
        <w:rPr>
          <w:rFonts w:ascii="Times New Roman" w:eastAsia="Times New Roman" w:hAnsi="Times New Roman" w:cs="Times New Roman"/>
        </w:rPr>
      </w:pPr>
    </w:p>
    <w:p w14:paraId="2074BCF5" w14:textId="77777777" w:rsidR="00F562F3" w:rsidRPr="00C63180" w:rsidRDefault="00F562F3">
      <w:pPr>
        <w:spacing w:before="240" w:after="240" w:line="480" w:lineRule="auto"/>
        <w:ind w:firstLine="720"/>
        <w:rPr>
          <w:rFonts w:ascii="Times New Roman" w:eastAsia="Times New Roman" w:hAnsi="Times New Roman" w:cs="Times New Roman"/>
        </w:rPr>
      </w:pPr>
    </w:p>
    <w:p w14:paraId="3981CC0F" w14:textId="77777777" w:rsidR="00F562F3" w:rsidRPr="00C63180" w:rsidRDefault="00F562F3">
      <w:pPr>
        <w:spacing w:before="240" w:after="240" w:line="480" w:lineRule="auto"/>
        <w:ind w:firstLine="720"/>
        <w:rPr>
          <w:rFonts w:ascii="Times New Roman" w:eastAsia="Times New Roman" w:hAnsi="Times New Roman" w:cs="Times New Roman"/>
        </w:rPr>
      </w:pPr>
    </w:p>
    <w:p w14:paraId="437E391C" w14:textId="77777777" w:rsidR="00F562F3" w:rsidRPr="00C63180" w:rsidRDefault="00F562F3">
      <w:pPr>
        <w:spacing w:before="240" w:after="240" w:line="480" w:lineRule="auto"/>
        <w:ind w:firstLine="720"/>
        <w:rPr>
          <w:rFonts w:ascii="Times New Roman" w:eastAsia="Times New Roman" w:hAnsi="Times New Roman" w:cs="Times New Roman"/>
        </w:rPr>
      </w:pPr>
    </w:p>
    <w:p w14:paraId="5C61C2F5" w14:textId="77777777" w:rsidR="00F562F3" w:rsidRPr="00C63180" w:rsidRDefault="00F562F3">
      <w:pPr>
        <w:spacing w:before="240" w:after="240" w:line="480" w:lineRule="auto"/>
        <w:ind w:firstLine="720"/>
        <w:rPr>
          <w:rFonts w:ascii="Times New Roman" w:eastAsia="Times New Roman" w:hAnsi="Times New Roman" w:cs="Times New Roman"/>
        </w:rPr>
      </w:pPr>
    </w:p>
    <w:p w14:paraId="4D781063" w14:textId="77777777" w:rsidR="00B84936" w:rsidRPr="00C63180" w:rsidRDefault="00B84936">
      <w:pPr>
        <w:spacing w:after="240"/>
        <w:rPr>
          <w:rFonts w:ascii="Times New Roman" w:eastAsia="Times New Roman" w:hAnsi="Times New Roman" w:cs="Times New Roman"/>
        </w:rPr>
      </w:pPr>
    </w:p>
    <w:p w14:paraId="7E9C2AB6" w14:textId="77777777" w:rsidR="006D53F9" w:rsidRPr="00C63180" w:rsidRDefault="006D53F9">
      <w:pPr>
        <w:spacing w:after="240"/>
        <w:rPr>
          <w:rFonts w:ascii="Times New Roman" w:eastAsia="Times New Roman" w:hAnsi="Times New Roman" w:cs="Times New Roman"/>
        </w:rPr>
      </w:pPr>
    </w:p>
    <w:p w14:paraId="12197DEF" w14:textId="77777777" w:rsidR="00B84936" w:rsidRPr="00C63180" w:rsidRDefault="001D1521" w:rsidP="00F30C77">
      <w:pPr>
        <w:pStyle w:val="Heading1"/>
        <w:rPr>
          <w:rFonts w:ascii="Times New Roman" w:hAnsi="Times New Roman"/>
          <w:sz w:val="24"/>
          <w:szCs w:val="24"/>
        </w:rPr>
      </w:pPr>
      <w:bookmarkStart w:id="56" w:name="_Toc448400751"/>
      <w:r w:rsidRPr="00C63180">
        <w:rPr>
          <w:rFonts w:ascii="Times New Roman" w:hAnsi="Times New Roman"/>
          <w:sz w:val="24"/>
          <w:szCs w:val="24"/>
        </w:rPr>
        <w:lastRenderedPageBreak/>
        <w:t>Chapter 5 - Conclusion</w:t>
      </w:r>
      <w:bookmarkEnd w:id="56"/>
    </w:p>
    <w:p w14:paraId="7700F6BD" w14:textId="77777777" w:rsidR="00B84936" w:rsidRPr="00C63180" w:rsidRDefault="00B84936">
      <w:pPr>
        <w:spacing w:line="276" w:lineRule="auto"/>
        <w:rPr>
          <w:rFonts w:ascii="Times New Roman" w:eastAsia="Times New Roman" w:hAnsi="Times New Roman" w:cs="Times New Roman"/>
          <w:sz w:val="22"/>
          <w:szCs w:val="22"/>
        </w:rPr>
      </w:pPr>
    </w:p>
    <w:p w14:paraId="7B06A459" w14:textId="77777777" w:rsidR="00B84936" w:rsidRPr="00C63180" w:rsidRDefault="001D1521" w:rsidP="00F30C77">
      <w:pPr>
        <w:pStyle w:val="Heading2"/>
        <w:rPr>
          <w:rFonts w:ascii="Times New Roman" w:hAnsi="Times New Roman"/>
          <w:sz w:val="24"/>
          <w:szCs w:val="24"/>
        </w:rPr>
      </w:pPr>
      <w:bookmarkStart w:id="57" w:name="_Toc448400752"/>
      <w:r w:rsidRPr="00C63180">
        <w:rPr>
          <w:rFonts w:ascii="Times New Roman" w:hAnsi="Times New Roman"/>
          <w:sz w:val="24"/>
          <w:szCs w:val="24"/>
        </w:rPr>
        <w:t>Background and Research Questions</w:t>
      </w:r>
      <w:bookmarkEnd w:id="57"/>
    </w:p>
    <w:p w14:paraId="48DBD58E" w14:textId="77777777" w:rsidR="00B84936" w:rsidRPr="00C63180" w:rsidRDefault="00B84936">
      <w:pPr>
        <w:spacing w:line="276" w:lineRule="auto"/>
        <w:rPr>
          <w:rFonts w:ascii="Times New Roman" w:eastAsia="Times New Roman" w:hAnsi="Times New Roman" w:cs="Times New Roman"/>
          <w:sz w:val="22"/>
          <w:szCs w:val="22"/>
        </w:rPr>
      </w:pPr>
    </w:p>
    <w:p w14:paraId="349C7FBB"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From the 1980s through the present day, the U.S. has experienced income and wealth inequality that rivals levels from the Gilded Age. During this time frame, labor unions experienced a significant decrease in membership concurrent to declines in the middle class share of national income by half, while the 1 percent share of national income doubled. The emergence of financial deregulation, public sector and social program austerity, and contraction in union membership were driving factors of these macroeconomic social inequalities. </w:t>
      </w:r>
    </w:p>
    <w:p w14:paraId="72DCE5EC"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Amidst these larger macroeconomic forces, the Diversity and Inclusion function in organizations has responded with innovative and cross-functional attempts to uplift underserved communities. The driving research questions of this study are as follows: How and to what extent do Diversity and Inclusion interventions at the organizational level address social and economic inequalities in the New Gilded Age? In light of the strengths and limitations of Diversity and Inclusion interventions, how could intersectional public policy fill in where Diversity and Inclusion falls short in eliminating the social and economic inequalities of the New Gilded Age?</w:t>
      </w:r>
    </w:p>
    <w:p w14:paraId="1F6D8965" w14:textId="77777777" w:rsidR="00B84936" w:rsidRPr="00C63180" w:rsidRDefault="00B84936">
      <w:pPr>
        <w:spacing w:line="480" w:lineRule="auto"/>
        <w:ind w:firstLine="720"/>
        <w:rPr>
          <w:rFonts w:ascii="Times New Roman" w:eastAsia="Times New Roman" w:hAnsi="Times New Roman" w:cs="Times New Roman"/>
          <w:sz w:val="22"/>
          <w:szCs w:val="22"/>
        </w:rPr>
      </w:pPr>
    </w:p>
    <w:p w14:paraId="483CA881" w14:textId="77777777" w:rsidR="00B84936" w:rsidRPr="00C63180" w:rsidRDefault="001D1521" w:rsidP="00F30C77">
      <w:pPr>
        <w:pStyle w:val="Heading2"/>
        <w:rPr>
          <w:rFonts w:ascii="Times New Roman" w:hAnsi="Times New Roman"/>
          <w:sz w:val="24"/>
          <w:szCs w:val="24"/>
        </w:rPr>
      </w:pPr>
      <w:bookmarkStart w:id="58" w:name="_Toc448400753"/>
      <w:r w:rsidRPr="00C63180">
        <w:rPr>
          <w:rFonts w:ascii="Times New Roman" w:hAnsi="Times New Roman"/>
          <w:sz w:val="24"/>
          <w:szCs w:val="24"/>
        </w:rPr>
        <w:t>Methodology, Theoretical Approach, and Findings</w:t>
      </w:r>
      <w:bookmarkEnd w:id="58"/>
    </w:p>
    <w:p w14:paraId="5A193B46" w14:textId="29E6C7CB"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In addressing these two principal research questions, this study takes up a textual approach to cultural analysis as its qualitative methodology. This methodology excavates interpretations by making connections between text and context and finding their import and rami</w:t>
      </w:r>
      <w:r w:rsidR="009220EB" w:rsidRPr="00C63180">
        <w:rPr>
          <w:rFonts w:ascii="Times New Roman" w:eastAsia="Times New Roman" w:hAnsi="Times New Roman" w:cs="Times New Roman"/>
          <w:sz w:val="22"/>
          <w:szCs w:val="22"/>
        </w:rPr>
        <w:t>fications on broader society. Us</w:t>
      </w:r>
      <w:r w:rsidRPr="00C63180">
        <w:rPr>
          <w:rFonts w:ascii="Times New Roman" w:eastAsia="Times New Roman" w:hAnsi="Times New Roman" w:cs="Times New Roman"/>
          <w:sz w:val="22"/>
          <w:szCs w:val="22"/>
        </w:rPr>
        <w:t xml:space="preserve">ing this textual approach to cultural analysis enables contextualization and signification from Diversity and Inclusion interventions and public policy proposals within the larger social, political, and economic paradigm of the New Gilded Age. This </w:t>
      </w:r>
      <w:r w:rsidRPr="00C63180">
        <w:rPr>
          <w:rFonts w:ascii="Times New Roman" w:eastAsia="Times New Roman" w:hAnsi="Times New Roman" w:cs="Times New Roman"/>
          <w:sz w:val="22"/>
          <w:szCs w:val="22"/>
        </w:rPr>
        <w:lastRenderedPageBreak/>
        <w:t xml:space="preserve">study also borrows from Black and second-wave feminism’s concept of </w:t>
      </w:r>
      <w:proofErr w:type="spellStart"/>
      <w:r w:rsidRPr="00C63180">
        <w:rPr>
          <w:rFonts w:ascii="Times New Roman" w:eastAsia="Times New Roman" w:hAnsi="Times New Roman" w:cs="Times New Roman"/>
          <w:sz w:val="22"/>
          <w:szCs w:val="22"/>
        </w:rPr>
        <w:t>intersectionality</w:t>
      </w:r>
      <w:proofErr w:type="spellEnd"/>
      <w:r w:rsidRPr="00C63180">
        <w:rPr>
          <w:rFonts w:ascii="Times New Roman" w:eastAsia="Times New Roman" w:hAnsi="Times New Roman" w:cs="Times New Roman"/>
          <w:sz w:val="22"/>
          <w:szCs w:val="22"/>
        </w:rPr>
        <w:t xml:space="preserve">, their seminal contribution to social and cultural theory. Focusing on </w:t>
      </w:r>
      <w:proofErr w:type="spellStart"/>
      <w:r w:rsidRPr="00C63180">
        <w:rPr>
          <w:rFonts w:ascii="Times New Roman" w:eastAsia="Times New Roman" w:hAnsi="Times New Roman" w:cs="Times New Roman"/>
          <w:sz w:val="22"/>
          <w:szCs w:val="22"/>
        </w:rPr>
        <w:t>intersectionality’s</w:t>
      </w:r>
      <w:proofErr w:type="spellEnd"/>
      <w:r w:rsidRPr="00C63180">
        <w:rPr>
          <w:rFonts w:ascii="Times New Roman" w:eastAsia="Times New Roman" w:hAnsi="Times New Roman" w:cs="Times New Roman"/>
          <w:sz w:val="22"/>
          <w:szCs w:val="22"/>
        </w:rPr>
        <w:t xml:space="preserve"> coalitional potential across communities, this study unearths racial, socioeconomic, and gender disparities and illuminate coalitional possibilities among social movements as a way forward in advocating for intersectional solutions to solve New Gilded Age problems and to fundamentally revitalize American democracy and civic life. </w:t>
      </w:r>
    </w:p>
    <w:p w14:paraId="1503C12D"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With textual cultural analysis as my methodology and </w:t>
      </w:r>
      <w:proofErr w:type="spellStart"/>
      <w:r w:rsidRPr="00C63180">
        <w:rPr>
          <w:rFonts w:ascii="Times New Roman" w:eastAsia="Times New Roman" w:hAnsi="Times New Roman" w:cs="Times New Roman"/>
          <w:sz w:val="22"/>
          <w:szCs w:val="22"/>
        </w:rPr>
        <w:t>intersectionality</w:t>
      </w:r>
      <w:proofErr w:type="spellEnd"/>
      <w:r w:rsidRPr="00C63180">
        <w:rPr>
          <w:rFonts w:ascii="Times New Roman" w:eastAsia="Times New Roman" w:hAnsi="Times New Roman" w:cs="Times New Roman"/>
          <w:sz w:val="22"/>
          <w:szCs w:val="22"/>
        </w:rPr>
        <w:t xml:space="preserve"> as my theoretical approach, this study’s two case studies adopt these lenses to assess diversity pipeline programs and employee resource groups. While these Diversity and Inclusion interventions have been novel organizationally, they nevertheless have limitations and cannot be approached at the organizational level alone in order to have substantial and sustained impact </w:t>
      </w:r>
      <w:proofErr w:type="spellStart"/>
      <w:r w:rsidRPr="00C63180">
        <w:rPr>
          <w:rFonts w:ascii="Times New Roman" w:eastAsia="Times New Roman" w:hAnsi="Times New Roman" w:cs="Times New Roman"/>
          <w:sz w:val="22"/>
          <w:szCs w:val="22"/>
        </w:rPr>
        <w:t>vis</w:t>
      </w:r>
      <w:proofErr w:type="spellEnd"/>
      <w:r w:rsidRPr="00C63180">
        <w:rPr>
          <w:rFonts w:ascii="Times New Roman" w:eastAsia="Times New Roman" w:hAnsi="Times New Roman" w:cs="Times New Roman"/>
          <w:sz w:val="22"/>
          <w:szCs w:val="22"/>
        </w:rPr>
        <w:t>-a-</w:t>
      </w:r>
      <w:proofErr w:type="spellStart"/>
      <w:r w:rsidRPr="00C63180">
        <w:rPr>
          <w:rFonts w:ascii="Times New Roman" w:eastAsia="Times New Roman" w:hAnsi="Times New Roman" w:cs="Times New Roman"/>
          <w:sz w:val="22"/>
          <w:szCs w:val="22"/>
        </w:rPr>
        <w:t>vis</w:t>
      </w:r>
      <w:proofErr w:type="spellEnd"/>
      <w:r w:rsidRPr="00C63180">
        <w:rPr>
          <w:rFonts w:ascii="Times New Roman" w:eastAsia="Times New Roman" w:hAnsi="Times New Roman" w:cs="Times New Roman"/>
          <w:sz w:val="22"/>
          <w:szCs w:val="22"/>
        </w:rPr>
        <w:t xml:space="preserve"> larger structural inequalities. Going beyond the organizational level and into policy, each of the two case studies delves into public policy analysis of proposals that would better structurally address the racial, gender, and socioeconomic oppressions that exist in the New Gilded Age from an intersectional perspective. The Federal Jobs Guarantee and the Workplace Democracy Act serve as two exemplary solutions that would lift compensation, rebuild the middle class, and advance gender equity, racial justice, and interracial working class solidarity. In doing so, they would reclaim employment and the workplace as a revitalized public good that workers can democratically join and actively participate in. </w:t>
      </w:r>
    </w:p>
    <w:p w14:paraId="4C169F88"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While the Federal Jobs Guarantee and the Workplace Democracy Act would enact monumental restructuring of the U.S. economy and transformation of the workplace, they nevertheless have further opportunities for improvement. The Federal Jobs Guarantee could be supplemented by a no strings attached Universal Basic Income and other strong social programs in order to ensure that vulnerable populations, such as children, the elderly, the sick, the homeless, veterans, single parents, youth in foster care, and those with physical and mental disabilities continue to receive adequate financial governmental support and live with dignity, </w:t>
      </w:r>
      <w:r w:rsidRPr="00C63180">
        <w:rPr>
          <w:rFonts w:ascii="Times New Roman" w:eastAsia="Times New Roman" w:hAnsi="Times New Roman" w:cs="Times New Roman"/>
          <w:sz w:val="22"/>
          <w:szCs w:val="22"/>
        </w:rPr>
        <w:lastRenderedPageBreak/>
        <w:t xml:space="preserve">even if they are not able to work. While the Workplace Democracy Act would serve to fundamentally fortify labor rights and workers through wage boards, they do not go far enough to address the fact that in the U.S. union contracts are done at the worksite level. Preserving work-site level union contracts has the sustained effect of structurally incentivizing management to pursue organizational level union-busting strategies as their efforts to do so have a direct impact on the union contract as the relevant bargaining unit is a part of their own employee population. From the government’s perspective, this plethora of collective bargaining agreements makes it cumbersome for the National Labor Relations Board to maintain oversight for legal compliance to the union contract and labor laws and regulations. To supplement wage boards, a comprehensive shift to </w:t>
      </w:r>
      <w:proofErr w:type="spellStart"/>
      <w:r w:rsidRPr="00C63180">
        <w:rPr>
          <w:rFonts w:ascii="Times New Roman" w:eastAsia="Times New Roman" w:hAnsi="Times New Roman" w:cs="Times New Roman"/>
          <w:sz w:val="22"/>
          <w:szCs w:val="22"/>
        </w:rPr>
        <w:t>sectoral</w:t>
      </w:r>
      <w:proofErr w:type="spellEnd"/>
      <w:r w:rsidRPr="00C63180">
        <w:rPr>
          <w:rFonts w:ascii="Times New Roman" w:eastAsia="Times New Roman" w:hAnsi="Times New Roman" w:cs="Times New Roman"/>
          <w:sz w:val="22"/>
          <w:szCs w:val="22"/>
        </w:rPr>
        <w:t xml:space="preserve"> bargaining where one collective bargaining agreement sets standards sector-wide would mean less management attempts at union avoidance and more effective governmental oversight and assistance in negotiations and arbitrations due to fewer union contracts for the government to monitor.</w:t>
      </w:r>
    </w:p>
    <w:p w14:paraId="1AF3097D" w14:textId="77777777" w:rsidR="00B84936" w:rsidRPr="00C63180" w:rsidRDefault="00B84936">
      <w:pPr>
        <w:spacing w:line="480" w:lineRule="auto"/>
        <w:rPr>
          <w:rFonts w:ascii="Times New Roman" w:eastAsia="Times New Roman" w:hAnsi="Times New Roman" w:cs="Times New Roman"/>
          <w:sz w:val="22"/>
          <w:szCs w:val="22"/>
        </w:rPr>
      </w:pPr>
    </w:p>
    <w:p w14:paraId="78BFB528" w14:textId="77777777" w:rsidR="00B84936" w:rsidRPr="00C63180" w:rsidRDefault="001D1521" w:rsidP="00F30C77">
      <w:pPr>
        <w:pStyle w:val="Heading2"/>
        <w:rPr>
          <w:rFonts w:ascii="Times New Roman" w:hAnsi="Times New Roman"/>
          <w:sz w:val="24"/>
          <w:szCs w:val="24"/>
        </w:rPr>
      </w:pPr>
      <w:bookmarkStart w:id="59" w:name="_Toc448400754"/>
      <w:r w:rsidRPr="00C63180">
        <w:rPr>
          <w:rFonts w:ascii="Times New Roman" w:hAnsi="Times New Roman"/>
          <w:sz w:val="24"/>
          <w:szCs w:val="24"/>
        </w:rPr>
        <w:t>Recommendations</w:t>
      </w:r>
      <w:bookmarkEnd w:id="59"/>
    </w:p>
    <w:p w14:paraId="6D95BAF0"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This research holds implications for Diversity and Inclusion practitioners, organizational leaders, Human Resource and Talent Management professionals, labor union organizers, public policy analysts, and legislators. The shortcomings of organizational responses to macroeconomic trends of the New Gilded Age signify that bold and systemic structural changes would have to be considered, such as the Federal Jobs Guarantee and the Workplace Democracy Plan, in order to foster an enabling structural environment that achieves lasting social change for communities that the New Gilded Age has rendered disposable. </w:t>
      </w:r>
    </w:p>
    <w:p w14:paraId="24316953" w14:textId="77777777" w:rsidR="00B84936" w:rsidRPr="00C63180" w:rsidRDefault="001D1521">
      <w:pPr>
        <w:numPr>
          <w:ilvl w:val="0"/>
          <w:numId w:val="4"/>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Increase scope of the Diversity and Inclusion function, advocate for increased head count &amp; constantly embed social transformation and environmental sustainability into the organizational bottom line. </w:t>
      </w:r>
    </w:p>
    <w:p w14:paraId="16A24A6E" w14:textId="77777777" w:rsidR="00B84936" w:rsidRPr="00C63180" w:rsidRDefault="001D1521">
      <w:pPr>
        <w:numPr>
          <w:ilvl w:val="0"/>
          <w:numId w:val="4"/>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lastRenderedPageBreak/>
        <w:t>Leverage strategic partnerships with community non-profit organizations in order to advance Diversity and Inclusion’s scope and social impact beyond the immediate confines of the organization</w:t>
      </w:r>
    </w:p>
    <w:p w14:paraId="6B0E170E"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Advocate for policies at the organizational and public policy levels predicated on the basis of universal access and equitable outcomes, such as the Federal Jobs Guarantee, single payer universal healthcare through Medicare for All, cancellation of medical debt and student debt, universal childcare, the Green New Deal, among other proposals</w:t>
      </w:r>
    </w:p>
    <w:p w14:paraId="16975DAA"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Advocate for policies at the organizational and public policy levels that would advance racial, gender, and working class solidarity in order to foster broad alliances and explore coalitional possibilities that serve as core political commitments of </w:t>
      </w:r>
      <w:proofErr w:type="spellStart"/>
      <w:r w:rsidRPr="00C63180">
        <w:rPr>
          <w:rFonts w:ascii="Times New Roman" w:eastAsia="Times New Roman" w:hAnsi="Times New Roman" w:cs="Times New Roman"/>
          <w:sz w:val="22"/>
          <w:szCs w:val="22"/>
        </w:rPr>
        <w:t>intersectionality</w:t>
      </w:r>
      <w:proofErr w:type="spellEnd"/>
    </w:p>
    <w:p w14:paraId="47F0F3B0"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Advocate for Universal Basic Income that would reinforce, not replace, existing social programs. As a supplement to having guaranteed federal jobs, Universal Basic Income would enable underserved populations unable to work to live with dignity</w:t>
      </w:r>
    </w:p>
    <w:p w14:paraId="01C171DF"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Leverage the constitutional freedom of assembly and engage in petition drives, direct action, and electoral politics in order to pressure civil servants to support union-friendly legislative bills, such as the creation of wage boards, curtailing right-to-work legislation, and the Workplace Democracy Act</w:t>
      </w:r>
    </w:p>
    <w:p w14:paraId="753A1DB3"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When driving for change, highlight intersectional impact of status quo policies and how they disproportionately oppress communities from a racial, gender, and socioeconomic perspective, among other identities</w:t>
      </w:r>
    </w:p>
    <w:p w14:paraId="519243E1"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Propose bold policy solutions from an intersectional perspective that would strengthen multiple communities and movements. For example, demanding a 100 percent transition to renewable energy by 2030 through a federal jobs guarantee focused on greening and rebuilding U.S. infrastructure and services and investing the benefits of these jobs to underserved communities, such as working class communities, communities with predominantly people of color, and in partnership with and to serve American Indian </w:t>
      </w:r>
      <w:r w:rsidRPr="00C63180">
        <w:rPr>
          <w:rFonts w:ascii="Times New Roman" w:eastAsia="Times New Roman" w:hAnsi="Times New Roman" w:cs="Times New Roman"/>
          <w:sz w:val="22"/>
          <w:szCs w:val="22"/>
        </w:rPr>
        <w:lastRenderedPageBreak/>
        <w:t>nations and overseas colonies like Puerto Rico, Guam, American Samoa, Northern Mariana Islands, and the U.S. Virgin Islands, would serve as intersectional policy solutions from a racial justice, environmental justice, and decolonization framework</w:t>
      </w:r>
    </w:p>
    <w:p w14:paraId="7342F636"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Coalesce with existing social movements, such as the Movement for Black Lives, Migrant Justice organizing, labor unions, the Me Too movement, climate justice, and the re-emergence of American democratic socialism (</w:t>
      </w:r>
      <w:proofErr w:type="spellStart"/>
      <w:r w:rsidRPr="00C63180">
        <w:rPr>
          <w:rFonts w:ascii="Times New Roman" w:eastAsia="Times New Roman" w:hAnsi="Times New Roman" w:cs="Times New Roman"/>
          <w:sz w:val="22"/>
          <w:szCs w:val="22"/>
        </w:rPr>
        <w:t>equitablent</w:t>
      </w:r>
      <w:proofErr w:type="spellEnd"/>
      <w:r w:rsidRPr="00C63180">
        <w:rPr>
          <w:rFonts w:ascii="Times New Roman" w:eastAsia="Times New Roman" w:hAnsi="Times New Roman" w:cs="Times New Roman"/>
          <w:sz w:val="22"/>
          <w:szCs w:val="22"/>
        </w:rPr>
        <w:t xml:space="preserve"> to social democracy) through the progressive movement in order to form broad coalitions, obtain input from diverse front line communities, and use those grassroots insights to drive proposals from an intersectional lens</w:t>
      </w:r>
    </w:p>
    <w:p w14:paraId="6AEC6FE6"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Establish relationships with international partners and consult comparative research literature in order to learn global macro-level trends, explore and borrow time and tested solutions, and obtain global benchmarks to identify gaps and evaluate progress and effectiveness</w:t>
      </w:r>
    </w:p>
    <w:p w14:paraId="0B8DB52E" w14:textId="77777777" w:rsidR="00B84936" w:rsidRPr="00C63180" w:rsidRDefault="001D1521">
      <w:pPr>
        <w:numPr>
          <w:ilvl w:val="0"/>
          <w:numId w:val="3"/>
        </w:numPr>
        <w:spacing w:line="480" w:lineRule="auto"/>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Continually integrate class consciousness in intersectional analysis as class critique is a central tenet of third-wave feminism’s methodological commitments to </w:t>
      </w:r>
      <w:proofErr w:type="spellStart"/>
      <w:r w:rsidRPr="00C63180">
        <w:rPr>
          <w:rFonts w:ascii="Times New Roman" w:eastAsia="Times New Roman" w:hAnsi="Times New Roman" w:cs="Times New Roman"/>
          <w:sz w:val="22"/>
          <w:szCs w:val="22"/>
        </w:rPr>
        <w:t>intersectionality</w:t>
      </w:r>
      <w:proofErr w:type="spellEnd"/>
    </w:p>
    <w:p w14:paraId="566C6B78" w14:textId="77777777" w:rsidR="00B84936" w:rsidRPr="00C63180" w:rsidRDefault="00B84936">
      <w:pPr>
        <w:spacing w:line="276" w:lineRule="auto"/>
        <w:rPr>
          <w:rFonts w:ascii="Times New Roman" w:eastAsia="Times New Roman" w:hAnsi="Times New Roman" w:cs="Times New Roman"/>
          <w:sz w:val="22"/>
          <w:szCs w:val="22"/>
        </w:rPr>
      </w:pPr>
    </w:p>
    <w:p w14:paraId="1863B88E" w14:textId="77777777" w:rsidR="00B84936" w:rsidRPr="00C63180" w:rsidRDefault="00B84936">
      <w:pPr>
        <w:spacing w:line="276" w:lineRule="auto"/>
        <w:rPr>
          <w:rFonts w:ascii="Times New Roman" w:eastAsia="Times New Roman" w:hAnsi="Times New Roman" w:cs="Times New Roman"/>
          <w:sz w:val="22"/>
          <w:szCs w:val="22"/>
        </w:rPr>
      </w:pPr>
    </w:p>
    <w:p w14:paraId="44ABF0E2" w14:textId="77777777" w:rsidR="00B84936" w:rsidRPr="00C63180" w:rsidRDefault="001D1521" w:rsidP="00F30C77">
      <w:pPr>
        <w:pStyle w:val="Heading2"/>
        <w:rPr>
          <w:rFonts w:ascii="Times New Roman" w:hAnsi="Times New Roman"/>
          <w:sz w:val="24"/>
          <w:szCs w:val="24"/>
        </w:rPr>
      </w:pPr>
      <w:bookmarkStart w:id="60" w:name="_Toc448400755"/>
      <w:r w:rsidRPr="00C63180">
        <w:rPr>
          <w:rFonts w:ascii="Times New Roman" w:hAnsi="Times New Roman"/>
          <w:sz w:val="24"/>
          <w:szCs w:val="24"/>
        </w:rPr>
        <w:t>Methodological Limitations and Future Research</w:t>
      </w:r>
      <w:bookmarkEnd w:id="60"/>
    </w:p>
    <w:p w14:paraId="1344EB04" w14:textId="77777777" w:rsidR="00B84936" w:rsidRPr="00C63180" w:rsidRDefault="00B84936">
      <w:pPr>
        <w:spacing w:line="480" w:lineRule="auto"/>
        <w:ind w:firstLine="720"/>
        <w:rPr>
          <w:rFonts w:ascii="Times New Roman" w:eastAsia="Times New Roman" w:hAnsi="Times New Roman" w:cs="Times New Roman"/>
          <w:sz w:val="22"/>
          <w:szCs w:val="22"/>
        </w:rPr>
      </w:pPr>
    </w:p>
    <w:p w14:paraId="55F8B4EB"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This study was performed using analysis of primary and secondary sources with signification excavated from a qualitative perspective. Qualitatively, no interviews or ethnographic accounts were performed. While this study examines organizational examples across various Human Resources functions, such as Talent Acquisition, Labor Relations, and Learning and Development, alternative studies could hone in on one singular function like Finance, Product Development, or Marketing and how Diversity and Inclusion intervenes in these organizational functions. Another take on this study could involve a more direct approach and </w:t>
      </w:r>
      <w:r w:rsidRPr="00C63180">
        <w:rPr>
          <w:rFonts w:ascii="Times New Roman" w:eastAsia="Times New Roman" w:hAnsi="Times New Roman" w:cs="Times New Roman"/>
          <w:sz w:val="22"/>
          <w:szCs w:val="22"/>
        </w:rPr>
        <w:lastRenderedPageBreak/>
        <w:t>focus on one particular organization as case study, while other research could focus beyond the organizational level and instead on a specific sector.</w:t>
      </w:r>
    </w:p>
    <w:p w14:paraId="41418B9D"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From an intersectional policy standpoint, this study exemplifies intersectional public policy recommendations through case studies of the Federal Jobs Guarantee and the Workplace Democracy Act and their significance in uplifting communities at their intersections within the larger macroeconomic context of the New Gilded Age. Beyond these two proposals, there are also other public policy considerations that could ameliorate the effects of the New Gilded Age from an intersectional perspective. Future research could focus on additional progressive movement proposals, such as Medicare for All in establishing single payer universal healthcare, its central role in eliminating health, racial, gender, economic, immigrant, and generational disparities, its socio-historical signification from a Black Power social movement perspective, and global cross-regional or cross-national comparisons with other OECD countries. Another policy consideration that could be studied is a wealth tax with the larger backdrop of increasing productivity, stagnant or decreasing pay, and the disappearance of jobs due to automation and robotics and its impacts from a racial, gender, educational, geographic lens. Another topic that could be pursued in the future is </w:t>
      </w:r>
      <w:proofErr w:type="gramStart"/>
      <w:r w:rsidRPr="00C63180">
        <w:rPr>
          <w:rFonts w:ascii="Times New Roman" w:eastAsia="Times New Roman" w:hAnsi="Times New Roman" w:cs="Times New Roman"/>
          <w:sz w:val="22"/>
          <w:szCs w:val="22"/>
        </w:rPr>
        <w:t>a no</w:t>
      </w:r>
      <w:proofErr w:type="gramEnd"/>
      <w:r w:rsidRPr="00C63180">
        <w:rPr>
          <w:rFonts w:ascii="Times New Roman" w:eastAsia="Times New Roman" w:hAnsi="Times New Roman" w:cs="Times New Roman"/>
          <w:sz w:val="22"/>
          <w:szCs w:val="22"/>
        </w:rPr>
        <w:t xml:space="preserve">-strings attached universal basic income in order to combat economic </w:t>
      </w:r>
      <w:proofErr w:type="spellStart"/>
      <w:r w:rsidRPr="00C63180">
        <w:rPr>
          <w:rFonts w:ascii="Times New Roman" w:eastAsia="Times New Roman" w:hAnsi="Times New Roman" w:cs="Times New Roman"/>
          <w:sz w:val="22"/>
          <w:szCs w:val="22"/>
        </w:rPr>
        <w:t>precarity</w:t>
      </w:r>
      <w:proofErr w:type="spellEnd"/>
      <w:r w:rsidRPr="00C63180">
        <w:rPr>
          <w:rFonts w:ascii="Times New Roman" w:eastAsia="Times New Roman" w:hAnsi="Times New Roman" w:cs="Times New Roman"/>
          <w:sz w:val="22"/>
          <w:szCs w:val="22"/>
        </w:rPr>
        <w:t xml:space="preserve">, gender inequality, underemployment, malnutrition, housing instability, and its socio-historical legacy from the Civil Rights Movement. Yet another could be a study of the role that labor unions play in advocating for progressive proposals such as a 4-day </w:t>
      </w:r>
      <w:proofErr w:type="gramStart"/>
      <w:r w:rsidRPr="00C63180">
        <w:rPr>
          <w:rFonts w:ascii="Times New Roman" w:eastAsia="Times New Roman" w:hAnsi="Times New Roman" w:cs="Times New Roman"/>
          <w:sz w:val="22"/>
          <w:szCs w:val="22"/>
        </w:rPr>
        <w:t>work week</w:t>
      </w:r>
      <w:proofErr w:type="gramEnd"/>
      <w:r w:rsidRPr="00C63180">
        <w:rPr>
          <w:rFonts w:ascii="Times New Roman" w:eastAsia="Times New Roman" w:hAnsi="Times New Roman" w:cs="Times New Roman"/>
          <w:sz w:val="22"/>
          <w:szCs w:val="22"/>
        </w:rPr>
        <w:t xml:space="preserve"> for similar pay or no emails outside formal work hours and their impacts on performance, productivity, and gender and racial disparities. The latter could involve connecting the dots to the pivotal role that labor unions had in the creation of the 40-hour work week, the weekend, child labor laws, occupational health and workplace safety laws, and in advocating for workplace accommodations that created transformative impacts across communities.</w:t>
      </w:r>
    </w:p>
    <w:p w14:paraId="0A95E3A0" w14:textId="77777777" w:rsidR="001D1521" w:rsidRPr="00C63180" w:rsidRDefault="001D1521">
      <w:pPr>
        <w:spacing w:line="480" w:lineRule="auto"/>
        <w:ind w:firstLine="720"/>
        <w:rPr>
          <w:rFonts w:ascii="Times New Roman" w:eastAsia="Times New Roman" w:hAnsi="Times New Roman" w:cs="Times New Roman"/>
          <w:sz w:val="22"/>
          <w:szCs w:val="22"/>
        </w:rPr>
      </w:pPr>
    </w:p>
    <w:p w14:paraId="334A1F95" w14:textId="77777777" w:rsidR="00B84936" w:rsidRPr="00C63180" w:rsidRDefault="00B84936">
      <w:pPr>
        <w:spacing w:line="480" w:lineRule="auto"/>
        <w:rPr>
          <w:rFonts w:ascii="Times New Roman" w:eastAsia="Times New Roman" w:hAnsi="Times New Roman" w:cs="Times New Roman"/>
          <w:sz w:val="22"/>
          <w:szCs w:val="22"/>
        </w:rPr>
      </w:pPr>
    </w:p>
    <w:p w14:paraId="3DAA6248" w14:textId="77777777" w:rsidR="00B84936" w:rsidRPr="00C63180" w:rsidRDefault="001D1521" w:rsidP="00F30C77">
      <w:pPr>
        <w:pStyle w:val="Heading2"/>
        <w:rPr>
          <w:rFonts w:ascii="Times New Roman" w:hAnsi="Times New Roman"/>
          <w:sz w:val="24"/>
          <w:szCs w:val="24"/>
        </w:rPr>
      </w:pPr>
      <w:bookmarkStart w:id="61" w:name="_Toc448400756"/>
      <w:r w:rsidRPr="00C63180">
        <w:rPr>
          <w:rFonts w:ascii="Times New Roman" w:hAnsi="Times New Roman"/>
          <w:sz w:val="24"/>
          <w:szCs w:val="24"/>
        </w:rPr>
        <w:lastRenderedPageBreak/>
        <w:t>Historical Origins and Future Possibilities</w:t>
      </w:r>
      <w:bookmarkEnd w:id="61"/>
    </w:p>
    <w:p w14:paraId="4C89451D" w14:textId="77777777" w:rsidR="00B84936" w:rsidRPr="00C63180" w:rsidRDefault="001D1521">
      <w:pPr>
        <w:spacing w:line="480" w:lineRule="auto"/>
        <w:ind w:firstLine="720"/>
        <w:rPr>
          <w:rFonts w:ascii="Times New Roman" w:eastAsia="Times New Roman" w:hAnsi="Times New Roman" w:cs="Times New Roman"/>
          <w:sz w:val="22"/>
          <w:szCs w:val="22"/>
        </w:rPr>
      </w:pPr>
      <w:r w:rsidRPr="00C63180">
        <w:rPr>
          <w:rFonts w:ascii="Times New Roman" w:eastAsia="Times New Roman" w:hAnsi="Times New Roman" w:cs="Times New Roman"/>
          <w:sz w:val="22"/>
          <w:szCs w:val="22"/>
        </w:rPr>
        <w:t xml:space="preserve">In structurally improving the lives of intersectional communities, the Federal Jobs Guarantee and Workplace Democracy Act dispel the dehumanizing notion of the marginalized as disposable in the New Gilded Age. These two case studies serve as intersectional public policy solutions in that they bridge disparities </w:t>
      </w:r>
      <w:proofErr w:type="spellStart"/>
      <w:r w:rsidRPr="00C63180">
        <w:rPr>
          <w:rFonts w:ascii="Times New Roman" w:eastAsia="Times New Roman" w:hAnsi="Times New Roman" w:cs="Times New Roman"/>
          <w:sz w:val="22"/>
          <w:szCs w:val="22"/>
        </w:rPr>
        <w:t>ntersectionally</w:t>
      </w:r>
      <w:proofErr w:type="spellEnd"/>
      <w:r w:rsidRPr="00C63180">
        <w:rPr>
          <w:rFonts w:ascii="Times New Roman" w:eastAsia="Times New Roman" w:hAnsi="Times New Roman" w:cs="Times New Roman"/>
          <w:sz w:val="22"/>
          <w:szCs w:val="22"/>
        </w:rPr>
        <w:t xml:space="preserve"> and fulfill the coalitional potential and political pursuit of </w:t>
      </w:r>
      <w:proofErr w:type="spellStart"/>
      <w:r w:rsidRPr="00C63180">
        <w:rPr>
          <w:rFonts w:ascii="Times New Roman" w:eastAsia="Times New Roman" w:hAnsi="Times New Roman" w:cs="Times New Roman"/>
          <w:sz w:val="22"/>
          <w:szCs w:val="22"/>
        </w:rPr>
        <w:t>intersectionality</w:t>
      </w:r>
      <w:proofErr w:type="spellEnd"/>
      <w:r w:rsidRPr="00C63180">
        <w:rPr>
          <w:rFonts w:ascii="Times New Roman" w:eastAsia="Times New Roman" w:hAnsi="Times New Roman" w:cs="Times New Roman"/>
          <w:sz w:val="22"/>
          <w:szCs w:val="22"/>
        </w:rPr>
        <w:t xml:space="preserve"> as conceptualized in its Black feminist origins. These intersectional public policy solutions serve as the present’s guiding light towards coalition-building possibilities that honor the legacies of social movements’ shared advocacy and inter-group solidarity, while articulating a bold vision forward into a new, more equitable, and just future. </w:t>
      </w:r>
    </w:p>
    <w:p w14:paraId="492D4506" w14:textId="77777777" w:rsidR="001D1521" w:rsidRPr="00C63180" w:rsidRDefault="001D1521">
      <w:pPr>
        <w:spacing w:line="480" w:lineRule="auto"/>
        <w:ind w:firstLine="720"/>
        <w:rPr>
          <w:rFonts w:ascii="Times New Roman" w:eastAsia="Times New Roman" w:hAnsi="Times New Roman" w:cs="Times New Roman"/>
          <w:sz w:val="22"/>
          <w:szCs w:val="22"/>
        </w:rPr>
      </w:pPr>
    </w:p>
    <w:p w14:paraId="68BDC8B3" w14:textId="77777777" w:rsidR="001D1521" w:rsidRPr="00C63180" w:rsidRDefault="001D1521">
      <w:pPr>
        <w:spacing w:line="480" w:lineRule="auto"/>
        <w:ind w:firstLine="720"/>
        <w:rPr>
          <w:rFonts w:ascii="Times New Roman" w:eastAsia="Times New Roman" w:hAnsi="Times New Roman" w:cs="Times New Roman"/>
          <w:sz w:val="22"/>
          <w:szCs w:val="22"/>
        </w:rPr>
      </w:pPr>
    </w:p>
    <w:p w14:paraId="53C96CD8" w14:textId="77777777" w:rsidR="001D1521" w:rsidRPr="00C63180" w:rsidRDefault="001D1521">
      <w:pPr>
        <w:spacing w:line="480" w:lineRule="auto"/>
        <w:ind w:firstLine="720"/>
        <w:rPr>
          <w:rFonts w:ascii="Times New Roman" w:eastAsia="Times New Roman" w:hAnsi="Times New Roman" w:cs="Times New Roman"/>
          <w:sz w:val="22"/>
          <w:szCs w:val="22"/>
        </w:rPr>
      </w:pPr>
    </w:p>
    <w:p w14:paraId="716170EF" w14:textId="77777777" w:rsidR="001D1521" w:rsidRPr="00C63180" w:rsidRDefault="001D1521">
      <w:pPr>
        <w:spacing w:line="480" w:lineRule="auto"/>
        <w:ind w:firstLine="720"/>
        <w:rPr>
          <w:rFonts w:ascii="Times New Roman" w:eastAsia="Times New Roman" w:hAnsi="Times New Roman" w:cs="Times New Roman"/>
          <w:sz w:val="22"/>
          <w:szCs w:val="22"/>
        </w:rPr>
      </w:pPr>
    </w:p>
    <w:p w14:paraId="42367231" w14:textId="77777777" w:rsidR="001D1521" w:rsidRPr="00C63180" w:rsidRDefault="001D1521" w:rsidP="00F562F3">
      <w:pPr>
        <w:spacing w:line="480" w:lineRule="auto"/>
        <w:rPr>
          <w:rFonts w:ascii="Times New Roman" w:eastAsia="Times New Roman" w:hAnsi="Times New Roman" w:cs="Times New Roman"/>
          <w:sz w:val="22"/>
          <w:szCs w:val="22"/>
        </w:rPr>
      </w:pPr>
    </w:p>
    <w:p w14:paraId="3DC794E6" w14:textId="77777777" w:rsidR="00F562F3" w:rsidRPr="00C63180" w:rsidRDefault="00F562F3" w:rsidP="00F562F3">
      <w:pPr>
        <w:spacing w:line="480" w:lineRule="auto"/>
        <w:rPr>
          <w:rFonts w:ascii="Times New Roman" w:eastAsia="Times New Roman" w:hAnsi="Times New Roman" w:cs="Times New Roman"/>
          <w:sz w:val="22"/>
          <w:szCs w:val="22"/>
        </w:rPr>
      </w:pPr>
    </w:p>
    <w:p w14:paraId="2CA7FFE4" w14:textId="77777777" w:rsidR="001D1521" w:rsidRPr="00C63180" w:rsidRDefault="001D1521">
      <w:pPr>
        <w:spacing w:line="480" w:lineRule="auto"/>
        <w:ind w:firstLine="720"/>
        <w:rPr>
          <w:rFonts w:ascii="Times New Roman" w:eastAsia="Times New Roman" w:hAnsi="Times New Roman" w:cs="Times New Roman"/>
          <w:sz w:val="22"/>
          <w:szCs w:val="22"/>
        </w:rPr>
      </w:pPr>
    </w:p>
    <w:p w14:paraId="44109A7B" w14:textId="77777777" w:rsidR="001D1521" w:rsidRPr="00C63180" w:rsidRDefault="001D1521">
      <w:pPr>
        <w:spacing w:line="480" w:lineRule="auto"/>
        <w:ind w:firstLine="720"/>
        <w:rPr>
          <w:rFonts w:ascii="Times New Roman" w:eastAsia="Times New Roman" w:hAnsi="Times New Roman" w:cs="Times New Roman"/>
          <w:sz w:val="22"/>
          <w:szCs w:val="22"/>
        </w:rPr>
      </w:pPr>
    </w:p>
    <w:p w14:paraId="4C03338E" w14:textId="77777777" w:rsidR="001D1521" w:rsidRPr="00C63180" w:rsidRDefault="001D1521">
      <w:pPr>
        <w:spacing w:line="480" w:lineRule="auto"/>
        <w:ind w:firstLine="720"/>
        <w:rPr>
          <w:rFonts w:ascii="Times New Roman" w:eastAsia="Times New Roman" w:hAnsi="Times New Roman" w:cs="Times New Roman"/>
          <w:sz w:val="22"/>
          <w:szCs w:val="22"/>
        </w:rPr>
      </w:pPr>
    </w:p>
    <w:p w14:paraId="31DDA461" w14:textId="77777777" w:rsidR="001D1521" w:rsidRPr="00C63180" w:rsidRDefault="001D1521">
      <w:pPr>
        <w:spacing w:line="480" w:lineRule="auto"/>
        <w:ind w:firstLine="720"/>
        <w:rPr>
          <w:rFonts w:ascii="Times New Roman" w:eastAsia="Times New Roman" w:hAnsi="Times New Roman" w:cs="Times New Roman"/>
          <w:sz w:val="22"/>
          <w:szCs w:val="22"/>
        </w:rPr>
      </w:pPr>
    </w:p>
    <w:p w14:paraId="481F8DDD" w14:textId="77777777" w:rsidR="006D53F9" w:rsidRPr="00C63180" w:rsidRDefault="006D53F9">
      <w:pPr>
        <w:spacing w:line="480" w:lineRule="auto"/>
        <w:ind w:firstLine="720"/>
        <w:rPr>
          <w:rFonts w:ascii="Times New Roman" w:eastAsia="Times New Roman" w:hAnsi="Times New Roman" w:cs="Times New Roman"/>
          <w:sz w:val="22"/>
          <w:szCs w:val="22"/>
        </w:rPr>
      </w:pPr>
    </w:p>
    <w:p w14:paraId="7D9239F6" w14:textId="77777777" w:rsidR="006D53F9" w:rsidRPr="00C63180" w:rsidRDefault="006D53F9">
      <w:pPr>
        <w:spacing w:line="480" w:lineRule="auto"/>
        <w:ind w:firstLine="720"/>
        <w:rPr>
          <w:rFonts w:ascii="Times New Roman" w:eastAsia="Times New Roman" w:hAnsi="Times New Roman" w:cs="Times New Roman"/>
          <w:sz w:val="22"/>
          <w:szCs w:val="22"/>
        </w:rPr>
      </w:pPr>
    </w:p>
    <w:p w14:paraId="6DC69B09" w14:textId="77777777" w:rsidR="006D53F9" w:rsidRPr="00C63180" w:rsidRDefault="006D53F9">
      <w:pPr>
        <w:spacing w:line="480" w:lineRule="auto"/>
        <w:ind w:firstLine="720"/>
        <w:rPr>
          <w:rFonts w:ascii="Times New Roman" w:eastAsia="Times New Roman" w:hAnsi="Times New Roman" w:cs="Times New Roman"/>
          <w:sz w:val="22"/>
          <w:szCs w:val="22"/>
        </w:rPr>
      </w:pPr>
    </w:p>
    <w:p w14:paraId="77368E18" w14:textId="77777777" w:rsidR="006D53F9" w:rsidRPr="00C63180" w:rsidRDefault="006D53F9">
      <w:pPr>
        <w:spacing w:line="480" w:lineRule="auto"/>
        <w:ind w:firstLine="720"/>
        <w:rPr>
          <w:rFonts w:ascii="Times New Roman" w:eastAsia="Times New Roman" w:hAnsi="Times New Roman" w:cs="Times New Roman"/>
          <w:sz w:val="22"/>
          <w:szCs w:val="22"/>
        </w:rPr>
      </w:pPr>
    </w:p>
    <w:p w14:paraId="1EF7F641" w14:textId="77777777" w:rsidR="00B84936" w:rsidRPr="00C63180" w:rsidRDefault="00B84936">
      <w:pPr>
        <w:spacing w:after="240"/>
        <w:rPr>
          <w:rFonts w:ascii="Times New Roman" w:eastAsia="Times New Roman" w:hAnsi="Times New Roman" w:cs="Times New Roman"/>
        </w:rPr>
      </w:pPr>
    </w:p>
    <w:p w14:paraId="29AEED5D" w14:textId="77777777" w:rsidR="00B84936" w:rsidRPr="00C63180" w:rsidRDefault="001D1521" w:rsidP="00F562F3">
      <w:pPr>
        <w:pStyle w:val="Heading1"/>
        <w:jc w:val="center"/>
        <w:rPr>
          <w:rFonts w:ascii="Times New Roman" w:hAnsi="Times New Roman"/>
          <w:sz w:val="24"/>
          <w:szCs w:val="24"/>
        </w:rPr>
      </w:pPr>
      <w:bookmarkStart w:id="62" w:name="_Toc448400757"/>
      <w:r w:rsidRPr="00C63180">
        <w:rPr>
          <w:rFonts w:ascii="Times New Roman" w:hAnsi="Times New Roman"/>
          <w:sz w:val="24"/>
          <w:szCs w:val="24"/>
        </w:rPr>
        <w:lastRenderedPageBreak/>
        <w:t>References</w:t>
      </w:r>
      <w:bookmarkEnd w:id="62"/>
    </w:p>
    <w:p w14:paraId="36D4C2C8" w14:textId="77777777" w:rsidR="00B84936" w:rsidRPr="00C63180" w:rsidRDefault="001D1521">
      <w:pPr>
        <w:rPr>
          <w:rFonts w:ascii="Times New Roman" w:eastAsia="Times New Roman" w:hAnsi="Times New Roman" w:cs="Times New Roman"/>
        </w:rPr>
      </w:pPr>
      <w:r w:rsidRPr="00C63180">
        <w:rPr>
          <w:rFonts w:ascii="Times New Roman" w:eastAsia="Times New Roman" w:hAnsi="Times New Roman" w:cs="Times New Roman"/>
          <w:color w:val="000000"/>
        </w:rPr>
        <w:t xml:space="preserve">        </w:t>
      </w:r>
    </w:p>
    <w:p w14:paraId="4D1782BA" w14:textId="77777777" w:rsidR="00F269C6" w:rsidRPr="00C63180" w:rsidRDefault="001D1521">
      <w:pPr>
        <w:rPr>
          <w:rFonts w:ascii="Times New Roman" w:eastAsia="Times New Roman" w:hAnsi="Times New Roman" w:cs="Times New Roman"/>
          <w:i/>
        </w:rPr>
      </w:pPr>
      <w:r w:rsidRPr="00C63180">
        <w:rPr>
          <w:rFonts w:ascii="Times New Roman" w:eastAsia="Times New Roman" w:hAnsi="Times New Roman" w:cs="Times New Roman"/>
        </w:rPr>
        <w:t xml:space="preserve">Alexander, M. (2012). </w:t>
      </w:r>
      <w:r w:rsidRPr="00C63180">
        <w:rPr>
          <w:rFonts w:ascii="Times New Roman" w:eastAsia="Times New Roman" w:hAnsi="Times New Roman" w:cs="Times New Roman"/>
          <w:i/>
        </w:rPr>
        <w:t xml:space="preserve">The New Jim Crow: Mass Incarceration in the Age of </w:t>
      </w:r>
    </w:p>
    <w:p w14:paraId="1B413CC3" w14:textId="19FF01B9" w:rsidR="00B84936" w:rsidRPr="00C63180" w:rsidRDefault="001D1521" w:rsidP="00F269C6">
      <w:pPr>
        <w:ind w:firstLine="720"/>
        <w:rPr>
          <w:rFonts w:ascii="Times New Roman" w:eastAsia="Times New Roman" w:hAnsi="Times New Roman" w:cs="Times New Roman"/>
        </w:rPr>
      </w:pPr>
      <w:r w:rsidRPr="00C63180">
        <w:rPr>
          <w:rFonts w:ascii="Times New Roman" w:eastAsia="Times New Roman" w:hAnsi="Times New Roman" w:cs="Times New Roman"/>
          <w:i/>
        </w:rPr>
        <w:t>Colorblindness</w:t>
      </w:r>
      <w:r w:rsidRPr="00C63180">
        <w:rPr>
          <w:rFonts w:ascii="Times New Roman" w:eastAsia="Times New Roman" w:hAnsi="Times New Roman" w:cs="Times New Roman"/>
        </w:rPr>
        <w:t>, New York: The New Press. </w:t>
      </w:r>
    </w:p>
    <w:p w14:paraId="30C4D0F8" w14:textId="77777777" w:rsidR="00B84936" w:rsidRPr="00C63180" w:rsidRDefault="00B84936">
      <w:pPr>
        <w:rPr>
          <w:rFonts w:ascii="Times New Roman" w:eastAsia="Times New Roman" w:hAnsi="Times New Roman" w:cs="Times New Roman"/>
        </w:rPr>
      </w:pPr>
    </w:p>
    <w:p w14:paraId="66F1DC1D" w14:textId="77777777" w:rsidR="00F269C6" w:rsidRPr="00C63180" w:rsidRDefault="001D1521">
      <w:pPr>
        <w:rPr>
          <w:rFonts w:ascii="Times New Roman" w:eastAsia="Times New Roman" w:hAnsi="Times New Roman" w:cs="Times New Roman"/>
        </w:rPr>
      </w:pPr>
      <w:proofErr w:type="gramStart"/>
      <w:r w:rsidRPr="00C63180">
        <w:rPr>
          <w:rFonts w:ascii="Times New Roman" w:eastAsia="Times New Roman" w:hAnsi="Times New Roman" w:cs="Times New Roman"/>
        </w:rPr>
        <w:t>Amalgamated Clothing Workers of America.</w:t>
      </w:r>
      <w:proofErr w:type="gramEnd"/>
      <w:r w:rsidRPr="00C63180">
        <w:rPr>
          <w:rFonts w:ascii="Times New Roman" w:eastAsia="Times New Roman" w:hAnsi="Times New Roman" w:cs="Times New Roman"/>
        </w:rPr>
        <w:t xml:space="preserve"> (1929). “Amalgamated Workers of </w:t>
      </w:r>
    </w:p>
    <w:p w14:paraId="0991828E" w14:textId="6796306E" w:rsidR="00B84936" w:rsidRPr="00C63180" w:rsidRDefault="001D1521" w:rsidP="00F269C6">
      <w:pPr>
        <w:ind w:left="720"/>
        <w:rPr>
          <w:rFonts w:ascii="Times New Roman" w:eastAsia="Times New Roman" w:hAnsi="Times New Roman" w:cs="Times New Roman"/>
        </w:rPr>
      </w:pPr>
      <w:r w:rsidRPr="00C63180">
        <w:rPr>
          <w:rFonts w:ascii="Times New Roman" w:eastAsia="Times New Roman" w:hAnsi="Times New Roman" w:cs="Times New Roman"/>
        </w:rPr>
        <w:t xml:space="preserve">America, Local 125,” </w:t>
      </w:r>
      <w:r w:rsidRPr="00C63180">
        <w:rPr>
          <w:rFonts w:ascii="Times New Roman" w:eastAsia="Times New Roman" w:hAnsi="Times New Roman" w:cs="Times New Roman"/>
          <w:i/>
        </w:rPr>
        <w:t>University of Massachusetts Special Collections and University Archives</w:t>
      </w:r>
      <w:r w:rsidRPr="00C63180">
        <w:rPr>
          <w:rFonts w:ascii="Times New Roman" w:eastAsia="Times New Roman" w:hAnsi="Times New Roman" w:cs="Times New Roman"/>
        </w:rPr>
        <w:t>, Available online: </w:t>
      </w:r>
      <w:hyperlink r:id="rId22">
        <w:r w:rsidRPr="00C63180">
          <w:rPr>
            <w:rFonts w:ascii="Times New Roman" w:eastAsia="Times New Roman" w:hAnsi="Times New Roman" w:cs="Times New Roman"/>
            <w:color w:val="1155CC"/>
            <w:u w:val="single"/>
          </w:rPr>
          <w:t>http://scua.library.umass.edu/ead/mums001</w:t>
        </w:r>
      </w:hyperlink>
      <w:r w:rsidRPr="00C63180">
        <w:rPr>
          <w:rFonts w:ascii="Times New Roman" w:eastAsia="Times New Roman" w:hAnsi="Times New Roman" w:cs="Times New Roman"/>
        </w:rPr>
        <w:t>, [Accessed 3 January 2020]. </w:t>
      </w:r>
    </w:p>
    <w:p w14:paraId="2E4A2780" w14:textId="77777777" w:rsidR="00B84936" w:rsidRPr="00C63180" w:rsidRDefault="00B84936">
      <w:pPr>
        <w:spacing w:line="276" w:lineRule="auto"/>
        <w:rPr>
          <w:rFonts w:ascii="Times New Roman" w:eastAsia="Times New Roman" w:hAnsi="Times New Roman" w:cs="Times New Roman"/>
        </w:rPr>
      </w:pPr>
    </w:p>
    <w:p w14:paraId="07CCDB62" w14:textId="77777777" w:rsidR="00F269C6" w:rsidRPr="00C63180" w:rsidRDefault="001D1521">
      <w:pPr>
        <w:spacing w:line="276" w:lineRule="auto"/>
        <w:rPr>
          <w:rFonts w:ascii="Times New Roman" w:eastAsia="Times New Roman" w:hAnsi="Times New Roman" w:cs="Times New Roman"/>
        </w:rPr>
      </w:pPr>
      <w:proofErr w:type="spellStart"/>
      <w:r w:rsidRPr="00C63180">
        <w:rPr>
          <w:rFonts w:ascii="Times New Roman" w:eastAsia="Times New Roman" w:hAnsi="Times New Roman" w:cs="Times New Roman"/>
        </w:rPr>
        <w:t>Andrias</w:t>
      </w:r>
      <w:proofErr w:type="spellEnd"/>
      <w:r w:rsidRPr="00C63180">
        <w:rPr>
          <w:rFonts w:ascii="Times New Roman" w:eastAsia="Times New Roman" w:hAnsi="Times New Roman" w:cs="Times New Roman"/>
        </w:rPr>
        <w:t xml:space="preserve">, K. (2016). </w:t>
      </w:r>
      <w:proofErr w:type="gramStart"/>
      <w:r w:rsidRPr="00C63180">
        <w:rPr>
          <w:rFonts w:ascii="Times New Roman" w:eastAsia="Times New Roman" w:hAnsi="Times New Roman" w:cs="Times New Roman"/>
        </w:rPr>
        <w:t xml:space="preserve">“The New Labor Law,” </w:t>
      </w:r>
      <w:r w:rsidRPr="00C63180">
        <w:rPr>
          <w:rFonts w:ascii="Times New Roman" w:eastAsia="Times New Roman" w:hAnsi="Times New Roman" w:cs="Times New Roman"/>
          <w:i/>
        </w:rPr>
        <w:t>The Yale Law Journal</w:t>
      </w:r>
      <w:r w:rsidRPr="00C63180">
        <w:rPr>
          <w:rFonts w:ascii="Times New Roman" w:eastAsia="Times New Roman" w:hAnsi="Times New Roman" w:cs="Times New Roman"/>
        </w:rPr>
        <w:t>, Vol. 126, No. 1, pp.</w:t>
      </w:r>
      <w:proofErr w:type="gramEnd"/>
      <w:r w:rsidRPr="00C63180">
        <w:rPr>
          <w:rFonts w:ascii="Times New Roman" w:eastAsia="Times New Roman" w:hAnsi="Times New Roman" w:cs="Times New Roman"/>
        </w:rPr>
        <w:t xml:space="preserve"> </w:t>
      </w:r>
    </w:p>
    <w:p w14:paraId="6DDA2FE4" w14:textId="2FC70DBF" w:rsidR="00B84936" w:rsidRPr="00C63180" w:rsidRDefault="001D1521" w:rsidP="00F269C6">
      <w:pPr>
        <w:spacing w:line="276" w:lineRule="auto"/>
        <w:ind w:left="720"/>
        <w:rPr>
          <w:rFonts w:ascii="Times New Roman" w:eastAsia="Times New Roman" w:hAnsi="Times New Roman" w:cs="Times New Roman"/>
        </w:rPr>
      </w:pPr>
      <w:r w:rsidRPr="00C63180">
        <w:rPr>
          <w:rFonts w:ascii="Times New Roman" w:eastAsia="Times New Roman" w:hAnsi="Times New Roman" w:cs="Times New Roman"/>
        </w:rPr>
        <w:t xml:space="preserve">1-261, Available online: </w:t>
      </w:r>
      <w:hyperlink r:id="rId23" w:anchor="_ftnref297" w:history="1">
        <w:r w:rsidR="00F269C6" w:rsidRPr="00C63180">
          <w:rPr>
            <w:rStyle w:val="Hyperlink"/>
            <w:rFonts w:ascii="Times New Roman" w:eastAsia="Times New Roman" w:hAnsi="Times New Roman" w:cs="Times New Roman"/>
          </w:rPr>
          <w:t>https://www.yalelawjournal.org/article/the-new-labor-law#_ftnref297</w:t>
        </w:r>
      </w:hyperlink>
      <w:r w:rsidRPr="00C63180">
        <w:rPr>
          <w:rFonts w:ascii="Times New Roman" w:eastAsia="Times New Roman" w:hAnsi="Times New Roman" w:cs="Times New Roman"/>
        </w:rPr>
        <w:t>, [Accessed 18 February 2020].</w:t>
      </w:r>
    </w:p>
    <w:p w14:paraId="666C2839" w14:textId="77777777" w:rsidR="00B84936" w:rsidRPr="00C63180" w:rsidRDefault="00B84936">
      <w:pPr>
        <w:rPr>
          <w:rFonts w:ascii="Times New Roman" w:eastAsia="Times New Roman" w:hAnsi="Times New Roman" w:cs="Times New Roman"/>
        </w:rPr>
      </w:pPr>
    </w:p>
    <w:p w14:paraId="15D1249F" w14:textId="77777777" w:rsidR="00F269C6" w:rsidRPr="00C63180" w:rsidRDefault="001D1521">
      <w:pPr>
        <w:rPr>
          <w:rFonts w:ascii="Times New Roman" w:eastAsia="Times New Roman" w:hAnsi="Times New Roman" w:cs="Times New Roman"/>
        </w:rPr>
      </w:pPr>
      <w:r w:rsidRPr="00C63180">
        <w:rPr>
          <w:rFonts w:ascii="Times New Roman" w:eastAsia="Times New Roman" w:hAnsi="Times New Roman" w:cs="Times New Roman"/>
        </w:rPr>
        <w:t xml:space="preserve">Associated Press. (2008). “A First: 1 in 100 Americans Jailed,” </w:t>
      </w:r>
      <w:r w:rsidRPr="00C63180">
        <w:rPr>
          <w:rFonts w:ascii="Times New Roman" w:eastAsia="Times New Roman" w:hAnsi="Times New Roman" w:cs="Times New Roman"/>
          <w:i/>
        </w:rPr>
        <w:t>MSNBC.com</w:t>
      </w:r>
      <w:r w:rsidRPr="00C63180">
        <w:rPr>
          <w:rFonts w:ascii="Times New Roman" w:eastAsia="Times New Roman" w:hAnsi="Times New Roman" w:cs="Times New Roman"/>
        </w:rPr>
        <w:t xml:space="preserve">, Available </w:t>
      </w:r>
    </w:p>
    <w:p w14:paraId="5E501036" w14:textId="1376A3EF" w:rsidR="00B84936" w:rsidRPr="00C63180" w:rsidRDefault="001D1521" w:rsidP="00F269C6">
      <w:pPr>
        <w:ind w:left="720"/>
        <w:rPr>
          <w:rFonts w:ascii="Times New Roman" w:eastAsia="Times New Roman" w:hAnsi="Times New Roman" w:cs="Times New Roman"/>
        </w:rPr>
      </w:pPr>
      <w:proofErr w:type="gramStart"/>
      <w:r w:rsidRPr="00C63180">
        <w:rPr>
          <w:rFonts w:ascii="Times New Roman" w:eastAsia="Times New Roman" w:hAnsi="Times New Roman" w:cs="Times New Roman"/>
        </w:rPr>
        <w:t>online</w:t>
      </w:r>
      <w:proofErr w:type="gramEnd"/>
      <w:r w:rsidRPr="00C63180">
        <w:rPr>
          <w:rFonts w:ascii="Times New Roman" w:eastAsia="Times New Roman" w:hAnsi="Times New Roman" w:cs="Times New Roman"/>
        </w:rPr>
        <w:t xml:space="preserve">: </w:t>
      </w:r>
      <w:hyperlink r:id="rId24">
        <w:r w:rsidRPr="00C63180">
          <w:rPr>
            <w:rFonts w:ascii="Times New Roman" w:eastAsia="Times New Roman" w:hAnsi="Times New Roman" w:cs="Times New Roman"/>
            <w:color w:val="1155CC"/>
            <w:u w:val="single"/>
          </w:rPr>
          <w:t>http://www.msnbc.msn.com/id/23392251/print/1/displaymode/1098/</w:t>
        </w:r>
      </w:hyperlink>
      <w:r w:rsidRPr="00C63180">
        <w:rPr>
          <w:rFonts w:ascii="Times New Roman" w:eastAsia="Times New Roman" w:hAnsi="Times New Roman" w:cs="Times New Roman"/>
        </w:rPr>
        <w:t>, [Accessed 18 December 2019].</w:t>
      </w:r>
    </w:p>
    <w:p w14:paraId="408ACAF9" w14:textId="77777777" w:rsidR="00B84936" w:rsidRPr="00C63180" w:rsidRDefault="00B84936">
      <w:pPr>
        <w:rPr>
          <w:rFonts w:ascii="Times New Roman" w:eastAsia="Times New Roman" w:hAnsi="Times New Roman" w:cs="Times New Roman"/>
        </w:rPr>
      </w:pPr>
    </w:p>
    <w:p w14:paraId="497BB5D4" w14:textId="77777777" w:rsidR="00F269C6" w:rsidRPr="00C63180" w:rsidRDefault="001D1521">
      <w:pPr>
        <w:rPr>
          <w:rFonts w:ascii="Times New Roman" w:eastAsia="Times New Roman" w:hAnsi="Times New Roman" w:cs="Times New Roman"/>
        </w:rPr>
      </w:pPr>
      <w:proofErr w:type="spellStart"/>
      <w:r w:rsidRPr="00C63180">
        <w:rPr>
          <w:rFonts w:ascii="Times New Roman" w:eastAsia="Times New Roman" w:hAnsi="Times New Roman" w:cs="Times New Roman"/>
        </w:rPr>
        <w:t>Baiman</w:t>
      </w:r>
      <w:proofErr w:type="spellEnd"/>
      <w:r w:rsidRPr="00C63180">
        <w:rPr>
          <w:rFonts w:ascii="Times New Roman" w:eastAsia="Times New Roman" w:hAnsi="Times New Roman" w:cs="Times New Roman"/>
        </w:rPr>
        <w:t xml:space="preserve">, R., Barclay, B., Hollander, S., </w:t>
      </w:r>
      <w:proofErr w:type="spellStart"/>
      <w:r w:rsidRPr="00C63180">
        <w:rPr>
          <w:rFonts w:ascii="Times New Roman" w:eastAsia="Times New Roman" w:hAnsi="Times New Roman" w:cs="Times New Roman"/>
        </w:rPr>
        <w:t>Kurban</w:t>
      </w:r>
      <w:proofErr w:type="spellEnd"/>
      <w:r w:rsidRPr="00C63180">
        <w:rPr>
          <w:rFonts w:ascii="Times New Roman" w:eastAsia="Times New Roman" w:hAnsi="Times New Roman" w:cs="Times New Roman"/>
        </w:rPr>
        <w:t xml:space="preserve">, H., </w:t>
      </w:r>
      <w:proofErr w:type="spellStart"/>
      <w:r w:rsidRPr="00C63180">
        <w:rPr>
          <w:rFonts w:ascii="Times New Roman" w:eastAsia="Times New Roman" w:hAnsi="Times New Roman" w:cs="Times New Roman"/>
        </w:rPr>
        <w:t>Persky</w:t>
      </w:r>
      <w:proofErr w:type="spellEnd"/>
      <w:r w:rsidRPr="00C63180">
        <w:rPr>
          <w:rFonts w:ascii="Times New Roman" w:eastAsia="Times New Roman" w:hAnsi="Times New Roman" w:cs="Times New Roman"/>
        </w:rPr>
        <w:t xml:space="preserve">, J., Redmond, E., &amp; </w:t>
      </w:r>
    </w:p>
    <w:p w14:paraId="279986C1" w14:textId="29FB7416" w:rsidR="00B84936" w:rsidRPr="00C63180" w:rsidRDefault="001D1521" w:rsidP="00F269C6">
      <w:pPr>
        <w:ind w:left="720"/>
        <w:rPr>
          <w:rFonts w:ascii="Times New Roman" w:eastAsia="Times New Roman" w:hAnsi="Times New Roman" w:cs="Times New Roman"/>
        </w:rPr>
      </w:pPr>
      <w:r w:rsidRPr="00C63180">
        <w:rPr>
          <w:rFonts w:ascii="Times New Roman" w:eastAsia="Times New Roman" w:hAnsi="Times New Roman" w:cs="Times New Roman"/>
        </w:rPr>
        <w:t xml:space="preserve">Rothenberg, M. (2012). “A Permanent Jobs Program for the U.S.: Economic Restructuring to Meet Human Needs,” </w:t>
      </w:r>
      <w:r w:rsidRPr="00C63180">
        <w:rPr>
          <w:rFonts w:ascii="Times New Roman" w:eastAsia="Times New Roman" w:hAnsi="Times New Roman" w:cs="Times New Roman"/>
          <w:i/>
        </w:rPr>
        <w:t>The Review of Black Political Economy</w:t>
      </w:r>
      <w:r w:rsidRPr="00C63180">
        <w:rPr>
          <w:rFonts w:ascii="Times New Roman" w:eastAsia="Times New Roman" w:hAnsi="Times New Roman" w:cs="Times New Roman"/>
        </w:rPr>
        <w:t xml:space="preserve">, Vol. 39, No. 1, pp. 29-41, Available online: </w:t>
      </w:r>
      <w:hyperlink r:id="rId25">
        <w:r w:rsidRPr="00C63180">
          <w:rPr>
            <w:rFonts w:ascii="Times New Roman" w:eastAsia="Times New Roman" w:hAnsi="Times New Roman" w:cs="Times New Roman"/>
            <w:color w:val="0000FF"/>
            <w:u w:val="single"/>
          </w:rPr>
          <w:t>https://www.researchgate.net/publication/225365312_A_Permanent_Jobs_Program_for_the_US_Economic_Restructuring_to_Meet_Human_Needs</w:t>
        </w:r>
      </w:hyperlink>
      <w:r w:rsidRPr="00C63180">
        <w:rPr>
          <w:rFonts w:ascii="Times New Roman" w:eastAsia="Times New Roman" w:hAnsi="Times New Roman" w:cs="Times New Roman"/>
        </w:rPr>
        <w:t>, [Accessed 10 March 2020].</w:t>
      </w:r>
    </w:p>
    <w:p w14:paraId="47D35ADA" w14:textId="77777777" w:rsidR="00B84936" w:rsidRPr="00C63180" w:rsidRDefault="00B84936">
      <w:pPr>
        <w:rPr>
          <w:rFonts w:ascii="Times New Roman" w:eastAsia="Times New Roman" w:hAnsi="Times New Roman" w:cs="Times New Roman"/>
        </w:rPr>
      </w:pPr>
    </w:p>
    <w:p w14:paraId="2EA14350" w14:textId="77777777" w:rsidR="00F269C6" w:rsidRPr="00C63180" w:rsidRDefault="001D1521">
      <w:pPr>
        <w:rPr>
          <w:rFonts w:ascii="Times New Roman" w:eastAsia="Times New Roman" w:hAnsi="Times New Roman" w:cs="Times New Roman"/>
        </w:rPr>
      </w:pPr>
      <w:proofErr w:type="gramStart"/>
      <w:r w:rsidRPr="00C63180">
        <w:rPr>
          <w:rFonts w:ascii="Times New Roman" w:eastAsia="Times New Roman" w:hAnsi="Times New Roman" w:cs="Times New Roman"/>
        </w:rPr>
        <w:t>Beatty, J. (2008).</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Age of Betrayal: The Triumph of Money in America, 1865-1900</w:t>
      </w:r>
      <w:r w:rsidRPr="00C63180">
        <w:rPr>
          <w:rFonts w:ascii="Times New Roman" w:eastAsia="Times New Roman" w:hAnsi="Times New Roman" w:cs="Times New Roman"/>
        </w:rPr>
        <w:t xml:space="preserve">, New </w:t>
      </w:r>
    </w:p>
    <w:p w14:paraId="125134A4" w14:textId="7BA02D4C" w:rsidR="00B84936" w:rsidRPr="00C63180" w:rsidRDefault="001D1521" w:rsidP="00F269C6">
      <w:pPr>
        <w:ind w:firstLine="720"/>
        <w:rPr>
          <w:rFonts w:ascii="Times New Roman" w:eastAsia="Times New Roman" w:hAnsi="Times New Roman" w:cs="Times New Roman"/>
        </w:rPr>
      </w:pPr>
      <w:r w:rsidRPr="00C63180">
        <w:rPr>
          <w:rFonts w:ascii="Times New Roman" w:eastAsia="Times New Roman" w:hAnsi="Times New Roman" w:cs="Times New Roman"/>
        </w:rPr>
        <w:t>York: Vintage. </w:t>
      </w:r>
    </w:p>
    <w:p w14:paraId="505D2A14" w14:textId="77777777" w:rsidR="00B84936" w:rsidRPr="00C63180" w:rsidRDefault="00B84936">
      <w:pPr>
        <w:spacing w:line="276" w:lineRule="auto"/>
        <w:rPr>
          <w:rFonts w:ascii="Times New Roman" w:eastAsia="Times New Roman" w:hAnsi="Times New Roman" w:cs="Times New Roman"/>
        </w:rPr>
      </w:pPr>
    </w:p>
    <w:p w14:paraId="4AF6C9A0" w14:textId="77777777" w:rsidR="00F269C6" w:rsidRPr="00C63180" w:rsidRDefault="001D1521" w:rsidP="00F269C6">
      <w:pPr>
        <w:spacing w:line="276" w:lineRule="auto"/>
        <w:rPr>
          <w:rFonts w:ascii="Times New Roman" w:eastAsia="Times New Roman" w:hAnsi="Times New Roman" w:cs="Times New Roman"/>
          <w:i/>
        </w:rPr>
      </w:pPr>
      <w:proofErr w:type="spellStart"/>
      <w:r w:rsidRPr="00C63180">
        <w:rPr>
          <w:rFonts w:ascii="Times New Roman" w:eastAsia="Times New Roman" w:hAnsi="Times New Roman" w:cs="Times New Roman"/>
        </w:rPr>
        <w:t>Bercusson</w:t>
      </w:r>
      <w:proofErr w:type="spellEnd"/>
      <w:r w:rsidRPr="00C63180">
        <w:rPr>
          <w:rFonts w:ascii="Times New Roman" w:eastAsia="Times New Roman" w:hAnsi="Times New Roman" w:cs="Times New Roman"/>
        </w:rPr>
        <w:t xml:space="preserve">, B. (1993). “European </w:t>
      </w:r>
      <w:proofErr w:type="spellStart"/>
      <w:r w:rsidRPr="00C63180">
        <w:rPr>
          <w:rFonts w:ascii="Times New Roman" w:eastAsia="Times New Roman" w:hAnsi="Times New Roman" w:cs="Times New Roman"/>
        </w:rPr>
        <w:t>Labour</w:t>
      </w:r>
      <w:proofErr w:type="spellEnd"/>
      <w:r w:rsidRPr="00C63180">
        <w:rPr>
          <w:rFonts w:ascii="Times New Roman" w:eastAsia="Times New Roman" w:hAnsi="Times New Roman" w:cs="Times New Roman"/>
        </w:rPr>
        <w:t xml:space="preserve"> Law and </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Bargaining,” </w:t>
      </w:r>
      <w:r w:rsidRPr="00C63180">
        <w:rPr>
          <w:rFonts w:ascii="Times New Roman" w:eastAsia="Times New Roman" w:hAnsi="Times New Roman" w:cs="Times New Roman"/>
          <w:i/>
        </w:rPr>
        <w:t xml:space="preserve">Industrial </w:t>
      </w:r>
    </w:p>
    <w:p w14:paraId="21242B71" w14:textId="78A1D344" w:rsidR="00B84936" w:rsidRPr="00C63180" w:rsidRDefault="001D1521" w:rsidP="00F269C6">
      <w:pPr>
        <w:spacing w:line="276" w:lineRule="auto"/>
        <w:ind w:left="720"/>
        <w:rPr>
          <w:rFonts w:ascii="Times New Roman" w:eastAsia="Times New Roman" w:hAnsi="Times New Roman" w:cs="Times New Roman"/>
        </w:rPr>
      </w:pPr>
      <w:r w:rsidRPr="00C63180">
        <w:rPr>
          <w:rFonts w:ascii="Times New Roman" w:eastAsia="Times New Roman" w:hAnsi="Times New Roman" w:cs="Times New Roman"/>
          <w:i/>
        </w:rPr>
        <w:t>Relations Journal</w:t>
      </w:r>
      <w:r w:rsidRPr="00C63180">
        <w:rPr>
          <w:rFonts w:ascii="Times New Roman" w:eastAsia="Times New Roman" w:hAnsi="Times New Roman" w:cs="Times New Roman"/>
        </w:rPr>
        <w:t xml:space="preserve">, Vol. 24, </w:t>
      </w:r>
      <w:proofErr w:type="gramStart"/>
      <w:r w:rsidRPr="00C63180">
        <w:rPr>
          <w:rFonts w:ascii="Times New Roman" w:eastAsia="Times New Roman" w:hAnsi="Times New Roman" w:cs="Times New Roman"/>
        </w:rPr>
        <w:t>No</w:t>
      </w:r>
      <w:proofErr w:type="gramEnd"/>
      <w:r w:rsidRPr="00C63180">
        <w:rPr>
          <w:rFonts w:ascii="Times New Roman" w:eastAsia="Times New Roman" w:hAnsi="Times New Roman" w:cs="Times New Roman"/>
        </w:rPr>
        <w:t xml:space="preserve">. 4, Available online: </w:t>
      </w:r>
      <w:hyperlink r:id="rId26">
        <w:r w:rsidRPr="00C63180">
          <w:rPr>
            <w:rFonts w:ascii="Times New Roman" w:eastAsia="Times New Roman" w:hAnsi="Times New Roman" w:cs="Times New Roman"/>
            <w:color w:val="1155CC"/>
            <w:u w:val="single"/>
          </w:rPr>
          <w:t>https://doi.org/10.1111/j.1468-2338.1993.tb00679.x</w:t>
        </w:r>
      </w:hyperlink>
      <w:r w:rsidRPr="00C63180">
        <w:rPr>
          <w:rFonts w:ascii="Times New Roman" w:eastAsia="Times New Roman" w:hAnsi="Times New Roman" w:cs="Times New Roman"/>
        </w:rPr>
        <w:t xml:space="preserve">, [Accessed 22 February 2020]. </w:t>
      </w:r>
    </w:p>
    <w:p w14:paraId="03A3504B" w14:textId="77777777" w:rsidR="00B84936" w:rsidRPr="00C63180" w:rsidRDefault="00B84936">
      <w:pPr>
        <w:rPr>
          <w:rFonts w:ascii="Times New Roman" w:eastAsia="Times New Roman" w:hAnsi="Times New Roman" w:cs="Times New Roman"/>
        </w:rPr>
      </w:pPr>
    </w:p>
    <w:p w14:paraId="2B4BF03D"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Bernstein, N. (2007).</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All Alone in the World: Children of the Incarcerated</w:t>
      </w:r>
      <w:r w:rsidRPr="00C63180">
        <w:rPr>
          <w:rFonts w:ascii="Times New Roman" w:eastAsia="Times New Roman" w:hAnsi="Times New Roman" w:cs="Times New Roman"/>
        </w:rPr>
        <w:t>,</w:t>
      </w:r>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New York: The New Press. </w:t>
      </w:r>
    </w:p>
    <w:p w14:paraId="1B4C2755" w14:textId="77777777" w:rsidR="00B84936" w:rsidRPr="00C63180" w:rsidRDefault="00B84936">
      <w:pPr>
        <w:rPr>
          <w:rFonts w:ascii="Times New Roman" w:eastAsia="Times New Roman" w:hAnsi="Times New Roman" w:cs="Times New Roman"/>
        </w:rPr>
      </w:pPr>
    </w:p>
    <w:p w14:paraId="538DB32E"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Berube</w:t>
      </w:r>
      <w:proofErr w:type="spellEnd"/>
      <w:r w:rsidRPr="00C63180">
        <w:rPr>
          <w:rFonts w:ascii="Times New Roman" w:eastAsia="Times New Roman" w:hAnsi="Times New Roman" w:cs="Times New Roman"/>
        </w:rPr>
        <w:t xml:space="preserve">, C. (2008). </w:t>
      </w:r>
      <w:r w:rsidRPr="00C63180">
        <w:rPr>
          <w:rFonts w:ascii="Times New Roman" w:eastAsia="Times New Roman" w:hAnsi="Times New Roman" w:cs="Times New Roman"/>
          <w:i/>
        </w:rPr>
        <w:t>The Unfinished Quest: The Plight of the Progressive Science Education in the Age of Standards</w:t>
      </w:r>
      <w:r w:rsidRPr="00C63180">
        <w:rPr>
          <w:rFonts w:ascii="Times New Roman" w:eastAsia="Times New Roman" w:hAnsi="Times New Roman" w:cs="Times New Roman"/>
        </w:rPr>
        <w:t>, Charlotte, North Carolina: Information Age Publishing.</w:t>
      </w:r>
    </w:p>
    <w:p w14:paraId="6742340C" w14:textId="77777777" w:rsidR="00CA61F0" w:rsidRPr="00C63180" w:rsidRDefault="00CA61F0" w:rsidP="00CA61F0">
      <w:pPr>
        <w:ind w:left="720" w:hanging="720"/>
        <w:rPr>
          <w:rFonts w:ascii="Times New Roman" w:eastAsia="Times New Roman" w:hAnsi="Times New Roman" w:cs="Times New Roman"/>
        </w:rPr>
      </w:pPr>
    </w:p>
    <w:p w14:paraId="7E1FDA9A"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Bishwakarma</w:t>
      </w:r>
      <w:proofErr w:type="spellEnd"/>
      <w:r w:rsidRPr="00C63180">
        <w:rPr>
          <w:rFonts w:ascii="Times New Roman" w:eastAsia="Times New Roman" w:hAnsi="Times New Roman" w:cs="Times New Roman"/>
        </w:rPr>
        <w:t xml:space="preserve">, R., Hunt, A. &amp; </w:t>
      </w:r>
      <w:proofErr w:type="spellStart"/>
      <w:r w:rsidRPr="00C63180">
        <w:rPr>
          <w:rFonts w:ascii="Times New Roman" w:eastAsia="Times New Roman" w:hAnsi="Times New Roman" w:cs="Times New Roman"/>
        </w:rPr>
        <w:t>Zajicek</w:t>
      </w:r>
      <w:proofErr w:type="spellEnd"/>
      <w:r w:rsidRPr="00C63180">
        <w:rPr>
          <w:rFonts w:ascii="Times New Roman" w:eastAsia="Times New Roman" w:hAnsi="Times New Roman" w:cs="Times New Roman"/>
        </w:rPr>
        <w:t xml:space="preserve">, A. (2007). </w:t>
      </w:r>
      <w:proofErr w:type="spellStart"/>
      <w:proofErr w:type="gramStart"/>
      <w:r w:rsidRPr="00C63180">
        <w:rPr>
          <w:rFonts w:ascii="Times New Roman" w:eastAsia="Times New Roman" w:hAnsi="Times New Roman" w:cs="Times New Roman"/>
          <w:i/>
        </w:rPr>
        <w:t>Intersectionality</w:t>
      </w:r>
      <w:proofErr w:type="spellEnd"/>
      <w:r w:rsidRPr="00C63180">
        <w:rPr>
          <w:rFonts w:ascii="Times New Roman" w:eastAsia="Times New Roman" w:hAnsi="Times New Roman" w:cs="Times New Roman"/>
          <w:i/>
        </w:rPr>
        <w:t xml:space="preserve"> and Informed Policy</w:t>
      </w:r>
      <w:r w:rsidRPr="00C63180">
        <w:rPr>
          <w:rFonts w:ascii="Times New Roman" w:eastAsia="Times New Roman" w:hAnsi="Times New Roman" w:cs="Times New Roman"/>
        </w:rPr>
        <w:t>, Manuscript.</w:t>
      </w:r>
      <w:proofErr w:type="gramEnd"/>
      <w:r w:rsidRPr="00C63180">
        <w:rPr>
          <w:rFonts w:ascii="Times New Roman" w:eastAsia="Times New Roman" w:hAnsi="Times New Roman" w:cs="Times New Roman"/>
        </w:rPr>
        <w:t> </w:t>
      </w:r>
    </w:p>
    <w:p w14:paraId="27123F8E" w14:textId="77777777" w:rsidR="00B84936" w:rsidRPr="00C63180" w:rsidRDefault="001D1521" w:rsidP="00CA61F0">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lastRenderedPageBreak/>
        <w:t>Bivens</w:t>
      </w:r>
      <w:proofErr w:type="spellEnd"/>
      <w:r w:rsidRPr="00C63180">
        <w:rPr>
          <w:rFonts w:ascii="Times New Roman" w:eastAsia="Times New Roman" w:hAnsi="Times New Roman" w:cs="Times New Roman"/>
        </w:rPr>
        <w:t xml:space="preserve">, J., </w:t>
      </w:r>
      <w:proofErr w:type="spellStart"/>
      <w:r w:rsidRPr="00C63180">
        <w:rPr>
          <w:rFonts w:ascii="Times New Roman" w:eastAsia="Times New Roman" w:hAnsi="Times New Roman" w:cs="Times New Roman"/>
        </w:rPr>
        <w:t>Engdahl</w:t>
      </w:r>
      <w:proofErr w:type="spellEnd"/>
      <w:r w:rsidRPr="00C63180">
        <w:rPr>
          <w:rFonts w:ascii="Times New Roman" w:eastAsia="Times New Roman" w:hAnsi="Times New Roman" w:cs="Times New Roman"/>
        </w:rPr>
        <w:t xml:space="preserve">, L., Gould, E., </w:t>
      </w:r>
      <w:proofErr w:type="spellStart"/>
      <w:r w:rsidRPr="00C63180">
        <w:rPr>
          <w:rFonts w:ascii="Times New Roman" w:eastAsia="Times New Roman" w:hAnsi="Times New Roman" w:cs="Times New Roman"/>
        </w:rPr>
        <w:t>Kroeger</w:t>
      </w:r>
      <w:proofErr w:type="spellEnd"/>
      <w:r w:rsidRPr="00C63180">
        <w:rPr>
          <w:rFonts w:ascii="Times New Roman" w:eastAsia="Times New Roman" w:hAnsi="Times New Roman" w:cs="Times New Roman"/>
        </w:rPr>
        <w:t xml:space="preserve">, T., </w:t>
      </w:r>
      <w:proofErr w:type="spellStart"/>
      <w:r w:rsidRPr="00C63180">
        <w:rPr>
          <w:rFonts w:ascii="Times New Roman" w:eastAsia="Times New Roman" w:hAnsi="Times New Roman" w:cs="Times New Roman"/>
        </w:rPr>
        <w:t>McNicholas</w:t>
      </w:r>
      <w:proofErr w:type="spellEnd"/>
      <w:r w:rsidRPr="00C63180">
        <w:rPr>
          <w:rFonts w:ascii="Times New Roman" w:eastAsia="Times New Roman" w:hAnsi="Times New Roman" w:cs="Times New Roman"/>
        </w:rPr>
        <w:t xml:space="preserve">, C., </w:t>
      </w:r>
      <w:proofErr w:type="spellStart"/>
      <w:r w:rsidRPr="00C63180">
        <w:rPr>
          <w:rFonts w:ascii="Times New Roman" w:eastAsia="Times New Roman" w:hAnsi="Times New Roman" w:cs="Times New Roman"/>
        </w:rPr>
        <w:t>Mishel</w:t>
      </w:r>
      <w:proofErr w:type="spellEnd"/>
      <w:r w:rsidRPr="00C63180">
        <w:rPr>
          <w:rFonts w:ascii="Times New Roman" w:eastAsia="Times New Roman" w:hAnsi="Times New Roman" w:cs="Times New Roman"/>
        </w:rPr>
        <w:t xml:space="preserve">, L., </w:t>
      </w:r>
      <w:proofErr w:type="spellStart"/>
      <w:r w:rsidRPr="00C63180">
        <w:rPr>
          <w:rFonts w:ascii="Times New Roman" w:eastAsia="Times New Roman" w:hAnsi="Times New Roman" w:cs="Times New Roman"/>
        </w:rPr>
        <w:t>Mokhiber</w:t>
      </w:r>
      <w:proofErr w:type="spellEnd"/>
      <w:r w:rsidRPr="00C63180">
        <w:rPr>
          <w:rFonts w:ascii="Times New Roman" w:eastAsia="Times New Roman" w:hAnsi="Times New Roman" w:cs="Times New Roman"/>
        </w:rPr>
        <w:t xml:space="preserve">, Z., </w:t>
      </w:r>
      <w:proofErr w:type="spellStart"/>
      <w:r w:rsidRPr="00C63180">
        <w:rPr>
          <w:rFonts w:ascii="Times New Roman" w:eastAsia="Times New Roman" w:hAnsi="Times New Roman" w:cs="Times New Roman"/>
        </w:rPr>
        <w:t>Shierholz</w:t>
      </w:r>
      <w:proofErr w:type="spellEnd"/>
      <w:r w:rsidRPr="00C63180">
        <w:rPr>
          <w:rFonts w:ascii="Times New Roman" w:eastAsia="Times New Roman" w:hAnsi="Times New Roman" w:cs="Times New Roman"/>
        </w:rPr>
        <w:t xml:space="preserve">, H., von </w:t>
      </w:r>
      <w:proofErr w:type="spellStart"/>
      <w:r w:rsidRPr="00C63180">
        <w:rPr>
          <w:rFonts w:ascii="Times New Roman" w:eastAsia="Times New Roman" w:hAnsi="Times New Roman" w:cs="Times New Roman"/>
        </w:rPr>
        <w:t>Wilpert</w:t>
      </w:r>
      <w:proofErr w:type="spellEnd"/>
      <w:r w:rsidRPr="00C63180">
        <w:rPr>
          <w:rFonts w:ascii="Times New Roman" w:eastAsia="Times New Roman" w:hAnsi="Times New Roman" w:cs="Times New Roman"/>
        </w:rPr>
        <w:t xml:space="preserve">, M., </w:t>
      </w:r>
      <w:proofErr w:type="spellStart"/>
      <w:r w:rsidRPr="00C63180">
        <w:rPr>
          <w:rFonts w:ascii="Times New Roman" w:eastAsia="Times New Roman" w:hAnsi="Times New Roman" w:cs="Times New Roman"/>
        </w:rPr>
        <w:t>Zipperer</w:t>
      </w:r>
      <w:proofErr w:type="spellEnd"/>
      <w:r w:rsidRPr="00C63180">
        <w:rPr>
          <w:rFonts w:ascii="Times New Roman" w:eastAsia="Times New Roman" w:hAnsi="Times New Roman" w:cs="Times New Roman"/>
        </w:rPr>
        <w:t>, B., &amp; Wilson, V. (2017).</w:t>
      </w:r>
      <w:proofErr w:type="gramEnd"/>
      <w:r w:rsidRPr="00C63180">
        <w:rPr>
          <w:rFonts w:ascii="Times New Roman" w:eastAsia="Times New Roman" w:hAnsi="Times New Roman" w:cs="Times New Roman"/>
        </w:rPr>
        <w:t xml:space="preserve"> “How </w:t>
      </w:r>
      <w:proofErr w:type="gramStart"/>
      <w:r w:rsidRPr="00C63180">
        <w:rPr>
          <w:rFonts w:ascii="Times New Roman" w:eastAsia="Times New Roman" w:hAnsi="Times New Roman" w:cs="Times New Roman"/>
        </w:rPr>
        <w:t>Today</w:t>
      </w:r>
      <w:proofErr w:type="gramEnd"/>
      <w:r w:rsidRPr="00C63180">
        <w:rPr>
          <w:rFonts w:ascii="Times New Roman" w:eastAsia="Times New Roman" w:hAnsi="Times New Roman" w:cs="Times New Roman"/>
        </w:rPr>
        <w:t xml:space="preserve">’s Unions Help Working People,” </w:t>
      </w:r>
      <w:r w:rsidRPr="00C63180">
        <w:rPr>
          <w:rFonts w:ascii="Times New Roman" w:eastAsia="Times New Roman" w:hAnsi="Times New Roman" w:cs="Times New Roman"/>
          <w:i/>
        </w:rPr>
        <w:t>Economic Policy Institute</w:t>
      </w:r>
      <w:r w:rsidRPr="00C63180">
        <w:rPr>
          <w:rFonts w:ascii="Times New Roman" w:eastAsia="Times New Roman" w:hAnsi="Times New Roman" w:cs="Times New Roman"/>
        </w:rPr>
        <w:t xml:space="preserve">, Available online: </w:t>
      </w:r>
      <w:hyperlink r:id="rId27">
        <w:r w:rsidRPr="00C63180">
          <w:rPr>
            <w:rFonts w:ascii="Times New Roman" w:eastAsia="Times New Roman" w:hAnsi="Times New Roman" w:cs="Times New Roman"/>
            <w:color w:val="1155CC"/>
            <w:u w:val="single"/>
          </w:rPr>
          <w:t>https://www.epi.org/files/pdf/133275.pdf</w:t>
        </w:r>
      </w:hyperlink>
      <w:r w:rsidRPr="00C63180">
        <w:rPr>
          <w:rFonts w:ascii="Times New Roman" w:eastAsia="Times New Roman" w:hAnsi="Times New Roman" w:cs="Times New Roman"/>
        </w:rPr>
        <w:t xml:space="preserve">, [Accessed 20 February 2020]. </w:t>
      </w:r>
    </w:p>
    <w:p w14:paraId="021CFCF0" w14:textId="77777777" w:rsidR="00B84936" w:rsidRPr="00C63180" w:rsidRDefault="00B84936">
      <w:pPr>
        <w:spacing w:line="276" w:lineRule="auto"/>
        <w:rPr>
          <w:rFonts w:ascii="Times New Roman" w:eastAsia="Times New Roman" w:hAnsi="Times New Roman" w:cs="Times New Roman"/>
        </w:rPr>
      </w:pPr>
    </w:p>
    <w:p w14:paraId="2D202834"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Buchholz, K. (2019). “Black Women’s Equal Pay Day: The Gender Pay Gap Visualized,” </w:t>
      </w:r>
      <w:proofErr w:type="spellStart"/>
      <w:r w:rsidRPr="00C63180">
        <w:rPr>
          <w:rFonts w:ascii="Times New Roman" w:eastAsia="Times New Roman" w:hAnsi="Times New Roman" w:cs="Times New Roman"/>
          <w:i/>
        </w:rPr>
        <w:t>Statista</w:t>
      </w:r>
      <w:proofErr w:type="spellEnd"/>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 xml:space="preserve">Available online: </w:t>
      </w:r>
      <w:hyperlink r:id="rId28">
        <w:r w:rsidRPr="00C63180">
          <w:rPr>
            <w:rFonts w:ascii="Times New Roman" w:eastAsia="Times New Roman" w:hAnsi="Times New Roman" w:cs="Times New Roman"/>
            <w:color w:val="1155CC"/>
            <w:u w:val="single"/>
          </w:rPr>
          <w:t>https://www.statista.com/chart/3958/gender-pay-gap-by-ethnicity/</w:t>
        </w:r>
      </w:hyperlink>
      <w:r w:rsidRPr="00C63180">
        <w:rPr>
          <w:rFonts w:ascii="Times New Roman" w:eastAsia="Times New Roman" w:hAnsi="Times New Roman" w:cs="Times New Roman"/>
        </w:rPr>
        <w:t xml:space="preserve">, [Accessed 10 February 2020]. </w:t>
      </w:r>
    </w:p>
    <w:p w14:paraId="45B32264" w14:textId="77777777" w:rsidR="00B84936" w:rsidRPr="00C63180" w:rsidRDefault="00B84936">
      <w:pPr>
        <w:spacing w:line="276" w:lineRule="auto"/>
        <w:rPr>
          <w:rFonts w:ascii="Times New Roman" w:eastAsia="Times New Roman" w:hAnsi="Times New Roman" w:cs="Times New Roman"/>
        </w:rPr>
      </w:pPr>
    </w:p>
    <w:p w14:paraId="043B3C76"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Bucknor</w:t>
      </w:r>
      <w:proofErr w:type="spellEnd"/>
      <w:r w:rsidRPr="00C63180">
        <w:rPr>
          <w:rFonts w:ascii="Times New Roman" w:eastAsia="Times New Roman" w:hAnsi="Times New Roman" w:cs="Times New Roman"/>
        </w:rPr>
        <w:t xml:space="preserve">, C. (2016). “Black Workers, Unions, and Inequality,” </w:t>
      </w:r>
      <w:r w:rsidRPr="00C63180">
        <w:rPr>
          <w:rFonts w:ascii="Times New Roman" w:eastAsia="Times New Roman" w:hAnsi="Times New Roman" w:cs="Times New Roman"/>
          <w:i/>
        </w:rPr>
        <w:t xml:space="preserve">Center for Economic and Policy </w:t>
      </w:r>
      <w:r w:rsidRPr="00C63180">
        <w:rPr>
          <w:rFonts w:ascii="Times New Roman" w:eastAsia="Times New Roman" w:hAnsi="Times New Roman" w:cs="Times New Roman"/>
        </w:rPr>
        <w:t xml:space="preserve">Research, Available online: </w:t>
      </w:r>
      <w:hyperlink r:id="rId29">
        <w:r w:rsidRPr="00C63180">
          <w:rPr>
            <w:rFonts w:ascii="Times New Roman" w:eastAsia="Times New Roman" w:hAnsi="Times New Roman" w:cs="Times New Roman"/>
            <w:color w:val="1155CC"/>
            <w:u w:val="single"/>
          </w:rPr>
          <w:t>https://cepr.net/images/stories/reports/black-workers-unions-2016-08.pdf?v=2</w:t>
        </w:r>
      </w:hyperlink>
      <w:r w:rsidRPr="00C63180">
        <w:rPr>
          <w:rFonts w:ascii="Times New Roman" w:eastAsia="Times New Roman" w:hAnsi="Times New Roman" w:cs="Times New Roman"/>
        </w:rPr>
        <w:t xml:space="preserve">, [Accessed 20 February 2020]. </w:t>
      </w:r>
    </w:p>
    <w:p w14:paraId="6F8B1E15" w14:textId="77777777" w:rsidR="00B84936" w:rsidRPr="00C63180" w:rsidRDefault="00B84936">
      <w:pPr>
        <w:rPr>
          <w:rFonts w:ascii="Times New Roman" w:eastAsia="Times New Roman" w:hAnsi="Times New Roman" w:cs="Times New Roman"/>
        </w:rPr>
      </w:pPr>
    </w:p>
    <w:p w14:paraId="470DF3B4"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Butterfield, S. (2018).</w:t>
      </w:r>
      <w:proofErr w:type="gramEnd"/>
      <w:r w:rsidRPr="00C63180">
        <w:rPr>
          <w:rFonts w:ascii="Times New Roman" w:eastAsia="Times New Roman" w:hAnsi="Times New Roman" w:cs="Times New Roman"/>
        </w:rPr>
        <w:t xml:space="preserve"> “Slack </w:t>
      </w:r>
      <w:proofErr w:type="gramStart"/>
      <w:r w:rsidRPr="00C63180">
        <w:rPr>
          <w:rFonts w:ascii="Times New Roman" w:eastAsia="Times New Roman" w:hAnsi="Times New Roman" w:cs="Times New Roman"/>
        </w:rPr>
        <w:t>Has</w:t>
      </w:r>
      <w:proofErr w:type="gramEnd"/>
      <w:r w:rsidRPr="00C63180">
        <w:rPr>
          <w:rFonts w:ascii="Times New Roman" w:eastAsia="Times New Roman" w:hAnsi="Times New Roman" w:cs="Times New Roman"/>
        </w:rPr>
        <w:t xml:space="preserve"> an ‘Open, Experimental Approach’ to Diversity, CEO Says,” Bloomberg</w:t>
      </w:r>
      <w:r w:rsidRPr="00C63180">
        <w:rPr>
          <w:rFonts w:ascii="Times New Roman" w:eastAsia="Times New Roman" w:hAnsi="Times New Roman" w:cs="Times New Roman"/>
          <w:i/>
        </w:rPr>
        <w:t xml:space="preserve"> Markets and Finance - YouTube</w:t>
      </w:r>
      <w:r w:rsidRPr="00C63180">
        <w:rPr>
          <w:rFonts w:ascii="Times New Roman" w:eastAsia="Times New Roman" w:hAnsi="Times New Roman" w:cs="Times New Roman"/>
        </w:rPr>
        <w:t xml:space="preserve">, Available online: </w:t>
      </w:r>
      <w:hyperlink r:id="rId30">
        <w:r w:rsidRPr="00C63180">
          <w:rPr>
            <w:rFonts w:ascii="Times New Roman" w:eastAsia="Times New Roman" w:hAnsi="Times New Roman" w:cs="Times New Roman"/>
            <w:color w:val="1155CC"/>
            <w:u w:val="single"/>
          </w:rPr>
          <w:t>https://www.youtube.com/watch?v=JpZij4inrIc</w:t>
        </w:r>
      </w:hyperlink>
      <w:r w:rsidRPr="00C63180">
        <w:rPr>
          <w:rFonts w:ascii="Times New Roman" w:eastAsia="Times New Roman" w:hAnsi="Times New Roman" w:cs="Times New Roman"/>
        </w:rPr>
        <w:t>, [Accessed 21 December 2019]. </w:t>
      </w:r>
    </w:p>
    <w:p w14:paraId="0EBAD2A5" w14:textId="77777777" w:rsidR="00CA61F0" w:rsidRPr="00C63180" w:rsidRDefault="00CA61F0" w:rsidP="00CA61F0">
      <w:pPr>
        <w:ind w:left="720" w:hanging="720"/>
        <w:rPr>
          <w:rFonts w:ascii="Times New Roman" w:eastAsia="Times New Roman" w:hAnsi="Times New Roman" w:cs="Times New Roman"/>
        </w:rPr>
      </w:pPr>
    </w:p>
    <w:p w14:paraId="7D4B25C4"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Canadian Research Institute for the Advancement of Women. (2006).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Feminist Frameworks: An Emerging Vision,” Available online: </w:t>
      </w:r>
      <w:hyperlink r:id="rId31">
        <w:r w:rsidRPr="00C63180">
          <w:rPr>
            <w:rFonts w:ascii="Times New Roman" w:eastAsia="Times New Roman" w:hAnsi="Times New Roman" w:cs="Times New Roman"/>
            <w:color w:val="1155CC"/>
            <w:u w:val="single"/>
          </w:rPr>
          <w:t>http://www.criaw-icref.ca</w:t>
        </w:r>
      </w:hyperlink>
      <w:r w:rsidRPr="00C63180">
        <w:rPr>
          <w:rFonts w:ascii="Times New Roman" w:eastAsia="Times New Roman" w:hAnsi="Times New Roman" w:cs="Times New Roman"/>
        </w:rPr>
        <w:t>, [Accessed 12 December 2019]. </w:t>
      </w:r>
    </w:p>
    <w:p w14:paraId="302FAB5B" w14:textId="77777777" w:rsidR="00CA61F0" w:rsidRPr="00C63180" w:rsidRDefault="00CA61F0" w:rsidP="00CA61F0">
      <w:pPr>
        <w:ind w:left="720" w:hanging="720"/>
        <w:rPr>
          <w:rFonts w:ascii="Times New Roman" w:eastAsia="Times New Roman" w:hAnsi="Times New Roman" w:cs="Times New Roman"/>
        </w:rPr>
      </w:pPr>
    </w:p>
    <w:p w14:paraId="46F4C730"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Carasthathis</w:t>
      </w:r>
      <w:proofErr w:type="spellEnd"/>
      <w:r w:rsidRPr="00C63180">
        <w:rPr>
          <w:rFonts w:ascii="Times New Roman" w:eastAsia="Times New Roman" w:hAnsi="Times New Roman" w:cs="Times New Roman"/>
        </w:rPr>
        <w:t xml:space="preserve">, A. (2016). </w:t>
      </w:r>
      <w:proofErr w:type="spellStart"/>
      <w:r w:rsidRPr="00C63180">
        <w:rPr>
          <w:rFonts w:ascii="Times New Roman" w:eastAsia="Times New Roman" w:hAnsi="Times New Roman" w:cs="Times New Roman"/>
          <w:i/>
        </w:rPr>
        <w:t>Intersectionality</w:t>
      </w:r>
      <w:proofErr w:type="spellEnd"/>
      <w:r w:rsidRPr="00C63180">
        <w:rPr>
          <w:rFonts w:ascii="Times New Roman" w:eastAsia="Times New Roman" w:hAnsi="Times New Roman" w:cs="Times New Roman"/>
          <w:i/>
        </w:rPr>
        <w:t xml:space="preserve">: Origins, Contestations, </w:t>
      </w:r>
      <w:proofErr w:type="gramStart"/>
      <w:r w:rsidRPr="00C63180">
        <w:rPr>
          <w:rFonts w:ascii="Times New Roman" w:eastAsia="Times New Roman" w:hAnsi="Times New Roman" w:cs="Times New Roman"/>
          <w:i/>
        </w:rPr>
        <w:t>Horizons</w:t>
      </w:r>
      <w:proofErr w:type="gramEnd"/>
      <w:r w:rsidRPr="00C63180">
        <w:rPr>
          <w:rFonts w:ascii="Times New Roman" w:eastAsia="Times New Roman" w:hAnsi="Times New Roman" w:cs="Times New Roman"/>
          <w:i/>
        </w:rPr>
        <w:t xml:space="preserve">. Expanding </w:t>
      </w:r>
      <w:r w:rsidRPr="00C63180">
        <w:rPr>
          <w:rFonts w:ascii="Times New Roman" w:eastAsia="Times New Roman" w:hAnsi="Times New Roman" w:cs="Times New Roman"/>
        </w:rPr>
        <w:t>Frontiers</w:t>
      </w:r>
      <w:r w:rsidRPr="00C63180">
        <w:rPr>
          <w:rFonts w:ascii="Times New Roman" w:eastAsia="Times New Roman" w:hAnsi="Times New Roman" w:cs="Times New Roman"/>
          <w:i/>
        </w:rPr>
        <w:t xml:space="preserve"> Interdisciplinary Approaches to Studies of Women, Gender, and Sexuality, </w:t>
      </w:r>
      <w:r w:rsidRPr="00C63180">
        <w:rPr>
          <w:rFonts w:ascii="Times New Roman" w:eastAsia="Times New Roman" w:hAnsi="Times New Roman" w:cs="Times New Roman"/>
        </w:rPr>
        <w:t>Lincoln, Nebraska: University of Nebraska Press.</w:t>
      </w:r>
    </w:p>
    <w:p w14:paraId="2FCD8A5E" w14:textId="77777777" w:rsidR="00CA61F0" w:rsidRPr="00C63180" w:rsidRDefault="00CA61F0" w:rsidP="00CA61F0">
      <w:pPr>
        <w:ind w:left="720" w:hanging="720"/>
        <w:rPr>
          <w:rFonts w:ascii="Times New Roman" w:eastAsia="Times New Roman" w:hAnsi="Times New Roman" w:cs="Times New Roman"/>
        </w:rPr>
      </w:pPr>
    </w:p>
    <w:p w14:paraId="378A675C"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 xml:space="preserve">Card, D., </w:t>
      </w:r>
      <w:proofErr w:type="spellStart"/>
      <w:r w:rsidRPr="00C63180">
        <w:rPr>
          <w:rFonts w:ascii="Times New Roman" w:eastAsia="Times New Roman" w:hAnsi="Times New Roman" w:cs="Times New Roman"/>
        </w:rPr>
        <w:t>Lemiuex</w:t>
      </w:r>
      <w:proofErr w:type="spellEnd"/>
      <w:r w:rsidRPr="00C63180">
        <w:rPr>
          <w:rFonts w:ascii="Times New Roman" w:eastAsia="Times New Roman" w:hAnsi="Times New Roman" w:cs="Times New Roman"/>
        </w:rPr>
        <w:t>, T., &amp; Riddell, W.C. (2004).</w:t>
      </w:r>
      <w:proofErr w:type="gramEnd"/>
      <w:r w:rsidRPr="00C63180">
        <w:rPr>
          <w:rFonts w:ascii="Times New Roman" w:eastAsia="Times New Roman" w:hAnsi="Times New Roman" w:cs="Times New Roman"/>
        </w:rPr>
        <w:t xml:space="preserve"> “Unions and Wage Inequality,” </w:t>
      </w:r>
      <w:r w:rsidRPr="00C63180">
        <w:rPr>
          <w:rFonts w:ascii="Times New Roman" w:eastAsia="Times New Roman" w:hAnsi="Times New Roman" w:cs="Times New Roman"/>
          <w:i/>
        </w:rPr>
        <w:t>Journal of Labor Research</w:t>
      </w:r>
      <w:r w:rsidRPr="00C63180">
        <w:rPr>
          <w:rFonts w:ascii="Times New Roman" w:eastAsia="Times New Roman" w:hAnsi="Times New Roman" w:cs="Times New Roman"/>
        </w:rPr>
        <w:t xml:space="preserve">, Vol. 25, No. 4, pp. 519-559. </w:t>
      </w:r>
    </w:p>
    <w:p w14:paraId="53AC15FA" w14:textId="77777777" w:rsidR="00B84936" w:rsidRPr="00C63180" w:rsidRDefault="00B84936">
      <w:pPr>
        <w:rPr>
          <w:rFonts w:ascii="Times New Roman" w:eastAsia="Times New Roman" w:hAnsi="Times New Roman" w:cs="Times New Roman"/>
        </w:rPr>
      </w:pPr>
    </w:p>
    <w:p w14:paraId="0BD404B2"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Cashman</w:t>
      </w:r>
      <w:proofErr w:type="spellEnd"/>
      <w:r w:rsidRPr="00C63180">
        <w:rPr>
          <w:rFonts w:ascii="Times New Roman" w:eastAsia="Times New Roman" w:hAnsi="Times New Roman" w:cs="Times New Roman"/>
        </w:rPr>
        <w:t xml:space="preserve">, S.D. (1993). </w:t>
      </w:r>
      <w:r w:rsidRPr="00C63180">
        <w:rPr>
          <w:rFonts w:ascii="Times New Roman" w:eastAsia="Times New Roman" w:hAnsi="Times New Roman" w:cs="Times New Roman"/>
          <w:i/>
        </w:rPr>
        <w:t>America in the Gilded Age: From the Death of Lincoln to the Rise of Theodore Roosevelt</w:t>
      </w:r>
      <w:r w:rsidRPr="00C63180">
        <w:rPr>
          <w:rFonts w:ascii="Times New Roman" w:eastAsia="Times New Roman" w:hAnsi="Times New Roman" w:cs="Times New Roman"/>
        </w:rPr>
        <w:t>, New York: New York University Press.</w:t>
      </w:r>
    </w:p>
    <w:p w14:paraId="5FC4D137" w14:textId="77777777" w:rsidR="00B84936" w:rsidRPr="00C63180" w:rsidRDefault="00B84936">
      <w:pPr>
        <w:rPr>
          <w:rFonts w:ascii="Times New Roman" w:eastAsia="Times New Roman" w:hAnsi="Times New Roman" w:cs="Times New Roman"/>
        </w:rPr>
      </w:pPr>
    </w:p>
    <w:p w14:paraId="1C9B1FCC"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Centers for Disease Control and Prevention.</w:t>
      </w:r>
      <w:proofErr w:type="gramEnd"/>
      <w:r w:rsidRPr="00C63180">
        <w:rPr>
          <w:rFonts w:ascii="Times New Roman" w:eastAsia="Times New Roman" w:hAnsi="Times New Roman" w:cs="Times New Roman"/>
        </w:rPr>
        <w:t xml:space="preserve"> (2019). “The Social-Ecological Model,” </w:t>
      </w:r>
      <w:r w:rsidRPr="00C63180">
        <w:rPr>
          <w:rFonts w:ascii="Times New Roman" w:eastAsia="Times New Roman" w:hAnsi="Times New Roman" w:cs="Times New Roman"/>
          <w:i/>
        </w:rPr>
        <w:t>Centers for Disease Control</w:t>
      </w:r>
      <w:r w:rsidRPr="00C63180">
        <w:rPr>
          <w:rFonts w:ascii="Times New Roman" w:eastAsia="Times New Roman" w:hAnsi="Times New Roman" w:cs="Times New Roman"/>
        </w:rPr>
        <w:t xml:space="preserve">, Available online: </w:t>
      </w:r>
      <w:hyperlink r:id="rId32">
        <w:r w:rsidRPr="00C63180">
          <w:rPr>
            <w:rFonts w:ascii="Times New Roman" w:eastAsia="Times New Roman" w:hAnsi="Times New Roman" w:cs="Times New Roman"/>
            <w:color w:val="1155CC"/>
            <w:u w:val="single"/>
          </w:rPr>
          <w:t>https://www.cdc.gov/violenceprevention/publichealthissue/social-ecologicalmodel.html?CDC_AA_refVal=https%3A%2F%2Fwww.cdc.gov%2Fviolenceprevention%2Foverview%2Fsocial-ecologicalmodel.html</w:t>
        </w:r>
      </w:hyperlink>
      <w:r w:rsidRPr="00C63180">
        <w:rPr>
          <w:rFonts w:ascii="Times New Roman" w:eastAsia="Times New Roman" w:hAnsi="Times New Roman" w:cs="Times New Roman"/>
        </w:rPr>
        <w:t>, [Accessed 2 January 2020].</w:t>
      </w:r>
    </w:p>
    <w:p w14:paraId="23A1DD0A" w14:textId="77777777" w:rsidR="00CA61F0" w:rsidRPr="00C63180" w:rsidRDefault="00CA61F0" w:rsidP="00CA61F0">
      <w:pPr>
        <w:ind w:left="720" w:hanging="720"/>
        <w:rPr>
          <w:rFonts w:ascii="Times New Roman" w:eastAsia="Times New Roman" w:hAnsi="Times New Roman" w:cs="Times New Roman"/>
        </w:rPr>
      </w:pPr>
    </w:p>
    <w:p w14:paraId="061F8F68"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Chetty</w:t>
      </w:r>
      <w:proofErr w:type="spellEnd"/>
      <w:r w:rsidRPr="00C63180">
        <w:rPr>
          <w:rFonts w:ascii="Times New Roman" w:eastAsia="Times New Roman" w:hAnsi="Times New Roman" w:cs="Times New Roman"/>
        </w:rPr>
        <w:t xml:space="preserve">, R., </w:t>
      </w:r>
      <w:proofErr w:type="spellStart"/>
      <w:r w:rsidRPr="00C63180">
        <w:rPr>
          <w:rFonts w:ascii="Times New Roman" w:eastAsia="Times New Roman" w:hAnsi="Times New Roman" w:cs="Times New Roman"/>
        </w:rPr>
        <w:t>Hendren</w:t>
      </w:r>
      <w:proofErr w:type="spellEnd"/>
      <w:r w:rsidRPr="00C63180">
        <w:rPr>
          <w:rFonts w:ascii="Times New Roman" w:eastAsia="Times New Roman" w:hAnsi="Times New Roman" w:cs="Times New Roman"/>
        </w:rPr>
        <w:t xml:space="preserve">, N., Jones, M., &amp; Porter, S. (2018). “Race and Economic Opportunity in the United States: An Intergenerational Perspective.” Working Paper No. 24441, </w:t>
      </w:r>
      <w:r w:rsidRPr="00C63180">
        <w:rPr>
          <w:rFonts w:ascii="Times New Roman" w:eastAsia="Times New Roman" w:hAnsi="Times New Roman" w:cs="Times New Roman"/>
          <w:i/>
        </w:rPr>
        <w:t>The National Bureau of Economic Research</w:t>
      </w:r>
      <w:r w:rsidRPr="00C63180">
        <w:rPr>
          <w:rFonts w:ascii="Times New Roman" w:eastAsia="Times New Roman" w:hAnsi="Times New Roman" w:cs="Times New Roman"/>
        </w:rPr>
        <w:t xml:space="preserve">. Available online: </w:t>
      </w:r>
      <w:hyperlink r:id="rId33">
        <w:r w:rsidRPr="00C63180">
          <w:rPr>
            <w:rFonts w:ascii="Times New Roman" w:eastAsia="Times New Roman" w:hAnsi="Times New Roman" w:cs="Times New Roman"/>
            <w:color w:val="1155CC"/>
            <w:u w:val="single"/>
          </w:rPr>
          <w:t>https://www.nber.org/papers/w24441</w:t>
        </w:r>
      </w:hyperlink>
      <w:r w:rsidRPr="00C63180">
        <w:rPr>
          <w:rFonts w:ascii="Times New Roman" w:eastAsia="Times New Roman" w:hAnsi="Times New Roman" w:cs="Times New Roman"/>
        </w:rPr>
        <w:t xml:space="preserve">, [Accessed 22 February 2020]. </w:t>
      </w:r>
    </w:p>
    <w:p w14:paraId="13A99F67" w14:textId="77777777" w:rsidR="00CA61F0" w:rsidRPr="00C63180" w:rsidRDefault="00CA61F0" w:rsidP="00CA61F0">
      <w:pPr>
        <w:ind w:left="720" w:hanging="720"/>
        <w:rPr>
          <w:rFonts w:ascii="Times New Roman" w:eastAsia="Times New Roman" w:hAnsi="Times New Roman" w:cs="Times New Roman"/>
        </w:rPr>
      </w:pPr>
    </w:p>
    <w:p w14:paraId="03CD4866"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Child and Adolescent Health Measurement Initiative. (2016). </w:t>
      </w:r>
      <w:r w:rsidRPr="00C63180">
        <w:rPr>
          <w:rFonts w:ascii="Times New Roman" w:eastAsia="Times New Roman" w:hAnsi="Times New Roman" w:cs="Times New Roman"/>
          <w:i/>
        </w:rPr>
        <w:t>Bloomberg School of Public Health</w:t>
      </w:r>
      <w:r w:rsidRPr="00C63180">
        <w:rPr>
          <w:rFonts w:ascii="Times New Roman" w:eastAsia="Times New Roman" w:hAnsi="Times New Roman" w:cs="Times New Roman"/>
        </w:rPr>
        <w:t xml:space="preserve">, Baltimore, Maryland: Johns Hopkins University, Available online: </w:t>
      </w:r>
      <w:hyperlink r:id="rId34">
        <w:r w:rsidRPr="00C63180">
          <w:rPr>
            <w:rFonts w:ascii="Times New Roman" w:eastAsia="Times New Roman" w:hAnsi="Times New Roman" w:cs="Times New Roman"/>
            <w:color w:val="1155CC"/>
            <w:u w:val="single"/>
          </w:rPr>
          <w:t>https://www.jhsph.edu/departments/population-family-and-reproductive-health/child-adolescent-health-measurement-initiative/</w:t>
        </w:r>
      </w:hyperlink>
      <w:r w:rsidRPr="00C63180">
        <w:rPr>
          <w:rFonts w:ascii="Times New Roman" w:eastAsia="Times New Roman" w:hAnsi="Times New Roman" w:cs="Times New Roman"/>
        </w:rPr>
        <w:t>, [Accessed 23 December 2019].</w:t>
      </w:r>
    </w:p>
    <w:p w14:paraId="755F2CB2" w14:textId="77777777" w:rsidR="00B84936" w:rsidRPr="00C63180" w:rsidRDefault="00B84936">
      <w:pPr>
        <w:rPr>
          <w:rFonts w:ascii="Times New Roman" w:eastAsia="Times New Roman" w:hAnsi="Times New Roman" w:cs="Times New Roman"/>
        </w:rPr>
      </w:pPr>
    </w:p>
    <w:p w14:paraId="5F4298FB"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City of Philadelphia.</w:t>
      </w:r>
      <w:proofErr w:type="gramEnd"/>
      <w:r w:rsidRPr="00C63180">
        <w:rPr>
          <w:rFonts w:ascii="Times New Roman" w:eastAsia="Times New Roman" w:hAnsi="Times New Roman" w:cs="Times New Roman"/>
        </w:rPr>
        <w:t xml:space="preserve"> (2020). Fair Chance Hiring Initiative, </w:t>
      </w:r>
      <w:r w:rsidRPr="00C63180">
        <w:rPr>
          <w:rFonts w:ascii="Times New Roman" w:eastAsia="Times New Roman" w:hAnsi="Times New Roman" w:cs="Times New Roman"/>
          <w:i/>
        </w:rPr>
        <w:t>City of Philadelphia Employer Services</w:t>
      </w:r>
      <w:r w:rsidRPr="00C63180">
        <w:rPr>
          <w:rFonts w:ascii="Times New Roman" w:eastAsia="Times New Roman" w:hAnsi="Times New Roman" w:cs="Times New Roman"/>
        </w:rPr>
        <w:t xml:space="preserve">, </w:t>
      </w:r>
      <w:proofErr w:type="gramStart"/>
      <w:r w:rsidRPr="00C63180">
        <w:rPr>
          <w:rFonts w:ascii="Times New Roman" w:eastAsia="Times New Roman" w:hAnsi="Times New Roman" w:cs="Times New Roman"/>
        </w:rPr>
        <w:t>Available</w:t>
      </w:r>
      <w:proofErr w:type="gramEnd"/>
      <w:r w:rsidRPr="00C63180">
        <w:rPr>
          <w:rFonts w:ascii="Times New Roman" w:eastAsia="Times New Roman" w:hAnsi="Times New Roman" w:cs="Times New Roman"/>
        </w:rPr>
        <w:t xml:space="preserve"> online: </w:t>
      </w:r>
      <w:hyperlink r:id="rId35">
        <w:r w:rsidRPr="00C63180">
          <w:rPr>
            <w:rFonts w:ascii="Times New Roman" w:eastAsia="Times New Roman" w:hAnsi="Times New Roman" w:cs="Times New Roman"/>
            <w:color w:val="1155CC"/>
            <w:u w:val="single"/>
          </w:rPr>
          <w:t>https://www.phila.gov/rise/employer/Pages/Initiative.aspx</w:t>
        </w:r>
      </w:hyperlink>
      <w:r w:rsidRPr="00C63180">
        <w:rPr>
          <w:rFonts w:ascii="Times New Roman" w:eastAsia="Times New Roman" w:hAnsi="Times New Roman" w:cs="Times New Roman"/>
        </w:rPr>
        <w:t>, [Accessed 2 January 2020]. </w:t>
      </w:r>
    </w:p>
    <w:p w14:paraId="18F3B9D1" w14:textId="77777777" w:rsidR="00B84936" w:rsidRPr="00C63180" w:rsidRDefault="00B84936">
      <w:pPr>
        <w:spacing w:line="276" w:lineRule="auto"/>
        <w:rPr>
          <w:rFonts w:ascii="Times New Roman" w:eastAsia="Times New Roman" w:hAnsi="Times New Roman" w:cs="Times New Roman"/>
        </w:rPr>
      </w:pPr>
    </w:p>
    <w:p w14:paraId="592C383A"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Colins</w:t>
      </w:r>
      <w:proofErr w:type="spellEnd"/>
      <w:r w:rsidRPr="00C63180">
        <w:rPr>
          <w:rFonts w:ascii="Times New Roman" w:eastAsia="Times New Roman" w:hAnsi="Times New Roman" w:cs="Times New Roman"/>
        </w:rPr>
        <w:t xml:space="preserve">, C. &amp; Hoxie, J. (2017). “Billionaire Bonanza: The Forbes 400 and the Rest of Us,” </w:t>
      </w:r>
      <w:r w:rsidRPr="00C63180">
        <w:rPr>
          <w:rFonts w:ascii="Times New Roman" w:eastAsia="Times New Roman" w:hAnsi="Times New Roman" w:cs="Times New Roman"/>
          <w:i/>
        </w:rPr>
        <w:t>Institute for Policy Studies</w:t>
      </w:r>
      <w:r w:rsidRPr="00C63180">
        <w:rPr>
          <w:rFonts w:ascii="Times New Roman" w:eastAsia="Times New Roman" w:hAnsi="Times New Roman" w:cs="Times New Roman"/>
        </w:rPr>
        <w:t xml:space="preserve">, Available online: </w:t>
      </w:r>
      <w:hyperlink r:id="rId36">
        <w:r w:rsidRPr="00C63180">
          <w:rPr>
            <w:rFonts w:ascii="Times New Roman" w:eastAsia="Times New Roman" w:hAnsi="Times New Roman" w:cs="Times New Roman"/>
            <w:color w:val="1155CC"/>
            <w:u w:val="single"/>
          </w:rPr>
          <w:t>https://inequality.org/wp-content/uploads/2017/11/BILLIONAIRE-BONANZA-2017-Embargoed.pdf</w:t>
        </w:r>
      </w:hyperlink>
      <w:r w:rsidRPr="00C63180">
        <w:rPr>
          <w:rFonts w:ascii="Times New Roman" w:eastAsia="Times New Roman" w:hAnsi="Times New Roman" w:cs="Times New Roman"/>
        </w:rPr>
        <w:t>, [Accessed 23 January 2020].</w:t>
      </w:r>
    </w:p>
    <w:p w14:paraId="5BE28AA5" w14:textId="77777777" w:rsidR="00CA61F0" w:rsidRPr="00C63180" w:rsidRDefault="00CA61F0" w:rsidP="00CA61F0">
      <w:pPr>
        <w:ind w:left="720" w:hanging="720"/>
        <w:rPr>
          <w:rFonts w:ascii="Times New Roman" w:eastAsia="Times New Roman" w:hAnsi="Times New Roman" w:cs="Times New Roman"/>
        </w:rPr>
      </w:pPr>
    </w:p>
    <w:p w14:paraId="1075F6D8"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Collins, P.H. (2019). </w:t>
      </w:r>
      <w:proofErr w:type="spellStart"/>
      <w:proofErr w:type="gram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i/>
        </w:rPr>
        <w:t xml:space="preserve"> as Critical Social Theory</w:t>
      </w:r>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Durham: Duke University Press.</w:t>
      </w:r>
    </w:p>
    <w:p w14:paraId="58C5462C" w14:textId="77777777" w:rsidR="00CA61F0" w:rsidRPr="00C63180" w:rsidRDefault="00CA61F0" w:rsidP="00CA61F0">
      <w:pPr>
        <w:ind w:left="720" w:hanging="720"/>
        <w:rPr>
          <w:rFonts w:ascii="Times New Roman" w:eastAsia="Times New Roman" w:hAnsi="Times New Roman" w:cs="Times New Roman"/>
        </w:rPr>
      </w:pPr>
    </w:p>
    <w:p w14:paraId="188B73EB"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Collins, P.H. &amp; Bilge, S. (2016). </w:t>
      </w:r>
      <w:proofErr w:type="spellStart"/>
      <w:r w:rsidRPr="00C63180">
        <w:rPr>
          <w:rFonts w:ascii="Times New Roman" w:eastAsia="Times New Roman" w:hAnsi="Times New Roman" w:cs="Times New Roman"/>
          <w:i/>
        </w:rPr>
        <w:t>Intersectionality</w:t>
      </w:r>
      <w:proofErr w:type="spellEnd"/>
      <w:r w:rsidRPr="00C63180">
        <w:rPr>
          <w:rFonts w:ascii="Times New Roman" w:eastAsia="Times New Roman" w:hAnsi="Times New Roman" w:cs="Times New Roman"/>
          <w:i/>
        </w:rPr>
        <w:t xml:space="preserve"> (Key Concepts)</w:t>
      </w:r>
      <w:r w:rsidRPr="00C63180">
        <w:rPr>
          <w:rFonts w:ascii="Times New Roman" w:eastAsia="Times New Roman" w:hAnsi="Times New Roman" w:cs="Times New Roman"/>
        </w:rPr>
        <w:t>, Cambridge: Polity.</w:t>
      </w:r>
    </w:p>
    <w:p w14:paraId="3CBDC7CF" w14:textId="77777777" w:rsidR="00CA61F0" w:rsidRPr="00C63180" w:rsidRDefault="00CA61F0" w:rsidP="00CA61F0">
      <w:pPr>
        <w:ind w:left="720" w:hanging="720"/>
        <w:rPr>
          <w:rFonts w:ascii="Times New Roman" w:eastAsia="Times New Roman" w:hAnsi="Times New Roman" w:cs="Times New Roman"/>
        </w:rPr>
      </w:pPr>
    </w:p>
    <w:p w14:paraId="38EAC1BB"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Combahee River Collective.</w:t>
      </w:r>
      <w:proofErr w:type="gramEnd"/>
      <w:r w:rsidRPr="00C63180">
        <w:rPr>
          <w:rFonts w:ascii="Times New Roman" w:eastAsia="Times New Roman" w:hAnsi="Times New Roman" w:cs="Times New Roman"/>
        </w:rPr>
        <w:t xml:space="preserve"> (2000). “Combahee River Collective Statement.” In Smith, B., (</w:t>
      </w:r>
      <w:proofErr w:type="spellStart"/>
      <w:r w:rsidRPr="00C63180">
        <w:rPr>
          <w:rFonts w:ascii="Times New Roman" w:eastAsia="Times New Roman" w:hAnsi="Times New Roman" w:cs="Times New Roman"/>
        </w:rPr>
        <w:t>ed</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Home Girls: A Black Feminist Anthology,</w:t>
      </w:r>
      <w:r w:rsidRPr="00C63180">
        <w:rPr>
          <w:rFonts w:ascii="Times New Roman" w:eastAsia="Times New Roman" w:hAnsi="Times New Roman" w:cs="Times New Roman"/>
        </w:rPr>
        <w:t xml:space="preserve"> </w:t>
      </w:r>
      <w:proofErr w:type="gramStart"/>
      <w:r w:rsidRPr="00C63180">
        <w:rPr>
          <w:rFonts w:ascii="Times New Roman" w:eastAsia="Times New Roman" w:hAnsi="Times New Roman" w:cs="Times New Roman"/>
        </w:rPr>
        <w:t>New</w:t>
      </w:r>
      <w:proofErr w:type="gramEnd"/>
      <w:r w:rsidRPr="00C63180">
        <w:rPr>
          <w:rFonts w:ascii="Times New Roman" w:eastAsia="Times New Roman" w:hAnsi="Times New Roman" w:cs="Times New Roman"/>
        </w:rPr>
        <w:t xml:space="preserve"> Brunswick, New Jersey: Rutgers University Press.</w:t>
      </w:r>
    </w:p>
    <w:p w14:paraId="57A7361A" w14:textId="77777777" w:rsidR="00CA61F0" w:rsidRPr="00C63180" w:rsidRDefault="00CA61F0" w:rsidP="00CA61F0">
      <w:pPr>
        <w:ind w:left="720" w:hanging="720"/>
        <w:rPr>
          <w:rFonts w:ascii="Times New Roman" w:eastAsia="Times New Roman" w:hAnsi="Times New Roman" w:cs="Times New Roman"/>
        </w:rPr>
      </w:pPr>
    </w:p>
    <w:p w14:paraId="21170817"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Crain, M., Poster, W., &amp; Cherry, M. (2016).</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Invisible Labor: Hidden Work in the Contemporary World</w:t>
      </w:r>
      <w:r w:rsidRPr="00C63180">
        <w:rPr>
          <w:rFonts w:ascii="Times New Roman" w:eastAsia="Times New Roman" w:hAnsi="Times New Roman" w:cs="Times New Roman"/>
        </w:rPr>
        <w:t xml:space="preserve">, Berkeley, California: University of California Press. </w:t>
      </w:r>
    </w:p>
    <w:p w14:paraId="0B9E1614" w14:textId="77777777" w:rsidR="00B84936" w:rsidRPr="00C63180" w:rsidRDefault="00B84936">
      <w:pPr>
        <w:rPr>
          <w:rFonts w:ascii="Times New Roman" w:eastAsia="Times New Roman" w:hAnsi="Times New Roman" w:cs="Times New Roman"/>
        </w:rPr>
      </w:pPr>
    </w:p>
    <w:p w14:paraId="4AC1A7D3"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Crenshaw, K.W. (1991).</w:t>
      </w:r>
      <w:proofErr w:type="gramEnd"/>
      <w:r w:rsidRPr="00C63180">
        <w:rPr>
          <w:rFonts w:ascii="Times New Roman" w:eastAsia="Times New Roman" w:hAnsi="Times New Roman" w:cs="Times New Roman"/>
        </w:rPr>
        <w:t xml:space="preserve"> “Mapping the Margins: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Identity Politics, and Violence against Women of Color,” </w:t>
      </w:r>
      <w:r w:rsidRPr="00C63180">
        <w:rPr>
          <w:rFonts w:ascii="Times New Roman" w:eastAsia="Times New Roman" w:hAnsi="Times New Roman" w:cs="Times New Roman"/>
          <w:i/>
        </w:rPr>
        <w:t xml:space="preserve">Stanford Law Review, </w:t>
      </w:r>
      <w:r w:rsidRPr="00C63180">
        <w:rPr>
          <w:rFonts w:ascii="Times New Roman" w:eastAsia="Times New Roman" w:hAnsi="Times New Roman" w:cs="Times New Roman"/>
        </w:rPr>
        <w:t xml:space="preserve">Vol. 43, No. 6, pp. 1241-1299, Available online: </w:t>
      </w:r>
      <w:hyperlink r:id="rId37">
        <w:r w:rsidRPr="00C63180">
          <w:rPr>
            <w:rFonts w:ascii="Times New Roman" w:eastAsia="Times New Roman" w:hAnsi="Times New Roman" w:cs="Times New Roman"/>
            <w:color w:val="0000FF"/>
            <w:u w:val="single"/>
          </w:rPr>
          <w:t>https://www.jstor.org/stable/1229039</w:t>
        </w:r>
      </w:hyperlink>
      <w:r w:rsidRPr="00C63180">
        <w:rPr>
          <w:rFonts w:ascii="Times New Roman" w:eastAsia="Times New Roman" w:hAnsi="Times New Roman" w:cs="Times New Roman"/>
        </w:rPr>
        <w:t>, [Accessed 14 December 2019].</w:t>
      </w:r>
    </w:p>
    <w:p w14:paraId="02502A17" w14:textId="77777777" w:rsidR="00B84936" w:rsidRPr="00C63180" w:rsidRDefault="00B84936">
      <w:pPr>
        <w:rPr>
          <w:rFonts w:ascii="Times New Roman" w:eastAsia="Times New Roman" w:hAnsi="Times New Roman" w:cs="Times New Roman"/>
        </w:rPr>
      </w:pPr>
    </w:p>
    <w:p w14:paraId="14160817" w14:textId="77777777" w:rsidR="00CA61F0"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Davies, D., &amp; Dodd, J. (2002). “Qualitative Research and The Question of Rigor,” </w:t>
      </w:r>
      <w:r w:rsidRPr="00C63180">
        <w:rPr>
          <w:rFonts w:ascii="Times New Roman" w:eastAsia="Times New Roman" w:hAnsi="Times New Roman" w:cs="Times New Roman"/>
          <w:i/>
        </w:rPr>
        <w:t>Qualitative Health Research</w:t>
      </w:r>
      <w:r w:rsidRPr="00C63180">
        <w:rPr>
          <w:rFonts w:ascii="Times New Roman" w:eastAsia="Times New Roman" w:hAnsi="Times New Roman" w:cs="Times New Roman"/>
        </w:rPr>
        <w:t xml:space="preserve">, Vol. 12, No. 2, pp. 279-289, Available online: </w:t>
      </w:r>
      <w:hyperlink r:id="rId38">
        <w:r w:rsidRPr="00C63180">
          <w:rPr>
            <w:rFonts w:ascii="Times New Roman" w:eastAsia="Times New Roman" w:hAnsi="Times New Roman" w:cs="Times New Roman"/>
            <w:color w:val="0000FF"/>
            <w:u w:val="single"/>
          </w:rPr>
          <w:t>https://doi.org/10.1177/104973230201200211</w:t>
        </w:r>
      </w:hyperlink>
      <w:r w:rsidRPr="00C63180">
        <w:rPr>
          <w:rFonts w:ascii="Times New Roman" w:eastAsia="Times New Roman" w:hAnsi="Times New Roman" w:cs="Times New Roman"/>
        </w:rPr>
        <w:t>, [Accessed 18 December 2019].    </w:t>
      </w:r>
    </w:p>
    <w:p w14:paraId="586B5F10" w14:textId="2C411DB8"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 </w:t>
      </w:r>
    </w:p>
    <w:p w14:paraId="2A2AD730"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Dolado</w:t>
      </w:r>
      <w:proofErr w:type="spellEnd"/>
      <w:r w:rsidRPr="00C63180">
        <w:rPr>
          <w:rFonts w:ascii="Times New Roman" w:eastAsia="Times New Roman" w:hAnsi="Times New Roman" w:cs="Times New Roman"/>
        </w:rPr>
        <w:t xml:space="preserve">, J. </w:t>
      </w:r>
      <w:proofErr w:type="spellStart"/>
      <w:r w:rsidRPr="00C63180">
        <w:rPr>
          <w:rFonts w:ascii="Times New Roman" w:eastAsia="Times New Roman" w:hAnsi="Times New Roman" w:cs="Times New Roman"/>
        </w:rPr>
        <w:t>Kramarz</w:t>
      </w:r>
      <w:proofErr w:type="spellEnd"/>
      <w:r w:rsidRPr="00C63180">
        <w:rPr>
          <w:rFonts w:ascii="Times New Roman" w:eastAsia="Times New Roman" w:hAnsi="Times New Roman" w:cs="Times New Roman"/>
        </w:rPr>
        <w:t xml:space="preserve">, F., </w:t>
      </w:r>
      <w:proofErr w:type="spellStart"/>
      <w:r w:rsidRPr="00C63180">
        <w:rPr>
          <w:rFonts w:ascii="Times New Roman" w:eastAsia="Times New Roman" w:hAnsi="Times New Roman" w:cs="Times New Roman"/>
        </w:rPr>
        <w:t>Machin</w:t>
      </w:r>
      <w:proofErr w:type="spellEnd"/>
      <w:r w:rsidRPr="00C63180">
        <w:rPr>
          <w:rFonts w:ascii="Times New Roman" w:eastAsia="Times New Roman" w:hAnsi="Times New Roman" w:cs="Times New Roman"/>
        </w:rPr>
        <w:t xml:space="preserve">, S., Manning, A., Margolis, D., </w:t>
      </w:r>
      <w:proofErr w:type="spellStart"/>
      <w:r w:rsidRPr="00C63180">
        <w:rPr>
          <w:rFonts w:ascii="Times New Roman" w:eastAsia="Times New Roman" w:hAnsi="Times New Roman" w:cs="Times New Roman"/>
        </w:rPr>
        <w:t>Teulings</w:t>
      </w:r>
      <w:proofErr w:type="spellEnd"/>
      <w:r w:rsidRPr="00C63180">
        <w:rPr>
          <w:rFonts w:ascii="Times New Roman" w:eastAsia="Times New Roman" w:hAnsi="Times New Roman" w:cs="Times New Roman"/>
        </w:rPr>
        <w:t xml:space="preserve">, C., </w:t>
      </w:r>
      <w:proofErr w:type="gramStart"/>
      <w:r w:rsidRPr="00C63180">
        <w:rPr>
          <w:rFonts w:ascii="Times New Roman" w:eastAsia="Times New Roman" w:hAnsi="Times New Roman" w:cs="Times New Roman"/>
        </w:rPr>
        <w:t>Saint-Paul</w:t>
      </w:r>
      <w:proofErr w:type="gramEnd"/>
      <w:r w:rsidRPr="00C63180">
        <w:rPr>
          <w:rFonts w:ascii="Times New Roman" w:eastAsia="Times New Roman" w:hAnsi="Times New Roman" w:cs="Times New Roman"/>
        </w:rPr>
        <w:t>, G. &amp; Keen, M. (1996). “The Economic Impact of Minimum Wages in Europe</w:t>
      </w:r>
      <w:r w:rsidRPr="00C63180">
        <w:rPr>
          <w:rFonts w:ascii="Times New Roman" w:eastAsia="Times New Roman" w:hAnsi="Times New Roman" w:cs="Times New Roman"/>
          <w:i/>
        </w:rPr>
        <w:t>,” Economic Policy</w:t>
      </w:r>
      <w:r w:rsidRPr="00C63180">
        <w:rPr>
          <w:rFonts w:ascii="Times New Roman" w:eastAsia="Times New Roman" w:hAnsi="Times New Roman" w:cs="Times New Roman"/>
        </w:rPr>
        <w:t xml:space="preserve"> 11 (23): 317-372. </w:t>
      </w:r>
    </w:p>
    <w:p w14:paraId="6CABC0F2" w14:textId="77777777" w:rsidR="00CA61F0" w:rsidRPr="00C63180" w:rsidRDefault="00CA61F0" w:rsidP="00CA61F0">
      <w:pPr>
        <w:ind w:left="720" w:hanging="720"/>
        <w:rPr>
          <w:rFonts w:ascii="Times New Roman" w:eastAsia="Times New Roman" w:hAnsi="Times New Roman" w:cs="Times New Roman"/>
        </w:rPr>
      </w:pPr>
    </w:p>
    <w:p w14:paraId="488E05E8"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Dube</w:t>
      </w:r>
      <w:proofErr w:type="spellEnd"/>
      <w:r w:rsidRPr="00C63180">
        <w:rPr>
          <w:rFonts w:ascii="Times New Roman" w:eastAsia="Times New Roman" w:hAnsi="Times New Roman" w:cs="Times New Roman"/>
        </w:rPr>
        <w:t xml:space="preserve">, A. (2019). “Using Wage Boards to Raise Pay,” Policy Brief 4, Economics for Inclusive Prosperity, Available online: </w:t>
      </w:r>
      <w:hyperlink r:id="rId39">
        <w:r w:rsidRPr="00C63180">
          <w:rPr>
            <w:rFonts w:ascii="Times New Roman" w:eastAsia="Times New Roman" w:hAnsi="Times New Roman" w:cs="Times New Roman"/>
            <w:color w:val="1155CC"/>
            <w:u w:val="single"/>
          </w:rPr>
          <w:t>https://econfip.org/policy-brief/using-wage-boards-to-raise-pay/#</w:t>
        </w:r>
      </w:hyperlink>
      <w:r w:rsidRPr="00C63180">
        <w:rPr>
          <w:rFonts w:ascii="Times New Roman" w:eastAsia="Times New Roman" w:hAnsi="Times New Roman" w:cs="Times New Roman"/>
        </w:rPr>
        <w:t>, [Accessed 19 February 2020].</w:t>
      </w:r>
    </w:p>
    <w:p w14:paraId="240253C0" w14:textId="77777777" w:rsidR="00CA61F0" w:rsidRPr="00C63180" w:rsidRDefault="00CA61F0" w:rsidP="00CA61F0">
      <w:pPr>
        <w:ind w:left="720" w:hanging="720"/>
        <w:rPr>
          <w:rFonts w:ascii="Times New Roman" w:eastAsia="Times New Roman" w:hAnsi="Times New Roman" w:cs="Times New Roman"/>
        </w:rPr>
      </w:pPr>
    </w:p>
    <w:p w14:paraId="0B857B56"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Eidlin</w:t>
      </w:r>
      <w:proofErr w:type="spellEnd"/>
      <w:r w:rsidRPr="00C63180">
        <w:rPr>
          <w:rFonts w:ascii="Times New Roman" w:eastAsia="Times New Roman" w:hAnsi="Times New Roman" w:cs="Times New Roman"/>
        </w:rPr>
        <w:t xml:space="preserve">, B. (2019). “Bernie’s Plan for Workplace Democracy is the Boldest Presidential Plan for Workers’ Rights Ever,” </w:t>
      </w:r>
      <w:r w:rsidRPr="00C63180">
        <w:rPr>
          <w:rFonts w:ascii="Times New Roman" w:eastAsia="Times New Roman" w:hAnsi="Times New Roman" w:cs="Times New Roman"/>
          <w:i/>
        </w:rPr>
        <w:t>Jacobin Magazine</w:t>
      </w:r>
      <w:r w:rsidRPr="00C63180">
        <w:rPr>
          <w:rFonts w:ascii="Times New Roman" w:eastAsia="Times New Roman" w:hAnsi="Times New Roman" w:cs="Times New Roman"/>
        </w:rPr>
        <w:t xml:space="preserve">, Available online: </w:t>
      </w:r>
      <w:hyperlink r:id="rId40">
        <w:r w:rsidRPr="00C63180">
          <w:rPr>
            <w:rFonts w:ascii="Times New Roman" w:eastAsia="Times New Roman" w:hAnsi="Times New Roman" w:cs="Times New Roman"/>
            <w:color w:val="1155CC"/>
            <w:u w:val="single"/>
          </w:rPr>
          <w:t>https://www.jacobinmag.com/2019/08/bernie-sanders-labor-unions-proposal-workplace-democracy</w:t>
        </w:r>
      </w:hyperlink>
      <w:r w:rsidRPr="00C63180">
        <w:rPr>
          <w:rFonts w:ascii="Times New Roman" w:eastAsia="Times New Roman" w:hAnsi="Times New Roman" w:cs="Times New Roman"/>
        </w:rPr>
        <w:t xml:space="preserve">, [Accessed 11 January 2020]. </w:t>
      </w:r>
    </w:p>
    <w:p w14:paraId="646FEB08" w14:textId="77777777" w:rsidR="00CA61F0" w:rsidRPr="00C63180" w:rsidRDefault="00CA61F0" w:rsidP="00CA61F0">
      <w:pPr>
        <w:ind w:left="720" w:hanging="720"/>
        <w:rPr>
          <w:rFonts w:ascii="Times New Roman" w:eastAsia="Times New Roman" w:hAnsi="Times New Roman" w:cs="Times New Roman"/>
        </w:rPr>
      </w:pPr>
    </w:p>
    <w:p w14:paraId="1AD954DB"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Eisenhower Foundation Executive Summary.</w:t>
      </w:r>
      <w:proofErr w:type="gramEnd"/>
      <w:r w:rsidRPr="00C63180">
        <w:rPr>
          <w:rFonts w:ascii="Times New Roman" w:eastAsia="Times New Roman" w:hAnsi="Times New Roman" w:cs="Times New Roman"/>
        </w:rPr>
        <w:t xml:space="preserve"> (2008). </w:t>
      </w:r>
      <w:r w:rsidRPr="00C63180">
        <w:rPr>
          <w:rFonts w:ascii="Times New Roman" w:eastAsia="Times New Roman" w:hAnsi="Times New Roman" w:cs="Times New Roman"/>
          <w:i/>
        </w:rPr>
        <w:t>What Together We Can Do: A Forty Year Update of the National Advisory Commission on Civil Disorders</w:t>
      </w:r>
      <w:r w:rsidRPr="00C63180">
        <w:rPr>
          <w:rFonts w:ascii="Times New Roman" w:eastAsia="Times New Roman" w:hAnsi="Times New Roman" w:cs="Times New Roman"/>
        </w:rPr>
        <w:t xml:space="preserve">, Washington DC: The Eisenhower Foundation. Available online: </w:t>
      </w:r>
      <w:hyperlink r:id="rId41">
        <w:r w:rsidRPr="00C63180">
          <w:rPr>
            <w:rFonts w:ascii="Times New Roman" w:eastAsia="Times New Roman" w:hAnsi="Times New Roman" w:cs="Times New Roman"/>
            <w:color w:val="1155CC"/>
            <w:u w:val="single"/>
          </w:rPr>
          <w:t>http://www.eisenhowerfoundation.org/docs/Kerner%2040%20Year%20Update,%20Executive%20Summary.pdf</w:t>
        </w:r>
      </w:hyperlink>
      <w:r w:rsidRPr="00C63180">
        <w:rPr>
          <w:rFonts w:ascii="Times New Roman" w:eastAsia="Times New Roman" w:hAnsi="Times New Roman" w:cs="Times New Roman"/>
        </w:rPr>
        <w:t>, [Accessed 20 December 2019]. </w:t>
      </w:r>
    </w:p>
    <w:p w14:paraId="58A8CE9A" w14:textId="77777777" w:rsidR="00CA61F0" w:rsidRPr="00C63180" w:rsidRDefault="00CA61F0" w:rsidP="00CA61F0">
      <w:pPr>
        <w:ind w:left="720" w:hanging="720"/>
        <w:rPr>
          <w:rFonts w:ascii="Times New Roman" w:eastAsia="Times New Roman" w:hAnsi="Times New Roman" w:cs="Times New Roman"/>
        </w:rPr>
      </w:pPr>
    </w:p>
    <w:p w14:paraId="1E991B65"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Falcone, P. (2016). “Employment-at-Will vs. The Discharge-for-Just-Cause-Only Standard: A Critical Employment Law Distinction,” </w:t>
      </w:r>
      <w:r w:rsidRPr="00C63180">
        <w:rPr>
          <w:rFonts w:ascii="Times New Roman" w:eastAsia="Times New Roman" w:hAnsi="Times New Roman" w:cs="Times New Roman"/>
          <w:i/>
        </w:rPr>
        <w:t>Society for Human Resource Management</w:t>
      </w:r>
      <w:r w:rsidRPr="00C63180">
        <w:rPr>
          <w:rFonts w:ascii="Times New Roman" w:eastAsia="Times New Roman" w:hAnsi="Times New Roman" w:cs="Times New Roman"/>
        </w:rPr>
        <w:t xml:space="preserve">, Available online: </w:t>
      </w:r>
      <w:hyperlink r:id="rId42">
        <w:r w:rsidRPr="00C63180">
          <w:rPr>
            <w:rFonts w:ascii="Times New Roman" w:eastAsia="Times New Roman" w:hAnsi="Times New Roman" w:cs="Times New Roman"/>
            <w:color w:val="1155CC"/>
            <w:u w:val="single"/>
          </w:rPr>
          <w:t>https://www.shrm.org/resourcesandtools/legal-and-compliance/employment-law/pages/employment-at-will.aspx</w:t>
        </w:r>
      </w:hyperlink>
      <w:r w:rsidRPr="00C63180">
        <w:rPr>
          <w:rFonts w:ascii="Times New Roman" w:eastAsia="Times New Roman" w:hAnsi="Times New Roman" w:cs="Times New Roman"/>
        </w:rPr>
        <w:t>, [Accessed 18 February 2020].</w:t>
      </w:r>
    </w:p>
    <w:p w14:paraId="1C9A15B3" w14:textId="77777777" w:rsidR="00CA61F0" w:rsidRPr="00C63180" w:rsidRDefault="00CA61F0" w:rsidP="00CA61F0">
      <w:pPr>
        <w:ind w:left="720" w:hanging="720"/>
        <w:rPr>
          <w:rFonts w:ascii="Times New Roman" w:eastAsia="Times New Roman" w:hAnsi="Times New Roman" w:cs="Times New Roman"/>
        </w:rPr>
      </w:pPr>
    </w:p>
    <w:p w14:paraId="72BCB041"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FindLaw</w:t>
      </w:r>
      <w:proofErr w:type="spellEnd"/>
      <w:r w:rsidRPr="00C63180">
        <w:rPr>
          <w:rFonts w:ascii="Times New Roman" w:eastAsia="Times New Roman" w:hAnsi="Times New Roman" w:cs="Times New Roman"/>
        </w:rPr>
        <w:t>. (2020). “What are ‘Right to Work’ Laws</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proofErr w:type="spellStart"/>
      <w:r w:rsidRPr="00C63180">
        <w:rPr>
          <w:rFonts w:ascii="Times New Roman" w:eastAsia="Times New Roman" w:hAnsi="Times New Roman" w:cs="Times New Roman"/>
          <w:i/>
        </w:rPr>
        <w:t>FindLaw</w:t>
      </w:r>
      <w:proofErr w:type="spellEnd"/>
      <w:r w:rsidRPr="00C63180">
        <w:rPr>
          <w:rFonts w:ascii="Times New Roman" w:eastAsia="Times New Roman" w:hAnsi="Times New Roman" w:cs="Times New Roman"/>
        </w:rPr>
        <w:t xml:space="preserve">, Available online: </w:t>
      </w:r>
      <w:hyperlink r:id="rId43">
        <w:r w:rsidRPr="00C63180">
          <w:rPr>
            <w:rFonts w:ascii="Times New Roman" w:eastAsia="Times New Roman" w:hAnsi="Times New Roman" w:cs="Times New Roman"/>
            <w:color w:val="1155CC"/>
            <w:u w:val="single"/>
          </w:rPr>
          <w:t>https://employment.findlaw.com/wages-and-benefits/what-are-right-to-work-laws.html</w:t>
        </w:r>
      </w:hyperlink>
      <w:r w:rsidRPr="00C63180">
        <w:rPr>
          <w:rFonts w:ascii="Times New Roman" w:eastAsia="Times New Roman" w:hAnsi="Times New Roman" w:cs="Times New Roman"/>
        </w:rPr>
        <w:t xml:space="preserve">, [Accessed 21 February 2020]. </w:t>
      </w:r>
    </w:p>
    <w:p w14:paraId="2A6B0020" w14:textId="77777777" w:rsidR="00CA61F0" w:rsidRPr="00C63180" w:rsidRDefault="00CA61F0" w:rsidP="00CA61F0">
      <w:pPr>
        <w:ind w:left="720" w:hanging="720"/>
        <w:rPr>
          <w:rFonts w:ascii="Times New Roman" w:eastAsia="Times New Roman" w:hAnsi="Times New Roman" w:cs="Times New Roman"/>
        </w:rPr>
      </w:pPr>
    </w:p>
    <w:p w14:paraId="4BC2A127"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Flanders, W. &amp; Tunney, L. (2019). “Democracy in the Workplace: Examining Union Recertification in Wisconsin under Act 10,” </w:t>
      </w:r>
      <w:r w:rsidRPr="00C63180">
        <w:rPr>
          <w:rFonts w:ascii="Times New Roman" w:eastAsia="Times New Roman" w:hAnsi="Times New Roman" w:cs="Times New Roman"/>
          <w:i/>
        </w:rPr>
        <w:t>Wisconsin Institute for Law &amp; Liberty</w:t>
      </w:r>
      <w:r w:rsidRPr="00C63180">
        <w:rPr>
          <w:rFonts w:ascii="Times New Roman" w:eastAsia="Times New Roman" w:hAnsi="Times New Roman" w:cs="Times New Roman"/>
        </w:rPr>
        <w:t xml:space="preserve">, Available online: </w:t>
      </w:r>
      <w:hyperlink r:id="rId44">
        <w:r w:rsidRPr="00C63180">
          <w:rPr>
            <w:rFonts w:ascii="Times New Roman" w:eastAsia="Times New Roman" w:hAnsi="Times New Roman" w:cs="Times New Roman"/>
            <w:color w:val="1155CC"/>
            <w:u w:val="single"/>
          </w:rPr>
          <w:t>https://www.will-law.org/wp-content/uploads/2019/11/democracy-in-the-workplace-final.pdf</w:t>
        </w:r>
      </w:hyperlink>
      <w:r w:rsidRPr="00C63180">
        <w:rPr>
          <w:rFonts w:ascii="Times New Roman" w:eastAsia="Times New Roman" w:hAnsi="Times New Roman" w:cs="Times New Roman"/>
        </w:rPr>
        <w:t xml:space="preserve">, [Accessed 18 March 2020]. </w:t>
      </w:r>
    </w:p>
    <w:p w14:paraId="65F09487" w14:textId="77777777" w:rsidR="00CA61F0" w:rsidRPr="00C63180" w:rsidRDefault="00CA61F0" w:rsidP="00CA61F0">
      <w:pPr>
        <w:ind w:left="720" w:hanging="720"/>
        <w:rPr>
          <w:rFonts w:ascii="Times New Roman" w:eastAsia="Times New Roman" w:hAnsi="Times New Roman" w:cs="Times New Roman"/>
        </w:rPr>
      </w:pPr>
    </w:p>
    <w:p w14:paraId="04AD329C" w14:textId="77777777" w:rsidR="00B84936" w:rsidRPr="00C63180" w:rsidRDefault="001D1521" w:rsidP="00CA61F0">
      <w:pPr>
        <w:ind w:left="720" w:hanging="720"/>
        <w:rPr>
          <w:rFonts w:ascii="Times New Roman" w:hAnsi="Times New Roman"/>
        </w:rPr>
      </w:pPr>
      <w:proofErr w:type="spellStart"/>
      <w:r w:rsidRPr="00C63180">
        <w:rPr>
          <w:rFonts w:ascii="Times New Roman" w:eastAsia="Times New Roman" w:hAnsi="Times New Roman" w:cs="Times New Roman"/>
        </w:rPr>
        <w:t>Forstater</w:t>
      </w:r>
      <w:proofErr w:type="spellEnd"/>
      <w:r w:rsidRPr="00C63180">
        <w:rPr>
          <w:rFonts w:ascii="Times New Roman" w:eastAsia="Times New Roman" w:hAnsi="Times New Roman" w:cs="Times New Roman"/>
        </w:rPr>
        <w:t xml:space="preserve">, M. (2002). “’Jobs for All: Another Dream of the Rev. Dr. Martin Luther King, Jr.,” </w:t>
      </w:r>
      <w:r w:rsidRPr="00C63180">
        <w:rPr>
          <w:rFonts w:ascii="Times New Roman" w:eastAsia="Times New Roman" w:hAnsi="Times New Roman" w:cs="Times New Roman"/>
          <w:i/>
        </w:rPr>
        <w:t>Forum for Social Economics</w:t>
      </w:r>
      <w:r w:rsidRPr="00C63180">
        <w:rPr>
          <w:rFonts w:ascii="Times New Roman" w:eastAsia="Times New Roman" w:hAnsi="Times New Roman" w:cs="Times New Roman"/>
        </w:rPr>
        <w:t xml:space="preserve">, Vol. 31, No. 2, pp. 45-52. Available online: </w:t>
      </w:r>
      <w:hyperlink r:id="rId45">
        <w:r w:rsidRPr="00C63180">
          <w:rPr>
            <w:rFonts w:ascii="Times New Roman" w:eastAsia="Times New Roman" w:hAnsi="Times New Roman" w:cs="Times New Roman"/>
            <w:color w:val="0000FF"/>
            <w:u w:val="single"/>
          </w:rPr>
          <w:t>https://doi.org/10.1007/BF02779059</w:t>
        </w:r>
      </w:hyperlink>
      <w:r w:rsidRPr="00C63180">
        <w:rPr>
          <w:rFonts w:ascii="Times New Roman" w:eastAsia="Times New Roman" w:hAnsi="Times New Roman" w:cs="Times New Roman"/>
        </w:rPr>
        <w:t>, [Accessed</w:t>
      </w:r>
      <w:r w:rsidRPr="00C63180">
        <w:rPr>
          <w:rFonts w:ascii="Times New Roman" w:hAnsi="Times New Roman"/>
        </w:rPr>
        <w:t xml:space="preserve"> 10 March 2020].</w:t>
      </w:r>
    </w:p>
    <w:p w14:paraId="33BF7C14" w14:textId="77777777" w:rsidR="00CA61F0" w:rsidRPr="00C63180" w:rsidRDefault="00CA61F0" w:rsidP="00CA61F0">
      <w:pPr>
        <w:ind w:left="720" w:hanging="720"/>
        <w:rPr>
          <w:rFonts w:ascii="Times New Roman" w:hAnsi="Times New Roman"/>
        </w:rPr>
      </w:pPr>
    </w:p>
    <w:p w14:paraId="037B2B32" w14:textId="77777777" w:rsidR="00B84936" w:rsidRPr="00C63180" w:rsidRDefault="001D1521" w:rsidP="00CA61F0">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Fortin, N.M., Lemieux, T., &amp; Lloyd, N. (2019).</w:t>
      </w:r>
      <w:proofErr w:type="gramEnd"/>
      <w:r w:rsidRPr="00C63180">
        <w:rPr>
          <w:rFonts w:ascii="Times New Roman" w:eastAsia="Times New Roman" w:hAnsi="Times New Roman" w:cs="Times New Roman"/>
        </w:rPr>
        <w:t xml:space="preserve"> “Labor Market Institutions and the Distribution of Wages: The Role of Spillover Effects,” Paper prepared for a conference on September 28-29, 2018 in Ann Arbor, Michigan. </w:t>
      </w:r>
    </w:p>
    <w:p w14:paraId="5407E029" w14:textId="77777777" w:rsidR="00CA61F0" w:rsidRPr="00C63180" w:rsidRDefault="00CA61F0" w:rsidP="00CA61F0">
      <w:pPr>
        <w:ind w:left="720" w:hanging="720"/>
        <w:rPr>
          <w:rFonts w:ascii="Times New Roman" w:eastAsia="Times New Roman" w:hAnsi="Times New Roman" w:cs="Times New Roman"/>
        </w:rPr>
      </w:pPr>
    </w:p>
    <w:p w14:paraId="2734CA33"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Frank, R.H. (2011). </w:t>
      </w:r>
      <w:r w:rsidRPr="00C63180">
        <w:rPr>
          <w:rFonts w:ascii="Times New Roman" w:eastAsia="Times New Roman" w:hAnsi="Times New Roman" w:cs="Times New Roman"/>
          <w:i/>
        </w:rPr>
        <w:t>The Darwin Economy: Liberty, Competition, and the Common Good</w:t>
      </w:r>
      <w:r w:rsidRPr="00C63180">
        <w:rPr>
          <w:rFonts w:ascii="Times New Roman" w:eastAsia="Times New Roman" w:hAnsi="Times New Roman" w:cs="Times New Roman"/>
        </w:rPr>
        <w:t>, Princeton: Princeton University Press. </w:t>
      </w:r>
    </w:p>
    <w:p w14:paraId="5DE7A32D" w14:textId="77777777" w:rsidR="00CA61F0" w:rsidRPr="00C63180" w:rsidRDefault="00CA61F0" w:rsidP="00CA61F0">
      <w:pPr>
        <w:ind w:left="720" w:hanging="720"/>
        <w:rPr>
          <w:rFonts w:ascii="Times New Roman" w:eastAsia="Times New Roman" w:hAnsi="Times New Roman" w:cs="Times New Roman"/>
        </w:rPr>
      </w:pPr>
    </w:p>
    <w:p w14:paraId="2F3DC060"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Freeman, R. (1980). “Unionism and the Dispersion of Wages,” </w:t>
      </w:r>
      <w:r w:rsidRPr="00C63180">
        <w:rPr>
          <w:rFonts w:ascii="Times New Roman" w:eastAsia="Times New Roman" w:hAnsi="Times New Roman" w:cs="Times New Roman"/>
          <w:i/>
        </w:rPr>
        <w:t>Industrial and Labor Relations Review</w:t>
      </w:r>
      <w:r w:rsidRPr="00C63180">
        <w:rPr>
          <w:rFonts w:ascii="Times New Roman" w:eastAsia="Times New Roman" w:hAnsi="Times New Roman" w:cs="Times New Roman"/>
        </w:rPr>
        <w:t xml:space="preserve">, Vol. 32, No. 1, pp. 3-23, Available online: </w:t>
      </w:r>
      <w:hyperlink r:id="rId46">
        <w:r w:rsidRPr="00C63180">
          <w:rPr>
            <w:rFonts w:ascii="Times New Roman" w:eastAsia="Times New Roman" w:hAnsi="Times New Roman" w:cs="Times New Roman"/>
            <w:color w:val="1155CC"/>
            <w:u w:val="single"/>
          </w:rPr>
          <w:t>tps://doi.org/10.1177/001979398003400101</w:t>
        </w:r>
      </w:hyperlink>
      <w:r w:rsidRPr="00C63180">
        <w:rPr>
          <w:rFonts w:ascii="Times New Roman" w:eastAsia="Times New Roman" w:hAnsi="Times New Roman" w:cs="Times New Roman"/>
        </w:rPr>
        <w:t>, [Accessed 22 February 2020].</w:t>
      </w:r>
    </w:p>
    <w:p w14:paraId="13C063C0" w14:textId="77777777" w:rsidR="00CA61F0" w:rsidRPr="00C63180" w:rsidRDefault="00CA61F0" w:rsidP="00CA61F0">
      <w:pPr>
        <w:ind w:left="720" w:hanging="720"/>
        <w:rPr>
          <w:rFonts w:ascii="Times New Roman" w:eastAsia="Times New Roman" w:hAnsi="Times New Roman" w:cs="Times New Roman"/>
        </w:rPr>
      </w:pPr>
    </w:p>
    <w:p w14:paraId="6F09DF0A"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Freeman, R. (2007). “Labor Market Institutions Around the World,” </w:t>
      </w:r>
      <w:r w:rsidRPr="00C63180">
        <w:rPr>
          <w:rFonts w:ascii="Times New Roman" w:eastAsia="Times New Roman" w:hAnsi="Times New Roman" w:cs="Times New Roman"/>
          <w:i/>
        </w:rPr>
        <w:t>National Bureau of Economic Research</w:t>
      </w:r>
      <w:r w:rsidRPr="00C63180">
        <w:rPr>
          <w:rFonts w:ascii="Times New Roman" w:eastAsia="Times New Roman" w:hAnsi="Times New Roman" w:cs="Times New Roman"/>
        </w:rPr>
        <w:t xml:space="preserve">, Working Paper No. 13242, Available online: </w:t>
      </w:r>
      <w:hyperlink r:id="rId47">
        <w:r w:rsidRPr="00C63180">
          <w:rPr>
            <w:rFonts w:ascii="Times New Roman" w:eastAsia="Times New Roman" w:hAnsi="Times New Roman" w:cs="Times New Roman"/>
            <w:color w:val="1155CC"/>
            <w:u w:val="single"/>
          </w:rPr>
          <w:t>https://www.nber.org/papers/w13242</w:t>
        </w:r>
      </w:hyperlink>
      <w:r w:rsidRPr="00C63180">
        <w:rPr>
          <w:rFonts w:ascii="Times New Roman" w:eastAsia="Times New Roman" w:hAnsi="Times New Roman" w:cs="Times New Roman"/>
        </w:rPr>
        <w:t>, [Accessed 11 February 2020].</w:t>
      </w:r>
    </w:p>
    <w:p w14:paraId="59F4CA50" w14:textId="77777777" w:rsidR="00CA61F0" w:rsidRPr="00C63180" w:rsidRDefault="00CA61F0" w:rsidP="00CA61F0">
      <w:pPr>
        <w:ind w:left="720" w:hanging="720"/>
        <w:rPr>
          <w:rFonts w:ascii="Times New Roman" w:eastAsia="Times New Roman" w:hAnsi="Times New Roman" w:cs="Times New Roman"/>
        </w:rPr>
      </w:pPr>
    </w:p>
    <w:p w14:paraId="68BE7D5D"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Freeman, R.B. &amp; James, L.M. (1984). </w:t>
      </w:r>
      <w:r w:rsidRPr="00C63180">
        <w:rPr>
          <w:rFonts w:ascii="Times New Roman" w:eastAsia="Times New Roman" w:hAnsi="Times New Roman" w:cs="Times New Roman"/>
          <w:i/>
        </w:rPr>
        <w:t>What Do Unions Do</w:t>
      </w:r>
      <w:r w:rsidRPr="00C63180">
        <w:rPr>
          <w:rFonts w:ascii="Times New Roman" w:eastAsia="Times New Roman" w:hAnsi="Times New Roman" w:cs="Times New Roman"/>
        </w:rPr>
        <w:t>? New York, NY: Basic Books, Inc.</w:t>
      </w:r>
    </w:p>
    <w:p w14:paraId="6EDC4701" w14:textId="77777777" w:rsidR="00B84936" w:rsidRPr="00C63180" w:rsidRDefault="001D1521" w:rsidP="00CA61F0">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lastRenderedPageBreak/>
        <w:t>Fullwiler</w:t>
      </w:r>
      <w:proofErr w:type="spellEnd"/>
      <w:r w:rsidRPr="00C63180">
        <w:rPr>
          <w:rFonts w:ascii="Times New Roman" w:eastAsia="Times New Roman" w:hAnsi="Times New Roman" w:cs="Times New Roman"/>
        </w:rPr>
        <w:t>, S. (2007).</w:t>
      </w:r>
      <w:proofErr w:type="gramEnd"/>
      <w:r w:rsidRPr="00C63180">
        <w:rPr>
          <w:rFonts w:ascii="Times New Roman" w:eastAsia="Times New Roman" w:hAnsi="Times New Roman" w:cs="Times New Roman"/>
        </w:rPr>
        <w:t xml:space="preserve"> “Macroeconomic Stabilization through an Employer of Last Resort,” </w:t>
      </w:r>
      <w:r w:rsidRPr="00C63180">
        <w:rPr>
          <w:rFonts w:ascii="Times New Roman" w:eastAsia="Times New Roman" w:hAnsi="Times New Roman" w:cs="Times New Roman"/>
          <w:i/>
        </w:rPr>
        <w:t>Journal of Economic Issues</w:t>
      </w:r>
      <w:r w:rsidRPr="00C63180">
        <w:rPr>
          <w:rFonts w:ascii="Times New Roman" w:eastAsia="Times New Roman" w:hAnsi="Times New Roman" w:cs="Times New Roman"/>
        </w:rPr>
        <w:t xml:space="preserve">, Vol. 41, No. 1, pp. 93-134, Available online: </w:t>
      </w:r>
      <w:hyperlink r:id="rId48">
        <w:r w:rsidRPr="00C63180">
          <w:rPr>
            <w:rFonts w:ascii="Times New Roman" w:eastAsia="Times New Roman" w:hAnsi="Times New Roman" w:cs="Times New Roman"/>
            <w:color w:val="0000FF"/>
            <w:u w:val="single"/>
          </w:rPr>
          <w:t>https://papers.ssrn.com/sol3/papers.cfm?abstract_id=1722991</w:t>
        </w:r>
      </w:hyperlink>
      <w:r w:rsidRPr="00C63180">
        <w:rPr>
          <w:rFonts w:ascii="Times New Roman" w:eastAsia="Times New Roman" w:hAnsi="Times New Roman" w:cs="Times New Roman"/>
        </w:rPr>
        <w:t>, [Accessed 29 February 2020].</w:t>
      </w:r>
    </w:p>
    <w:p w14:paraId="4D02E18D" w14:textId="77777777" w:rsidR="00CA61F0" w:rsidRPr="00C63180" w:rsidRDefault="00CA61F0" w:rsidP="00CA61F0">
      <w:pPr>
        <w:ind w:left="720" w:hanging="720"/>
        <w:rPr>
          <w:rFonts w:ascii="Times New Roman" w:eastAsia="Times New Roman" w:hAnsi="Times New Roman" w:cs="Times New Roman"/>
        </w:rPr>
      </w:pPr>
    </w:p>
    <w:p w14:paraId="139CD2A0"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Galvani, A.P., </w:t>
      </w:r>
      <w:proofErr w:type="spellStart"/>
      <w:r w:rsidRPr="00C63180">
        <w:rPr>
          <w:rFonts w:ascii="Times New Roman" w:eastAsia="Times New Roman" w:hAnsi="Times New Roman" w:cs="Times New Roman"/>
        </w:rPr>
        <w:t>Parpia</w:t>
      </w:r>
      <w:proofErr w:type="spellEnd"/>
      <w:r w:rsidRPr="00C63180">
        <w:rPr>
          <w:rFonts w:ascii="Times New Roman" w:eastAsia="Times New Roman" w:hAnsi="Times New Roman" w:cs="Times New Roman"/>
        </w:rPr>
        <w:t xml:space="preserve">, A.S., Foster, E.M., Singer, B.H., &amp; Fitzpatrick, M.C. (2020). “Improving the Prognosis of Health Care in the USA,” </w:t>
      </w:r>
      <w:r w:rsidRPr="00C63180">
        <w:rPr>
          <w:rFonts w:ascii="Times New Roman" w:eastAsia="Times New Roman" w:hAnsi="Times New Roman" w:cs="Times New Roman"/>
          <w:i/>
        </w:rPr>
        <w:t>The Lancet</w:t>
      </w:r>
      <w:r w:rsidRPr="00C63180">
        <w:rPr>
          <w:rFonts w:ascii="Times New Roman" w:eastAsia="Times New Roman" w:hAnsi="Times New Roman" w:cs="Times New Roman"/>
        </w:rPr>
        <w:t xml:space="preserve">, Vol. 395, No, 10223, pp. 524-533, Available online: </w:t>
      </w:r>
      <w:hyperlink r:id="rId49">
        <w:r w:rsidRPr="00C63180">
          <w:rPr>
            <w:rFonts w:ascii="Times New Roman" w:eastAsia="Times New Roman" w:hAnsi="Times New Roman" w:cs="Times New Roman"/>
            <w:color w:val="1155CC"/>
            <w:u w:val="single"/>
          </w:rPr>
          <w:t>https://doi.org/10.1016/S0140-6736(19)33019-3</w:t>
        </w:r>
      </w:hyperlink>
      <w:r w:rsidRPr="00C63180">
        <w:rPr>
          <w:rFonts w:ascii="Times New Roman" w:eastAsia="Times New Roman" w:hAnsi="Times New Roman" w:cs="Times New Roman"/>
        </w:rPr>
        <w:t>, [Accessed 18 February 2020].</w:t>
      </w:r>
    </w:p>
    <w:p w14:paraId="22445B9D" w14:textId="77777777" w:rsidR="00CA61F0" w:rsidRPr="00C63180" w:rsidRDefault="00CA61F0" w:rsidP="00CA61F0">
      <w:pPr>
        <w:ind w:left="720" w:hanging="720"/>
        <w:rPr>
          <w:rFonts w:ascii="Times New Roman" w:eastAsia="Times New Roman" w:hAnsi="Times New Roman" w:cs="Times New Roman"/>
        </w:rPr>
      </w:pPr>
    </w:p>
    <w:p w14:paraId="0248EEEA"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Gayle, C. (2018). “Unions Brought Black Americans Into the Middle Class. They’re </w:t>
      </w:r>
      <w:proofErr w:type="gramStart"/>
      <w:r w:rsidRPr="00C63180">
        <w:rPr>
          <w:rFonts w:ascii="Times New Roman" w:eastAsia="Times New Roman" w:hAnsi="Times New Roman" w:cs="Times New Roman"/>
        </w:rPr>
        <w:t>Now</w:t>
      </w:r>
      <w:proofErr w:type="gramEnd"/>
      <w:r w:rsidRPr="00C63180">
        <w:rPr>
          <w:rFonts w:ascii="Times New Roman" w:eastAsia="Times New Roman" w:hAnsi="Times New Roman" w:cs="Times New Roman"/>
        </w:rPr>
        <w:t xml:space="preserve"> Being Decimated,” </w:t>
      </w:r>
      <w:r w:rsidRPr="00C63180">
        <w:rPr>
          <w:rFonts w:ascii="Times New Roman" w:eastAsia="Times New Roman" w:hAnsi="Times New Roman" w:cs="Times New Roman"/>
          <w:i/>
        </w:rPr>
        <w:t>The Guardian</w:t>
      </w:r>
      <w:r w:rsidRPr="00C63180">
        <w:rPr>
          <w:rFonts w:ascii="Times New Roman" w:eastAsia="Times New Roman" w:hAnsi="Times New Roman" w:cs="Times New Roman"/>
        </w:rPr>
        <w:t xml:space="preserve">, Available online: </w:t>
      </w:r>
      <w:hyperlink r:id="rId50">
        <w:r w:rsidRPr="00C63180">
          <w:rPr>
            <w:rFonts w:ascii="Times New Roman" w:eastAsia="Times New Roman" w:hAnsi="Times New Roman" w:cs="Times New Roman"/>
            <w:color w:val="1155CC"/>
            <w:u w:val="single"/>
          </w:rPr>
          <w:t>https://www.theguardian.com/global/2018/aug/14/unions-brought-black-americans-into-the-middle-class-theyre-now-being-decimated</w:t>
        </w:r>
      </w:hyperlink>
      <w:r w:rsidRPr="00C63180">
        <w:rPr>
          <w:rFonts w:ascii="Times New Roman" w:eastAsia="Times New Roman" w:hAnsi="Times New Roman" w:cs="Times New Roman"/>
        </w:rPr>
        <w:t xml:space="preserve">, [Accessed 21 February 2020]. </w:t>
      </w:r>
    </w:p>
    <w:p w14:paraId="78DBA7DD" w14:textId="77777777" w:rsidR="00CA61F0" w:rsidRPr="00C63180" w:rsidRDefault="00CA61F0" w:rsidP="00CA61F0">
      <w:pPr>
        <w:ind w:left="720" w:hanging="720"/>
        <w:rPr>
          <w:rFonts w:ascii="Times New Roman" w:eastAsia="Times New Roman" w:hAnsi="Times New Roman" w:cs="Times New Roman"/>
        </w:rPr>
      </w:pPr>
    </w:p>
    <w:p w14:paraId="43022F9E"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Geertz, Clifford. (1971). </w:t>
      </w:r>
      <w:r w:rsidRPr="00C63180">
        <w:rPr>
          <w:rFonts w:ascii="Times New Roman" w:eastAsia="Times New Roman" w:hAnsi="Times New Roman" w:cs="Times New Roman"/>
          <w:i/>
        </w:rPr>
        <w:t>Myth, Symbol, and Culture</w:t>
      </w:r>
      <w:r w:rsidRPr="00C63180">
        <w:rPr>
          <w:rFonts w:ascii="Times New Roman" w:eastAsia="Times New Roman" w:hAnsi="Times New Roman" w:cs="Times New Roman"/>
        </w:rPr>
        <w:t>, New York: W.W. Norton.</w:t>
      </w:r>
    </w:p>
    <w:p w14:paraId="45E9AB79" w14:textId="77777777" w:rsidR="00B84936" w:rsidRPr="00C63180" w:rsidRDefault="001D1521">
      <w:pPr>
        <w:spacing w:before="240" w:after="240"/>
        <w:rPr>
          <w:rFonts w:ascii="Times New Roman" w:eastAsia="Times New Roman" w:hAnsi="Times New Roman" w:cs="Times New Roman"/>
        </w:rPr>
      </w:pPr>
      <w:r w:rsidRPr="00C63180">
        <w:rPr>
          <w:rFonts w:ascii="Times New Roman" w:eastAsia="Times New Roman" w:hAnsi="Times New Roman" w:cs="Times New Roman"/>
        </w:rPr>
        <w:t xml:space="preserve">Geertz, Clifford. (1973). </w:t>
      </w:r>
      <w:r w:rsidRPr="00C63180">
        <w:rPr>
          <w:rFonts w:ascii="Times New Roman" w:eastAsia="Times New Roman" w:hAnsi="Times New Roman" w:cs="Times New Roman"/>
          <w:i/>
        </w:rPr>
        <w:t>The Interpretation of Culture</w:t>
      </w:r>
      <w:r w:rsidRPr="00C63180">
        <w:rPr>
          <w:rFonts w:ascii="Times New Roman" w:eastAsia="Times New Roman" w:hAnsi="Times New Roman" w:cs="Times New Roman"/>
        </w:rPr>
        <w:t>, New York: Basic Books.</w:t>
      </w:r>
    </w:p>
    <w:p w14:paraId="30642117" w14:textId="77777777" w:rsidR="00B84936" w:rsidRPr="00C63180" w:rsidRDefault="001D1521" w:rsidP="00CA61F0">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Ghandnoosh</w:t>
      </w:r>
      <w:proofErr w:type="spellEnd"/>
      <w:r w:rsidRPr="00C63180">
        <w:rPr>
          <w:rFonts w:ascii="Times New Roman" w:eastAsia="Times New Roman" w:hAnsi="Times New Roman" w:cs="Times New Roman"/>
        </w:rPr>
        <w:t>, N. (2017).</w:t>
      </w:r>
      <w:proofErr w:type="gramEnd"/>
      <w:r w:rsidRPr="00C63180">
        <w:rPr>
          <w:rFonts w:ascii="Times New Roman" w:eastAsia="Times New Roman" w:hAnsi="Times New Roman" w:cs="Times New Roman"/>
        </w:rPr>
        <w:t xml:space="preserve"> “Minimizing the Maximum: The Case for Shortening All Prison Sentences,” In </w:t>
      </w:r>
      <w:proofErr w:type="spellStart"/>
      <w:r w:rsidRPr="00C63180">
        <w:rPr>
          <w:rFonts w:ascii="Times New Roman" w:eastAsia="Times New Roman" w:hAnsi="Times New Roman" w:cs="Times New Roman"/>
        </w:rPr>
        <w:t>Pettus</w:t>
      </w:r>
      <w:proofErr w:type="spellEnd"/>
      <w:r w:rsidRPr="00C63180">
        <w:rPr>
          <w:rFonts w:ascii="Times New Roman" w:eastAsia="Times New Roman" w:hAnsi="Times New Roman" w:cs="Times New Roman"/>
        </w:rPr>
        <w:t>-Davis, C. &amp; Epperson, M. (</w:t>
      </w:r>
      <w:proofErr w:type="spellStart"/>
      <w:r w:rsidRPr="00C63180">
        <w:rPr>
          <w:rFonts w:ascii="Times New Roman" w:eastAsia="Times New Roman" w:hAnsi="Times New Roman" w:cs="Times New Roman"/>
        </w:rPr>
        <w:t>ed</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 xml:space="preserve">Smart </w:t>
      </w:r>
      <w:proofErr w:type="spellStart"/>
      <w:r w:rsidRPr="00C63180">
        <w:rPr>
          <w:rFonts w:ascii="Times New Roman" w:eastAsia="Times New Roman" w:hAnsi="Times New Roman" w:cs="Times New Roman"/>
          <w:i/>
        </w:rPr>
        <w:t>Decarceration</w:t>
      </w:r>
      <w:proofErr w:type="spellEnd"/>
      <w:r w:rsidRPr="00C63180">
        <w:rPr>
          <w:rFonts w:ascii="Times New Roman" w:eastAsia="Times New Roman" w:hAnsi="Times New Roman" w:cs="Times New Roman"/>
          <w:i/>
        </w:rPr>
        <w:t>: Achieving Criminal Justice Transformation in the 21st Century</w:t>
      </w:r>
      <w:r w:rsidRPr="00C63180">
        <w:rPr>
          <w:rFonts w:ascii="Times New Roman" w:eastAsia="Times New Roman" w:hAnsi="Times New Roman" w:cs="Times New Roman"/>
        </w:rPr>
        <w:t>, New York: Oxford University Press, pp. 137-159.</w:t>
      </w:r>
    </w:p>
    <w:p w14:paraId="0757F0AD" w14:textId="77777777" w:rsidR="00CA61F0" w:rsidRPr="00C63180" w:rsidRDefault="00CA61F0" w:rsidP="00CA61F0">
      <w:pPr>
        <w:ind w:left="720" w:hanging="720"/>
        <w:rPr>
          <w:rFonts w:ascii="Times New Roman" w:eastAsia="Times New Roman" w:hAnsi="Times New Roman" w:cs="Times New Roman"/>
        </w:rPr>
      </w:pPr>
    </w:p>
    <w:p w14:paraId="0C564AEC"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Giroux, H.A. (2008). “Beyond the </w:t>
      </w:r>
      <w:proofErr w:type="spellStart"/>
      <w:r w:rsidRPr="00C63180">
        <w:rPr>
          <w:rFonts w:ascii="Times New Roman" w:eastAsia="Times New Roman" w:hAnsi="Times New Roman" w:cs="Times New Roman"/>
        </w:rPr>
        <w:t>Biopolitics</w:t>
      </w:r>
      <w:proofErr w:type="spellEnd"/>
      <w:r w:rsidRPr="00C63180">
        <w:rPr>
          <w:rFonts w:ascii="Times New Roman" w:eastAsia="Times New Roman" w:hAnsi="Times New Roman" w:cs="Times New Roman"/>
        </w:rPr>
        <w:t xml:space="preserve"> of Disposability: Rethinking Neoliberalism in the New Gilded Age,” </w:t>
      </w:r>
      <w:r w:rsidRPr="00C63180">
        <w:rPr>
          <w:rFonts w:ascii="Times New Roman" w:eastAsia="Times New Roman" w:hAnsi="Times New Roman" w:cs="Times New Roman"/>
          <w:i/>
        </w:rPr>
        <w:t>Social Identities</w:t>
      </w:r>
      <w:r w:rsidRPr="00C63180">
        <w:rPr>
          <w:rFonts w:ascii="Times New Roman" w:eastAsia="Times New Roman" w:hAnsi="Times New Roman" w:cs="Times New Roman"/>
        </w:rPr>
        <w:t xml:space="preserve">, Vol. 14, No. 5, pp. 587-620, Available online: </w:t>
      </w:r>
      <w:hyperlink r:id="rId51">
        <w:r w:rsidRPr="00C63180">
          <w:rPr>
            <w:rFonts w:ascii="Times New Roman" w:eastAsia="Times New Roman" w:hAnsi="Times New Roman" w:cs="Times New Roman"/>
            <w:color w:val="0000FF"/>
            <w:u w:val="single"/>
          </w:rPr>
          <w:t>https://doi.org/10.1080/13504630802343432</w:t>
        </w:r>
      </w:hyperlink>
      <w:r w:rsidRPr="00C63180">
        <w:rPr>
          <w:rFonts w:ascii="Times New Roman" w:eastAsia="Times New Roman" w:hAnsi="Times New Roman" w:cs="Times New Roman"/>
        </w:rPr>
        <w:t>, [Accessed 11 December 2019].</w:t>
      </w:r>
    </w:p>
    <w:p w14:paraId="12CF8353" w14:textId="77777777" w:rsidR="00CA61F0" w:rsidRPr="00C63180" w:rsidRDefault="00CA61F0" w:rsidP="00CA61F0">
      <w:pPr>
        <w:ind w:left="720" w:hanging="720"/>
        <w:rPr>
          <w:rFonts w:ascii="Times New Roman" w:eastAsia="Times New Roman" w:hAnsi="Times New Roman" w:cs="Times New Roman"/>
        </w:rPr>
      </w:pPr>
    </w:p>
    <w:p w14:paraId="6584F1DC"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Goff, L., </w:t>
      </w:r>
      <w:proofErr w:type="spellStart"/>
      <w:r w:rsidRPr="00C63180">
        <w:rPr>
          <w:rFonts w:ascii="Times New Roman" w:eastAsia="Times New Roman" w:hAnsi="Times New Roman" w:cs="Times New Roman"/>
        </w:rPr>
        <w:t>Helliwell</w:t>
      </w:r>
      <w:proofErr w:type="spellEnd"/>
      <w:r w:rsidRPr="00C63180">
        <w:rPr>
          <w:rFonts w:ascii="Times New Roman" w:eastAsia="Times New Roman" w:hAnsi="Times New Roman" w:cs="Times New Roman"/>
        </w:rPr>
        <w:t xml:space="preserve">, J.F., </w:t>
      </w:r>
      <w:proofErr w:type="spellStart"/>
      <w:r w:rsidRPr="00C63180">
        <w:rPr>
          <w:rFonts w:ascii="Times New Roman" w:eastAsia="Times New Roman" w:hAnsi="Times New Roman" w:cs="Times New Roman"/>
        </w:rPr>
        <w:t>Mayraz</w:t>
      </w:r>
      <w:proofErr w:type="spellEnd"/>
      <w:r w:rsidRPr="00C63180">
        <w:rPr>
          <w:rFonts w:ascii="Times New Roman" w:eastAsia="Times New Roman" w:hAnsi="Times New Roman" w:cs="Times New Roman"/>
        </w:rPr>
        <w:t xml:space="preserve">, G. (2018). “Inequality of Subjective Well-Being as a Comprehensive Measure of Inequality,” </w:t>
      </w:r>
      <w:r w:rsidRPr="00C63180">
        <w:rPr>
          <w:rFonts w:ascii="Times New Roman" w:eastAsia="Times New Roman" w:hAnsi="Times New Roman" w:cs="Times New Roman"/>
          <w:i/>
        </w:rPr>
        <w:t>Economic Inquiry</w:t>
      </w:r>
      <w:r w:rsidRPr="00C63180">
        <w:rPr>
          <w:rFonts w:ascii="Times New Roman" w:eastAsia="Times New Roman" w:hAnsi="Times New Roman" w:cs="Times New Roman"/>
        </w:rPr>
        <w:t>, Vol. 56, No. 4, pp. 2177-2194. </w:t>
      </w:r>
    </w:p>
    <w:p w14:paraId="2BC239D0" w14:textId="77777777" w:rsidR="00CA61F0" w:rsidRPr="00C63180" w:rsidRDefault="00CA61F0" w:rsidP="00CA61F0">
      <w:pPr>
        <w:ind w:left="720" w:hanging="720"/>
        <w:rPr>
          <w:rFonts w:ascii="Times New Roman" w:eastAsia="Times New Roman" w:hAnsi="Times New Roman" w:cs="Times New Roman"/>
        </w:rPr>
      </w:pPr>
    </w:p>
    <w:p w14:paraId="383F729E"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Goldshan</w:t>
      </w:r>
      <w:proofErr w:type="spellEnd"/>
      <w:r w:rsidRPr="00C63180">
        <w:rPr>
          <w:rFonts w:ascii="Times New Roman" w:eastAsia="Times New Roman" w:hAnsi="Times New Roman" w:cs="Times New Roman"/>
        </w:rPr>
        <w:t xml:space="preserve">, T. (2019). “Bernie Sanders’s Ambitious Plan to Double Union Membership, Explained,” </w:t>
      </w:r>
      <w:proofErr w:type="spellStart"/>
      <w:r w:rsidRPr="00C63180">
        <w:rPr>
          <w:rFonts w:ascii="Times New Roman" w:eastAsia="Times New Roman" w:hAnsi="Times New Roman" w:cs="Times New Roman"/>
          <w:i/>
        </w:rPr>
        <w:t>Vox</w:t>
      </w:r>
      <w:proofErr w:type="spellEnd"/>
      <w:r w:rsidRPr="00C63180">
        <w:rPr>
          <w:rFonts w:ascii="Times New Roman" w:eastAsia="Times New Roman" w:hAnsi="Times New Roman" w:cs="Times New Roman"/>
          <w:i/>
        </w:rPr>
        <w:t xml:space="preserve"> Magazine</w:t>
      </w:r>
      <w:r w:rsidRPr="00C63180">
        <w:rPr>
          <w:rFonts w:ascii="Times New Roman" w:eastAsia="Times New Roman" w:hAnsi="Times New Roman" w:cs="Times New Roman"/>
        </w:rPr>
        <w:t xml:space="preserve">, Available online: </w:t>
      </w:r>
      <w:hyperlink r:id="rId52">
        <w:r w:rsidRPr="00C63180">
          <w:rPr>
            <w:rFonts w:ascii="Times New Roman" w:eastAsia="Times New Roman" w:hAnsi="Times New Roman" w:cs="Times New Roman"/>
            <w:color w:val="1155CC"/>
            <w:u w:val="single"/>
          </w:rPr>
          <w:t>https://www.vox.com/policy-and-politics/2019/8/21/20826661/bernie-sanders-union-plan-labor-worker-rights-2020</w:t>
        </w:r>
      </w:hyperlink>
      <w:r w:rsidRPr="00C63180">
        <w:rPr>
          <w:rFonts w:ascii="Times New Roman" w:eastAsia="Times New Roman" w:hAnsi="Times New Roman" w:cs="Times New Roman"/>
        </w:rPr>
        <w:t>, [Accessed 10 January 2020].</w:t>
      </w:r>
    </w:p>
    <w:p w14:paraId="5530B288" w14:textId="77777777" w:rsidR="00CA61F0" w:rsidRPr="00C63180" w:rsidRDefault="00CA61F0" w:rsidP="00CA61F0">
      <w:pPr>
        <w:ind w:left="720" w:hanging="720"/>
        <w:rPr>
          <w:rFonts w:ascii="Times New Roman" w:eastAsia="Times New Roman" w:hAnsi="Times New Roman" w:cs="Times New Roman"/>
        </w:rPr>
      </w:pPr>
    </w:p>
    <w:p w14:paraId="751CEE3D" w14:textId="77777777" w:rsidR="00B84936" w:rsidRPr="00C63180" w:rsidRDefault="001D1521" w:rsidP="00CA61F0">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Gordon, C. (2012). “Union Decline and Rising Inequality in Two Charts,” </w:t>
      </w:r>
      <w:r w:rsidRPr="00C63180">
        <w:rPr>
          <w:rFonts w:ascii="Times New Roman" w:eastAsia="Times New Roman" w:hAnsi="Times New Roman" w:cs="Times New Roman"/>
          <w:i/>
        </w:rPr>
        <w:t>Economic Policy Institute</w:t>
      </w:r>
      <w:r w:rsidRPr="00C63180">
        <w:rPr>
          <w:rFonts w:ascii="Times New Roman" w:eastAsia="Times New Roman" w:hAnsi="Times New Roman" w:cs="Times New Roman"/>
        </w:rPr>
        <w:t xml:space="preserve">, Available online: </w:t>
      </w:r>
      <w:hyperlink r:id="rId53">
        <w:r w:rsidRPr="00C63180">
          <w:rPr>
            <w:rFonts w:ascii="Times New Roman" w:eastAsia="Times New Roman" w:hAnsi="Times New Roman" w:cs="Times New Roman"/>
            <w:color w:val="1155CC"/>
            <w:u w:val="single"/>
          </w:rPr>
          <w:t>https://www.epi.org/blog/union-decline-rising-inequality-charts/</w:t>
        </w:r>
      </w:hyperlink>
      <w:r w:rsidRPr="00C63180">
        <w:rPr>
          <w:rFonts w:ascii="Times New Roman" w:eastAsia="Times New Roman" w:hAnsi="Times New Roman" w:cs="Times New Roman"/>
        </w:rPr>
        <w:t xml:space="preserve">, [Accessed 30 December 2019]. </w:t>
      </w:r>
    </w:p>
    <w:p w14:paraId="483E00AB" w14:textId="77777777" w:rsidR="00CA61F0" w:rsidRPr="00C63180" w:rsidRDefault="00CA61F0" w:rsidP="00CA61F0">
      <w:pPr>
        <w:ind w:left="720" w:hanging="720"/>
        <w:rPr>
          <w:rFonts w:ascii="Times New Roman" w:eastAsia="Times New Roman" w:hAnsi="Times New Roman" w:cs="Times New Roman"/>
        </w:rPr>
      </w:pPr>
    </w:p>
    <w:p w14:paraId="71EC8801" w14:textId="77777777" w:rsidR="00B84936" w:rsidRPr="00C63180" w:rsidRDefault="001D1521" w:rsidP="00CA61F0">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Gotsch</w:t>
      </w:r>
      <w:proofErr w:type="spellEnd"/>
      <w:r w:rsidRPr="00C63180">
        <w:rPr>
          <w:rFonts w:ascii="Times New Roman" w:eastAsia="Times New Roman" w:hAnsi="Times New Roman" w:cs="Times New Roman"/>
        </w:rPr>
        <w:t xml:space="preserve">, K. (2018). “Families and Mass Incarceration,” </w:t>
      </w:r>
      <w:r w:rsidRPr="00C63180">
        <w:rPr>
          <w:rFonts w:ascii="Times New Roman" w:eastAsia="Times New Roman" w:hAnsi="Times New Roman" w:cs="Times New Roman"/>
          <w:i/>
        </w:rPr>
        <w:t>The Sentencing Project</w:t>
      </w:r>
      <w:r w:rsidRPr="00C63180">
        <w:rPr>
          <w:rFonts w:ascii="Times New Roman" w:eastAsia="Times New Roman" w:hAnsi="Times New Roman" w:cs="Times New Roman"/>
        </w:rPr>
        <w:t xml:space="preserve">, Available online: </w:t>
      </w:r>
      <w:hyperlink r:id="rId54">
        <w:r w:rsidRPr="00C63180">
          <w:rPr>
            <w:rFonts w:ascii="Times New Roman" w:eastAsia="Times New Roman" w:hAnsi="Times New Roman" w:cs="Times New Roman"/>
            <w:color w:val="1155CC"/>
            <w:u w:val="single"/>
          </w:rPr>
          <w:t>https://www.sentencingproject.org/publications/6148/</w:t>
        </w:r>
      </w:hyperlink>
      <w:r w:rsidRPr="00C63180">
        <w:rPr>
          <w:rFonts w:ascii="Times New Roman" w:eastAsia="Times New Roman" w:hAnsi="Times New Roman" w:cs="Times New Roman"/>
        </w:rPr>
        <w:t>, [Accessed 23 December 2019.] </w:t>
      </w:r>
    </w:p>
    <w:p w14:paraId="406418EF" w14:textId="77777777" w:rsidR="00861DF6" w:rsidRPr="00C63180" w:rsidRDefault="00861DF6" w:rsidP="00CA61F0">
      <w:pPr>
        <w:ind w:left="720" w:hanging="720"/>
        <w:rPr>
          <w:rFonts w:ascii="Times New Roman" w:eastAsia="Times New Roman" w:hAnsi="Times New Roman" w:cs="Times New Roman"/>
        </w:rPr>
      </w:pPr>
    </w:p>
    <w:p w14:paraId="1A2A734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lastRenderedPageBreak/>
        <w:t xml:space="preserve">Greenblatt, Stephen. (1990)."Culture," in </w:t>
      </w:r>
      <w:proofErr w:type="spellStart"/>
      <w:r w:rsidRPr="00C63180">
        <w:rPr>
          <w:rFonts w:ascii="Times New Roman" w:eastAsia="Times New Roman" w:hAnsi="Times New Roman" w:cs="Times New Roman"/>
        </w:rPr>
        <w:t>Lentricchia</w:t>
      </w:r>
      <w:proofErr w:type="spellEnd"/>
      <w:r w:rsidRPr="00C63180">
        <w:rPr>
          <w:rFonts w:ascii="Times New Roman" w:eastAsia="Times New Roman" w:hAnsi="Times New Roman" w:cs="Times New Roman"/>
        </w:rPr>
        <w:t>, F. and McLaughlin, T, (</w:t>
      </w:r>
      <w:proofErr w:type="spellStart"/>
      <w:r w:rsidRPr="00C63180">
        <w:rPr>
          <w:rFonts w:ascii="Times New Roman" w:eastAsia="Times New Roman" w:hAnsi="Times New Roman" w:cs="Times New Roman"/>
        </w:rPr>
        <w:t>eds</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Critical Terms for Literary Studies</w:t>
      </w:r>
      <w:r w:rsidRPr="00C63180">
        <w:rPr>
          <w:rFonts w:ascii="Times New Roman" w:eastAsia="Times New Roman" w:hAnsi="Times New Roman" w:cs="Times New Roman"/>
        </w:rPr>
        <w:t>, Chicago: University of Chicago Press.</w:t>
      </w:r>
    </w:p>
    <w:p w14:paraId="5B1D5BC5" w14:textId="77777777" w:rsidR="00861DF6" w:rsidRPr="00C63180" w:rsidRDefault="00861DF6" w:rsidP="00861DF6">
      <w:pPr>
        <w:ind w:left="720" w:hanging="720"/>
        <w:rPr>
          <w:rFonts w:ascii="Times New Roman" w:eastAsia="Times New Roman" w:hAnsi="Times New Roman" w:cs="Times New Roman"/>
        </w:rPr>
      </w:pPr>
    </w:p>
    <w:p w14:paraId="6995D17F"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Grossman, J. (2019). “Fair Labor Standards Act of 1938: Maximum Struggle for a Minimum Wage,” </w:t>
      </w:r>
      <w:r w:rsidRPr="00C63180">
        <w:rPr>
          <w:rFonts w:ascii="Times New Roman" w:eastAsia="Times New Roman" w:hAnsi="Times New Roman" w:cs="Times New Roman"/>
          <w:i/>
        </w:rPr>
        <w:t>U.S. Department of Labor</w:t>
      </w:r>
      <w:r w:rsidRPr="00C63180">
        <w:rPr>
          <w:rFonts w:ascii="Times New Roman" w:eastAsia="Times New Roman" w:hAnsi="Times New Roman" w:cs="Times New Roman"/>
        </w:rPr>
        <w:t xml:space="preserve">, Available online: </w:t>
      </w:r>
      <w:hyperlink r:id="rId55">
        <w:r w:rsidRPr="00C63180">
          <w:rPr>
            <w:rFonts w:ascii="Times New Roman" w:eastAsia="Times New Roman" w:hAnsi="Times New Roman" w:cs="Times New Roman"/>
            <w:color w:val="1155CC"/>
            <w:u w:val="single"/>
          </w:rPr>
          <w:t>https://www.dol.gov/general/aboutdol/history/flsa1938</w:t>
        </w:r>
      </w:hyperlink>
      <w:r w:rsidRPr="00C63180">
        <w:rPr>
          <w:rFonts w:ascii="Times New Roman" w:eastAsia="Times New Roman" w:hAnsi="Times New Roman" w:cs="Times New Roman"/>
        </w:rPr>
        <w:t>, [Accessed 29 December 2019].</w:t>
      </w:r>
    </w:p>
    <w:p w14:paraId="2D862644" w14:textId="77777777" w:rsidR="00861DF6" w:rsidRPr="00C63180" w:rsidRDefault="00861DF6" w:rsidP="00861DF6">
      <w:pPr>
        <w:ind w:left="720" w:hanging="720"/>
        <w:rPr>
          <w:rFonts w:ascii="Times New Roman" w:eastAsia="Times New Roman" w:hAnsi="Times New Roman" w:cs="Times New Roman"/>
        </w:rPr>
      </w:pPr>
    </w:p>
    <w:p w14:paraId="3392D964"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Gunnigle</w:t>
      </w:r>
      <w:proofErr w:type="spellEnd"/>
      <w:r w:rsidRPr="00C63180">
        <w:rPr>
          <w:rFonts w:ascii="Times New Roman" w:eastAsia="Times New Roman" w:hAnsi="Times New Roman" w:cs="Times New Roman"/>
        </w:rPr>
        <w:t>, P., Lavelle, J., &amp; McDonnell, A. (2009). “Subtle but Deadly</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Union Avoidance through ‘Double Breasting’ Among Multinational Companies,” </w:t>
      </w:r>
      <w:proofErr w:type="spellStart"/>
      <w:r w:rsidRPr="00C63180">
        <w:rPr>
          <w:rFonts w:ascii="Times New Roman" w:eastAsia="Times New Roman" w:hAnsi="Times New Roman" w:cs="Times New Roman"/>
        </w:rPr>
        <w:t>Lewin</w:t>
      </w:r>
      <w:proofErr w:type="spellEnd"/>
      <w:r w:rsidRPr="00C63180">
        <w:rPr>
          <w:rFonts w:ascii="Times New Roman" w:eastAsia="Times New Roman" w:hAnsi="Times New Roman" w:cs="Times New Roman"/>
        </w:rPr>
        <w:t xml:space="preserve">, D. &amp; Kaufman, B. (Ed.), </w:t>
      </w:r>
      <w:r w:rsidRPr="00C63180">
        <w:rPr>
          <w:rFonts w:ascii="Times New Roman" w:eastAsia="Times New Roman" w:hAnsi="Times New Roman" w:cs="Times New Roman"/>
          <w:i/>
        </w:rPr>
        <w:t>Advances in Industrial &amp; Labor Relations</w:t>
      </w:r>
      <w:r w:rsidRPr="00C63180">
        <w:rPr>
          <w:rFonts w:ascii="Times New Roman" w:eastAsia="Times New Roman" w:hAnsi="Times New Roman" w:cs="Times New Roman"/>
        </w:rPr>
        <w:t xml:space="preserve">, Bingley, pp. 51-73. Available online: </w:t>
      </w:r>
      <w:hyperlink r:id="rId56">
        <w:r w:rsidRPr="00C63180">
          <w:rPr>
            <w:rFonts w:ascii="Times New Roman" w:eastAsia="Times New Roman" w:hAnsi="Times New Roman" w:cs="Times New Roman"/>
            <w:color w:val="1155CC"/>
            <w:u w:val="single"/>
          </w:rPr>
          <w:t>https://www.emerald.com/insight/content/doi/10.1108/S0742-6186(2009)0000016006/full/html</w:t>
        </w:r>
      </w:hyperlink>
      <w:r w:rsidRPr="00C63180">
        <w:rPr>
          <w:rFonts w:ascii="Times New Roman" w:eastAsia="Times New Roman" w:hAnsi="Times New Roman" w:cs="Times New Roman"/>
        </w:rPr>
        <w:t>, [Accessed 26 January 2020].</w:t>
      </w:r>
    </w:p>
    <w:p w14:paraId="0E76DB8B" w14:textId="77777777" w:rsidR="00861DF6" w:rsidRPr="00C63180" w:rsidRDefault="00861DF6" w:rsidP="00861DF6">
      <w:pPr>
        <w:ind w:left="720" w:hanging="720"/>
        <w:rPr>
          <w:rFonts w:ascii="Times New Roman" w:eastAsia="Times New Roman" w:hAnsi="Times New Roman" w:cs="Times New Roman"/>
        </w:rPr>
      </w:pPr>
    </w:p>
    <w:p w14:paraId="23AAAC85"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Gurchiek</w:t>
      </w:r>
      <w:proofErr w:type="spellEnd"/>
      <w:r w:rsidRPr="00C63180">
        <w:rPr>
          <w:rFonts w:ascii="Times New Roman" w:eastAsia="Times New Roman" w:hAnsi="Times New Roman" w:cs="Times New Roman"/>
        </w:rPr>
        <w:t xml:space="preserve">, K. (2018). “Research: Employers Willing to Overlook a Criminal Record to Hire the Right Person,” </w:t>
      </w:r>
      <w:r w:rsidRPr="00C63180">
        <w:rPr>
          <w:rFonts w:ascii="Times New Roman" w:eastAsia="Times New Roman" w:hAnsi="Times New Roman" w:cs="Times New Roman"/>
          <w:i/>
        </w:rPr>
        <w:t>Society for Human Resource Management</w:t>
      </w:r>
      <w:r w:rsidRPr="00C63180">
        <w:rPr>
          <w:rFonts w:ascii="Times New Roman" w:eastAsia="Times New Roman" w:hAnsi="Times New Roman" w:cs="Times New Roman"/>
        </w:rPr>
        <w:t xml:space="preserve">, Available online: </w:t>
      </w:r>
      <w:hyperlink r:id="rId57">
        <w:r w:rsidRPr="00C63180">
          <w:rPr>
            <w:rFonts w:ascii="Times New Roman" w:eastAsia="Times New Roman" w:hAnsi="Times New Roman" w:cs="Times New Roman"/>
            <w:color w:val="1155CC"/>
            <w:u w:val="single"/>
          </w:rPr>
          <w:t>https://www.shrm.org/resourcesandtools/hr-topics/behavioral-competencies/global-and-cultural-effectiveness/pages/research-employers-willing-to-overlook-criminal-record-to-hire-right-person.aspx</w:t>
        </w:r>
      </w:hyperlink>
      <w:r w:rsidRPr="00C63180">
        <w:rPr>
          <w:rFonts w:ascii="Times New Roman" w:eastAsia="Times New Roman" w:hAnsi="Times New Roman" w:cs="Times New Roman"/>
        </w:rPr>
        <w:t>, [Accessed 23 December 2019.]</w:t>
      </w:r>
    </w:p>
    <w:p w14:paraId="63A483D9" w14:textId="77777777" w:rsidR="00861DF6" w:rsidRPr="00C63180" w:rsidRDefault="00861DF6" w:rsidP="00861DF6">
      <w:pPr>
        <w:ind w:left="720" w:hanging="720"/>
        <w:rPr>
          <w:rFonts w:ascii="Times New Roman" w:eastAsia="Times New Roman" w:hAnsi="Times New Roman" w:cs="Times New Roman"/>
        </w:rPr>
      </w:pPr>
    </w:p>
    <w:p w14:paraId="65A91FF7"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Hagedorn</w:t>
      </w:r>
      <w:proofErr w:type="spellEnd"/>
      <w:r w:rsidRPr="00C63180">
        <w:rPr>
          <w:rFonts w:ascii="Times New Roman" w:eastAsia="Times New Roman" w:hAnsi="Times New Roman" w:cs="Times New Roman"/>
        </w:rPr>
        <w:t xml:space="preserve">, J., </w:t>
      </w:r>
      <w:proofErr w:type="spellStart"/>
      <w:r w:rsidRPr="00C63180">
        <w:rPr>
          <w:rFonts w:ascii="Times New Roman" w:eastAsia="Times New Roman" w:hAnsi="Times New Roman" w:cs="Times New Roman"/>
        </w:rPr>
        <w:t>Paras</w:t>
      </w:r>
      <w:proofErr w:type="spellEnd"/>
      <w:r w:rsidRPr="00C63180">
        <w:rPr>
          <w:rFonts w:ascii="Times New Roman" w:eastAsia="Times New Roman" w:hAnsi="Times New Roman" w:cs="Times New Roman"/>
        </w:rPr>
        <w:t xml:space="preserve">, C.A., Greenwich, H., </w:t>
      </w:r>
      <w:proofErr w:type="spellStart"/>
      <w:r w:rsidRPr="00C63180">
        <w:rPr>
          <w:rFonts w:ascii="Times New Roman" w:eastAsia="Times New Roman" w:hAnsi="Times New Roman" w:cs="Times New Roman"/>
        </w:rPr>
        <w:t>Hagopian</w:t>
      </w:r>
      <w:proofErr w:type="spellEnd"/>
      <w:r w:rsidRPr="00C63180">
        <w:rPr>
          <w:rFonts w:ascii="Times New Roman" w:eastAsia="Times New Roman" w:hAnsi="Times New Roman" w:cs="Times New Roman"/>
        </w:rPr>
        <w:t xml:space="preserve">, A. (2016). “The Role of Labor Unions in Creating Working Conditions that Promote Public Health,” </w:t>
      </w:r>
      <w:r w:rsidRPr="00C63180">
        <w:rPr>
          <w:rFonts w:ascii="Times New Roman" w:eastAsia="Times New Roman" w:hAnsi="Times New Roman" w:cs="Times New Roman"/>
          <w:i/>
        </w:rPr>
        <w:t>American Journal of Public Health</w:t>
      </w:r>
      <w:r w:rsidRPr="00C63180">
        <w:rPr>
          <w:rFonts w:ascii="Times New Roman" w:eastAsia="Times New Roman" w:hAnsi="Times New Roman" w:cs="Times New Roman"/>
        </w:rPr>
        <w:t xml:space="preserve">, Vol. 106, No. 6, pp. 989-995, Available online: </w:t>
      </w:r>
      <w:hyperlink r:id="rId58">
        <w:r w:rsidRPr="00C63180">
          <w:rPr>
            <w:rFonts w:ascii="Times New Roman" w:eastAsia="Times New Roman" w:hAnsi="Times New Roman" w:cs="Times New Roman"/>
            <w:color w:val="1155CC"/>
            <w:u w:val="single"/>
          </w:rPr>
          <w:t>https://www.ncbi.nlm.nih.gov/pmc/articles/PMC4880255/</w:t>
        </w:r>
      </w:hyperlink>
      <w:r w:rsidRPr="00C63180">
        <w:rPr>
          <w:rFonts w:ascii="Times New Roman" w:eastAsia="Times New Roman" w:hAnsi="Times New Roman" w:cs="Times New Roman"/>
        </w:rPr>
        <w:t>, [Accessed 22 January 2020].</w:t>
      </w:r>
    </w:p>
    <w:p w14:paraId="396302DC" w14:textId="77777777" w:rsidR="00861DF6" w:rsidRPr="00C63180" w:rsidRDefault="00861DF6" w:rsidP="00861DF6">
      <w:pPr>
        <w:ind w:left="720" w:hanging="720"/>
        <w:rPr>
          <w:rFonts w:ascii="Times New Roman" w:eastAsia="Times New Roman" w:hAnsi="Times New Roman" w:cs="Times New Roman"/>
        </w:rPr>
      </w:pPr>
    </w:p>
    <w:p w14:paraId="243C22A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Hancock, A.M. (2007). “When Multiplication Doesn’t Equal Quick Addition: Examining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as a Research Paradigm,” </w:t>
      </w:r>
      <w:r w:rsidRPr="00C63180">
        <w:rPr>
          <w:rFonts w:ascii="Times New Roman" w:eastAsia="Times New Roman" w:hAnsi="Times New Roman" w:cs="Times New Roman"/>
          <w:i/>
        </w:rPr>
        <w:t>Perspectives on Politics</w:t>
      </w:r>
      <w:r w:rsidRPr="00C63180">
        <w:rPr>
          <w:rFonts w:ascii="Times New Roman" w:eastAsia="Times New Roman" w:hAnsi="Times New Roman" w:cs="Times New Roman"/>
        </w:rPr>
        <w:t xml:space="preserve">, Vol. 5, No. 1, pp. 63-78, Available online: </w:t>
      </w:r>
      <w:hyperlink r:id="rId59">
        <w:r w:rsidRPr="00C63180">
          <w:rPr>
            <w:rFonts w:ascii="Times New Roman" w:eastAsia="Times New Roman" w:hAnsi="Times New Roman" w:cs="Times New Roman"/>
            <w:color w:val="0000FF"/>
            <w:u w:val="single"/>
          </w:rPr>
          <w:t>https://doi.org/10.1017/S1537592707070065</w:t>
        </w:r>
      </w:hyperlink>
      <w:r w:rsidRPr="00C63180">
        <w:rPr>
          <w:rFonts w:ascii="Times New Roman" w:eastAsia="Times New Roman" w:hAnsi="Times New Roman" w:cs="Times New Roman"/>
        </w:rPr>
        <w:t>, [Accessed 27 December 2020]. </w:t>
      </w:r>
    </w:p>
    <w:p w14:paraId="26718266" w14:textId="77777777" w:rsidR="00861DF6" w:rsidRPr="00C63180" w:rsidRDefault="00861DF6" w:rsidP="00861DF6">
      <w:pPr>
        <w:ind w:left="720" w:hanging="720"/>
        <w:rPr>
          <w:rFonts w:ascii="Times New Roman" w:eastAsia="Times New Roman" w:hAnsi="Times New Roman" w:cs="Times New Roman"/>
        </w:rPr>
      </w:pPr>
    </w:p>
    <w:p w14:paraId="320ACF17"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Hankivsky</w:t>
      </w:r>
      <w:proofErr w:type="spellEnd"/>
      <w:r w:rsidRPr="00C63180">
        <w:rPr>
          <w:rFonts w:ascii="Times New Roman" w:eastAsia="Times New Roman" w:hAnsi="Times New Roman" w:cs="Times New Roman"/>
        </w:rPr>
        <w:t xml:space="preserve">, O. (2005). “Gender Mainstreaming vs. Diversity Mainstreaming: A Preliminary Examination of the Role and Transformative Potential of Feminist Theory,” </w:t>
      </w:r>
      <w:r w:rsidRPr="00C63180">
        <w:rPr>
          <w:rFonts w:ascii="Times New Roman" w:eastAsia="Times New Roman" w:hAnsi="Times New Roman" w:cs="Times New Roman"/>
          <w:i/>
        </w:rPr>
        <w:t xml:space="preserve">Canadian Journal of Political Science, </w:t>
      </w:r>
      <w:r w:rsidRPr="00C63180">
        <w:rPr>
          <w:rFonts w:ascii="Times New Roman" w:eastAsia="Times New Roman" w:hAnsi="Times New Roman" w:cs="Times New Roman"/>
        </w:rPr>
        <w:t xml:space="preserve">Vol. 38, pp. 977-1001, Available online: </w:t>
      </w:r>
      <w:hyperlink r:id="rId60">
        <w:r w:rsidRPr="00C63180">
          <w:rPr>
            <w:rFonts w:ascii="Times New Roman" w:eastAsia="Times New Roman" w:hAnsi="Times New Roman" w:cs="Times New Roman"/>
            <w:color w:val="1155CC"/>
            <w:u w:val="single"/>
          </w:rPr>
          <w:t>https://www.jstor.org/stable/25165888</w:t>
        </w:r>
      </w:hyperlink>
      <w:r w:rsidRPr="00C63180">
        <w:rPr>
          <w:rFonts w:ascii="Times New Roman" w:eastAsia="Times New Roman" w:hAnsi="Times New Roman" w:cs="Times New Roman"/>
        </w:rPr>
        <w:t>, [Accessed 3 January 2020]. </w:t>
      </w:r>
    </w:p>
    <w:p w14:paraId="63B77E71" w14:textId="77777777" w:rsidR="00B84936" w:rsidRPr="00C63180" w:rsidRDefault="00B84936">
      <w:pPr>
        <w:rPr>
          <w:rFonts w:ascii="Times New Roman" w:eastAsia="Times New Roman" w:hAnsi="Times New Roman" w:cs="Times New Roman"/>
        </w:rPr>
      </w:pPr>
    </w:p>
    <w:p w14:paraId="117AB422"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Hankivsky</w:t>
      </w:r>
      <w:proofErr w:type="spellEnd"/>
      <w:r w:rsidRPr="00C63180">
        <w:rPr>
          <w:rFonts w:ascii="Times New Roman" w:eastAsia="Times New Roman" w:hAnsi="Times New Roman" w:cs="Times New Roman"/>
        </w:rPr>
        <w:t>, O. &amp; Cormier, R. (2011).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and Public Policy: Some Lessons from Existing Models,” </w:t>
      </w:r>
      <w:r w:rsidRPr="00C63180">
        <w:rPr>
          <w:rFonts w:ascii="Times New Roman" w:eastAsia="Times New Roman" w:hAnsi="Times New Roman" w:cs="Times New Roman"/>
          <w:i/>
        </w:rPr>
        <w:t>Political Research Quarterly</w:t>
      </w:r>
      <w:r w:rsidRPr="00C63180">
        <w:rPr>
          <w:rFonts w:ascii="Times New Roman" w:eastAsia="Times New Roman" w:hAnsi="Times New Roman" w:cs="Times New Roman"/>
        </w:rPr>
        <w:t xml:space="preserve">, Vol. 64, No. 1, pp. 217-229, Available online: </w:t>
      </w:r>
      <w:hyperlink r:id="rId61">
        <w:r w:rsidRPr="00C63180">
          <w:rPr>
            <w:rFonts w:ascii="Times New Roman" w:eastAsia="Times New Roman" w:hAnsi="Times New Roman" w:cs="Times New Roman"/>
            <w:color w:val="0000FF"/>
            <w:u w:val="single"/>
          </w:rPr>
          <w:t>https://www.jstor.org/stable/41058335</w:t>
        </w:r>
      </w:hyperlink>
      <w:r w:rsidRPr="00C63180">
        <w:rPr>
          <w:rFonts w:ascii="Times New Roman" w:eastAsia="Times New Roman" w:hAnsi="Times New Roman" w:cs="Times New Roman"/>
        </w:rPr>
        <w:t>, [Accessed 11 January 2020].</w:t>
      </w:r>
    </w:p>
    <w:p w14:paraId="013A6205" w14:textId="77777777" w:rsidR="00861DF6" w:rsidRPr="00C63180" w:rsidRDefault="00861DF6" w:rsidP="00861DF6">
      <w:pPr>
        <w:ind w:left="720" w:hanging="720"/>
        <w:rPr>
          <w:rFonts w:ascii="Times New Roman" w:eastAsia="Times New Roman" w:hAnsi="Times New Roman" w:cs="Times New Roman"/>
        </w:rPr>
      </w:pPr>
    </w:p>
    <w:p w14:paraId="2B5D323A"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Hankivsky</w:t>
      </w:r>
      <w:proofErr w:type="spellEnd"/>
      <w:r w:rsidRPr="00C63180">
        <w:rPr>
          <w:rFonts w:ascii="Times New Roman" w:eastAsia="Times New Roman" w:hAnsi="Times New Roman" w:cs="Times New Roman"/>
        </w:rPr>
        <w:t xml:space="preserve">, O. &amp; Jordan-Zachery, J.S. (2019). </w:t>
      </w:r>
      <w:r w:rsidRPr="00C63180">
        <w:rPr>
          <w:rFonts w:ascii="Times New Roman" w:eastAsia="Times New Roman" w:hAnsi="Times New Roman" w:cs="Times New Roman"/>
          <w:i/>
        </w:rPr>
        <w:t xml:space="preserve">The Palgrave Handbook of </w:t>
      </w:r>
      <w:proofErr w:type="spellStart"/>
      <w:r w:rsidRPr="00C63180">
        <w:rPr>
          <w:rFonts w:ascii="Times New Roman" w:eastAsia="Times New Roman" w:hAnsi="Times New Roman" w:cs="Times New Roman"/>
          <w:i/>
        </w:rPr>
        <w:t>Intersectionality</w:t>
      </w:r>
      <w:proofErr w:type="spellEnd"/>
      <w:r w:rsidRPr="00C63180">
        <w:rPr>
          <w:rFonts w:ascii="Times New Roman" w:eastAsia="Times New Roman" w:hAnsi="Times New Roman" w:cs="Times New Roman"/>
          <w:i/>
        </w:rPr>
        <w:t xml:space="preserve"> in Public Policy,</w:t>
      </w:r>
      <w:r w:rsidRPr="00C63180">
        <w:rPr>
          <w:rFonts w:ascii="Times New Roman" w:eastAsia="Times New Roman" w:hAnsi="Times New Roman" w:cs="Times New Roman"/>
        </w:rPr>
        <w:t xml:space="preserve"> London: Palgrave Macmillan.</w:t>
      </w:r>
    </w:p>
    <w:p w14:paraId="315CA58D"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lastRenderedPageBreak/>
        <w:t>Harcourt, M., Hannah, M., &amp; Lam, H. (2013).</w:t>
      </w:r>
      <w:proofErr w:type="gramEnd"/>
      <w:r w:rsidRPr="00C63180">
        <w:rPr>
          <w:rFonts w:ascii="Times New Roman" w:eastAsia="Times New Roman" w:hAnsi="Times New Roman" w:cs="Times New Roman"/>
        </w:rPr>
        <w:t xml:space="preserve"> “Distributive Justice, Employment-at-Will and Just-Cause Dismissal,” </w:t>
      </w:r>
      <w:r w:rsidRPr="00C63180">
        <w:rPr>
          <w:rFonts w:ascii="Times New Roman" w:eastAsia="Times New Roman" w:hAnsi="Times New Roman" w:cs="Times New Roman"/>
          <w:i/>
        </w:rPr>
        <w:t>Journal of Business Ethics</w:t>
      </w:r>
      <w:r w:rsidRPr="00C63180">
        <w:rPr>
          <w:rFonts w:ascii="Times New Roman" w:eastAsia="Times New Roman" w:hAnsi="Times New Roman" w:cs="Times New Roman"/>
        </w:rPr>
        <w:t xml:space="preserve">, Vol. 115, No. 2, pp. 311-325, Available online: </w:t>
      </w:r>
      <w:hyperlink r:id="rId62">
        <w:r w:rsidRPr="00C63180">
          <w:rPr>
            <w:rFonts w:ascii="Times New Roman" w:eastAsia="Times New Roman" w:hAnsi="Times New Roman" w:cs="Times New Roman"/>
            <w:color w:val="1155CC"/>
            <w:u w:val="single"/>
          </w:rPr>
          <w:t>https://doi.org/10.1007/s10551-012-1400-9</w:t>
        </w:r>
      </w:hyperlink>
      <w:r w:rsidRPr="00C63180">
        <w:rPr>
          <w:rFonts w:ascii="Times New Roman" w:eastAsia="Times New Roman" w:hAnsi="Times New Roman" w:cs="Times New Roman"/>
        </w:rPr>
        <w:t>, [Accessed 11 February 2020].</w:t>
      </w:r>
    </w:p>
    <w:p w14:paraId="3BF45D7D" w14:textId="77777777" w:rsidR="00861DF6" w:rsidRPr="00C63180" w:rsidRDefault="00861DF6" w:rsidP="00861DF6">
      <w:pPr>
        <w:ind w:left="720" w:hanging="720"/>
        <w:rPr>
          <w:rFonts w:ascii="Times New Roman" w:eastAsia="Times New Roman" w:hAnsi="Times New Roman" w:cs="Times New Roman"/>
        </w:rPr>
      </w:pPr>
    </w:p>
    <w:p w14:paraId="4A47DAD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Head, J. &amp; Lucas, R. (2004). “Does Individual Employment Legislation Constrain the Ability of Hospitality Employers to ‘Hire and </w:t>
      </w:r>
      <w:proofErr w:type="gramStart"/>
      <w:r w:rsidRPr="00C63180">
        <w:rPr>
          <w:rFonts w:ascii="Times New Roman" w:eastAsia="Times New Roman" w:hAnsi="Times New Roman" w:cs="Times New Roman"/>
        </w:rPr>
        <w:t>Fire’?,</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International Journal of Hospitality Management</w:t>
      </w:r>
      <w:r w:rsidRPr="00C63180">
        <w:rPr>
          <w:rFonts w:ascii="Times New Roman" w:eastAsia="Times New Roman" w:hAnsi="Times New Roman" w:cs="Times New Roman"/>
        </w:rPr>
        <w:t xml:space="preserve">, Vol. 23, No. 3, pp. 239-254, Available online: </w:t>
      </w:r>
      <w:hyperlink r:id="rId63">
        <w:r w:rsidRPr="00C63180">
          <w:rPr>
            <w:rFonts w:ascii="Times New Roman" w:eastAsia="Times New Roman" w:hAnsi="Times New Roman" w:cs="Times New Roman"/>
            <w:color w:val="1155CC"/>
            <w:u w:val="single"/>
          </w:rPr>
          <w:t>https://doi.org/10.1016/j.ijhm.2003.11.001</w:t>
        </w:r>
      </w:hyperlink>
      <w:r w:rsidRPr="00C63180">
        <w:rPr>
          <w:rFonts w:ascii="Times New Roman" w:eastAsia="Times New Roman" w:hAnsi="Times New Roman" w:cs="Times New Roman"/>
        </w:rPr>
        <w:t>, [Accessed 11 February 2020].</w:t>
      </w:r>
    </w:p>
    <w:p w14:paraId="28B369A4" w14:textId="77777777" w:rsidR="00861DF6" w:rsidRPr="00C63180" w:rsidRDefault="00861DF6" w:rsidP="00861DF6">
      <w:pPr>
        <w:ind w:left="720" w:hanging="720"/>
        <w:rPr>
          <w:rFonts w:ascii="Times New Roman" w:eastAsia="Times New Roman" w:hAnsi="Times New Roman" w:cs="Times New Roman"/>
        </w:rPr>
      </w:pPr>
    </w:p>
    <w:p w14:paraId="41A2D13B"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Helliwell</w:t>
      </w:r>
      <w:proofErr w:type="spellEnd"/>
      <w:r w:rsidRPr="00C63180">
        <w:rPr>
          <w:rFonts w:ascii="Times New Roman" w:eastAsia="Times New Roman" w:hAnsi="Times New Roman" w:cs="Times New Roman"/>
        </w:rPr>
        <w:t xml:space="preserve">, J., Layard, R., &amp; Sachs, J. (2019). </w:t>
      </w:r>
      <w:r w:rsidRPr="00C63180">
        <w:rPr>
          <w:rFonts w:ascii="Times New Roman" w:eastAsia="Times New Roman" w:hAnsi="Times New Roman" w:cs="Times New Roman"/>
          <w:i/>
        </w:rPr>
        <w:t>World Happiness Report 2019</w:t>
      </w:r>
      <w:r w:rsidRPr="00C63180">
        <w:rPr>
          <w:rFonts w:ascii="Times New Roman" w:eastAsia="Times New Roman" w:hAnsi="Times New Roman" w:cs="Times New Roman"/>
        </w:rPr>
        <w:t xml:space="preserve">, New York: United Nations Sustainable Development Solutions Network, Available online: </w:t>
      </w:r>
      <w:hyperlink r:id="rId64">
        <w:r w:rsidRPr="00C63180">
          <w:rPr>
            <w:rFonts w:ascii="Times New Roman" w:eastAsia="Times New Roman" w:hAnsi="Times New Roman" w:cs="Times New Roman"/>
            <w:color w:val="1155CC"/>
            <w:u w:val="single"/>
          </w:rPr>
          <w:t>https://worldhappiness.report/ed/2019/</w:t>
        </w:r>
      </w:hyperlink>
      <w:r w:rsidRPr="00C63180">
        <w:rPr>
          <w:rFonts w:ascii="Times New Roman" w:eastAsia="Times New Roman" w:hAnsi="Times New Roman" w:cs="Times New Roman"/>
        </w:rPr>
        <w:t>, [Accessed 6 January 2020].</w:t>
      </w:r>
    </w:p>
    <w:p w14:paraId="05E87B45" w14:textId="77777777" w:rsidR="00861DF6" w:rsidRPr="00C63180" w:rsidRDefault="00861DF6" w:rsidP="00861DF6">
      <w:pPr>
        <w:ind w:left="720" w:hanging="720"/>
        <w:rPr>
          <w:rFonts w:ascii="Times New Roman" w:eastAsia="Times New Roman" w:hAnsi="Times New Roman" w:cs="Times New Roman"/>
        </w:rPr>
      </w:pPr>
    </w:p>
    <w:p w14:paraId="1E419296"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Heywood, L. (2006). </w:t>
      </w:r>
      <w:r w:rsidRPr="00C63180">
        <w:rPr>
          <w:rFonts w:ascii="Times New Roman" w:eastAsia="Times New Roman" w:hAnsi="Times New Roman" w:cs="Times New Roman"/>
          <w:i/>
        </w:rPr>
        <w:t>The Women’s Movement Today: An Encyclopedia of Third Wave Feminism</w:t>
      </w:r>
      <w:r w:rsidRPr="00C63180">
        <w:rPr>
          <w:rFonts w:ascii="Times New Roman" w:eastAsia="Times New Roman" w:hAnsi="Times New Roman" w:cs="Times New Roman"/>
        </w:rPr>
        <w:t xml:space="preserve">, Vol. 1, </w:t>
      </w:r>
      <w:proofErr w:type="gramStart"/>
      <w:r w:rsidRPr="00C63180">
        <w:rPr>
          <w:rFonts w:ascii="Times New Roman" w:eastAsia="Times New Roman" w:hAnsi="Times New Roman" w:cs="Times New Roman"/>
        </w:rPr>
        <w:t>No</w:t>
      </w:r>
      <w:proofErr w:type="gramEnd"/>
      <w:r w:rsidRPr="00C63180">
        <w:rPr>
          <w:rFonts w:ascii="Times New Roman" w:eastAsia="Times New Roman" w:hAnsi="Times New Roman" w:cs="Times New Roman"/>
        </w:rPr>
        <w:t xml:space="preserve">. A-Z. Westport, CT: Greenwood. </w:t>
      </w:r>
    </w:p>
    <w:p w14:paraId="42CDAC81" w14:textId="77777777" w:rsidR="00861DF6" w:rsidRPr="00C63180" w:rsidRDefault="00861DF6" w:rsidP="00861DF6">
      <w:pPr>
        <w:ind w:left="720" w:hanging="720"/>
        <w:rPr>
          <w:rFonts w:ascii="Times New Roman" w:eastAsia="Times New Roman" w:hAnsi="Times New Roman" w:cs="Times New Roman"/>
        </w:rPr>
      </w:pPr>
    </w:p>
    <w:p w14:paraId="54A14947"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Hoepfl</w:t>
      </w:r>
      <w:proofErr w:type="spellEnd"/>
      <w:r w:rsidRPr="00C63180">
        <w:rPr>
          <w:rFonts w:ascii="Times New Roman" w:eastAsia="Times New Roman" w:hAnsi="Times New Roman" w:cs="Times New Roman"/>
        </w:rPr>
        <w:t>, M. C. (1997).</w:t>
      </w:r>
      <w:proofErr w:type="gramEnd"/>
      <w:r w:rsidRPr="00C63180">
        <w:rPr>
          <w:rFonts w:ascii="Times New Roman" w:eastAsia="Times New Roman" w:hAnsi="Times New Roman" w:cs="Times New Roman"/>
        </w:rPr>
        <w:t xml:space="preserve"> “Choosing Qualitative Research: A Primer for Technology Education Researchers.” </w:t>
      </w:r>
      <w:r w:rsidRPr="00C63180">
        <w:rPr>
          <w:rFonts w:ascii="Times New Roman" w:eastAsia="Times New Roman" w:hAnsi="Times New Roman" w:cs="Times New Roman"/>
          <w:i/>
        </w:rPr>
        <w:t>Journal of Technology Education</w:t>
      </w:r>
      <w:r w:rsidRPr="00C63180">
        <w:rPr>
          <w:rFonts w:ascii="Times New Roman" w:eastAsia="Times New Roman" w:hAnsi="Times New Roman" w:cs="Times New Roman"/>
        </w:rPr>
        <w:t xml:space="preserve">, Vol. 9, No. 2, pp. 47-63. Available online: </w:t>
      </w:r>
      <w:hyperlink r:id="rId65">
        <w:r w:rsidRPr="00C63180">
          <w:rPr>
            <w:rFonts w:ascii="Times New Roman" w:eastAsia="Times New Roman" w:hAnsi="Times New Roman" w:cs="Times New Roman"/>
            <w:color w:val="1155CC"/>
            <w:u w:val="single"/>
          </w:rPr>
          <w:t>http://scholar.lib.vt.edu/ejournals/JTE/v9n1/pdf/hoepfl.pdf</w:t>
        </w:r>
      </w:hyperlink>
      <w:r w:rsidRPr="00C63180">
        <w:rPr>
          <w:rFonts w:ascii="Times New Roman" w:eastAsia="Times New Roman" w:hAnsi="Times New Roman" w:cs="Times New Roman"/>
        </w:rPr>
        <w:t>, [Accessed 1 December 2019].</w:t>
      </w:r>
    </w:p>
    <w:p w14:paraId="4A84F8E4" w14:textId="77777777" w:rsidR="00B84936" w:rsidRPr="00C63180" w:rsidRDefault="00B84936">
      <w:pPr>
        <w:rPr>
          <w:rFonts w:ascii="Times New Roman" w:eastAsia="Times New Roman" w:hAnsi="Times New Roman" w:cs="Times New Roman"/>
        </w:rPr>
      </w:pPr>
    </w:p>
    <w:p w14:paraId="6A4D2355"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Hoyt, A. (Producer, Writer, &amp; Director) (1999). </w:t>
      </w:r>
      <w:r w:rsidRPr="00C63180">
        <w:rPr>
          <w:rFonts w:ascii="Times New Roman" w:eastAsia="Times New Roman" w:hAnsi="Times New Roman" w:cs="Times New Roman"/>
          <w:i/>
        </w:rPr>
        <w:t>The Richest Man in the World: Andrew Carnegie</w:t>
      </w:r>
      <w:r w:rsidRPr="00C63180">
        <w:rPr>
          <w:rFonts w:ascii="Times New Roman" w:eastAsia="Times New Roman" w:hAnsi="Times New Roman" w:cs="Times New Roman"/>
        </w:rPr>
        <w:t xml:space="preserve"> [Film] United States: PBS American Experience.</w:t>
      </w:r>
    </w:p>
    <w:p w14:paraId="2C517249" w14:textId="77777777" w:rsidR="00B84936" w:rsidRPr="00C63180" w:rsidRDefault="00B84936">
      <w:pPr>
        <w:rPr>
          <w:rFonts w:ascii="Times New Roman" w:eastAsia="Times New Roman" w:hAnsi="Times New Roman" w:cs="Times New Roman"/>
        </w:rPr>
      </w:pPr>
    </w:p>
    <w:p w14:paraId="4B9A1E67"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Hunt, P., Smart, R., </w:t>
      </w:r>
      <w:proofErr w:type="spellStart"/>
      <w:r w:rsidRPr="00C63180">
        <w:rPr>
          <w:rFonts w:ascii="Times New Roman" w:eastAsia="Times New Roman" w:hAnsi="Times New Roman" w:cs="Times New Roman"/>
        </w:rPr>
        <w:t>Jonsson</w:t>
      </w:r>
      <w:proofErr w:type="spellEnd"/>
      <w:r w:rsidRPr="00C63180">
        <w:rPr>
          <w:rFonts w:ascii="Times New Roman" w:eastAsia="Times New Roman" w:hAnsi="Times New Roman" w:cs="Times New Roman"/>
        </w:rPr>
        <w:t>, L., &amp; Tsang, F. (2018). “Incentivizing Employers to Hire Ex-Offenders: What Policies Are Most Effective</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RAND Corporation</w:t>
      </w:r>
      <w:r w:rsidRPr="00C63180">
        <w:rPr>
          <w:rFonts w:ascii="Times New Roman" w:eastAsia="Times New Roman" w:hAnsi="Times New Roman" w:cs="Times New Roman"/>
        </w:rPr>
        <w:t xml:space="preserve">, Available online: </w:t>
      </w:r>
      <w:hyperlink r:id="rId66">
        <w:r w:rsidRPr="00C63180">
          <w:rPr>
            <w:rFonts w:ascii="Times New Roman" w:eastAsia="Times New Roman" w:hAnsi="Times New Roman" w:cs="Times New Roman"/>
            <w:color w:val="1155CC"/>
            <w:u w:val="single"/>
          </w:rPr>
          <w:t>https://doi.org/10.7249/RB10003</w:t>
        </w:r>
      </w:hyperlink>
      <w:r w:rsidRPr="00C63180">
        <w:rPr>
          <w:rFonts w:ascii="Times New Roman" w:eastAsia="Times New Roman" w:hAnsi="Times New Roman" w:cs="Times New Roman"/>
        </w:rPr>
        <w:t>, [Accessed 22 December 2019]. </w:t>
      </w:r>
    </w:p>
    <w:p w14:paraId="7D5AA8DA" w14:textId="77777777" w:rsidR="00861DF6" w:rsidRPr="00C63180" w:rsidRDefault="00861DF6" w:rsidP="00861DF6">
      <w:pPr>
        <w:ind w:left="720" w:hanging="720"/>
        <w:rPr>
          <w:rFonts w:ascii="Times New Roman" w:eastAsia="Times New Roman" w:hAnsi="Times New Roman" w:cs="Times New Roman"/>
        </w:rPr>
      </w:pPr>
    </w:p>
    <w:p w14:paraId="728D44FC"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Hutchinson, E.M. &amp; </w:t>
      </w:r>
      <w:proofErr w:type="spellStart"/>
      <w:r w:rsidRPr="00C63180">
        <w:rPr>
          <w:rFonts w:ascii="Times New Roman" w:eastAsia="Times New Roman" w:hAnsi="Times New Roman" w:cs="Times New Roman"/>
        </w:rPr>
        <w:t>Meisburg</w:t>
      </w:r>
      <w:proofErr w:type="spellEnd"/>
      <w:r w:rsidRPr="00C63180">
        <w:rPr>
          <w:rFonts w:ascii="Times New Roman" w:eastAsia="Times New Roman" w:hAnsi="Times New Roman" w:cs="Times New Roman"/>
        </w:rPr>
        <w:t xml:space="preserve">, R. (2018). “DOL Repeals Obama-Era ‘Persuader Rule’,” </w:t>
      </w:r>
      <w:proofErr w:type="spellStart"/>
      <w:r w:rsidRPr="00C63180">
        <w:rPr>
          <w:rFonts w:ascii="Times New Roman" w:eastAsia="Times New Roman" w:hAnsi="Times New Roman" w:cs="Times New Roman"/>
          <w:i/>
        </w:rPr>
        <w:t>Hunton</w:t>
      </w:r>
      <w:proofErr w:type="spellEnd"/>
      <w:r w:rsidRPr="00C63180">
        <w:rPr>
          <w:rFonts w:ascii="Times New Roman" w:eastAsia="Times New Roman" w:hAnsi="Times New Roman" w:cs="Times New Roman"/>
          <w:i/>
        </w:rPr>
        <w:t xml:space="preserve"> Employment &amp; Labor Perspectives</w:t>
      </w:r>
      <w:r w:rsidRPr="00C63180">
        <w:rPr>
          <w:rFonts w:ascii="Times New Roman" w:eastAsia="Times New Roman" w:hAnsi="Times New Roman" w:cs="Times New Roman"/>
        </w:rPr>
        <w:t xml:space="preserve">, Available online: </w:t>
      </w:r>
      <w:hyperlink r:id="rId67">
        <w:r w:rsidRPr="00C63180">
          <w:rPr>
            <w:rFonts w:ascii="Times New Roman" w:eastAsia="Times New Roman" w:hAnsi="Times New Roman" w:cs="Times New Roman"/>
            <w:color w:val="1155CC"/>
            <w:u w:val="single"/>
          </w:rPr>
          <w:t>https://www.huntonlaborblog.com/2018/07/articles/labor-unions/dol-repeals-obama-era-persuader-rule/</w:t>
        </w:r>
      </w:hyperlink>
      <w:r w:rsidRPr="00C63180">
        <w:rPr>
          <w:rFonts w:ascii="Times New Roman" w:eastAsia="Times New Roman" w:hAnsi="Times New Roman" w:cs="Times New Roman"/>
        </w:rPr>
        <w:t>, [Accessed 21 February 2020].</w:t>
      </w:r>
    </w:p>
    <w:p w14:paraId="5D11579A" w14:textId="77777777" w:rsidR="00861DF6" w:rsidRPr="00C63180" w:rsidRDefault="00861DF6" w:rsidP="00861DF6">
      <w:pPr>
        <w:ind w:left="720" w:hanging="720"/>
        <w:rPr>
          <w:rFonts w:ascii="Times New Roman" w:eastAsia="Times New Roman" w:hAnsi="Times New Roman" w:cs="Times New Roman"/>
        </w:rPr>
      </w:pPr>
    </w:p>
    <w:p w14:paraId="309C6325"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Iowa Public Employment Relations Board.</w:t>
      </w:r>
      <w:proofErr w:type="gramEnd"/>
      <w:r w:rsidRPr="00C63180">
        <w:rPr>
          <w:rFonts w:ascii="Times New Roman" w:eastAsia="Times New Roman" w:hAnsi="Times New Roman" w:cs="Times New Roman"/>
        </w:rPr>
        <w:t xml:space="preserve"> (2019). “Recertification FAQ’s,” </w:t>
      </w:r>
      <w:r w:rsidRPr="00C63180">
        <w:rPr>
          <w:rFonts w:ascii="Times New Roman" w:eastAsia="Times New Roman" w:hAnsi="Times New Roman" w:cs="Times New Roman"/>
          <w:i/>
        </w:rPr>
        <w:t>Iowa.gov</w:t>
      </w:r>
      <w:r w:rsidRPr="00C63180">
        <w:rPr>
          <w:rFonts w:ascii="Times New Roman" w:eastAsia="Times New Roman" w:hAnsi="Times New Roman" w:cs="Times New Roman"/>
        </w:rPr>
        <w:t xml:space="preserve">, Available online: </w:t>
      </w:r>
      <w:hyperlink r:id="rId68">
        <w:r w:rsidRPr="00C63180">
          <w:rPr>
            <w:rFonts w:ascii="Times New Roman" w:eastAsia="Times New Roman" w:hAnsi="Times New Roman" w:cs="Times New Roman"/>
            <w:color w:val="1155CC"/>
            <w:u w:val="single"/>
          </w:rPr>
          <w:t>https://iowaperb.iowa.gov/recertification-faqs</w:t>
        </w:r>
      </w:hyperlink>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[Accessed 17 March 2020]. </w:t>
      </w:r>
    </w:p>
    <w:p w14:paraId="1A0CA158" w14:textId="77777777" w:rsidR="00861DF6" w:rsidRPr="00C63180" w:rsidRDefault="00861DF6" w:rsidP="00861DF6">
      <w:pPr>
        <w:ind w:left="720" w:hanging="720"/>
        <w:rPr>
          <w:rFonts w:ascii="Times New Roman" w:eastAsia="Times New Roman" w:hAnsi="Times New Roman" w:cs="Times New Roman"/>
        </w:rPr>
      </w:pPr>
    </w:p>
    <w:p w14:paraId="7A9455FC"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 xml:space="preserve">Jacobs, K., Perry, I.E., &amp; </w:t>
      </w:r>
      <w:proofErr w:type="spellStart"/>
      <w:r w:rsidRPr="00C63180">
        <w:rPr>
          <w:rFonts w:ascii="Times New Roman" w:eastAsia="Times New Roman" w:hAnsi="Times New Roman" w:cs="Times New Roman"/>
        </w:rPr>
        <w:t>MacGillvary</w:t>
      </w:r>
      <w:proofErr w:type="spellEnd"/>
      <w:r w:rsidRPr="00C63180">
        <w:rPr>
          <w:rFonts w:ascii="Times New Roman" w:eastAsia="Times New Roman" w:hAnsi="Times New Roman" w:cs="Times New Roman"/>
        </w:rPr>
        <w:t>, J. (2015).</w:t>
      </w:r>
      <w:proofErr w:type="gramEnd"/>
      <w:r w:rsidRPr="00C63180">
        <w:rPr>
          <w:rFonts w:ascii="Times New Roman" w:eastAsia="Times New Roman" w:hAnsi="Times New Roman" w:cs="Times New Roman"/>
        </w:rPr>
        <w:t xml:space="preserve"> “The High Public Cost of Low Wages: Low Wages Cost U.S. Taxpayers $152.8 Billion Each Year in Public Support for Working Families,” </w:t>
      </w:r>
      <w:r w:rsidRPr="00C63180">
        <w:rPr>
          <w:rFonts w:ascii="Times New Roman" w:eastAsia="Times New Roman" w:hAnsi="Times New Roman" w:cs="Times New Roman"/>
          <w:i/>
        </w:rPr>
        <w:t>U.C. Berkeley Labor Center</w:t>
      </w:r>
      <w:r w:rsidRPr="00C63180">
        <w:rPr>
          <w:rFonts w:ascii="Times New Roman" w:eastAsia="Times New Roman" w:hAnsi="Times New Roman" w:cs="Times New Roman"/>
        </w:rPr>
        <w:t xml:space="preserve">, Available online: </w:t>
      </w:r>
      <w:hyperlink r:id="rId69">
        <w:r w:rsidRPr="00C63180">
          <w:rPr>
            <w:rFonts w:ascii="Times New Roman" w:eastAsia="Times New Roman" w:hAnsi="Times New Roman" w:cs="Times New Roman"/>
            <w:color w:val="1155CC"/>
            <w:u w:val="single"/>
          </w:rPr>
          <w:t>http://laborcenter.berkeley.edu/the-high-public-cost-of-low-wages/</w:t>
        </w:r>
      </w:hyperlink>
      <w:r w:rsidRPr="00C63180">
        <w:rPr>
          <w:rFonts w:ascii="Times New Roman" w:eastAsia="Times New Roman" w:hAnsi="Times New Roman" w:cs="Times New Roman"/>
        </w:rPr>
        <w:t>, [Accessed 2 January 2020.]</w:t>
      </w:r>
    </w:p>
    <w:p w14:paraId="27B392B1" w14:textId="77777777" w:rsidR="00B84936" w:rsidRPr="00C63180" w:rsidRDefault="00B84936">
      <w:pPr>
        <w:rPr>
          <w:rFonts w:ascii="Times New Roman" w:eastAsia="Times New Roman" w:hAnsi="Times New Roman" w:cs="Times New Roman"/>
        </w:rPr>
      </w:pPr>
    </w:p>
    <w:p w14:paraId="2F0F6ABE"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lastRenderedPageBreak/>
        <w:t>Johnson, S. D. (1995). “Will Our Research Hold Up Under Scrutiny</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Journal of Industrial Teacher Education</w:t>
      </w:r>
      <w:r w:rsidRPr="00C63180">
        <w:rPr>
          <w:rFonts w:ascii="Times New Roman" w:eastAsia="Times New Roman" w:hAnsi="Times New Roman" w:cs="Times New Roman"/>
        </w:rPr>
        <w:t xml:space="preserve">, Vol. 32, No. 3, pp. 3-6, Available online: </w:t>
      </w:r>
      <w:hyperlink r:id="rId70">
        <w:r w:rsidRPr="00C63180">
          <w:rPr>
            <w:rFonts w:ascii="Times New Roman" w:eastAsia="Times New Roman" w:hAnsi="Times New Roman" w:cs="Times New Roman"/>
            <w:color w:val="0000FF"/>
            <w:u w:val="single"/>
          </w:rPr>
          <w:t>https://scholar.lib.vt.edu/ejournals/JITE/v32n3/ed_notes.html</w:t>
        </w:r>
      </w:hyperlink>
      <w:r w:rsidRPr="00C63180">
        <w:rPr>
          <w:rFonts w:ascii="Times New Roman" w:eastAsia="Times New Roman" w:hAnsi="Times New Roman" w:cs="Times New Roman"/>
        </w:rPr>
        <w:t>, [Accessed 21 December 2020].</w:t>
      </w:r>
    </w:p>
    <w:p w14:paraId="4B03A339" w14:textId="77777777" w:rsidR="00861DF6" w:rsidRPr="00C63180" w:rsidRDefault="00861DF6" w:rsidP="00861DF6">
      <w:pPr>
        <w:ind w:left="720" w:hanging="720"/>
        <w:rPr>
          <w:rFonts w:ascii="Times New Roman" w:eastAsia="Times New Roman" w:hAnsi="Times New Roman" w:cs="Times New Roman"/>
        </w:rPr>
      </w:pPr>
    </w:p>
    <w:p w14:paraId="7D7EB7B6"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Karcher</w:t>
      </w:r>
      <w:proofErr w:type="spellEnd"/>
      <w:r w:rsidRPr="00C63180">
        <w:rPr>
          <w:rFonts w:ascii="Times New Roman" w:eastAsia="Times New Roman" w:hAnsi="Times New Roman" w:cs="Times New Roman"/>
        </w:rPr>
        <w:t>, K. (2019). “Pursuing Social Justice: How Might a Universal Basic Income or Federal Jobs Guarantee Help Women</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Political Science – University of Washington Library</w:t>
      </w:r>
      <w:r w:rsidRPr="00C63180">
        <w:rPr>
          <w:rFonts w:ascii="Times New Roman" w:eastAsia="Times New Roman" w:hAnsi="Times New Roman" w:cs="Times New Roman"/>
        </w:rPr>
        <w:t xml:space="preserve">, Available online: </w:t>
      </w:r>
      <w:hyperlink r:id="rId71">
        <w:r w:rsidRPr="00C63180">
          <w:rPr>
            <w:rFonts w:ascii="Times New Roman" w:eastAsia="Times New Roman" w:hAnsi="Times New Roman" w:cs="Times New Roman"/>
            <w:color w:val="0000FF"/>
            <w:u w:val="single"/>
          </w:rPr>
          <w:t>https://digital.lib.washington.edu/researchworks/handle/1773/43803</w:t>
        </w:r>
      </w:hyperlink>
      <w:r w:rsidRPr="00C63180">
        <w:rPr>
          <w:rFonts w:ascii="Times New Roman" w:eastAsia="Times New Roman" w:hAnsi="Times New Roman" w:cs="Times New Roman"/>
        </w:rPr>
        <w:t>, [Accessed 10 March 2020].</w:t>
      </w:r>
    </w:p>
    <w:p w14:paraId="05D3B15D" w14:textId="77777777" w:rsidR="00861DF6" w:rsidRPr="00C63180" w:rsidRDefault="00861DF6" w:rsidP="00861DF6">
      <w:pPr>
        <w:ind w:left="720" w:hanging="720"/>
        <w:rPr>
          <w:rFonts w:ascii="Times New Roman" w:eastAsia="Times New Roman" w:hAnsi="Times New Roman" w:cs="Times New Roman"/>
        </w:rPr>
      </w:pPr>
    </w:p>
    <w:p w14:paraId="015AC645"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Keller, E. &amp; Kelly, N.J. (2015). “Partisan Politics, Financial Deregulation, and the New Gilded Age,” </w:t>
      </w:r>
      <w:r w:rsidRPr="00C63180">
        <w:rPr>
          <w:rFonts w:ascii="Times New Roman" w:eastAsia="Times New Roman" w:hAnsi="Times New Roman" w:cs="Times New Roman"/>
          <w:i/>
        </w:rPr>
        <w:t>Political Research Quarterly,”</w:t>
      </w:r>
      <w:r w:rsidRPr="00C63180">
        <w:rPr>
          <w:rFonts w:ascii="Times New Roman" w:eastAsia="Times New Roman" w:hAnsi="Times New Roman" w:cs="Times New Roman"/>
        </w:rPr>
        <w:t xml:space="preserve"> Vol. 68, No. 3, pp. 428-442, Available online: </w:t>
      </w:r>
      <w:hyperlink r:id="rId72">
        <w:r w:rsidRPr="00C63180">
          <w:rPr>
            <w:rFonts w:ascii="Times New Roman" w:eastAsia="Times New Roman" w:hAnsi="Times New Roman" w:cs="Times New Roman"/>
            <w:color w:val="0000FF"/>
            <w:u w:val="single"/>
          </w:rPr>
          <w:t>https://doi.org/10.1177/1065912915591218</w:t>
        </w:r>
      </w:hyperlink>
      <w:r w:rsidRPr="00C63180">
        <w:rPr>
          <w:rFonts w:ascii="Times New Roman" w:eastAsia="Times New Roman" w:hAnsi="Times New Roman" w:cs="Times New Roman"/>
        </w:rPr>
        <w:t>, [Accessed 26 January 2020].</w:t>
      </w:r>
    </w:p>
    <w:p w14:paraId="11ED9A04" w14:textId="77777777" w:rsidR="00861DF6" w:rsidRPr="00C63180" w:rsidRDefault="00861DF6" w:rsidP="00861DF6">
      <w:pPr>
        <w:ind w:left="720" w:hanging="720"/>
        <w:rPr>
          <w:rFonts w:ascii="Times New Roman" w:eastAsia="Times New Roman" w:hAnsi="Times New Roman" w:cs="Times New Roman"/>
        </w:rPr>
      </w:pPr>
    </w:p>
    <w:p w14:paraId="1274F001"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Kelton</w:t>
      </w:r>
      <w:proofErr w:type="spellEnd"/>
      <w:r w:rsidRPr="00C63180">
        <w:rPr>
          <w:rFonts w:ascii="Times New Roman" w:eastAsia="Times New Roman" w:hAnsi="Times New Roman" w:cs="Times New Roman"/>
        </w:rPr>
        <w:t>, S. (2020).</w:t>
      </w:r>
      <w:proofErr w:type="gramEnd"/>
      <w:r w:rsidRPr="00C63180">
        <w:rPr>
          <w:rFonts w:ascii="Times New Roman" w:eastAsia="Times New Roman" w:hAnsi="Times New Roman" w:cs="Times New Roman"/>
        </w:rPr>
        <w:t xml:space="preserve"> The Deficit Myth: Modern Monetary Theory and the Birth of the People’s Economy, New York: Public Affairs.</w:t>
      </w:r>
    </w:p>
    <w:p w14:paraId="2B280CEA" w14:textId="77777777" w:rsidR="00B84936" w:rsidRPr="00C63180" w:rsidRDefault="00B84936">
      <w:pPr>
        <w:rPr>
          <w:rFonts w:ascii="Times New Roman" w:eastAsia="Times New Roman" w:hAnsi="Times New Roman" w:cs="Times New Roman"/>
        </w:rPr>
      </w:pPr>
    </w:p>
    <w:p w14:paraId="3A8434FA" w14:textId="77777777" w:rsidR="00B84936" w:rsidRPr="00C63180" w:rsidRDefault="001D1521">
      <w:pPr>
        <w:rPr>
          <w:rFonts w:ascii="Times New Roman" w:eastAsia="Times New Roman" w:hAnsi="Times New Roman" w:cs="Times New Roman"/>
        </w:rPr>
      </w:pPr>
      <w:proofErr w:type="gramStart"/>
      <w:r w:rsidRPr="00C63180">
        <w:rPr>
          <w:rFonts w:ascii="Times New Roman" w:eastAsia="Times New Roman" w:hAnsi="Times New Roman" w:cs="Times New Roman"/>
        </w:rPr>
        <w:t>Klein, N. (2002).</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Fences and Windows</w:t>
      </w:r>
      <w:r w:rsidRPr="00C63180">
        <w:rPr>
          <w:rFonts w:ascii="Times New Roman" w:eastAsia="Times New Roman" w:hAnsi="Times New Roman" w:cs="Times New Roman"/>
        </w:rPr>
        <w:t>, New York: Picador.</w:t>
      </w:r>
    </w:p>
    <w:p w14:paraId="7CF13358" w14:textId="77777777" w:rsidR="00B84936" w:rsidRPr="00C63180" w:rsidRDefault="00B84936">
      <w:pPr>
        <w:rPr>
          <w:rFonts w:ascii="Times New Roman" w:eastAsia="Times New Roman" w:hAnsi="Times New Roman" w:cs="Times New Roman"/>
        </w:rPr>
      </w:pPr>
    </w:p>
    <w:p w14:paraId="4C4BBB4B"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Kukorowski</w:t>
      </w:r>
      <w:proofErr w:type="spellEnd"/>
      <w:r w:rsidRPr="00C63180">
        <w:rPr>
          <w:rFonts w:ascii="Times New Roman" w:eastAsia="Times New Roman" w:hAnsi="Times New Roman" w:cs="Times New Roman"/>
        </w:rPr>
        <w:t xml:space="preserve">, D., Wagner, P., &amp; </w:t>
      </w:r>
      <w:proofErr w:type="spellStart"/>
      <w:r w:rsidRPr="00C63180">
        <w:rPr>
          <w:rFonts w:ascii="Times New Roman" w:eastAsia="Times New Roman" w:hAnsi="Times New Roman" w:cs="Times New Roman"/>
        </w:rPr>
        <w:t>Sakala</w:t>
      </w:r>
      <w:proofErr w:type="spellEnd"/>
      <w:r w:rsidRPr="00C63180">
        <w:rPr>
          <w:rFonts w:ascii="Times New Roman" w:eastAsia="Times New Roman" w:hAnsi="Times New Roman" w:cs="Times New Roman"/>
        </w:rPr>
        <w:t xml:space="preserve">, L. (2013). “Please Deposit All of Your Money: Kickbacks, Rates, and Hidden Fees in the Jail Phone Industry,” </w:t>
      </w:r>
      <w:r w:rsidRPr="00C63180">
        <w:rPr>
          <w:rFonts w:ascii="Times New Roman" w:eastAsia="Times New Roman" w:hAnsi="Times New Roman" w:cs="Times New Roman"/>
          <w:i/>
        </w:rPr>
        <w:t>Prison Policy Initiative</w:t>
      </w:r>
      <w:r w:rsidRPr="00C63180">
        <w:rPr>
          <w:rFonts w:ascii="Times New Roman" w:eastAsia="Times New Roman" w:hAnsi="Times New Roman" w:cs="Times New Roman"/>
        </w:rPr>
        <w:t xml:space="preserve">, Available online: </w:t>
      </w:r>
      <w:hyperlink r:id="rId73">
        <w:r w:rsidRPr="00C63180">
          <w:rPr>
            <w:rFonts w:ascii="Times New Roman" w:eastAsia="Times New Roman" w:hAnsi="Times New Roman" w:cs="Times New Roman"/>
            <w:color w:val="1155CC"/>
            <w:u w:val="single"/>
          </w:rPr>
          <w:t>https://www.prisonpolicy.org/phones/pleasedeposit_execsum.html</w:t>
        </w:r>
      </w:hyperlink>
      <w:r w:rsidRPr="00C63180">
        <w:rPr>
          <w:rFonts w:ascii="Times New Roman" w:eastAsia="Times New Roman" w:hAnsi="Times New Roman" w:cs="Times New Roman"/>
        </w:rPr>
        <w:t>, [Accessed 29 December 2019]. </w:t>
      </w:r>
    </w:p>
    <w:p w14:paraId="105CFDB2" w14:textId="77777777" w:rsidR="00B84936" w:rsidRPr="00C63180" w:rsidRDefault="00B84936">
      <w:pPr>
        <w:rPr>
          <w:rFonts w:ascii="Times New Roman" w:eastAsia="Times New Roman" w:hAnsi="Times New Roman" w:cs="Times New Roman"/>
        </w:rPr>
      </w:pPr>
    </w:p>
    <w:p w14:paraId="5A7D5A26"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Lau, T. (2019). “Citizens United Explained,” </w:t>
      </w:r>
      <w:r w:rsidRPr="00C63180">
        <w:rPr>
          <w:rFonts w:ascii="Times New Roman" w:eastAsia="Times New Roman" w:hAnsi="Times New Roman" w:cs="Times New Roman"/>
          <w:i/>
        </w:rPr>
        <w:t>The Brennan Center for Justice</w:t>
      </w:r>
      <w:r w:rsidRPr="00C63180">
        <w:rPr>
          <w:rFonts w:ascii="Times New Roman" w:eastAsia="Times New Roman" w:hAnsi="Times New Roman" w:cs="Times New Roman"/>
        </w:rPr>
        <w:t xml:space="preserve">. Available online: </w:t>
      </w:r>
      <w:hyperlink r:id="rId74">
        <w:r w:rsidRPr="00C63180">
          <w:rPr>
            <w:rFonts w:ascii="Times New Roman" w:eastAsia="Times New Roman" w:hAnsi="Times New Roman" w:cs="Times New Roman"/>
            <w:color w:val="0000FF"/>
            <w:u w:val="single"/>
          </w:rPr>
          <w:t>https://www.brennancenter.org/our-work/research-reports/citizens-united-explained</w:t>
        </w:r>
      </w:hyperlink>
      <w:r w:rsidRPr="00C63180">
        <w:rPr>
          <w:rFonts w:ascii="Times New Roman" w:eastAsia="Times New Roman" w:hAnsi="Times New Roman" w:cs="Times New Roman"/>
        </w:rPr>
        <w:t xml:space="preserve">, [Accessed 8 March 2020]. </w:t>
      </w:r>
    </w:p>
    <w:p w14:paraId="7A88CDF3" w14:textId="77777777" w:rsidR="00861DF6" w:rsidRPr="00C63180" w:rsidRDefault="00861DF6" w:rsidP="00861DF6">
      <w:pPr>
        <w:ind w:left="720" w:hanging="720"/>
        <w:rPr>
          <w:rFonts w:ascii="Times New Roman" w:eastAsia="Times New Roman" w:hAnsi="Times New Roman" w:cs="Times New Roman"/>
        </w:rPr>
      </w:pPr>
    </w:p>
    <w:p w14:paraId="15F83E65"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Legal Information Institute. (2020a). “Secondary Boycott,” </w:t>
      </w:r>
      <w:r w:rsidRPr="00C63180">
        <w:rPr>
          <w:rFonts w:ascii="Times New Roman" w:eastAsia="Times New Roman" w:hAnsi="Times New Roman" w:cs="Times New Roman"/>
          <w:i/>
        </w:rPr>
        <w:t>Cornell Law School Legal Information Institute</w:t>
      </w:r>
      <w:r w:rsidRPr="00C63180">
        <w:rPr>
          <w:rFonts w:ascii="Times New Roman" w:eastAsia="Times New Roman" w:hAnsi="Times New Roman" w:cs="Times New Roman"/>
        </w:rPr>
        <w:t xml:space="preserve">, Available online: </w:t>
      </w:r>
      <w:hyperlink r:id="rId75">
        <w:r w:rsidRPr="00C63180">
          <w:rPr>
            <w:rFonts w:ascii="Times New Roman" w:eastAsia="Times New Roman" w:hAnsi="Times New Roman" w:cs="Times New Roman"/>
            <w:color w:val="1155CC"/>
            <w:u w:val="single"/>
          </w:rPr>
          <w:t>https://www.law.cornell.edu/wex/secondary_boycott</w:t>
        </w:r>
      </w:hyperlink>
      <w:r w:rsidRPr="00C63180">
        <w:rPr>
          <w:rFonts w:ascii="Times New Roman" w:eastAsia="Times New Roman" w:hAnsi="Times New Roman" w:cs="Times New Roman"/>
        </w:rPr>
        <w:t>, [Accessed 24 January 2020].</w:t>
      </w:r>
    </w:p>
    <w:p w14:paraId="6D51CFB2" w14:textId="77777777" w:rsidR="00861DF6" w:rsidRPr="00C63180" w:rsidRDefault="00861DF6" w:rsidP="00861DF6">
      <w:pPr>
        <w:ind w:left="720" w:hanging="720"/>
        <w:rPr>
          <w:rFonts w:ascii="Times New Roman" w:eastAsia="Times New Roman" w:hAnsi="Times New Roman" w:cs="Times New Roman"/>
        </w:rPr>
      </w:pPr>
    </w:p>
    <w:p w14:paraId="6F7E7351"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Legal Information Institute. (2020b). “Employment-at-Will Doctrine,” </w:t>
      </w:r>
      <w:r w:rsidRPr="00C63180">
        <w:rPr>
          <w:rFonts w:ascii="Times New Roman" w:eastAsia="Times New Roman" w:hAnsi="Times New Roman" w:cs="Times New Roman"/>
          <w:i/>
        </w:rPr>
        <w:t>Cornell Law School Legal Information Institute</w:t>
      </w:r>
      <w:r w:rsidRPr="00C63180">
        <w:rPr>
          <w:rFonts w:ascii="Times New Roman" w:eastAsia="Times New Roman" w:hAnsi="Times New Roman" w:cs="Times New Roman"/>
        </w:rPr>
        <w:t xml:space="preserve">, Available online: </w:t>
      </w:r>
      <w:hyperlink r:id="rId76">
        <w:r w:rsidRPr="00C63180">
          <w:rPr>
            <w:rFonts w:ascii="Times New Roman" w:eastAsia="Times New Roman" w:hAnsi="Times New Roman" w:cs="Times New Roman"/>
            <w:color w:val="1155CC"/>
            <w:u w:val="single"/>
          </w:rPr>
          <w:t>https://www.law.cornell.edu/wex/employment-at-will_doctrine</w:t>
        </w:r>
      </w:hyperlink>
      <w:r w:rsidRPr="00C63180">
        <w:rPr>
          <w:rFonts w:ascii="Times New Roman" w:eastAsia="Times New Roman" w:hAnsi="Times New Roman" w:cs="Times New Roman"/>
        </w:rPr>
        <w:t>, [Accessed 20 February 2020].</w:t>
      </w:r>
    </w:p>
    <w:p w14:paraId="7699D992" w14:textId="77777777" w:rsidR="00861DF6" w:rsidRPr="00C63180" w:rsidRDefault="00861DF6" w:rsidP="00861DF6">
      <w:pPr>
        <w:ind w:left="720" w:hanging="720"/>
        <w:rPr>
          <w:rFonts w:ascii="Times New Roman" w:eastAsia="Times New Roman" w:hAnsi="Times New Roman" w:cs="Times New Roman"/>
        </w:rPr>
      </w:pPr>
    </w:p>
    <w:p w14:paraId="611AE75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Levitt, J. (2010). “Confronting the Impact of </w:t>
      </w:r>
      <w:r w:rsidRPr="00C63180">
        <w:rPr>
          <w:rFonts w:ascii="Times New Roman" w:eastAsia="Times New Roman" w:hAnsi="Times New Roman" w:cs="Times New Roman"/>
          <w:i/>
        </w:rPr>
        <w:t>Citizens United</w:t>
      </w:r>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Yale Law &amp; Policy Review</w:t>
      </w:r>
      <w:r w:rsidRPr="00C63180">
        <w:rPr>
          <w:rFonts w:ascii="Times New Roman" w:eastAsia="Times New Roman" w:hAnsi="Times New Roman" w:cs="Times New Roman"/>
        </w:rPr>
        <w:t xml:space="preserve">, Vol. 29, Available online: </w:t>
      </w:r>
      <w:hyperlink r:id="rId77">
        <w:r w:rsidRPr="00C63180">
          <w:rPr>
            <w:rFonts w:ascii="Times New Roman" w:eastAsia="Times New Roman" w:hAnsi="Times New Roman" w:cs="Times New Roman"/>
            <w:color w:val="0000FF"/>
            <w:u w:val="single"/>
          </w:rPr>
          <w:t>https://papers.ssrn.com/sol3/papers.cfm?abstract_id=1676108</w:t>
        </w:r>
      </w:hyperlink>
      <w:r w:rsidRPr="00C63180">
        <w:rPr>
          <w:rFonts w:ascii="Times New Roman" w:eastAsia="Times New Roman" w:hAnsi="Times New Roman" w:cs="Times New Roman"/>
        </w:rPr>
        <w:t xml:space="preserve">, [Accessed 8 March 2020]. </w:t>
      </w:r>
    </w:p>
    <w:p w14:paraId="602979EC"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lastRenderedPageBreak/>
        <w:t xml:space="preserve">Lewis, C.M. (2019a). ‘The Workplace Democracy Plan, Explained,” </w:t>
      </w:r>
      <w:r w:rsidRPr="00C63180">
        <w:rPr>
          <w:rFonts w:ascii="Times New Roman" w:eastAsia="Times New Roman" w:hAnsi="Times New Roman" w:cs="Times New Roman"/>
          <w:i/>
        </w:rPr>
        <w:t>Data For Progress</w:t>
      </w:r>
      <w:r w:rsidRPr="00C63180">
        <w:rPr>
          <w:rFonts w:ascii="Times New Roman" w:eastAsia="Times New Roman" w:hAnsi="Times New Roman" w:cs="Times New Roman"/>
        </w:rPr>
        <w:t xml:space="preserve">, Available online: </w:t>
      </w:r>
      <w:hyperlink r:id="rId78">
        <w:r w:rsidRPr="00C63180">
          <w:rPr>
            <w:rFonts w:ascii="Times New Roman" w:eastAsia="Times New Roman" w:hAnsi="Times New Roman" w:cs="Times New Roman"/>
            <w:color w:val="1155CC"/>
            <w:u w:val="single"/>
          </w:rPr>
          <w:t>https://www.dataforprogress.org/blog/2019/8/29/the-workplace-democracy-plan-explained-part-1</w:t>
        </w:r>
      </w:hyperlink>
      <w:r w:rsidRPr="00C63180">
        <w:rPr>
          <w:rFonts w:ascii="Times New Roman" w:eastAsia="Times New Roman" w:hAnsi="Times New Roman" w:cs="Times New Roman"/>
        </w:rPr>
        <w:t>, [Accessed 10 February 2020].</w:t>
      </w:r>
    </w:p>
    <w:p w14:paraId="74CA58C0" w14:textId="77777777" w:rsidR="00861DF6" w:rsidRPr="00C63180" w:rsidRDefault="00861DF6" w:rsidP="00861DF6">
      <w:pPr>
        <w:ind w:left="720" w:hanging="720"/>
        <w:rPr>
          <w:rFonts w:ascii="Times New Roman" w:eastAsia="Times New Roman" w:hAnsi="Times New Roman" w:cs="Times New Roman"/>
          <w:b/>
        </w:rPr>
      </w:pPr>
    </w:p>
    <w:p w14:paraId="32374EF7"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Lewis, C.M. (2019b). ‘The Workplace Democracy Plan, Explained,” </w:t>
      </w:r>
      <w:r w:rsidRPr="00C63180">
        <w:rPr>
          <w:rFonts w:ascii="Times New Roman" w:eastAsia="Times New Roman" w:hAnsi="Times New Roman" w:cs="Times New Roman"/>
          <w:i/>
        </w:rPr>
        <w:t>Data For Progress</w:t>
      </w:r>
      <w:r w:rsidRPr="00C63180">
        <w:rPr>
          <w:rFonts w:ascii="Times New Roman" w:eastAsia="Times New Roman" w:hAnsi="Times New Roman" w:cs="Times New Roman"/>
        </w:rPr>
        <w:t xml:space="preserve">, Available online: </w:t>
      </w:r>
      <w:hyperlink r:id="rId79">
        <w:r w:rsidRPr="00C63180">
          <w:rPr>
            <w:rFonts w:ascii="Times New Roman" w:eastAsia="Times New Roman" w:hAnsi="Times New Roman" w:cs="Times New Roman"/>
            <w:color w:val="1155CC"/>
            <w:u w:val="single"/>
          </w:rPr>
          <w:t>https://www.dataforprogress.org/blog/2019/9/5/the-workplace-democracy-explained-part-2</w:t>
        </w:r>
      </w:hyperlink>
      <w:r w:rsidRPr="00C63180">
        <w:rPr>
          <w:rFonts w:ascii="Times New Roman" w:eastAsia="Times New Roman" w:hAnsi="Times New Roman" w:cs="Times New Roman"/>
        </w:rPr>
        <w:t>, [Accessed 10 February 2020].</w:t>
      </w:r>
    </w:p>
    <w:p w14:paraId="11BBA4DB" w14:textId="77777777" w:rsidR="00861DF6" w:rsidRPr="00C63180" w:rsidRDefault="00861DF6" w:rsidP="00861DF6">
      <w:pPr>
        <w:ind w:left="720" w:hanging="720"/>
        <w:rPr>
          <w:rFonts w:ascii="Times New Roman" w:eastAsia="Times New Roman" w:hAnsi="Times New Roman" w:cs="Times New Roman"/>
        </w:rPr>
      </w:pPr>
    </w:p>
    <w:p w14:paraId="0EDD39B8"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Lincoln, Y. S., &amp; </w:t>
      </w:r>
      <w:proofErr w:type="spellStart"/>
      <w:r w:rsidRPr="00C63180">
        <w:rPr>
          <w:rFonts w:ascii="Times New Roman" w:eastAsia="Times New Roman" w:hAnsi="Times New Roman" w:cs="Times New Roman"/>
        </w:rPr>
        <w:t>Guba</w:t>
      </w:r>
      <w:proofErr w:type="spellEnd"/>
      <w:r w:rsidRPr="00C63180">
        <w:rPr>
          <w:rFonts w:ascii="Times New Roman" w:eastAsia="Times New Roman" w:hAnsi="Times New Roman" w:cs="Times New Roman"/>
        </w:rPr>
        <w:t xml:space="preserve">, E. G. (1985). </w:t>
      </w:r>
      <w:r w:rsidRPr="00C63180">
        <w:rPr>
          <w:rFonts w:ascii="Times New Roman" w:eastAsia="Times New Roman" w:hAnsi="Times New Roman" w:cs="Times New Roman"/>
          <w:i/>
        </w:rPr>
        <w:t>Naturalistic Inquiry</w:t>
      </w:r>
      <w:r w:rsidRPr="00C63180">
        <w:rPr>
          <w:rFonts w:ascii="Times New Roman" w:eastAsia="Times New Roman" w:hAnsi="Times New Roman" w:cs="Times New Roman"/>
        </w:rPr>
        <w:t>, Beverly Hills, CA: Sage.</w:t>
      </w:r>
    </w:p>
    <w:p w14:paraId="66B016A2" w14:textId="77777777" w:rsidR="00861DF6" w:rsidRPr="00C63180" w:rsidRDefault="00861DF6" w:rsidP="00861DF6">
      <w:pPr>
        <w:ind w:left="720" w:hanging="720"/>
        <w:rPr>
          <w:rFonts w:ascii="Times New Roman" w:eastAsia="Times New Roman" w:hAnsi="Times New Roman" w:cs="Times New Roman"/>
        </w:rPr>
      </w:pPr>
    </w:p>
    <w:p w14:paraId="57FBEF1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Logan, J. (2004). “The Fine Art of Union Busting,” </w:t>
      </w:r>
      <w:r w:rsidRPr="00C63180">
        <w:rPr>
          <w:rFonts w:ascii="Times New Roman" w:eastAsia="Times New Roman" w:hAnsi="Times New Roman" w:cs="Times New Roman"/>
          <w:i/>
        </w:rPr>
        <w:t>New Labor Forum</w:t>
      </w:r>
      <w:r w:rsidRPr="00C63180">
        <w:rPr>
          <w:rFonts w:ascii="Times New Roman" w:eastAsia="Times New Roman" w:hAnsi="Times New Roman" w:cs="Times New Roman"/>
        </w:rPr>
        <w:t xml:space="preserve">, Vol. 13, No. 2, Available online: </w:t>
      </w:r>
      <w:hyperlink r:id="rId80">
        <w:r w:rsidRPr="00C63180">
          <w:rPr>
            <w:rFonts w:ascii="Times New Roman" w:eastAsia="Times New Roman" w:hAnsi="Times New Roman" w:cs="Times New Roman"/>
            <w:color w:val="1155CC"/>
            <w:u w:val="single"/>
          </w:rPr>
          <w:t>https://search.proquest.com/docview/237227726?pq-origsite=gscholar</w:t>
        </w:r>
      </w:hyperlink>
      <w:r w:rsidRPr="00C63180">
        <w:rPr>
          <w:rFonts w:ascii="Times New Roman" w:eastAsia="Times New Roman" w:hAnsi="Times New Roman" w:cs="Times New Roman"/>
        </w:rPr>
        <w:t>, [Accessed 24 January 2020].</w:t>
      </w:r>
    </w:p>
    <w:p w14:paraId="100DBA4A" w14:textId="77777777" w:rsidR="00861DF6" w:rsidRPr="00C63180" w:rsidRDefault="00861DF6" w:rsidP="00861DF6">
      <w:pPr>
        <w:ind w:left="720" w:hanging="720"/>
        <w:rPr>
          <w:rFonts w:ascii="Times New Roman" w:eastAsia="Times New Roman" w:hAnsi="Times New Roman" w:cs="Times New Roman"/>
        </w:rPr>
      </w:pPr>
    </w:p>
    <w:p w14:paraId="7710BF8A"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Logan, J. (2006). “The Union Avoidance Industry in the United States,” </w:t>
      </w:r>
      <w:r w:rsidRPr="00C63180">
        <w:rPr>
          <w:rFonts w:ascii="Times New Roman" w:eastAsia="Times New Roman" w:hAnsi="Times New Roman" w:cs="Times New Roman"/>
          <w:i/>
        </w:rPr>
        <w:t>British Journal of Industrial Relations</w:t>
      </w:r>
      <w:r w:rsidRPr="00C63180">
        <w:rPr>
          <w:rFonts w:ascii="Times New Roman" w:eastAsia="Times New Roman" w:hAnsi="Times New Roman" w:cs="Times New Roman"/>
        </w:rPr>
        <w:t xml:space="preserve">, Vol. 44, No. 1, Available online: </w:t>
      </w:r>
      <w:hyperlink r:id="rId81">
        <w:r w:rsidRPr="00C63180">
          <w:rPr>
            <w:rFonts w:ascii="Times New Roman" w:eastAsia="Times New Roman" w:hAnsi="Times New Roman" w:cs="Times New Roman"/>
            <w:color w:val="1155CC"/>
            <w:u w:val="single"/>
          </w:rPr>
          <w:t>https://doi.org/10.1111/j.1467-8543.2006.00518.x</w:t>
        </w:r>
      </w:hyperlink>
      <w:r w:rsidRPr="00C63180">
        <w:rPr>
          <w:rFonts w:ascii="Times New Roman" w:eastAsia="Times New Roman" w:hAnsi="Times New Roman" w:cs="Times New Roman"/>
        </w:rPr>
        <w:t>, [Accessed 20 January 2020].</w:t>
      </w:r>
    </w:p>
    <w:p w14:paraId="48F33369" w14:textId="77777777" w:rsidR="00861DF6" w:rsidRPr="00C63180" w:rsidRDefault="00861DF6" w:rsidP="00861DF6">
      <w:pPr>
        <w:ind w:left="720" w:hanging="720"/>
        <w:rPr>
          <w:rFonts w:ascii="Times New Roman" w:eastAsia="Times New Roman" w:hAnsi="Times New Roman" w:cs="Times New Roman"/>
        </w:rPr>
      </w:pPr>
    </w:p>
    <w:p w14:paraId="5890FE14"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Lugones</w:t>
      </w:r>
      <w:proofErr w:type="spellEnd"/>
      <w:r w:rsidRPr="00C63180">
        <w:rPr>
          <w:rFonts w:ascii="Times New Roman" w:eastAsia="Times New Roman" w:hAnsi="Times New Roman" w:cs="Times New Roman"/>
        </w:rPr>
        <w:t xml:space="preserve">, M. (2010). “Toward a </w:t>
      </w:r>
      <w:proofErr w:type="spellStart"/>
      <w:r w:rsidRPr="00C63180">
        <w:rPr>
          <w:rFonts w:ascii="Times New Roman" w:eastAsia="Times New Roman" w:hAnsi="Times New Roman" w:cs="Times New Roman"/>
        </w:rPr>
        <w:t>Decolonial</w:t>
      </w:r>
      <w:proofErr w:type="spellEnd"/>
      <w:r w:rsidRPr="00C63180">
        <w:rPr>
          <w:rFonts w:ascii="Times New Roman" w:eastAsia="Times New Roman" w:hAnsi="Times New Roman" w:cs="Times New Roman"/>
        </w:rPr>
        <w:t xml:space="preserve"> Feminism,” </w:t>
      </w:r>
      <w:proofErr w:type="spellStart"/>
      <w:r w:rsidRPr="00C63180">
        <w:rPr>
          <w:rFonts w:ascii="Times New Roman" w:eastAsia="Times New Roman" w:hAnsi="Times New Roman" w:cs="Times New Roman"/>
          <w:i/>
        </w:rPr>
        <w:t>Hypatia</w:t>
      </w:r>
      <w:proofErr w:type="spellEnd"/>
      <w:r w:rsidRPr="00C63180">
        <w:rPr>
          <w:rFonts w:ascii="Times New Roman" w:eastAsia="Times New Roman" w:hAnsi="Times New Roman" w:cs="Times New Roman"/>
        </w:rPr>
        <w:t xml:space="preserve">, Vol. 25, No.4, pp. 742-759, Available online: </w:t>
      </w:r>
      <w:hyperlink r:id="rId82">
        <w:r w:rsidRPr="00C63180">
          <w:rPr>
            <w:rFonts w:ascii="Times New Roman" w:eastAsia="Times New Roman" w:hAnsi="Times New Roman" w:cs="Times New Roman"/>
            <w:color w:val="0000FF"/>
            <w:u w:val="single"/>
          </w:rPr>
          <w:t>https://www.jstor.org/stable/40928654</w:t>
        </w:r>
      </w:hyperlink>
      <w:r w:rsidRPr="00C63180">
        <w:rPr>
          <w:rFonts w:ascii="Times New Roman" w:eastAsia="Times New Roman" w:hAnsi="Times New Roman" w:cs="Times New Roman"/>
        </w:rPr>
        <w:t xml:space="preserve">, [Accessed 23 February 2020]. </w:t>
      </w:r>
    </w:p>
    <w:p w14:paraId="295684EF" w14:textId="77777777" w:rsidR="00861DF6" w:rsidRPr="00C63180" w:rsidRDefault="00861DF6" w:rsidP="00861DF6">
      <w:pPr>
        <w:ind w:left="720" w:hanging="720"/>
        <w:rPr>
          <w:rFonts w:ascii="Times New Roman" w:eastAsia="Times New Roman" w:hAnsi="Times New Roman" w:cs="Times New Roman"/>
        </w:rPr>
      </w:pPr>
    </w:p>
    <w:p w14:paraId="4D70234D"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D. (2018). “Wage Boards for American Workers: Industry-Level Collective Bargaining for All Workers,” Center for American Progress, Washington DC, Available online: </w:t>
      </w:r>
      <w:hyperlink r:id="rId83">
        <w:r w:rsidRPr="00C63180">
          <w:rPr>
            <w:rFonts w:ascii="Times New Roman" w:eastAsia="Times New Roman" w:hAnsi="Times New Roman" w:cs="Times New Roman"/>
            <w:color w:val="1155CC"/>
            <w:u w:val="single"/>
          </w:rPr>
          <w:t>https://www.americanprogress.org/issues/economy/reports/2018/04/09/448515/wage-boards-american-workers/</w:t>
        </w:r>
      </w:hyperlink>
      <w:r w:rsidRPr="00C63180">
        <w:rPr>
          <w:rFonts w:ascii="Times New Roman" w:eastAsia="Times New Roman" w:hAnsi="Times New Roman" w:cs="Times New Roman"/>
        </w:rPr>
        <w:t>, [Accessed 19 February 2020].</w:t>
      </w:r>
    </w:p>
    <w:p w14:paraId="77367D78" w14:textId="77777777" w:rsidR="00861DF6" w:rsidRPr="00C63180" w:rsidRDefault="00861DF6" w:rsidP="00861DF6">
      <w:pPr>
        <w:ind w:left="720" w:hanging="720"/>
        <w:rPr>
          <w:rFonts w:ascii="Times New Roman" w:eastAsia="Times New Roman" w:hAnsi="Times New Roman" w:cs="Times New Roman"/>
        </w:rPr>
      </w:pPr>
    </w:p>
    <w:p w14:paraId="6207193D"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D. &amp; Miller, K. (2013). “Latest Census Data Underscore How Important Unions Are for the Middle Class,” </w:t>
      </w:r>
      <w:r w:rsidRPr="00C63180">
        <w:rPr>
          <w:rFonts w:ascii="Times New Roman" w:eastAsia="Times New Roman" w:hAnsi="Times New Roman" w:cs="Times New Roman"/>
          <w:i/>
        </w:rPr>
        <w:t>Center for American Progress</w:t>
      </w:r>
      <w:r w:rsidRPr="00C63180">
        <w:rPr>
          <w:rFonts w:ascii="Times New Roman" w:eastAsia="Times New Roman" w:hAnsi="Times New Roman" w:cs="Times New Roman"/>
        </w:rPr>
        <w:t xml:space="preserve">, Available online: </w:t>
      </w:r>
      <w:hyperlink r:id="rId84">
        <w:r w:rsidRPr="00C63180">
          <w:rPr>
            <w:rFonts w:ascii="Times New Roman" w:eastAsia="Times New Roman" w:hAnsi="Times New Roman" w:cs="Times New Roman"/>
            <w:color w:val="1155CC"/>
            <w:u w:val="single"/>
          </w:rPr>
          <w:t>https://www.americanprogressaction.org/issues/economy/news/2013/09/17/74363/latest-census-data-underscore-how-important-unions-are-for-the-middle-class/</w:t>
        </w:r>
      </w:hyperlink>
      <w:r w:rsidRPr="00C63180">
        <w:rPr>
          <w:rFonts w:ascii="Times New Roman" w:eastAsia="Times New Roman" w:hAnsi="Times New Roman" w:cs="Times New Roman"/>
        </w:rPr>
        <w:t xml:space="preserve">, [Accessed on 1 January 2020]. </w:t>
      </w:r>
    </w:p>
    <w:p w14:paraId="00784ABA" w14:textId="77777777" w:rsidR="00861DF6" w:rsidRPr="00C63180" w:rsidRDefault="00861DF6" w:rsidP="00861DF6">
      <w:pPr>
        <w:ind w:left="720" w:hanging="720"/>
        <w:rPr>
          <w:rFonts w:ascii="Times New Roman" w:eastAsia="Times New Roman" w:hAnsi="Times New Roman" w:cs="Times New Roman"/>
        </w:rPr>
      </w:pPr>
    </w:p>
    <w:p w14:paraId="456011F3"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Mann, S.A. &amp; Huffman, D.J. (2005). “The Decentering of Second Wave Feminism and the Rise of the Third Wave,” </w:t>
      </w:r>
      <w:r w:rsidRPr="00C63180">
        <w:rPr>
          <w:rFonts w:ascii="Times New Roman" w:eastAsia="Times New Roman" w:hAnsi="Times New Roman" w:cs="Times New Roman"/>
          <w:i/>
        </w:rPr>
        <w:t>Science &amp; Society</w:t>
      </w:r>
      <w:r w:rsidRPr="00C63180">
        <w:rPr>
          <w:rFonts w:ascii="Times New Roman" w:eastAsia="Times New Roman" w:hAnsi="Times New Roman" w:cs="Times New Roman"/>
        </w:rPr>
        <w:t xml:space="preserve">, Vol. 69, Marxist-Feminist Thought Today, pp. 56-91, Available online: </w:t>
      </w:r>
      <w:hyperlink r:id="rId85">
        <w:r w:rsidRPr="00C63180">
          <w:rPr>
            <w:rFonts w:ascii="Times New Roman" w:eastAsia="Times New Roman" w:hAnsi="Times New Roman" w:cs="Times New Roman"/>
            <w:color w:val="1155CC"/>
            <w:u w:val="single"/>
          </w:rPr>
          <w:t>https://doi.org/10.1521/siso.69.1.56.56799</w:t>
        </w:r>
      </w:hyperlink>
      <w:r w:rsidRPr="00C63180">
        <w:rPr>
          <w:rFonts w:ascii="Times New Roman" w:eastAsia="Times New Roman" w:hAnsi="Times New Roman" w:cs="Times New Roman"/>
        </w:rPr>
        <w:t xml:space="preserve">, [Accessed 28 February 2020]. </w:t>
      </w:r>
    </w:p>
    <w:p w14:paraId="21D764DD" w14:textId="77777777" w:rsidR="00861DF6" w:rsidRPr="00C63180" w:rsidRDefault="00861DF6" w:rsidP="00861DF6">
      <w:pPr>
        <w:ind w:left="720" w:hanging="720"/>
        <w:rPr>
          <w:rFonts w:ascii="Times New Roman" w:eastAsia="Times New Roman" w:hAnsi="Times New Roman" w:cs="Times New Roman"/>
        </w:rPr>
      </w:pPr>
    </w:p>
    <w:p w14:paraId="119D7A7C"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Manuel, T. (2019). “How Does One Live the Good Life? Addressing the State of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in Public Policy,” In </w:t>
      </w:r>
      <w:proofErr w:type="spellStart"/>
      <w:r w:rsidRPr="00C63180">
        <w:rPr>
          <w:rFonts w:ascii="Times New Roman" w:eastAsia="Times New Roman" w:hAnsi="Times New Roman" w:cs="Times New Roman"/>
        </w:rPr>
        <w:t>Hankivsky</w:t>
      </w:r>
      <w:proofErr w:type="spellEnd"/>
      <w:r w:rsidRPr="00C63180">
        <w:rPr>
          <w:rFonts w:ascii="Times New Roman" w:eastAsia="Times New Roman" w:hAnsi="Times New Roman" w:cs="Times New Roman"/>
        </w:rPr>
        <w:t>, O. &amp; Jordan-Zachery, J.S., (</w:t>
      </w:r>
      <w:proofErr w:type="spellStart"/>
      <w:r w:rsidRPr="00C63180">
        <w:rPr>
          <w:rFonts w:ascii="Times New Roman" w:eastAsia="Times New Roman" w:hAnsi="Times New Roman" w:cs="Times New Roman"/>
        </w:rPr>
        <w:t>eds</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 xml:space="preserve">The Palgrave Handbook of </w:t>
      </w:r>
      <w:proofErr w:type="spellStart"/>
      <w:r w:rsidRPr="00C63180">
        <w:rPr>
          <w:rFonts w:ascii="Times New Roman" w:eastAsia="Times New Roman" w:hAnsi="Times New Roman" w:cs="Times New Roman"/>
          <w:i/>
        </w:rPr>
        <w:t>Intersectionality</w:t>
      </w:r>
      <w:proofErr w:type="spellEnd"/>
      <w:r w:rsidRPr="00C63180">
        <w:rPr>
          <w:rFonts w:ascii="Times New Roman" w:eastAsia="Times New Roman" w:hAnsi="Times New Roman" w:cs="Times New Roman"/>
          <w:i/>
        </w:rPr>
        <w:t xml:space="preserve"> in Public Policy</w:t>
      </w:r>
      <w:r w:rsidRPr="00C63180">
        <w:rPr>
          <w:rFonts w:ascii="Times New Roman" w:eastAsia="Times New Roman" w:hAnsi="Times New Roman" w:cs="Times New Roman"/>
        </w:rPr>
        <w:t>, London: Palgrave Macmillan. </w:t>
      </w:r>
    </w:p>
    <w:p w14:paraId="4FC4CEBD" w14:textId="77777777" w:rsidR="00861DF6" w:rsidRPr="00C63180" w:rsidRDefault="00861DF6" w:rsidP="00861DF6">
      <w:pPr>
        <w:ind w:left="720" w:hanging="720"/>
        <w:rPr>
          <w:rFonts w:ascii="Times New Roman" w:eastAsia="Times New Roman" w:hAnsi="Times New Roman" w:cs="Times New Roman"/>
        </w:rPr>
      </w:pPr>
    </w:p>
    <w:p w14:paraId="6170AD67" w14:textId="01B67576" w:rsidR="00B84936" w:rsidRPr="00C63180" w:rsidRDefault="00861DF6"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lastRenderedPageBreak/>
        <w:t>M</w:t>
      </w:r>
      <w:r w:rsidR="001D1521" w:rsidRPr="00C63180">
        <w:rPr>
          <w:rFonts w:ascii="Times New Roman" w:eastAsia="Times New Roman" w:hAnsi="Times New Roman" w:cs="Times New Roman"/>
        </w:rPr>
        <w:t>rginson</w:t>
      </w:r>
      <w:proofErr w:type="spellEnd"/>
      <w:r w:rsidR="001D1521" w:rsidRPr="00C63180">
        <w:rPr>
          <w:rFonts w:ascii="Times New Roman" w:eastAsia="Times New Roman" w:hAnsi="Times New Roman" w:cs="Times New Roman"/>
        </w:rPr>
        <w:t xml:space="preserve">, P., Sisson, K., &amp; </w:t>
      </w:r>
      <w:proofErr w:type="spellStart"/>
      <w:r w:rsidR="001D1521" w:rsidRPr="00C63180">
        <w:rPr>
          <w:rFonts w:ascii="Times New Roman" w:eastAsia="Times New Roman" w:hAnsi="Times New Roman" w:cs="Times New Roman"/>
        </w:rPr>
        <w:t>Arrowsmith</w:t>
      </w:r>
      <w:proofErr w:type="spellEnd"/>
      <w:r w:rsidR="001D1521" w:rsidRPr="00C63180">
        <w:rPr>
          <w:rFonts w:ascii="Times New Roman" w:eastAsia="Times New Roman" w:hAnsi="Times New Roman" w:cs="Times New Roman"/>
        </w:rPr>
        <w:t xml:space="preserve">, J. (2003). “Between Decentralization and Europeanization: </w:t>
      </w:r>
      <w:proofErr w:type="spellStart"/>
      <w:r w:rsidR="001D1521" w:rsidRPr="00C63180">
        <w:rPr>
          <w:rFonts w:ascii="Times New Roman" w:eastAsia="Times New Roman" w:hAnsi="Times New Roman" w:cs="Times New Roman"/>
        </w:rPr>
        <w:t>Sectoral</w:t>
      </w:r>
      <w:proofErr w:type="spellEnd"/>
      <w:r w:rsidR="001D1521" w:rsidRPr="00C63180">
        <w:rPr>
          <w:rFonts w:ascii="Times New Roman" w:eastAsia="Times New Roman" w:hAnsi="Times New Roman" w:cs="Times New Roman"/>
        </w:rPr>
        <w:t xml:space="preserve"> Bargaining in Four Countries and Two Sectors,” </w:t>
      </w:r>
      <w:r w:rsidR="001D1521" w:rsidRPr="00C63180">
        <w:rPr>
          <w:rFonts w:ascii="Times New Roman" w:eastAsia="Times New Roman" w:hAnsi="Times New Roman" w:cs="Times New Roman"/>
          <w:i/>
        </w:rPr>
        <w:t>European Journal of Industrial Relations</w:t>
      </w:r>
      <w:r w:rsidR="001D1521" w:rsidRPr="00C63180">
        <w:rPr>
          <w:rFonts w:ascii="Times New Roman" w:eastAsia="Times New Roman" w:hAnsi="Times New Roman" w:cs="Times New Roman"/>
        </w:rPr>
        <w:t xml:space="preserve">, Vol. 9, No. 2, pp. 163-187, Available online: </w:t>
      </w:r>
      <w:hyperlink r:id="rId86">
        <w:r w:rsidR="001D1521" w:rsidRPr="00C63180">
          <w:rPr>
            <w:rFonts w:ascii="Times New Roman" w:eastAsia="Times New Roman" w:hAnsi="Times New Roman" w:cs="Times New Roman"/>
            <w:color w:val="1155CC"/>
            <w:u w:val="single"/>
          </w:rPr>
          <w:t>https://doi.org/10.1177/0959680103009002003</w:t>
        </w:r>
      </w:hyperlink>
      <w:r w:rsidR="001D1521" w:rsidRPr="00C63180">
        <w:rPr>
          <w:rFonts w:ascii="Times New Roman" w:eastAsia="Times New Roman" w:hAnsi="Times New Roman" w:cs="Times New Roman"/>
        </w:rPr>
        <w:t>, [Accessed 20 February 2020].</w:t>
      </w:r>
    </w:p>
    <w:p w14:paraId="30A2BCDB" w14:textId="77777777" w:rsidR="00861DF6" w:rsidRPr="00C63180" w:rsidRDefault="00861DF6" w:rsidP="00861DF6">
      <w:pPr>
        <w:ind w:left="720" w:hanging="720"/>
        <w:rPr>
          <w:rFonts w:ascii="Times New Roman" w:eastAsia="Times New Roman" w:hAnsi="Times New Roman" w:cs="Times New Roman"/>
        </w:rPr>
      </w:pPr>
    </w:p>
    <w:p w14:paraId="3AB937C3"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Marmot, M. (2013).</w:t>
      </w:r>
      <w:proofErr w:type="gramEnd"/>
      <w:r w:rsidRPr="00C63180">
        <w:rPr>
          <w:rFonts w:ascii="Times New Roman" w:eastAsia="Times New Roman" w:hAnsi="Times New Roman" w:cs="Times New Roman"/>
        </w:rPr>
        <w:t xml:space="preserve"> “Universal Health Coverage and Social Determinants of Health,” </w:t>
      </w:r>
      <w:r w:rsidRPr="00C63180">
        <w:rPr>
          <w:rFonts w:ascii="Times New Roman" w:eastAsia="Times New Roman" w:hAnsi="Times New Roman" w:cs="Times New Roman"/>
          <w:i/>
        </w:rPr>
        <w:t>The Lancet</w:t>
      </w:r>
      <w:r w:rsidRPr="00C63180">
        <w:rPr>
          <w:rFonts w:ascii="Times New Roman" w:eastAsia="Times New Roman" w:hAnsi="Times New Roman" w:cs="Times New Roman"/>
        </w:rPr>
        <w:t xml:space="preserve">, Vol. 382, No. 9900, pp. 1227-1228, Available online: </w:t>
      </w:r>
      <w:hyperlink r:id="rId87">
        <w:r w:rsidRPr="00C63180">
          <w:rPr>
            <w:rFonts w:ascii="Times New Roman" w:eastAsia="Times New Roman" w:hAnsi="Times New Roman" w:cs="Times New Roman"/>
            <w:color w:val="0000FF"/>
            <w:u w:val="single"/>
          </w:rPr>
          <w:t>https://www.ncbi.nlm.nih.gov/pubmed/24120189</w:t>
        </w:r>
      </w:hyperlink>
      <w:r w:rsidRPr="00C63180">
        <w:rPr>
          <w:rFonts w:ascii="Times New Roman" w:eastAsia="Times New Roman" w:hAnsi="Times New Roman" w:cs="Times New Roman"/>
        </w:rPr>
        <w:t>, [Accessed 22 February 2020]. </w:t>
      </w:r>
    </w:p>
    <w:p w14:paraId="6E33F380" w14:textId="77777777" w:rsidR="00861DF6" w:rsidRPr="00C63180" w:rsidRDefault="00861DF6" w:rsidP="00861DF6">
      <w:pPr>
        <w:ind w:left="720" w:hanging="720"/>
        <w:rPr>
          <w:rFonts w:ascii="Times New Roman" w:eastAsia="Times New Roman" w:hAnsi="Times New Roman" w:cs="Times New Roman"/>
        </w:rPr>
      </w:pPr>
    </w:p>
    <w:p w14:paraId="6E9D0A88"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Martin, T.W. (2017). “The Champions of the 401(k) Lament the Revolution They Started,” </w:t>
      </w:r>
      <w:r w:rsidRPr="00C63180">
        <w:rPr>
          <w:rFonts w:ascii="Times New Roman" w:eastAsia="Times New Roman" w:hAnsi="Times New Roman" w:cs="Times New Roman"/>
          <w:i/>
        </w:rPr>
        <w:t>The Wall Street Journal</w:t>
      </w:r>
      <w:r w:rsidRPr="00C63180">
        <w:rPr>
          <w:rFonts w:ascii="Times New Roman" w:eastAsia="Times New Roman" w:hAnsi="Times New Roman" w:cs="Times New Roman"/>
        </w:rPr>
        <w:t xml:space="preserve">, Available online: </w:t>
      </w:r>
      <w:hyperlink r:id="rId88">
        <w:r w:rsidRPr="00C63180">
          <w:rPr>
            <w:rFonts w:ascii="Times New Roman" w:eastAsia="Times New Roman" w:hAnsi="Times New Roman" w:cs="Times New Roman"/>
            <w:color w:val="1155CC"/>
            <w:u w:val="single"/>
          </w:rPr>
          <w:t>https://www.wsj.com/articles/the-champions-of-the-401-k-lament-the-revolution-they-started-1483382348</w:t>
        </w:r>
      </w:hyperlink>
      <w:r w:rsidRPr="00C63180">
        <w:rPr>
          <w:rFonts w:ascii="Times New Roman" w:eastAsia="Times New Roman" w:hAnsi="Times New Roman" w:cs="Times New Roman"/>
        </w:rPr>
        <w:t>, [Accessed 31 January 2020].</w:t>
      </w:r>
    </w:p>
    <w:p w14:paraId="5A115C73" w14:textId="77777777" w:rsidR="00861DF6" w:rsidRPr="00C63180" w:rsidRDefault="00861DF6" w:rsidP="00861DF6">
      <w:pPr>
        <w:ind w:left="720" w:hanging="720"/>
        <w:rPr>
          <w:rFonts w:ascii="Times New Roman" w:eastAsia="Times New Roman" w:hAnsi="Times New Roman" w:cs="Times New Roman"/>
        </w:rPr>
      </w:pPr>
    </w:p>
    <w:p w14:paraId="19A9E351"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Martin Luther King, Jr. Research and Education Institute. (2019). “March on Washington for Jobs and Freedom,” </w:t>
      </w:r>
      <w:r w:rsidRPr="00C63180">
        <w:rPr>
          <w:rFonts w:ascii="Times New Roman" w:eastAsia="Times New Roman" w:hAnsi="Times New Roman" w:cs="Times New Roman"/>
          <w:i/>
        </w:rPr>
        <w:t>Stanford University</w:t>
      </w:r>
      <w:r w:rsidRPr="00C63180">
        <w:rPr>
          <w:rFonts w:ascii="Times New Roman" w:eastAsia="Times New Roman" w:hAnsi="Times New Roman" w:cs="Times New Roman"/>
        </w:rPr>
        <w:t xml:space="preserve">, Available online: </w:t>
      </w:r>
      <w:hyperlink r:id="rId89">
        <w:r w:rsidRPr="00C63180">
          <w:rPr>
            <w:rFonts w:ascii="Times New Roman" w:eastAsia="Times New Roman" w:hAnsi="Times New Roman" w:cs="Times New Roman"/>
            <w:color w:val="1155CC"/>
            <w:u w:val="single"/>
          </w:rPr>
          <w:t>https://kinginstitute.stanford.edu/encyclopedia/march-washington-jobs-and-freedom</w:t>
        </w:r>
      </w:hyperlink>
      <w:r w:rsidRPr="00C63180">
        <w:rPr>
          <w:rFonts w:ascii="Times New Roman" w:eastAsia="Times New Roman" w:hAnsi="Times New Roman" w:cs="Times New Roman"/>
        </w:rPr>
        <w:t>, [Accessed 2 January 2020].</w:t>
      </w:r>
    </w:p>
    <w:p w14:paraId="0CF3E535" w14:textId="77777777" w:rsidR="00861DF6" w:rsidRPr="00C63180" w:rsidRDefault="00861DF6" w:rsidP="00861DF6">
      <w:pPr>
        <w:ind w:left="720" w:hanging="720"/>
        <w:rPr>
          <w:rFonts w:ascii="Times New Roman" w:eastAsia="Times New Roman" w:hAnsi="Times New Roman" w:cs="Times New Roman"/>
        </w:rPr>
      </w:pPr>
    </w:p>
    <w:p w14:paraId="25826116"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Matthews, D. (2018). “4 Big Questions about Job Guarantees,” </w:t>
      </w:r>
      <w:proofErr w:type="spellStart"/>
      <w:r w:rsidRPr="00C63180">
        <w:rPr>
          <w:rFonts w:ascii="Times New Roman" w:eastAsia="Times New Roman" w:hAnsi="Times New Roman" w:cs="Times New Roman"/>
          <w:i/>
        </w:rPr>
        <w:t>Vox</w:t>
      </w:r>
      <w:proofErr w:type="spellEnd"/>
      <w:r w:rsidRPr="00C63180">
        <w:rPr>
          <w:rFonts w:ascii="Times New Roman" w:eastAsia="Times New Roman" w:hAnsi="Times New Roman" w:cs="Times New Roman"/>
          <w:i/>
        </w:rPr>
        <w:t xml:space="preserve"> Magazine</w:t>
      </w:r>
      <w:r w:rsidRPr="00C63180">
        <w:rPr>
          <w:rFonts w:ascii="Times New Roman" w:eastAsia="Times New Roman" w:hAnsi="Times New Roman" w:cs="Times New Roman"/>
        </w:rPr>
        <w:t xml:space="preserve">, Available online: </w:t>
      </w:r>
      <w:hyperlink r:id="rId90">
        <w:r w:rsidRPr="00C63180">
          <w:rPr>
            <w:rFonts w:ascii="Times New Roman" w:eastAsia="Times New Roman" w:hAnsi="Times New Roman" w:cs="Times New Roman"/>
            <w:color w:val="0000FF"/>
            <w:u w:val="single"/>
          </w:rPr>
          <w:t>https://www.vox.com/2018/4/27/17281676/job-guarantee-design-bad-jobs-labor-market-federal-reserve</w:t>
        </w:r>
      </w:hyperlink>
      <w:r w:rsidRPr="00C63180">
        <w:rPr>
          <w:rFonts w:ascii="Times New Roman" w:eastAsia="Times New Roman" w:hAnsi="Times New Roman" w:cs="Times New Roman"/>
        </w:rPr>
        <w:t xml:space="preserve">, [Accessed 13 January 2020]. </w:t>
      </w:r>
    </w:p>
    <w:p w14:paraId="15D3477C" w14:textId="77777777" w:rsidR="00B84936" w:rsidRPr="00C63180" w:rsidRDefault="00B84936">
      <w:pPr>
        <w:rPr>
          <w:rFonts w:ascii="Times New Roman" w:eastAsia="Times New Roman" w:hAnsi="Times New Roman" w:cs="Times New Roman"/>
        </w:rPr>
      </w:pPr>
    </w:p>
    <w:p w14:paraId="656A2641"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Maurer, R. (2018). “Judge Rules EEOC Background Check Guidance is Unenforceable,” </w:t>
      </w:r>
      <w:r w:rsidRPr="00C63180">
        <w:rPr>
          <w:rFonts w:ascii="Times New Roman" w:eastAsia="Times New Roman" w:hAnsi="Times New Roman" w:cs="Times New Roman"/>
          <w:i/>
        </w:rPr>
        <w:t>Society for Human Resource Management (SHRM)</w:t>
      </w:r>
      <w:r w:rsidRPr="00C63180">
        <w:rPr>
          <w:rFonts w:ascii="Times New Roman" w:eastAsia="Times New Roman" w:hAnsi="Times New Roman" w:cs="Times New Roman"/>
        </w:rPr>
        <w:t xml:space="preserve">, Available online: </w:t>
      </w:r>
      <w:hyperlink r:id="rId91">
        <w:r w:rsidRPr="00C63180">
          <w:rPr>
            <w:rFonts w:ascii="Times New Roman" w:eastAsia="Times New Roman" w:hAnsi="Times New Roman" w:cs="Times New Roman"/>
            <w:color w:val="1155CC"/>
            <w:u w:val="single"/>
          </w:rPr>
          <w:t>https://www.shrm.org/resourcesandtools/hr-topics/talent-acquisition/pages/texas-2012-eeoc-background-check-guidance-unenforceable.aspx</w:t>
        </w:r>
      </w:hyperlink>
      <w:r w:rsidRPr="00C63180">
        <w:rPr>
          <w:rFonts w:ascii="Times New Roman" w:eastAsia="Times New Roman" w:hAnsi="Times New Roman" w:cs="Times New Roman"/>
        </w:rPr>
        <w:t>. [Accessed 1 January 2020]. </w:t>
      </w:r>
    </w:p>
    <w:p w14:paraId="344A6D05" w14:textId="77777777" w:rsidR="00B84936" w:rsidRPr="00C63180" w:rsidRDefault="00B84936">
      <w:pPr>
        <w:spacing w:line="276" w:lineRule="auto"/>
        <w:rPr>
          <w:rFonts w:ascii="Times New Roman" w:eastAsia="Times New Roman" w:hAnsi="Times New Roman" w:cs="Times New Roman"/>
        </w:rPr>
      </w:pPr>
    </w:p>
    <w:p w14:paraId="264537C1"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McCarthy, M. (2019). “Pitfalls and Promises for Workplace Democracy,” </w:t>
      </w:r>
      <w:r w:rsidRPr="00C63180">
        <w:rPr>
          <w:rFonts w:ascii="Times New Roman" w:eastAsia="Times New Roman" w:hAnsi="Times New Roman" w:cs="Times New Roman"/>
          <w:i/>
        </w:rPr>
        <w:t xml:space="preserve">Renewal: A Journal of </w:t>
      </w:r>
      <w:proofErr w:type="spellStart"/>
      <w:r w:rsidRPr="00C63180">
        <w:rPr>
          <w:rFonts w:ascii="Times New Roman" w:eastAsia="Times New Roman" w:hAnsi="Times New Roman" w:cs="Times New Roman"/>
          <w:i/>
        </w:rPr>
        <w:t>Labour</w:t>
      </w:r>
      <w:proofErr w:type="spellEnd"/>
      <w:r w:rsidRPr="00C63180">
        <w:rPr>
          <w:rFonts w:ascii="Times New Roman" w:eastAsia="Times New Roman" w:hAnsi="Times New Roman" w:cs="Times New Roman"/>
          <w:i/>
        </w:rPr>
        <w:t xml:space="preserve"> Politics</w:t>
      </w:r>
      <w:r w:rsidRPr="00C63180">
        <w:rPr>
          <w:rFonts w:ascii="Times New Roman" w:eastAsia="Times New Roman" w:hAnsi="Times New Roman" w:cs="Times New Roman"/>
        </w:rPr>
        <w:t xml:space="preserve">, Vol. 27, No. 4, pp. 71-77, Available online: </w:t>
      </w:r>
      <w:hyperlink r:id="rId92">
        <w:r w:rsidRPr="00C63180">
          <w:rPr>
            <w:rFonts w:ascii="Times New Roman" w:eastAsia="Times New Roman" w:hAnsi="Times New Roman" w:cs="Times New Roman"/>
            <w:color w:val="1155CC"/>
            <w:u w:val="single"/>
          </w:rPr>
          <w:t>http://proxy.library.nyu.edu/login?url=https://search.proquest.com/docview/2319476107?accountid=12768</w:t>
        </w:r>
      </w:hyperlink>
      <w:r w:rsidRPr="00C63180">
        <w:rPr>
          <w:rFonts w:ascii="Times New Roman" w:eastAsia="Times New Roman" w:hAnsi="Times New Roman" w:cs="Times New Roman"/>
        </w:rPr>
        <w:t>, [Accessed 13 January 2020].</w:t>
      </w:r>
    </w:p>
    <w:p w14:paraId="48789FE9" w14:textId="77777777" w:rsidR="00B84936" w:rsidRPr="00C63180" w:rsidRDefault="00B84936">
      <w:pPr>
        <w:spacing w:line="276" w:lineRule="auto"/>
        <w:rPr>
          <w:rFonts w:ascii="Times New Roman" w:eastAsia="Times New Roman" w:hAnsi="Times New Roman" w:cs="Times New Roman"/>
        </w:rPr>
      </w:pPr>
    </w:p>
    <w:p w14:paraId="569B7B58"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McNicholas</w:t>
      </w:r>
      <w:proofErr w:type="spellEnd"/>
      <w:r w:rsidRPr="00C63180">
        <w:rPr>
          <w:rFonts w:ascii="Times New Roman" w:eastAsia="Times New Roman" w:hAnsi="Times New Roman" w:cs="Times New Roman"/>
        </w:rPr>
        <w:t xml:space="preserve">, C., </w:t>
      </w:r>
      <w:proofErr w:type="spellStart"/>
      <w:r w:rsidRPr="00C63180">
        <w:rPr>
          <w:rFonts w:ascii="Times New Roman" w:eastAsia="Times New Roman" w:hAnsi="Times New Roman" w:cs="Times New Roman"/>
        </w:rPr>
        <w:t>Poydock</w:t>
      </w:r>
      <w:proofErr w:type="spellEnd"/>
      <w:r w:rsidRPr="00C63180">
        <w:rPr>
          <w:rFonts w:ascii="Times New Roman" w:eastAsia="Times New Roman" w:hAnsi="Times New Roman" w:cs="Times New Roman"/>
        </w:rPr>
        <w:t xml:space="preserve">, M., Wolfe, J., </w:t>
      </w:r>
      <w:proofErr w:type="spellStart"/>
      <w:r w:rsidRPr="00C63180">
        <w:rPr>
          <w:rFonts w:ascii="Times New Roman" w:eastAsia="Times New Roman" w:hAnsi="Times New Roman" w:cs="Times New Roman"/>
        </w:rPr>
        <w:t>Zipperer</w:t>
      </w:r>
      <w:proofErr w:type="spellEnd"/>
      <w:r w:rsidRPr="00C63180">
        <w:rPr>
          <w:rFonts w:ascii="Times New Roman" w:eastAsia="Times New Roman" w:hAnsi="Times New Roman" w:cs="Times New Roman"/>
        </w:rPr>
        <w:t xml:space="preserve">, B., </w:t>
      </w:r>
      <w:proofErr w:type="spellStart"/>
      <w:r w:rsidRPr="00C63180">
        <w:rPr>
          <w:rFonts w:ascii="Times New Roman" w:eastAsia="Times New Roman" w:hAnsi="Times New Roman" w:cs="Times New Roman"/>
        </w:rPr>
        <w:t>Lafter</w:t>
      </w:r>
      <w:proofErr w:type="spellEnd"/>
      <w:r w:rsidRPr="00C63180">
        <w:rPr>
          <w:rFonts w:ascii="Times New Roman" w:eastAsia="Times New Roman" w:hAnsi="Times New Roman" w:cs="Times New Roman"/>
        </w:rPr>
        <w:t xml:space="preserve">, G., &amp; </w:t>
      </w:r>
      <w:proofErr w:type="spellStart"/>
      <w:r w:rsidRPr="00C63180">
        <w:rPr>
          <w:rFonts w:ascii="Times New Roman" w:eastAsia="Times New Roman" w:hAnsi="Times New Roman" w:cs="Times New Roman"/>
        </w:rPr>
        <w:t>Loustaunau</w:t>
      </w:r>
      <w:proofErr w:type="spellEnd"/>
      <w:r w:rsidRPr="00C63180">
        <w:rPr>
          <w:rFonts w:ascii="Times New Roman" w:eastAsia="Times New Roman" w:hAnsi="Times New Roman" w:cs="Times New Roman"/>
        </w:rPr>
        <w:t>, L. (2019).</w:t>
      </w:r>
      <w:proofErr w:type="gramEnd"/>
      <w:r w:rsidRPr="00C63180">
        <w:rPr>
          <w:rFonts w:ascii="Times New Roman" w:eastAsia="Times New Roman" w:hAnsi="Times New Roman" w:cs="Times New Roman"/>
        </w:rPr>
        <w:t xml:space="preserve"> “Unlawful: U.S. Employers are Charged with Violating Federal Law in 41% of All Union Election Campaigns,” </w:t>
      </w:r>
      <w:r w:rsidRPr="00C63180">
        <w:rPr>
          <w:rFonts w:ascii="Times New Roman" w:eastAsia="Times New Roman" w:hAnsi="Times New Roman" w:cs="Times New Roman"/>
          <w:i/>
        </w:rPr>
        <w:t>Economic Policy Institute</w:t>
      </w:r>
      <w:r w:rsidRPr="00C63180">
        <w:rPr>
          <w:rFonts w:ascii="Times New Roman" w:eastAsia="Times New Roman" w:hAnsi="Times New Roman" w:cs="Times New Roman"/>
        </w:rPr>
        <w:t xml:space="preserve">, Available online: </w:t>
      </w:r>
      <w:hyperlink r:id="rId93">
        <w:r w:rsidRPr="00C63180">
          <w:rPr>
            <w:rFonts w:ascii="Times New Roman" w:eastAsia="Times New Roman" w:hAnsi="Times New Roman" w:cs="Times New Roman"/>
            <w:color w:val="1155CC"/>
            <w:u w:val="single"/>
          </w:rPr>
          <w:t>https://www.epi.org/publication/unlawful-employer-opposition-to-union-election-campaigns/</w:t>
        </w:r>
      </w:hyperlink>
      <w:r w:rsidRPr="00C63180">
        <w:rPr>
          <w:rFonts w:ascii="Times New Roman" w:eastAsia="Times New Roman" w:hAnsi="Times New Roman" w:cs="Times New Roman"/>
        </w:rPr>
        <w:t>, [Accessed 19 February 2020].</w:t>
      </w:r>
    </w:p>
    <w:p w14:paraId="25D7C6AC" w14:textId="77777777" w:rsidR="00B84936" w:rsidRPr="00C63180" w:rsidRDefault="00B84936">
      <w:pPr>
        <w:spacing w:line="276" w:lineRule="auto"/>
        <w:rPr>
          <w:rFonts w:ascii="Times New Roman" w:eastAsia="Times New Roman" w:hAnsi="Times New Roman" w:cs="Times New Roman"/>
        </w:rPr>
      </w:pPr>
    </w:p>
    <w:p w14:paraId="61ED76F2"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McNicholas</w:t>
      </w:r>
      <w:proofErr w:type="spellEnd"/>
      <w:r w:rsidRPr="00C63180">
        <w:rPr>
          <w:rFonts w:ascii="Times New Roman" w:eastAsia="Times New Roman" w:hAnsi="Times New Roman" w:cs="Times New Roman"/>
        </w:rPr>
        <w:t xml:space="preserve">, C. &amp; Jones, J. (2018). “Black Women Will Be Most Affected by </w:t>
      </w:r>
      <w:r w:rsidRPr="00C63180">
        <w:rPr>
          <w:rFonts w:ascii="Times New Roman" w:eastAsia="Times New Roman" w:hAnsi="Times New Roman" w:cs="Times New Roman"/>
          <w:i/>
        </w:rPr>
        <w:t>Janus</w:t>
      </w:r>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Economic Policy Institute</w:t>
      </w:r>
      <w:r w:rsidRPr="00C63180">
        <w:rPr>
          <w:rFonts w:ascii="Times New Roman" w:eastAsia="Times New Roman" w:hAnsi="Times New Roman" w:cs="Times New Roman"/>
        </w:rPr>
        <w:t xml:space="preserve">, Available online: </w:t>
      </w:r>
      <w:hyperlink r:id="rId94">
        <w:r w:rsidRPr="00C63180">
          <w:rPr>
            <w:rFonts w:ascii="Times New Roman" w:eastAsia="Times New Roman" w:hAnsi="Times New Roman" w:cs="Times New Roman"/>
            <w:color w:val="1155CC"/>
            <w:u w:val="single"/>
          </w:rPr>
          <w:t>https://www.epi.org/publication/black-women-will-be-most-affected-by-janus/</w:t>
        </w:r>
      </w:hyperlink>
      <w:r w:rsidRPr="00C63180">
        <w:rPr>
          <w:rFonts w:ascii="Times New Roman" w:eastAsia="Times New Roman" w:hAnsi="Times New Roman" w:cs="Times New Roman"/>
        </w:rPr>
        <w:t xml:space="preserve">, [Accessed 14 February 2020]. </w:t>
      </w:r>
    </w:p>
    <w:p w14:paraId="6DF9002C" w14:textId="77777777" w:rsidR="00B84936" w:rsidRPr="00C63180" w:rsidRDefault="00B84936">
      <w:pPr>
        <w:rPr>
          <w:rFonts w:ascii="Times New Roman" w:eastAsia="Times New Roman" w:hAnsi="Times New Roman" w:cs="Times New Roman"/>
        </w:rPr>
      </w:pPr>
    </w:p>
    <w:p w14:paraId="04888529"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lastRenderedPageBreak/>
        <w:t xml:space="preserve">Mehta, B.S. &amp; </w:t>
      </w:r>
      <w:proofErr w:type="spellStart"/>
      <w:r w:rsidRPr="00C63180">
        <w:rPr>
          <w:rFonts w:ascii="Times New Roman" w:eastAsia="Times New Roman" w:hAnsi="Times New Roman" w:cs="Times New Roman"/>
        </w:rPr>
        <w:t>Awasthi</w:t>
      </w:r>
      <w:proofErr w:type="spellEnd"/>
      <w:r w:rsidRPr="00C63180">
        <w:rPr>
          <w:rFonts w:ascii="Times New Roman" w:eastAsia="Times New Roman" w:hAnsi="Times New Roman" w:cs="Times New Roman"/>
        </w:rPr>
        <w:t xml:space="preserve">, I.C. (2019). </w:t>
      </w:r>
      <w:r w:rsidRPr="00C63180">
        <w:rPr>
          <w:rFonts w:ascii="Times New Roman" w:eastAsia="Times New Roman" w:hAnsi="Times New Roman" w:cs="Times New Roman"/>
          <w:i/>
        </w:rPr>
        <w:t xml:space="preserve">Women and </w:t>
      </w:r>
      <w:proofErr w:type="spellStart"/>
      <w:r w:rsidRPr="00C63180">
        <w:rPr>
          <w:rFonts w:ascii="Times New Roman" w:eastAsia="Times New Roman" w:hAnsi="Times New Roman" w:cs="Times New Roman"/>
          <w:i/>
        </w:rPr>
        <w:t>Labour</w:t>
      </w:r>
      <w:proofErr w:type="spellEnd"/>
      <w:r w:rsidRPr="00C63180">
        <w:rPr>
          <w:rFonts w:ascii="Times New Roman" w:eastAsia="Times New Roman" w:hAnsi="Times New Roman" w:cs="Times New Roman"/>
          <w:i/>
        </w:rPr>
        <w:t xml:space="preserve"> Market Dynamics: New Insights and Evidences</w:t>
      </w:r>
      <w:r w:rsidRPr="00C63180">
        <w:rPr>
          <w:rFonts w:ascii="Times New Roman" w:eastAsia="Times New Roman" w:hAnsi="Times New Roman" w:cs="Times New Roman"/>
        </w:rPr>
        <w:t>, New York: Springer.</w:t>
      </w:r>
    </w:p>
    <w:p w14:paraId="04691C09" w14:textId="77777777" w:rsidR="00B84936" w:rsidRPr="00C63180" w:rsidRDefault="00B84936">
      <w:pPr>
        <w:spacing w:line="276" w:lineRule="auto"/>
        <w:rPr>
          <w:rFonts w:ascii="Times New Roman" w:eastAsia="Times New Roman" w:hAnsi="Times New Roman" w:cs="Times New Roman"/>
        </w:rPr>
      </w:pPr>
    </w:p>
    <w:p w14:paraId="4F654A3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Miller, K. &amp; </w:t>
      </w:r>
      <w:proofErr w:type="spellStart"/>
      <w:r w:rsidRPr="00C63180">
        <w:rPr>
          <w:rFonts w:ascii="Times New Roman" w:eastAsia="Times New Roman" w:hAnsi="Times New Roman" w:cs="Times New Roman"/>
        </w:rPr>
        <w:t>Madland</w:t>
      </w:r>
      <w:proofErr w:type="spellEnd"/>
      <w:r w:rsidRPr="00C63180">
        <w:rPr>
          <w:rFonts w:ascii="Times New Roman" w:eastAsia="Times New Roman" w:hAnsi="Times New Roman" w:cs="Times New Roman"/>
        </w:rPr>
        <w:t xml:space="preserve">, D. (2014). “New Census Data Once Again Illustrate Importance of Unions to the Middle Class,” Center for American Progress Action Fund, Available online: </w:t>
      </w:r>
      <w:hyperlink r:id="rId95">
        <w:r w:rsidRPr="00C63180">
          <w:rPr>
            <w:rFonts w:ascii="Times New Roman" w:eastAsia="Times New Roman" w:hAnsi="Times New Roman" w:cs="Times New Roman"/>
            <w:color w:val="1155CC"/>
            <w:u w:val="single"/>
          </w:rPr>
          <w:t>https://www.americanprogressaction.org/issues/economy/news/2014/09/18/97477/new-census-data-once-again-illustrate-importance-of-unions-to-the-middle-class/</w:t>
        </w:r>
      </w:hyperlink>
      <w:r w:rsidRPr="00C63180">
        <w:rPr>
          <w:rFonts w:ascii="Times New Roman" w:eastAsia="Times New Roman" w:hAnsi="Times New Roman" w:cs="Times New Roman"/>
        </w:rPr>
        <w:t xml:space="preserve">, [Accessed 23 January 2020]. </w:t>
      </w:r>
    </w:p>
    <w:p w14:paraId="7BDC8AEC" w14:textId="77777777" w:rsidR="00B84936" w:rsidRPr="00C63180" w:rsidRDefault="00B84936">
      <w:pPr>
        <w:rPr>
          <w:rFonts w:ascii="Times New Roman" w:eastAsia="Times New Roman" w:hAnsi="Times New Roman" w:cs="Times New Roman"/>
        </w:rPr>
      </w:pPr>
    </w:p>
    <w:p w14:paraId="56CA7E5D"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Morsy</w:t>
      </w:r>
      <w:proofErr w:type="spellEnd"/>
      <w:r w:rsidRPr="00C63180">
        <w:rPr>
          <w:rFonts w:ascii="Times New Roman" w:eastAsia="Times New Roman" w:hAnsi="Times New Roman" w:cs="Times New Roman"/>
        </w:rPr>
        <w:t xml:space="preserve">, L. &amp; Rothstein, R. (2016). “Mass Incarceration and Children’s Outcomes: Criminal Justice Policy is Education Policy,” </w:t>
      </w:r>
      <w:r w:rsidRPr="00C63180">
        <w:rPr>
          <w:rFonts w:ascii="Times New Roman" w:eastAsia="Times New Roman" w:hAnsi="Times New Roman" w:cs="Times New Roman"/>
          <w:i/>
        </w:rPr>
        <w:t>Economic Policy Institute</w:t>
      </w:r>
      <w:r w:rsidRPr="00C63180">
        <w:rPr>
          <w:rFonts w:ascii="Times New Roman" w:eastAsia="Times New Roman" w:hAnsi="Times New Roman" w:cs="Times New Roman"/>
        </w:rPr>
        <w:t xml:space="preserve">, Available online: </w:t>
      </w:r>
      <w:hyperlink r:id="rId96">
        <w:r w:rsidRPr="00C63180">
          <w:rPr>
            <w:rFonts w:ascii="Times New Roman" w:eastAsia="Times New Roman" w:hAnsi="Times New Roman" w:cs="Times New Roman"/>
            <w:color w:val="1155CC"/>
            <w:u w:val="single"/>
          </w:rPr>
          <w:t>https://www.epi.org/publication/mass-incarceration-and-childrens-outcomes/</w:t>
        </w:r>
      </w:hyperlink>
      <w:r w:rsidRPr="00C63180">
        <w:rPr>
          <w:rFonts w:ascii="Times New Roman" w:eastAsia="Times New Roman" w:hAnsi="Times New Roman" w:cs="Times New Roman"/>
        </w:rPr>
        <w:t>, [Accessed 1 January 2020].</w:t>
      </w:r>
    </w:p>
    <w:p w14:paraId="62F4C9E7" w14:textId="77777777" w:rsidR="00861DF6" w:rsidRPr="00C63180" w:rsidRDefault="00861DF6" w:rsidP="00861DF6">
      <w:pPr>
        <w:ind w:left="720" w:hanging="720"/>
        <w:rPr>
          <w:rFonts w:ascii="Times New Roman" w:eastAsia="Times New Roman" w:hAnsi="Times New Roman" w:cs="Times New Roman"/>
        </w:rPr>
      </w:pPr>
    </w:p>
    <w:p w14:paraId="315E8EBA"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Muhl</w:t>
      </w:r>
      <w:proofErr w:type="spellEnd"/>
      <w:r w:rsidRPr="00C63180">
        <w:rPr>
          <w:rFonts w:ascii="Times New Roman" w:eastAsia="Times New Roman" w:hAnsi="Times New Roman" w:cs="Times New Roman"/>
        </w:rPr>
        <w:t xml:space="preserve">, C. (2001). “Employment-At-Will Doctrine: Three Major Exceptions,” </w:t>
      </w:r>
      <w:r w:rsidRPr="00C63180">
        <w:rPr>
          <w:rFonts w:ascii="Times New Roman" w:eastAsia="Times New Roman" w:hAnsi="Times New Roman" w:cs="Times New Roman"/>
          <w:i/>
        </w:rPr>
        <w:t>Monthly Labor Review</w:t>
      </w:r>
      <w:r w:rsidRPr="00C63180">
        <w:rPr>
          <w:rFonts w:ascii="Times New Roman" w:eastAsia="Times New Roman" w:hAnsi="Times New Roman" w:cs="Times New Roman"/>
        </w:rPr>
        <w:t xml:space="preserve">, Available online: </w:t>
      </w:r>
      <w:hyperlink r:id="rId97">
        <w:r w:rsidRPr="00C63180">
          <w:rPr>
            <w:rFonts w:ascii="Times New Roman" w:eastAsia="Times New Roman" w:hAnsi="Times New Roman" w:cs="Times New Roman"/>
            <w:color w:val="1155CC"/>
            <w:u w:val="single"/>
          </w:rPr>
          <w:t>https://www.bls.gov/opub/mlr/2001/01/art1full.pdf</w:t>
        </w:r>
      </w:hyperlink>
      <w:r w:rsidRPr="00C63180">
        <w:rPr>
          <w:rFonts w:ascii="Times New Roman" w:eastAsia="Times New Roman" w:hAnsi="Times New Roman" w:cs="Times New Roman"/>
        </w:rPr>
        <w:t xml:space="preserve">, [Accessed 22 February 2020]. </w:t>
      </w:r>
    </w:p>
    <w:p w14:paraId="63F294A8" w14:textId="77777777" w:rsidR="00861DF6" w:rsidRPr="00C63180" w:rsidRDefault="00861DF6" w:rsidP="00861DF6">
      <w:pPr>
        <w:ind w:left="720" w:hanging="720"/>
        <w:rPr>
          <w:rFonts w:ascii="Times New Roman" w:eastAsia="Times New Roman" w:hAnsi="Times New Roman" w:cs="Times New Roman"/>
        </w:rPr>
      </w:pPr>
    </w:p>
    <w:p w14:paraId="1396405A"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Nash, J.C. (2008). “Re-thinking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Feminist Review</w:t>
      </w:r>
      <w:r w:rsidRPr="00C63180">
        <w:rPr>
          <w:rFonts w:ascii="Times New Roman" w:eastAsia="Times New Roman" w:hAnsi="Times New Roman" w:cs="Times New Roman"/>
        </w:rPr>
        <w:t>, Vol. 89, pp. 1-15. </w:t>
      </w:r>
    </w:p>
    <w:p w14:paraId="062F7AD1" w14:textId="77777777" w:rsidR="00B84936" w:rsidRPr="00C63180" w:rsidRDefault="00B84936">
      <w:pPr>
        <w:rPr>
          <w:rFonts w:ascii="Times New Roman" w:eastAsia="Times New Roman" w:hAnsi="Times New Roman" w:cs="Times New Roman"/>
        </w:rPr>
      </w:pPr>
    </w:p>
    <w:p w14:paraId="6687474A"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National Employment Law Project.</w:t>
      </w:r>
      <w:proofErr w:type="gramEnd"/>
      <w:r w:rsidRPr="00C63180">
        <w:rPr>
          <w:rFonts w:ascii="Times New Roman" w:eastAsia="Times New Roman" w:hAnsi="Times New Roman" w:cs="Times New Roman"/>
        </w:rPr>
        <w:t xml:space="preserve"> (2017). “‘Ban the Box’ is a Fair Chance for Workers with Records - Fact Sheet,” </w:t>
      </w:r>
      <w:r w:rsidRPr="00C63180">
        <w:rPr>
          <w:rFonts w:ascii="Times New Roman" w:eastAsia="Times New Roman" w:hAnsi="Times New Roman" w:cs="Times New Roman"/>
          <w:i/>
        </w:rPr>
        <w:t>National Employment Law Project</w:t>
      </w:r>
      <w:r w:rsidRPr="00C63180">
        <w:rPr>
          <w:rFonts w:ascii="Times New Roman" w:eastAsia="Times New Roman" w:hAnsi="Times New Roman" w:cs="Times New Roman"/>
        </w:rPr>
        <w:t xml:space="preserve">, Available online: </w:t>
      </w:r>
      <w:hyperlink r:id="rId98">
        <w:r w:rsidRPr="00C63180">
          <w:rPr>
            <w:rFonts w:ascii="Times New Roman" w:eastAsia="Times New Roman" w:hAnsi="Times New Roman" w:cs="Times New Roman"/>
            <w:color w:val="1155CC"/>
            <w:u w:val="single"/>
          </w:rPr>
          <w:t>https://s27147.pcdn.co/wp-content/uploads/Ban-the-Box-Fair-Chance-Fact-Sheet.pdf</w:t>
        </w:r>
      </w:hyperlink>
      <w:r w:rsidRPr="00C63180">
        <w:rPr>
          <w:rFonts w:ascii="Times New Roman" w:eastAsia="Times New Roman" w:hAnsi="Times New Roman" w:cs="Times New Roman"/>
        </w:rPr>
        <w:t>, [Accessed 15 December 2019]. </w:t>
      </w:r>
    </w:p>
    <w:p w14:paraId="6C3DE6E4" w14:textId="77777777" w:rsidR="00861DF6" w:rsidRPr="00C63180" w:rsidRDefault="00861DF6" w:rsidP="00861DF6">
      <w:pPr>
        <w:ind w:left="720" w:hanging="720"/>
        <w:rPr>
          <w:rFonts w:ascii="Times New Roman" w:eastAsia="Times New Roman" w:hAnsi="Times New Roman" w:cs="Times New Roman"/>
        </w:rPr>
      </w:pPr>
    </w:p>
    <w:p w14:paraId="6EC6D7E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Nunn, R., O’Donnell, J., &amp; </w:t>
      </w:r>
      <w:proofErr w:type="spellStart"/>
      <w:r w:rsidRPr="00C63180">
        <w:rPr>
          <w:rFonts w:ascii="Times New Roman" w:eastAsia="Times New Roman" w:hAnsi="Times New Roman" w:cs="Times New Roman"/>
        </w:rPr>
        <w:t>Shambaugh</w:t>
      </w:r>
      <w:proofErr w:type="spellEnd"/>
      <w:r w:rsidRPr="00C63180">
        <w:rPr>
          <w:rFonts w:ascii="Times New Roman" w:eastAsia="Times New Roman" w:hAnsi="Times New Roman" w:cs="Times New Roman"/>
        </w:rPr>
        <w:t xml:space="preserve">, J. (2019). “The Shift in Private Sector Union Participation: Explanation and Effects,” </w:t>
      </w:r>
      <w:r w:rsidRPr="00C63180">
        <w:rPr>
          <w:rFonts w:ascii="Times New Roman" w:eastAsia="Times New Roman" w:hAnsi="Times New Roman" w:cs="Times New Roman"/>
          <w:i/>
        </w:rPr>
        <w:t>The Hamilton Project</w:t>
      </w:r>
      <w:r w:rsidRPr="00C63180">
        <w:rPr>
          <w:rFonts w:ascii="Times New Roman" w:eastAsia="Times New Roman" w:hAnsi="Times New Roman" w:cs="Times New Roman"/>
        </w:rPr>
        <w:t xml:space="preserve">, Washington DC: The Brookings Institute, Available online: </w:t>
      </w:r>
      <w:hyperlink r:id="rId99">
        <w:r w:rsidRPr="00C63180">
          <w:rPr>
            <w:rFonts w:ascii="Times New Roman" w:eastAsia="Times New Roman" w:hAnsi="Times New Roman" w:cs="Times New Roman"/>
            <w:color w:val="1155CC"/>
            <w:u w:val="single"/>
          </w:rPr>
          <w:t>https://www.brookings.edu/research/the-shift-in-private-sector-union-participation-explanations-and-effects/</w:t>
        </w:r>
      </w:hyperlink>
      <w:r w:rsidRPr="00C63180">
        <w:rPr>
          <w:rFonts w:ascii="Times New Roman" w:eastAsia="Times New Roman" w:hAnsi="Times New Roman" w:cs="Times New Roman"/>
        </w:rPr>
        <w:t>, [Accessed 29 December 2019].</w:t>
      </w:r>
    </w:p>
    <w:p w14:paraId="728A0F3D" w14:textId="77777777" w:rsidR="00861DF6" w:rsidRPr="00C63180" w:rsidRDefault="00861DF6" w:rsidP="00861DF6">
      <w:pPr>
        <w:ind w:left="720" w:hanging="720"/>
        <w:rPr>
          <w:rFonts w:ascii="Times New Roman" w:eastAsia="Times New Roman" w:hAnsi="Times New Roman" w:cs="Times New Roman"/>
        </w:rPr>
      </w:pPr>
    </w:p>
    <w:p w14:paraId="5D554940"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Nunn, R. (2019). “The Shift in Private Sector Union Participation: Explanation and Effects,” </w:t>
      </w:r>
      <w:r w:rsidRPr="00C63180">
        <w:rPr>
          <w:rFonts w:ascii="Times New Roman" w:eastAsia="Times New Roman" w:hAnsi="Times New Roman" w:cs="Times New Roman"/>
          <w:i/>
        </w:rPr>
        <w:t>The Hamilton Project</w:t>
      </w:r>
      <w:r w:rsidRPr="00C63180">
        <w:rPr>
          <w:rFonts w:ascii="Times New Roman" w:eastAsia="Times New Roman" w:hAnsi="Times New Roman" w:cs="Times New Roman"/>
        </w:rPr>
        <w:t>, Washington DC: Brookings Institute.</w:t>
      </w:r>
    </w:p>
    <w:p w14:paraId="35777D23" w14:textId="77777777" w:rsidR="00861DF6" w:rsidRPr="00C63180" w:rsidRDefault="00861DF6" w:rsidP="00861DF6">
      <w:pPr>
        <w:ind w:left="720" w:hanging="720"/>
        <w:rPr>
          <w:rFonts w:ascii="Times New Roman" w:eastAsia="Times New Roman" w:hAnsi="Times New Roman" w:cs="Times New Roman"/>
        </w:rPr>
      </w:pPr>
    </w:p>
    <w:p w14:paraId="2BE80D2B"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Office of Labor-Management Standards.</w:t>
      </w:r>
      <w:proofErr w:type="gramEnd"/>
      <w:r w:rsidRPr="00C63180">
        <w:rPr>
          <w:rFonts w:ascii="Times New Roman" w:eastAsia="Times New Roman" w:hAnsi="Times New Roman" w:cs="Times New Roman"/>
        </w:rPr>
        <w:t xml:space="preserve"> (2018). “Rescission of Rule Interpreting ‘Advice’ Exemption in Section 203(c) of the Labor-Management Reporting and Disclosure Act,” </w:t>
      </w:r>
      <w:r w:rsidRPr="00C63180">
        <w:rPr>
          <w:rFonts w:ascii="Times New Roman" w:eastAsia="Times New Roman" w:hAnsi="Times New Roman" w:cs="Times New Roman"/>
          <w:i/>
        </w:rPr>
        <w:t>Federal Register - National Archives</w:t>
      </w:r>
      <w:r w:rsidRPr="00C63180">
        <w:rPr>
          <w:rFonts w:ascii="Times New Roman" w:eastAsia="Times New Roman" w:hAnsi="Times New Roman" w:cs="Times New Roman"/>
        </w:rPr>
        <w:t xml:space="preserve">, Available online: </w:t>
      </w:r>
      <w:hyperlink r:id="rId100">
        <w:r w:rsidRPr="00C63180">
          <w:rPr>
            <w:rFonts w:ascii="Times New Roman" w:eastAsia="Times New Roman" w:hAnsi="Times New Roman" w:cs="Times New Roman"/>
            <w:color w:val="1155CC"/>
            <w:u w:val="single"/>
          </w:rPr>
          <w:t>https://www.federalregister.gov/documents/2018/07/18/2018-14948/rescission-of-rule-interpreting-advice-exemption-in-section-203c-of-the-labor-management-reporting</w:t>
        </w:r>
      </w:hyperlink>
      <w:r w:rsidRPr="00C63180">
        <w:rPr>
          <w:rFonts w:ascii="Times New Roman" w:eastAsia="Times New Roman" w:hAnsi="Times New Roman" w:cs="Times New Roman"/>
        </w:rPr>
        <w:t>, [Accessed 18 February 2020].</w:t>
      </w:r>
    </w:p>
    <w:p w14:paraId="440889CC" w14:textId="77777777" w:rsidR="00861DF6" w:rsidRPr="00C63180" w:rsidRDefault="00861DF6" w:rsidP="00861DF6">
      <w:pPr>
        <w:ind w:left="720" w:hanging="720"/>
        <w:rPr>
          <w:rFonts w:ascii="Times New Roman" w:eastAsia="Times New Roman" w:hAnsi="Times New Roman" w:cs="Times New Roman"/>
        </w:rPr>
      </w:pPr>
    </w:p>
    <w:p w14:paraId="004DFA33"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 xml:space="preserve">Orb, A., </w:t>
      </w:r>
      <w:proofErr w:type="spellStart"/>
      <w:r w:rsidRPr="00C63180">
        <w:rPr>
          <w:rFonts w:ascii="Times New Roman" w:eastAsia="Times New Roman" w:hAnsi="Times New Roman" w:cs="Times New Roman"/>
        </w:rPr>
        <w:t>Eisenhauer</w:t>
      </w:r>
      <w:proofErr w:type="spellEnd"/>
      <w:r w:rsidRPr="00C63180">
        <w:rPr>
          <w:rFonts w:ascii="Times New Roman" w:eastAsia="Times New Roman" w:hAnsi="Times New Roman" w:cs="Times New Roman"/>
        </w:rPr>
        <w:t xml:space="preserve">, L., &amp; </w:t>
      </w:r>
      <w:proofErr w:type="spellStart"/>
      <w:r w:rsidRPr="00C63180">
        <w:rPr>
          <w:rFonts w:ascii="Times New Roman" w:eastAsia="Times New Roman" w:hAnsi="Times New Roman" w:cs="Times New Roman"/>
        </w:rPr>
        <w:t>Wynaden</w:t>
      </w:r>
      <w:proofErr w:type="spellEnd"/>
      <w:r w:rsidRPr="00C63180">
        <w:rPr>
          <w:rFonts w:ascii="Times New Roman" w:eastAsia="Times New Roman" w:hAnsi="Times New Roman" w:cs="Times New Roman"/>
        </w:rPr>
        <w:t>, D. (2000).</w:t>
      </w:r>
      <w:proofErr w:type="gramEnd"/>
      <w:r w:rsidRPr="00C63180">
        <w:rPr>
          <w:rFonts w:ascii="Times New Roman" w:eastAsia="Times New Roman" w:hAnsi="Times New Roman" w:cs="Times New Roman"/>
        </w:rPr>
        <w:t xml:space="preserve"> “Ethics in Qualitative Research,” </w:t>
      </w:r>
      <w:r w:rsidRPr="00C63180">
        <w:rPr>
          <w:rFonts w:ascii="Times New Roman" w:eastAsia="Times New Roman" w:hAnsi="Times New Roman" w:cs="Times New Roman"/>
          <w:i/>
        </w:rPr>
        <w:t>Journal of Nursing Scholarship</w:t>
      </w:r>
      <w:r w:rsidRPr="00C63180">
        <w:rPr>
          <w:rFonts w:ascii="Times New Roman" w:eastAsia="Times New Roman" w:hAnsi="Times New Roman" w:cs="Times New Roman"/>
        </w:rPr>
        <w:t>, Vol. 33, No. 1, pp. 93-96. </w:t>
      </w:r>
    </w:p>
    <w:p w14:paraId="4A842642"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lastRenderedPageBreak/>
        <w:t>Paddison</w:t>
      </w:r>
      <w:proofErr w:type="spellEnd"/>
      <w:r w:rsidRPr="00C63180">
        <w:rPr>
          <w:rFonts w:ascii="Times New Roman" w:eastAsia="Times New Roman" w:hAnsi="Times New Roman" w:cs="Times New Roman"/>
        </w:rPr>
        <w:t>, L. (2018). “What is a Federal Jobs Guarantee</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The Huffington Post</w:t>
      </w:r>
      <w:r w:rsidRPr="00C63180">
        <w:rPr>
          <w:rFonts w:ascii="Times New Roman" w:eastAsia="Times New Roman" w:hAnsi="Times New Roman" w:cs="Times New Roman"/>
        </w:rPr>
        <w:t xml:space="preserve">, Available online: </w:t>
      </w:r>
      <w:hyperlink r:id="rId101">
        <w:r w:rsidRPr="00C63180">
          <w:rPr>
            <w:rFonts w:ascii="Times New Roman" w:eastAsia="Times New Roman" w:hAnsi="Times New Roman" w:cs="Times New Roman"/>
            <w:color w:val="0000FF"/>
            <w:u w:val="single"/>
          </w:rPr>
          <w:t>https://www.huffpost.com/entry/federal-job-guarantee-explained_n_5b363f4ae4b007aa2f7f59fc</w:t>
        </w:r>
      </w:hyperlink>
      <w:r w:rsidRPr="00C63180">
        <w:rPr>
          <w:rFonts w:ascii="Times New Roman" w:eastAsia="Times New Roman" w:hAnsi="Times New Roman" w:cs="Times New Roman"/>
        </w:rPr>
        <w:t>, [Accessed 13 January 2020].</w:t>
      </w:r>
    </w:p>
    <w:p w14:paraId="169B2809" w14:textId="77777777" w:rsidR="00861DF6" w:rsidRPr="00C63180" w:rsidRDefault="00861DF6" w:rsidP="00861DF6">
      <w:pPr>
        <w:ind w:left="720" w:hanging="720"/>
        <w:rPr>
          <w:rFonts w:ascii="Times New Roman" w:eastAsia="Times New Roman" w:hAnsi="Times New Roman" w:cs="Times New Roman"/>
        </w:rPr>
      </w:pPr>
    </w:p>
    <w:p w14:paraId="4ABC8081"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Parken</w:t>
      </w:r>
      <w:proofErr w:type="spellEnd"/>
      <w:r w:rsidRPr="00C63180">
        <w:rPr>
          <w:rFonts w:ascii="Times New Roman" w:eastAsia="Times New Roman" w:hAnsi="Times New Roman" w:cs="Times New Roman"/>
        </w:rPr>
        <w:t xml:space="preserve">, A. (2010). “A Multi-Strand Approach to Promoting Equalities and Human Rights in Policy Making,” </w:t>
      </w:r>
      <w:r w:rsidRPr="00C63180">
        <w:rPr>
          <w:rFonts w:ascii="Times New Roman" w:eastAsia="Times New Roman" w:hAnsi="Times New Roman" w:cs="Times New Roman"/>
          <w:i/>
        </w:rPr>
        <w:t>Policy &amp; Politics,</w:t>
      </w:r>
      <w:r w:rsidRPr="00C63180">
        <w:rPr>
          <w:rFonts w:ascii="Times New Roman" w:eastAsia="Times New Roman" w:hAnsi="Times New Roman" w:cs="Times New Roman"/>
        </w:rPr>
        <w:t xml:space="preserve"> Vol. 38, No. 1, pp. 79-99. </w:t>
      </w:r>
    </w:p>
    <w:p w14:paraId="576BE994" w14:textId="77777777" w:rsidR="00861DF6" w:rsidRPr="00C63180" w:rsidRDefault="00861DF6" w:rsidP="00861DF6">
      <w:pPr>
        <w:ind w:left="720" w:hanging="720"/>
        <w:rPr>
          <w:rFonts w:ascii="Times New Roman" w:eastAsia="Times New Roman" w:hAnsi="Times New Roman" w:cs="Times New Roman"/>
        </w:rPr>
      </w:pPr>
    </w:p>
    <w:p w14:paraId="3C9AA483"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Parken</w:t>
      </w:r>
      <w:proofErr w:type="spellEnd"/>
      <w:r w:rsidRPr="00C63180">
        <w:rPr>
          <w:rFonts w:ascii="Times New Roman" w:eastAsia="Times New Roman" w:hAnsi="Times New Roman" w:cs="Times New Roman"/>
        </w:rPr>
        <w:t xml:space="preserve">, A. &amp; Young, H. (2007). “Integrating the Promotion of Equality and Human Rights for All,” Cardiff, Wales: Commission of Equality and Human Rights. </w:t>
      </w:r>
      <w:proofErr w:type="gramStart"/>
      <w:r w:rsidRPr="00C63180">
        <w:rPr>
          <w:rFonts w:ascii="Times New Roman" w:eastAsia="Times New Roman" w:hAnsi="Times New Roman" w:cs="Times New Roman"/>
        </w:rPr>
        <w:t>Unpublished report for the Welsh Assembly Government and Equality and Human Rights Commission.</w:t>
      </w:r>
      <w:proofErr w:type="gramEnd"/>
    </w:p>
    <w:p w14:paraId="61ECA69C" w14:textId="77777777" w:rsidR="00861DF6" w:rsidRPr="00C63180" w:rsidRDefault="00861DF6" w:rsidP="00861DF6">
      <w:pPr>
        <w:ind w:left="720" w:hanging="720"/>
        <w:rPr>
          <w:rFonts w:ascii="Times New Roman" w:eastAsia="Times New Roman" w:hAnsi="Times New Roman" w:cs="Times New Roman"/>
        </w:rPr>
      </w:pPr>
    </w:p>
    <w:p w14:paraId="13A612A7"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Patrick, D. &amp; Rosenfeld, J. (2018). “Unions and Nonunion Pay in the United States, 1977-2015,” </w:t>
      </w:r>
      <w:r w:rsidRPr="00C63180">
        <w:rPr>
          <w:rFonts w:ascii="Times New Roman" w:eastAsia="Times New Roman" w:hAnsi="Times New Roman" w:cs="Times New Roman"/>
          <w:i/>
        </w:rPr>
        <w:t xml:space="preserve">Sociological Science, </w:t>
      </w:r>
      <w:r w:rsidRPr="00C63180">
        <w:rPr>
          <w:rFonts w:ascii="Times New Roman" w:eastAsia="Times New Roman" w:hAnsi="Times New Roman" w:cs="Times New Roman"/>
        </w:rPr>
        <w:t>Vol. 5, pp. 541-561.</w:t>
      </w:r>
    </w:p>
    <w:p w14:paraId="4EC09253" w14:textId="77777777" w:rsidR="00861DF6" w:rsidRPr="00C63180" w:rsidRDefault="00861DF6" w:rsidP="00861DF6">
      <w:pPr>
        <w:ind w:left="720" w:hanging="720"/>
        <w:rPr>
          <w:rFonts w:ascii="Times New Roman" w:eastAsia="Times New Roman" w:hAnsi="Times New Roman" w:cs="Times New Roman"/>
        </w:rPr>
      </w:pPr>
    </w:p>
    <w:p w14:paraId="65265B12"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Patton, M. Q. (2002).</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Qualitative Evaluation and Research Methods</w:t>
      </w:r>
      <w:r w:rsidRPr="00C63180">
        <w:rPr>
          <w:rFonts w:ascii="Times New Roman" w:eastAsia="Times New Roman" w:hAnsi="Times New Roman" w:cs="Times New Roman"/>
        </w:rPr>
        <w:t>, Thousand Oaks, CA: Sage Publications, Inc.</w:t>
      </w:r>
    </w:p>
    <w:p w14:paraId="0B80A98B" w14:textId="77777777" w:rsidR="00B84936" w:rsidRPr="00C63180" w:rsidRDefault="00B84936">
      <w:pPr>
        <w:rPr>
          <w:rFonts w:ascii="Times New Roman" w:eastAsia="Times New Roman" w:hAnsi="Times New Roman" w:cs="Times New Roman"/>
        </w:rPr>
      </w:pPr>
    </w:p>
    <w:p w14:paraId="61F4F177"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 xml:space="preserve">Paul, M., </w:t>
      </w:r>
      <w:proofErr w:type="spellStart"/>
      <w:r w:rsidRPr="00C63180">
        <w:rPr>
          <w:rFonts w:ascii="Times New Roman" w:eastAsia="Times New Roman" w:hAnsi="Times New Roman" w:cs="Times New Roman"/>
        </w:rPr>
        <w:t>Darity</w:t>
      </w:r>
      <w:proofErr w:type="spellEnd"/>
      <w:r w:rsidRPr="00C63180">
        <w:rPr>
          <w:rFonts w:ascii="Times New Roman" w:eastAsia="Times New Roman" w:hAnsi="Times New Roman" w:cs="Times New Roman"/>
        </w:rPr>
        <w:t xml:space="preserve">, Jr., Hamilton, D., &amp; </w:t>
      </w:r>
      <w:proofErr w:type="spellStart"/>
      <w:r w:rsidRPr="00C63180">
        <w:rPr>
          <w:rFonts w:ascii="Times New Roman" w:eastAsia="Times New Roman" w:hAnsi="Times New Roman" w:cs="Times New Roman"/>
        </w:rPr>
        <w:t>Zaw</w:t>
      </w:r>
      <w:proofErr w:type="spellEnd"/>
      <w:r w:rsidRPr="00C63180">
        <w:rPr>
          <w:rFonts w:ascii="Times New Roman" w:eastAsia="Times New Roman" w:hAnsi="Times New Roman" w:cs="Times New Roman"/>
        </w:rPr>
        <w:t>, K. (2018).</w:t>
      </w:r>
      <w:proofErr w:type="gramEnd"/>
      <w:r w:rsidRPr="00C63180">
        <w:rPr>
          <w:rFonts w:ascii="Times New Roman" w:eastAsia="Times New Roman" w:hAnsi="Times New Roman" w:cs="Times New Roman"/>
        </w:rPr>
        <w:t xml:space="preserve"> “A Path to Ending Poverty by Way of Ending Unemployment: A Federal Job Guarantee,” </w:t>
      </w:r>
      <w:r w:rsidRPr="00C63180">
        <w:rPr>
          <w:rFonts w:ascii="Times New Roman" w:eastAsia="Times New Roman" w:hAnsi="Times New Roman" w:cs="Times New Roman"/>
          <w:i/>
        </w:rPr>
        <w:t>Russell Sage Foundation Journal of the Social Sciences</w:t>
      </w:r>
      <w:r w:rsidRPr="00C63180">
        <w:rPr>
          <w:rFonts w:ascii="Times New Roman" w:eastAsia="Times New Roman" w:hAnsi="Times New Roman" w:cs="Times New Roman"/>
        </w:rPr>
        <w:t>, Vol. 4, No. 3, pp. 44-63.</w:t>
      </w:r>
      <w:r w:rsidRPr="00C63180">
        <w:rPr>
          <w:rFonts w:ascii="Times New Roman" w:eastAsia="Times New Roman" w:hAnsi="Times New Roman" w:cs="Times New Roman"/>
          <w:i/>
        </w:rPr>
        <w:t> </w:t>
      </w:r>
    </w:p>
    <w:p w14:paraId="0CE0565F" w14:textId="77777777" w:rsidR="00B84936" w:rsidRPr="00C63180" w:rsidRDefault="00B84936">
      <w:pPr>
        <w:rPr>
          <w:rFonts w:ascii="Times New Roman" w:eastAsia="Times New Roman" w:hAnsi="Times New Roman" w:cs="Times New Roman"/>
        </w:rPr>
      </w:pPr>
    </w:p>
    <w:p w14:paraId="155E42D2"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Public Policy Institute of California.</w:t>
      </w:r>
      <w:proofErr w:type="gramEnd"/>
      <w:r w:rsidRPr="00C63180">
        <w:rPr>
          <w:rFonts w:ascii="Times New Roman" w:eastAsia="Times New Roman" w:hAnsi="Times New Roman" w:cs="Times New Roman"/>
        </w:rPr>
        <w:t xml:space="preserve"> (2019). “California’s Prison Population,” </w:t>
      </w:r>
      <w:r w:rsidRPr="00C63180">
        <w:rPr>
          <w:rFonts w:ascii="Times New Roman" w:eastAsia="Times New Roman" w:hAnsi="Times New Roman" w:cs="Times New Roman"/>
          <w:i/>
        </w:rPr>
        <w:t>Public Policy Institute of California</w:t>
      </w:r>
      <w:r w:rsidRPr="00C63180">
        <w:rPr>
          <w:rFonts w:ascii="Times New Roman" w:eastAsia="Times New Roman" w:hAnsi="Times New Roman" w:cs="Times New Roman"/>
        </w:rPr>
        <w:t xml:space="preserve">, Available online: </w:t>
      </w:r>
      <w:hyperlink r:id="rId102">
        <w:r w:rsidRPr="00C63180">
          <w:rPr>
            <w:rFonts w:ascii="Times New Roman" w:eastAsia="Times New Roman" w:hAnsi="Times New Roman" w:cs="Times New Roman"/>
            <w:color w:val="1155CC"/>
            <w:u w:val="single"/>
          </w:rPr>
          <w:t>https://www.ppic.org/publication/californias-prison-population/</w:t>
        </w:r>
      </w:hyperlink>
      <w:r w:rsidRPr="00C63180">
        <w:rPr>
          <w:rFonts w:ascii="Times New Roman" w:eastAsia="Times New Roman" w:hAnsi="Times New Roman" w:cs="Times New Roman"/>
        </w:rPr>
        <w:t>. [Accessed 4 January 2020]. </w:t>
      </w:r>
    </w:p>
    <w:p w14:paraId="5C3630A1" w14:textId="77777777" w:rsidR="00B84936" w:rsidRPr="00C63180" w:rsidRDefault="00B84936">
      <w:pPr>
        <w:spacing w:line="276" w:lineRule="auto"/>
        <w:rPr>
          <w:rFonts w:ascii="Times New Roman" w:eastAsia="Times New Roman" w:hAnsi="Times New Roman" w:cs="Times New Roman"/>
        </w:rPr>
      </w:pPr>
    </w:p>
    <w:p w14:paraId="25F46F20"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Purdie</w:t>
      </w:r>
      <w:proofErr w:type="spellEnd"/>
      <w:r w:rsidRPr="00C63180">
        <w:rPr>
          <w:rFonts w:ascii="Times New Roman" w:eastAsia="Times New Roman" w:hAnsi="Times New Roman" w:cs="Times New Roman"/>
        </w:rPr>
        <w:t xml:space="preserve">, C. &amp; </w:t>
      </w:r>
      <w:proofErr w:type="spellStart"/>
      <w:r w:rsidRPr="00C63180">
        <w:rPr>
          <w:rFonts w:ascii="Times New Roman" w:eastAsia="Times New Roman" w:hAnsi="Times New Roman" w:cs="Times New Roman"/>
        </w:rPr>
        <w:t>Rhollans</w:t>
      </w:r>
      <w:proofErr w:type="spellEnd"/>
      <w:r w:rsidRPr="00C63180">
        <w:rPr>
          <w:rFonts w:ascii="Times New Roman" w:eastAsia="Times New Roman" w:hAnsi="Times New Roman" w:cs="Times New Roman"/>
        </w:rPr>
        <w:t xml:space="preserve">, J. (2016). “Union Communication Guidance: TIPS and FOE,” Society for Human Resource Management, Available online: </w:t>
      </w:r>
      <w:hyperlink r:id="rId103">
        <w:r w:rsidRPr="00C63180">
          <w:rPr>
            <w:rFonts w:ascii="Times New Roman" w:eastAsia="Times New Roman" w:hAnsi="Times New Roman" w:cs="Times New Roman"/>
            <w:color w:val="1155CC"/>
            <w:u w:val="single"/>
          </w:rPr>
          <w:t>https://www.shrm.org/resourcesandtools/hr-topics/labor-relations/pages/tips-foe.aspx</w:t>
        </w:r>
      </w:hyperlink>
      <w:r w:rsidRPr="00C63180">
        <w:rPr>
          <w:rFonts w:ascii="Times New Roman" w:eastAsia="Times New Roman" w:hAnsi="Times New Roman" w:cs="Times New Roman"/>
        </w:rPr>
        <w:t>, [Accessed 18 March 2020].</w:t>
      </w:r>
    </w:p>
    <w:p w14:paraId="2D57E1E9" w14:textId="77777777" w:rsidR="00B84936" w:rsidRPr="00C63180" w:rsidRDefault="00B84936">
      <w:pPr>
        <w:rPr>
          <w:rFonts w:ascii="Times New Roman" w:eastAsia="Times New Roman" w:hAnsi="Times New Roman" w:cs="Times New Roman"/>
        </w:rPr>
      </w:pPr>
    </w:p>
    <w:p w14:paraId="1F8285D5"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Randolph, P. &amp; Ruskin, B. (1967). “A ‘Freedom Budget’ For All Americans,” </w:t>
      </w:r>
      <w:r w:rsidRPr="00C63180">
        <w:rPr>
          <w:rFonts w:ascii="Times New Roman" w:eastAsia="Times New Roman" w:hAnsi="Times New Roman" w:cs="Times New Roman"/>
          <w:i/>
        </w:rPr>
        <w:t>A. Philip Randolph Institute,</w:t>
      </w:r>
      <w:r w:rsidRPr="00C63180">
        <w:rPr>
          <w:rFonts w:ascii="Times New Roman" w:eastAsia="Times New Roman" w:hAnsi="Times New Roman" w:cs="Times New Roman"/>
        </w:rPr>
        <w:t xml:space="preserve"> Available online: </w:t>
      </w:r>
      <w:hyperlink r:id="rId104">
        <w:r w:rsidRPr="00C63180">
          <w:rPr>
            <w:rFonts w:ascii="Times New Roman" w:eastAsia="Times New Roman" w:hAnsi="Times New Roman" w:cs="Times New Roman"/>
            <w:color w:val="1155CC"/>
            <w:u w:val="single"/>
          </w:rPr>
          <w:t>https://www.crmvet.org/docs/6701_freedombudget.pdf</w:t>
        </w:r>
      </w:hyperlink>
      <w:r w:rsidRPr="00C63180">
        <w:rPr>
          <w:rFonts w:ascii="Times New Roman" w:eastAsia="Times New Roman" w:hAnsi="Times New Roman" w:cs="Times New Roman"/>
        </w:rPr>
        <w:t>, [Accessed 3 January 2019]. </w:t>
      </w:r>
    </w:p>
    <w:p w14:paraId="6D54FC37" w14:textId="77777777" w:rsidR="00B84936" w:rsidRPr="00C63180" w:rsidRDefault="00B84936">
      <w:pPr>
        <w:rPr>
          <w:rFonts w:ascii="Times New Roman" w:eastAsia="Times New Roman" w:hAnsi="Times New Roman" w:cs="Times New Roman"/>
        </w:rPr>
      </w:pPr>
    </w:p>
    <w:p w14:paraId="705CC0E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Reich, R. (2019). “Thinking Beyond Trump: A Federal Jobs Guarantee,” </w:t>
      </w:r>
      <w:r w:rsidRPr="00C63180">
        <w:rPr>
          <w:rFonts w:ascii="Times New Roman" w:eastAsia="Times New Roman" w:hAnsi="Times New Roman" w:cs="Times New Roman"/>
          <w:i/>
        </w:rPr>
        <w:t>The Sanders Institute</w:t>
      </w:r>
      <w:r w:rsidRPr="00C63180">
        <w:rPr>
          <w:rFonts w:ascii="Times New Roman" w:eastAsia="Times New Roman" w:hAnsi="Times New Roman" w:cs="Times New Roman"/>
        </w:rPr>
        <w:t xml:space="preserve">, Available online: </w:t>
      </w:r>
      <w:hyperlink r:id="rId105">
        <w:r w:rsidRPr="00C63180">
          <w:rPr>
            <w:rFonts w:ascii="Times New Roman" w:eastAsia="Times New Roman" w:hAnsi="Times New Roman" w:cs="Times New Roman"/>
            <w:color w:val="1155CC"/>
            <w:u w:val="single"/>
          </w:rPr>
          <w:t>www.sandersinstitute.com/blog/beyond-trump-a-federal-jobs-guarantee</w:t>
        </w:r>
      </w:hyperlink>
      <w:r w:rsidRPr="00C63180">
        <w:rPr>
          <w:rFonts w:ascii="Times New Roman" w:eastAsia="Times New Roman" w:hAnsi="Times New Roman" w:cs="Times New Roman"/>
        </w:rPr>
        <w:t>, [Accessed 1 January 2020]. </w:t>
      </w:r>
    </w:p>
    <w:p w14:paraId="3160CEDC" w14:textId="77777777" w:rsidR="00B84936" w:rsidRPr="00C63180" w:rsidRDefault="00B84936">
      <w:pPr>
        <w:rPr>
          <w:rFonts w:ascii="Times New Roman" w:eastAsia="Times New Roman" w:hAnsi="Times New Roman" w:cs="Times New Roman"/>
        </w:rPr>
      </w:pPr>
    </w:p>
    <w:p w14:paraId="69EC9447"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Rodriguez, M.N. (2017). “‘Ban the Box’ is a Fair Chance for Worker with Records,” </w:t>
      </w:r>
      <w:r w:rsidRPr="00C63180">
        <w:rPr>
          <w:rFonts w:ascii="Times New Roman" w:eastAsia="Times New Roman" w:hAnsi="Times New Roman" w:cs="Times New Roman"/>
          <w:i/>
        </w:rPr>
        <w:t>National Employment Law Project</w:t>
      </w:r>
      <w:r w:rsidRPr="00C63180">
        <w:rPr>
          <w:rFonts w:ascii="Times New Roman" w:eastAsia="Times New Roman" w:hAnsi="Times New Roman" w:cs="Times New Roman"/>
        </w:rPr>
        <w:t xml:space="preserve">, Available online: </w:t>
      </w:r>
      <w:hyperlink r:id="rId106">
        <w:r w:rsidRPr="00C63180">
          <w:rPr>
            <w:rFonts w:ascii="Times New Roman" w:eastAsia="Times New Roman" w:hAnsi="Times New Roman" w:cs="Times New Roman"/>
            <w:color w:val="1155CC"/>
            <w:u w:val="single"/>
          </w:rPr>
          <w:t>https://www.nelp.org/publication/ban-box-fair-chance-workers-records/</w:t>
        </w:r>
      </w:hyperlink>
      <w:r w:rsidRPr="00C63180">
        <w:rPr>
          <w:rFonts w:ascii="Times New Roman" w:eastAsia="Times New Roman" w:hAnsi="Times New Roman" w:cs="Times New Roman"/>
        </w:rPr>
        <w:t>, [Accessed 30 December 2019]. </w:t>
      </w:r>
    </w:p>
    <w:p w14:paraId="34015723" w14:textId="77777777" w:rsidR="00B84936" w:rsidRPr="00C63180" w:rsidRDefault="00B84936">
      <w:pPr>
        <w:rPr>
          <w:rFonts w:ascii="Times New Roman" w:eastAsia="Times New Roman" w:hAnsi="Times New Roman" w:cs="Times New Roman"/>
        </w:rPr>
      </w:pPr>
    </w:p>
    <w:p w14:paraId="3278B068"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lastRenderedPageBreak/>
        <w:t xml:space="preserve">Rogers, B., Diamond, P., van </w:t>
      </w:r>
      <w:proofErr w:type="spellStart"/>
      <w:r w:rsidRPr="00C63180">
        <w:rPr>
          <w:rFonts w:ascii="Times New Roman" w:eastAsia="Times New Roman" w:hAnsi="Times New Roman" w:cs="Times New Roman"/>
        </w:rPr>
        <w:t>Parijs</w:t>
      </w:r>
      <w:proofErr w:type="spellEnd"/>
      <w:r w:rsidRPr="00C63180">
        <w:rPr>
          <w:rFonts w:ascii="Times New Roman" w:eastAsia="Times New Roman" w:hAnsi="Times New Roman" w:cs="Times New Roman"/>
        </w:rPr>
        <w:t xml:space="preserve">, P., Warren, D., Shelby, T., &amp; Coyle, D. (2017). </w:t>
      </w:r>
      <w:r w:rsidRPr="00C63180">
        <w:rPr>
          <w:rFonts w:ascii="Times New Roman" w:eastAsia="Times New Roman" w:hAnsi="Times New Roman" w:cs="Times New Roman"/>
          <w:i/>
        </w:rPr>
        <w:t>Work Inequality Basic Income</w:t>
      </w:r>
      <w:r w:rsidRPr="00C63180">
        <w:rPr>
          <w:rFonts w:ascii="Times New Roman" w:eastAsia="Times New Roman" w:hAnsi="Times New Roman" w:cs="Times New Roman"/>
        </w:rPr>
        <w:t>,</w:t>
      </w:r>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Boston: Boston Review. </w:t>
      </w:r>
    </w:p>
    <w:p w14:paraId="5B1465B0" w14:textId="77777777" w:rsidR="00B84936" w:rsidRPr="00C63180" w:rsidRDefault="00B84936">
      <w:pPr>
        <w:rPr>
          <w:rFonts w:ascii="Times New Roman" w:eastAsia="Times New Roman" w:hAnsi="Times New Roman" w:cs="Times New Roman"/>
        </w:rPr>
      </w:pPr>
    </w:p>
    <w:p w14:paraId="388DFDF5"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Rosenberg, T. (2019). “No Background Check, Drug Test or Credit Check. You’re Hired</w:t>
      </w:r>
      <w:proofErr w:type="gramStart"/>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The New York Times</w:t>
      </w:r>
      <w:r w:rsidRPr="00C63180">
        <w:rPr>
          <w:rFonts w:ascii="Times New Roman" w:eastAsia="Times New Roman" w:hAnsi="Times New Roman" w:cs="Times New Roman"/>
        </w:rPr>
        <w:t xml:space="preserve">, Available online: </w:t>
      </w:r>
      <w:hyperlink r:id="rId107">
        <w:r w:rsidRPr="00C63180">
          <w:rPr>
            <w:rFonts w:ascii="Times New Roman" w:eastAsia="Times New Roman" w:hAnsi="Times New Roman" w:cs="Times New Roman"/>
            <w:color w:val="1155CC"/>
            <w:u w:val="single"/>
          </w:rPr>
          <w:t>https://www.nytimes.com/2019/05/29/opinion/greyston-bakery-open-hiring.html</w:t>
        </w:r>
      </w:hyperlink>
      <w:r w:rsidRPr="00C63180">
        <w:rPr>
          <w:rFonts w:ascii="Times New Roman" w:eastAsia="Times New Roman" w:hAnsi="Times New Roman" w:cs="Times New Roman"/>
        </w:rPr>
        <w:t>, [Accessed 30 December 2019]. </w:t>
      </w:r>
    </w:p>
    <w:p w14:paraId="3A5484DC" w14:textId="77777777" w:rsidR="00B84936" w:rsidRPr="00C63180" w:rsidRDefault="00B84936">
      <w:pPr>
        <w:spacing w:line="276" w:lineRule="auto"/>
        <w:rPr>
          <w:rFonts w:ascii="Times New Roman" w:eastAsia="Times New Roman" w:hAnsi="Times New Roman" w:cs="Times New Roman"/>
        </w:rPr>
      </w:pPr>
    </w:p>
    <w:p w14:paraId="5779B221"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Roser</w:t>
      </w:r>
      <w:proofErr w:type="spellEnd"/>
      <w:r w:rsidRPr="00C63180">
        <w:rPr>
          <w:rFonts w:ascii="Times New Roman" w:eastAsia="Times New Roman" w:hAnsi="Times New Roman" w:cs="Times New Roman"/>
        </w:rPr>
        <w:t>, M. &amp; Ortiz-</w:t>
      </w:r>
      <w:proofErr w:type="spellStart"/>
      <w:r w:rsidRPr="00C63180">
        <w:rPr>
          <w:rFonts w:ascii="Times New Roman" w:eastAsia="Times New Roman" w:hAnsi="Times New Roman" w:cs="Times New Roman"/>
        </w:rPr>
        <w:t>Ospina</w:t>
      </w:r>
      <w:proofErr w:type="spellEnd"/>
      <w:r w:rsidRPr="00C63180">
        <w:rPr>
          <w:rFonts w:ascii="Times New Roman" w:eastAsia="Times New Roman" w:hAnsi="Times New Roman" w:cs="Times New Roman"/>
        </w:rPr>
        <w:t>, E. (2016).</w:t>
      </w:r>
      <w:proofErr w:type="gramEnd"/>
      <w:r w:rsidRPr="00C63180">
        <w:rPr>
          <w:rFonts w:ascii="Times New Roman" w:eastAsia="Times New Roman" w:hAnsi="Times New Roman" w:cs="Times New Roman"/>
        </w:rPr>
        <w:t xml:space="preserve"> Income Inequality. </w:t>
      </w:r>
      <w:proofErr w:type="gramStart"/>
      <w:r w:rsidRPr="00C63180">
        <w:rPr>
          <w:rFonts w:ascii="Times New Roman" w:eastAsia="Times New Roman" w:hAnsi="Times New Roman" w:cs="Times New Roman"/>
          <w:i/>
        </w:rPr>
        <w:t>Our World in Data</w:t>
      </w:r>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Oxford Martin School, University of Oxford. Available online: </w:t>
      </w:r>
      <w:hyperlink r:id="rId108">
        <w:r w:rsidRPr="00C63180">
          <w:rPr>
            <w:rFonts w:ascii="Times New Roman" w:eastAsia="Times New Roman" w:hAnsi="Times New Roman" w:cs="Times New Roman"/>
            <w:color w:val="1155CC"/>
            <w:u w:val="single"/>
          </w:rPr>
          <w:t>https://ourworldindata.org/income-inequality</w:t>
        </w:r>
      </w:hyperlink>
      <w:r w:rsidRPr="00C63180">
        <w:rPr>
          <w:rFonts w:ascii="Times New Roman" w:eastAsia="Times New Roman" w:hAnsi="Times New Roman" w:cs="Times New Roman"/>
        </w:rPr>
        <w:t>, [Accessed 22 March 2020].</w:t>
      </w:r>
    </w:p>
    <w:p w14:paraId="72B37D64" w14:textId="77777777" w:rsidR="00B84936" w:rsidRPr="00C63180" w:rsidRDefault="00B84936">
      <w:pPr>
        <w:spacing w:line="276" w:lineRule="auto"/>
        <w:rPr>
          <w:rFonts w:ascii="Times New Roman" w:eastAsia="Times New Roman" w:hAnsi="Times New Roman" w:cs="Times New Roman"/>
        </w:rPr>
      </w:pPr>
    </w:p>
    <w:p w14:paraId="6ADE6AA0"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Saez</w:t>
      </w:r>
      <w:proofErr w:type="spellEnd"/>
      <w:r w:rsidRPr="00C63180">
        <w:rPr>
          <w:rFonts w:ascii="Times New Roman" w:eastAsia="Times New Roman" w:hAnsi="Times New Roman" w:cs="Times New Roman"/>
        </w:rPr>
        <w:t>, E. (2017).</w:t>
      </w:r>
      <w:proofErr w:type="gramEnd"/>
      <w:r w:rsidRPr="00C63180">
        <w:rPr>
          <w:rFonts w:ascii="Times New Roman" w:eastAsia="Times New Roman" w:hAnsi="Times New Roman" w:cs="Times New Roman"/>
        </w:rPr>
        <w:t xml:space="preserve"> “Income and Wealth Inequality: Evidence and Policy Implications,” </w:t>
      </w:r>
      <w:r w:rsidRPr="00C63180">
        <w:rPr>
          <w:rFonts w:ascii="Times New Roman" w:eastAsia="Times New Roman" w:hAnsi="Times New Roman" w:cs="Times New Roman"/>
          <w:i/>
        </w:rPr>
        <w:t>Contemporary Economic Policy</w:t>
      </w:r>
      <w:r w:rsidRPr="00C63180">
        <w:rPr>
          <w:rFonts w:ascii="Times New Roman" w:eastAsia="Times New Roman" w:hAnsi="Times New Roman" w:cs="Times New Roman"/>
        </w:rPr>
        <w:t xml:space="preserve">, Vol. 35, No. 1. Available online: </w:t>
      </w:r>
      <w:hyperlink r:id="rId109">
        <w:r w:rsidRPr="00C63180">
          <w:rPr>
            <w:rFonts w:ascii="Times New Roman" w:eastAsia="Times New Roman" w:hAnsi="Times New Roman" w:cs="Times New Roman"/>
            <w:color w:val="1155CC"/>
            <w:u w:val="single"/>
          </w:rPr>
          <w:t>https://eml.berkeley.edu/~saez/SaezCEP2017.pdf</w:t>
        </w:r>
      </w:hyperlink>
      <w:r w:rsidRPr="00C63180">
        <w:rPr>
          <w:rFonts w:ascii="Times New Roman" w:eastAsia="Times New Roman" w:hAnsi="Times New Roman" w:cs="Times New Roman"/>
        </w:rPr>
        <w:t xml:space="preserve">, [Accessed 27 January 2020]. </w:t>
      </w:r>
    </w:p>
    <w:p w14:paraId="71AD5B5B" w14:textId="77777777" w:rsidR="00B84936" w:rsidRPr="00C63180" w:rsidRDefault="00B84936">
      <w:pPr>
        <w:spacing w:line="276" w:lineRule="auto"/>
        <w:rPr>
          <w:rFonts w:ascii="Times New Roman" w:eastAsia="Times New Roman" w:hAnsi="Times New Roman" w:cs="Times New Roman"/>
        </w:rPr>
      </w:pPr>
    </w:p>
    <w:p w14:paraId="2296AD2B"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Saez</w:t>
      </w:r>
      <w:proofErr w:type="spellEnd"/>
      <w:r w:rsidRPr="00C63180">
        <w:rPr>
          <w:rFonts w:ascii="Times New Roman" w:eastAsia="Times New Roman" w:hAnsi="Times New Roman" w:cs="Times New Roman"/>
        </w:rPr>
        <w:t xml:space="preserve">, E. &amp; </w:t>
      </w:r>
      <w:proofErr w:type="spellStart"/>
      <w:r w:rsidRPr="00C63180">
        <w:rPr>
          <w:rFonts w:ascii="Times New Roman" w:eastAsia="Times New Roman" w:hAnsi="Times New Roman" w:cs="Times New Roman"/>
        </w:rPr>
        <w:t>Zucman</w:t>
      </w:r>
      <w:proofErr w:type="spellEnd"/>
      <w:r w:rsidRPr="00C63180">
        <w:rPr>
          <w:rFonts w:ascii="Times New Roman" w:eastAsia="Times New Roman" w:hAnsi="Times New Roman" w:cs="Times New Roman"/>
        </w:rPr>
        <w:t xml:space="preserve">, G. (2014). “Wealth Inequality in the United States since 1913: Evidence from Capitalized Income Tax Data.” </w:t>
      </w:r>
      <w:proofErr w:type="gramStart"/>
      <w:r w:rsidRPr="00C63180">
        <w:rPr>
          <w:rFonts w:ascii="Times New Roman" w:eastAsia="Times New Roman" w:hAnsi="Times New Roman" w:cs="Times New Roman"/>
          <w:i/>
        </w:rPr>
        <w:t>National Bureau of Economic Research</w:t>
      </w:r>
      <w:r w:rsidRPr="00C63180">
        <w:rPr>
          <w:rFonts w:ascii="Times New Roman" w:eastAsia="Times New Roman" w:hAnsi="Times New Roman" w:cs="Times New Roman"/>
        </w:rPr>
        <w:t>.</w:t>
      </w:r>
      <w:proofErr w:type="gramEnd"/>
      <w:r w:rsidRPr="00C63180">
        <w:rPr>
          <w:rFonts w:ascii="Times New Roman" w:eastAsia="Times New Roman" w:hAnsi="Times New Roman" w:cs="Times New Roman"/>
        </w:rPr>
        <w:t xml:space="preserve"> Working Paper 20625, Available online: </w:t>
      </w:r>
      <w:hyperlink r:id="rId110">
        <w:r w:rsidRPr="00C63180">
          <w:rPr>
            <w:rFonts w:ascii="Times New Roman" w:eastAsia="Times New Roman" w:hAnsi="Times New Roman" w:cs="Times New Roman"/>
            <w:color w:val="1155CC"/>
            <w:u w:val="single"/>
          </w:rPr>
          <w:t>http://gabriel-zucman.eu/files/SaezZucman2014.pdf</w:t>
        </w:r>
      </w:hyperlink>
      <w:r w:rsidRPr="00C63180">
        <w:rPr>
          <w:rFonts w:ascii="Times New Roman" w:eastAsia="Times New Roman" w:hAnsi="Times New Roman" w:cs="Times New Roman"/>
        </w:rPr>
        <w:t>,  [Accessed 20 January 2020].</w:t>
      </w:r>
    </w:p>
    <w:p w14:paraId="097E0EE2" w14:textId="77777777" w:rsidR="00B84936" w:rsidRPr="00C63180" w:rsidRDefault="00B84936">
      <w:pPr>
        <w:spacing w:line="276" w:lineRule="auto"/>
        <w:rPr>
          <w:rFonts w:ascii="Times New Roman" w:eastAsia="Times New Roman" w:hAnsi="Times New Roman" w:cs="Times New Roman"/>
        </w:rPr>
      </w:pPr>
    </w:p>
    <w:p w14:paraId="440DB9C9"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Sanders, B. (2019a).</w:t>
      </w:r>
      <w:proofErr w:type="gramEnd"/>
      <w:r w:rsidRPr="00C63180">
        <w:rPr>
          <w:rFonts w:ascii="Times New Roman" w:eastAsia="Times New Roman" w:hAnsi="Times New Roman" w:cs="Times New Roman"/>
        </w:rPr>
        <w:t xml:space="preserve"> “Healthcare as a Human Rights - Medicare for All,” </w:t>
      </w:r>
      <w:r w:rsidRPr="00C63180">
        <w:rPr>
          <w:rFonts w:ascii="Times New Roman" w:eastAsia="Times New Roman" w:hAnsi="Times New Roman" w:cs="Times New Roman"/>
          <w:i/>
        </w:rPr>
        <w:t>Bernie 2020</w:t>
      </w:r>
      <w:r w:rsidRPr="00C63180">
        <w:rPr>
          <w:rFonts w:ascii="Times New Roman" w:eastAsia="Times New Roman" w:hAnsi="Times New Roman" w:cs="Times New Roman"/>
        </w:rPr>
        <w:t xml:space="preserve">, Available online: </w:t>
      </w:r>
      <w:hyperlink r:id="rId111">
        <w:r w:rsidRPr="00C63180">
          <w:rPr>
            <w:rFonts w:ascii="Times New Roman" w:eastAsia="Times New Roman" w:hAnsi="Times New Roman" w:cs="Times New Roman"/>
            <w:color w:val="1155CC"/>
            <w:u w:val="single"/>
          </w:rPr>
          <w:t>https://berniesanders.com/issues/medicare-for-all/</w:t>
        </w:r>
      </w:hyperlink>
      <w:r w:rsidRPr="00C63180">
        <w:rPr>
          <w:rFonts w:ascii="Times New Roman" w:eastAsia="Times New Roman" w:hAnsi="Times New Roman" w:cs="Times New Roman"/>
        </w:rPr>
        <w:t>, [Accessed 18 March 2020].</w:t>
      </w:r>
    </w:p>
    <w:p w14:paraId="5D9D2B03" w14:textId="77777777" w:rsidR="00B84936" w:rsidRPr="00C63180" w:rsidRDefault="00B84936">
      <w:pPr>
        <w:rPr>
          <w:rFonts w:ascii="Times New Roman" w:eastAsia="Times New Roman" w:hAnsi="Times New Roman" w:cs="Times New Roman"/>
        </w:rPr>
      </w:pPr>
    </w:p>
    <w:p w14:paraId="7187E781"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Sanders, B. (2019a).</w:t>
      </w:r>
      <w:proofErr w:type="gramEnd"/>
      <w:r w:rsidRPr="00C63180">
        <w:rPr>
          <w:rFonts w:ascii="Times New Roman" w:eastAsia="Times New Roman" w:hAnsi="Times New Roman" w:cs="Times New Roman"/>
        </w:rPr>
        <w:t xml:space="preserve"> “Jobs and an Economy for All,” </w:t>
      </w:r>
      <w:r w:rsidRPr="00C63180">
        <w:rPr>
          <w:rFonts w:ascii="Times New Roman" w:eastAsia="Times New Roman" w:hAnsi="Times New Roman" w:cs="Times New Roman"/>
          <w:i/>
        </w:rPr>
        <w:t>Bernie 2020</w:t>
      </w:r>
      <w:r w:rsidRPr="00C63180">
        <w:rPr>
          <w:rFonts w:ascii="Times New Roman" w:eastAsia="Times New Roman" w:hAnsi="Times New Roman" w:cs="Times New Roman"/>
        </w:rPr>
        <w:t xml:space="preserve">, Available online: </w:t>
      </w:r>
      <w:hyperlink r:id="rId112">
        <w:r w:rsidRPr="00C63180">
          <w:rPr>
            <w:rFonts w:ascii="Times New Roman" w:eastAsia="Times New Roman" w:hAnsi="Times New Roman" w:cs="Times New Roman"/>
            <w:color w:val="0000FF"/>
            <w:u w:val="single"/>
          </w:rPr>
          <w:t>https://berniesanders.com/issues/jobs-for-all/</w:t>
        </w:r>
      </w:hyperlink>
      <w:r w:rsidRPr="00C63180">
        <w:rPr>
          <w:rFonts w:ascii="Times New Roman" w:eastAsia="Times New Roman" w:hAnsi="Times New Roman" w:cs="Times New Roman"/>
        </w:rPr>
        <w:t xml:space="preserve">, [Accessed 11 January 2020]. </w:t>
      </w:r>
    </w:p>
    <w:p w14:paraId="05C942C4" w14:textId="77777777" w:rsidR="00B84936" w:rsidRPr="00C63180" w:rsidRDefault="00B84936">
      <w:pPr>
        <w:spacing w:line="276" w:lineRule="auto"/>
        <w:rPr>
          <w:rFonts w:ascii="Times New Roman" w:eastAsia="Times New Roman" w:hAnsi="Times New Roman" w:cs="Times New Roman"/>
        </w:rPr>
      </w:pPr>
    </w:p>
    <w:p w14:paraId="15131945"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Sanders, B. (2019b).</w:t>
      </w:r>
      <w:proofErr w:type="gramEnd"/>
      <w:r w:rsidRPr="00C63180">
        <w:rPr>
          <w:rFonts w:ascii="Times New Roman" w:eastAsia="Times New Roman" w:hAnsi="Times New Roman" w:cs="Times New Roman"/>
        </w:rPr>
        <w:t xml:space="preserve"> “The Workplace Democracy Plan,” </w:t>
      </w:r>
      <w:r w:rsidRPr="00C63180">
        <w:rPr>
          <w:rFonts w:ascii="Times New Roman" w:eastAsia="Times New Roman" w:hAnsi="Times New Roman" w:cs="Times New Roman"/>
          <w:i/>
        </w:rPr>
        <w:t>Bernie 2020</w:t>
      </w:r>
      <w:r w:rsidRPr="00C63180">
        <w:rPr>
          <w:rFonts w:ascii="Times New Roman" w:eastAsia="Times New Roman" w:hAnsi="Times New Roman" w:cs="Times New Roman"/>
        </w:rPr>
        <w:t xml:space="preserve">, Available online: </w:t>
      </w:r>
      <w:hyperlink r:id="rId113">
        <w:r w:rsidRPr="00C63180">
          <w:rPr>
            <w:rFonts w:ascii="Times New Roman" w:eastAsia="Times New Roman" w:hAnsi="Times New Roman" w:cs="Times New Roman"/>
            <w:color w:val="1155CC"/>
            <w:u w:val="single"/>
          </w:rPr>
          <w:t>https://berniesanders.com/issues/workplace-democracy/</w:t>
        </w:r>
      </w:hyperlink>
      <w:r w:rsidRPr="00C63180">
        <w:rPr>
          <w:rFonts w:ascii="Times New Roman" w:eastAsia="Times New Roman" w:hAnsi="Times New Roman" w:cs="Times New Roman"/>
        </w:rPr>
        <w:t>, [Accessed 23 January 2020].</w:t>
      </w:r>
    </w:p>
    <w:p w14:paraId="18BD2B29" w14:textId="77777777" w:rsidR="00B84936" w:rsidRPr="00C63180" w:rsidRDefault="00B84936">
      <w:pPr>
        <w:rPr>
          <w:rFonts w:ascii="Times New Roman" w:eastAsia="Times New Roman" w:hAnsi="Times New Roman" w:cs="Times New Roman"/>
        </w:rPr>
      </w:pPr>
    </w:p>
    <w:p w14:paraId="2C2D7520"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Saunders, M., &amp; Lewis, P. (2012).</w:t>
      </w:r>
      <w:proofErr w:type="gram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Doing Research in Business &amp; Management</w:t>
      </w:r>
      <w:r w:rsidRPr="00C63180">
        <w:rPr>
          <w:rFonts w:ascii="Times New Roman" w:eastAsia="Times New Roman" w:hAnsi="Times New Roman" w:cs="Times New Roman"/>
        </w:rPr>
        <w:t>, Harlow: Pearson Education Limited.</w:t>
      </w:r>
    </w:p>
    <w:p w14:paraId="66F30D10" w14:textId="77777777" w:rsidR="00B84936" w:rsidRPr="00C63180" w:rsidRDefault="00B84936">
      <w:pPr>
        <w:spacing w:line="276" w:lineRule="auto"/>
        <w:rPr>
          <w:rFonts w:ascii="Times New Roman" w:eastAsia="Times New Roman" w:hAnsi="Times New Roman" w:cs="Times New Roman"/>
        </w:rPr>
      </w:pPr>
    </w:p>
    <w:p w14:paraId="154900BF"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Sidler</w:t>
      </w:r>
      <w:proofErr w:type="spellEnd"/>
      <w:r w:rsidRPr="00C63180">
        <w:rPr>
          <w:rFonts w:ascii="Times New Roman" w:eastAsia="Times New Roman" w:hAnsi="Times New Roman" w:cs="Times New Roman"/>
        </w:rPr>
        <w:t>, M. (1997).</w:t>
      </w:r>
      <w:proofErr w:type="gramEnd"/>
      <w:r w:rsidRPr="00C63180">
        <w:rPr>
          <w:rFonts w:ascii="Times New Roman" w:eastAsia="Times New Roman" w:hAnsi="Times New Roman" w:cs="Times New Roman"/>
        </w:rPr>
        <w:t xml:space="preserve"> “Living in </w:t>
      </w:r>
      <w:proofErr w:type="spellStart"/>
      <w:r w:rsidRPr="00C63180">
        <w:rPr>
          <w:rFonts w:ascii="Times New Roman" w:eastAsia="Times New Roman" w:hAnsi="Times New Roman" w:cs="Times New Roman"/>
        </w:rPr>
        <w:t>McJobdom</w:t>
      </w:r>
      <w:proofErr w:type="spellEnd"/>
      <w:r w:rsidRPr="00C63180">
        <w:rPr>
          <w:rFonts w:ascii="Times New Roman" w:eastAsia="Times New Roman" w:hAnsi="Times New Roman" w:cs="Times New Roman"/>
        </w:rPr>
        <w:t xml:space="preserve">: Third Wave Feminism and Class Inequality,” in Heywood, L &amp; Drake, J. (Ed.) </w:t>
      </w:r>
      <w:r w:rsidRPr="00C63180">
        <w:rPr>
          <w:rFonts w:ascii="Times New Roman" w:eastAsia="Times New Roman" w:hAnsi="Times New Roman" w:cs="Times New Roman"/>
          <w:i/>
        </w:rPr>
        <w:t>Third Wave Agenda: Being Feminist, Doing Feminism</w:t>
      </w:r>
      <w:r w:rsidRPr="00C63180">
        <w:rPr>
          <w:rFonts w:ascii="Times New Roman" w:eastAsia="Times New Roman" w:hAnsi="Times New Roman" w:cs="Times New Roman"/>
        </w:rPr>
        <w:t xml:space="preserve">. Minneapolis: University of Minnesota Press. </w:t>
      </w:r>
    </w:p>
    <w:p w14:paraId="0D3CEA3C" w14:textId="77777777" w:rsidR="00861DF6" w:rsidRPr="00C63180" w:rsidRDefault="00861DF6" w:rsidP="00861DF6">
      <w:pPr>
        <w:ind w:left="720" w:hanging="720"/>
        <w:rPr>
          <w:rFonts w:ascii="Times New Roman" w:eastAsia="Times New Roman" w:hAnsi="Times New Roman" w:cs="Times New Roman"/>
        </w:rPr>
      </w:pPr>
    </w:p>
    <w:p w14:paraId="2CAE6260" w14:textId="77777777" w:rsidR="00B84936" w:rsidRPr="00C63180" w:rsidRDefault="001D1521" w:rsidP="00861DF6">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Simien</w:t>
      </w:r>
      <w:proofErr w:type="spellEnd"/>
      <w:r w:rsidRPr="00C63180">
        <w:rPr>
          <w:rFonts w:ascii="Times New Roman" w:eastAsia="Times New Roman" w:hAnsi="Times New Roman" w:cs="Times New Roman"/>
        </w:rPr>
        <w:t>, E. (2007).</w:t>
      </w:r>
      <w:proofErr w:type="gramEnd"/>
      <w:r w:rsidRPr="00C63180">
        <w:rPr>
          <w:rFonts w:ascii="Times New Roman" w:eastAsia="Times New Roman" w:hAnsi="Times New Roman" w:cs="Times New Roman"/>
        </w:rPr>
        <w:t xml:space="preserve"> “Doing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Research: From Conceptual Issues to Practical Examples,” </w:t>
      </w:r>
      <w:r w:rsidRPr="00C63180">
        <w:rPr>
          <w:rFonts w:ascii="Times New Roman" w:eastAsia="Times New Roman" w:hAnsi="Times New Roman" w:cs="Times New Roman"/>
          <w:i/>
        </w:rPr>
        <w:t>Politics &amp; Gender</w:t>
      </w:r>
      <w:r w:rsidRPr="00C63180">
        <w:rPr>
          <w:rFonts w:ascii="Times New Roman" w:eastAsia="Times New Roman" w:hAnsi="Times New Roman" w:cs="Times New Roman"/>
        </w:rPr>
        <w:t xml:space="preserve">, Vol. 3, pp. 264-271, Available online: </w:t>
      </w:r>
      <w:hyperlink r:id="rId114">
        <w:r w:rsidRPr="00C63180">
          <w:rPr>
            <w:rFonts w:ascii="Times New Roman" w:eastAsia="Times New Roman" w:hAnsi="Times New Roman" w:cs="Times New Roman"/>
            <w:color w:val="0000FF"/>
            <w:u w:val="single"/>
          </w:rPr>
          <w:t>https://doi.org/10.1017/S1743923X07000086</w:t>
        </w:r>
      </w:hyperlink>
      <w:r w:rsidRPr="00C63180">
        <w:rPr>
          <w:rFonts w:ascii="Times New Roman" w:eastAsia="Times New Roman" w:hAnsi="Times New Roman" w:cs="Times New Roman"/>
        </w:rPr>
        <w:t>, [Accessed 2 January 2020].</w:t>
      </w:r>
    </w:p>
    <w:p w14:paraId="74F2BE36" w14:textId="77777777" w:rsidR="00861DF6" w:rsidRPr="00C63180" w:rsidRDefault="00861DF6" w:rsidP="00861DF6">
      <w:pPr>
        <w:ind w:left="720" w:hanging="720"/>
        <w:rPr>
          <w:rFonts w:ascii="Times New Roman" w:eastAsia="Times New Roman" w:hAnsi="Times New Roman" w:cs="Times New Roman"/>
        </w:rPr>
      </w:pPr>
    </w:p>
    <w:p w14:paraId="3900BF30"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Slack. (2019). “Diversity at Slack. Slack 2019 Diversity and Inclusion Annual Report,” </w:t>
      </w:r>
      <w:r w:rsidRPr="00C63180">
        <w:rPr>
          <w:rFonts w:ascii="Times New Roman" w:eastAsia="Times New Roman" w:hAnsi="Times New Roman" w:cs="Times New Roman"/>
          <w:i/>
        </w:rPr>
        <w:t>Slack Blog</w:t>
      </w:r>
      <w:r w:rsidRPr="00C63180">
        <w:rPr>
          <w:rFonts w:ascii="Times New Roman" w:eastAsia="Times New Roman" w:hAnsi="Times New Roman" w:cs="Times New Roman"/>
        </w:rPr>
        <w:t xml:space="preserve">, Available online: </w:t>
      </w:r>
      <w:hyperlink r:id="rId115">
        <w:r w:rsidRPr="00C63180">
          <w:rPr>
            <w:rFonts w:ascii="Times New Roman" w:eastAsia="Times New Roman" w:hAnsi="Times New Roman" w:cs="Times New Roman"/>
            <w:color w:val="1155CC"/>
            <w:u w:val="single"/>
          </w:rPr>
          <w:t>https://slackhq.com/diversity-at-slack-2019</w:t>
        </w:r>
      </w:hyperlink>
      <w:r w:rsidRPr="00C63180">
        <w:rPr>
          <w:rFonts w:ascii="Times New Roman" w:eastAsia="Times New Roman" w:hAnsi="Times New Roman" w:cs="Times New Roman"/>
        </w:rPr>
        <w:t>, [Accessed 21 December 2019].</w:t>
      </w:r>
    </w:p>
    <w:p w14:paraId="6CB364C2" w14:textId="77777777" w:rsidR="00B84936" w:rsidRPr="00C63180" w:rsidRDefault="00B84936">
      <w:pPr>
        <w:rPr>
          <w:rFonts w:ascii="Times New Roman" w:eastAsia="Times New Roman" w:hAnsi="Times New Roman" w:cs="Times New Roman"/>
        </w:rPr>
      </w:pPr>
    </w:p>
    <w:p w14:paraId="392D5BE4"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Slack. (2019). “The Next Chapter: Bringing Formerly Incarcerated Individuals into Tech,” </w:t>
      </w:r>
      <w:r w:rsidRPr="00C63180">
        <w:rPr>
          <w:rFonts w:ascii="Times New Roman" w:eastAsia="Times New Roman" w:hAnsi="Times New Roman" w:cs="Times New Roman"/>
          <w:i/>
        </w:rPr>
        <w:t>Slack Frontiers. Bloomberg Markets and Finance</w:t>
      </w:r>
      <w:r w:rsidRPr="00C63180">
        <w:rPr>
          <w:rFonts w:ascii="Times New Roman" w:eastAsia="Times New Roman" w:hAnsi="Times New Roman" w:cs="Times New Roman"/>
        </w:rPr>
        <w:t>,</w:t>
      </w:r>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 xml:space="preserve">Available online: </w:t>
      </w:r>
      <w:hyperlink r:id="rId116">
        <w:r w:rsidRPr="00C63180">
          <w:rPr>
            <w:rFonts w:ascii="Times New Roman" w:eastAsia="Times New Roman" w:hAnsi="Times New Roman" w:cs="Times New Roman"/>
            <w:color w:val="1155CC"/>
            <w:u w:val="single"/>
          </w:rPr>
          <w:t>https://www.youtube.com/watch?v=buaZCXiwE5o</w:t>
        </w:r>
      </w:hyperlink>
      <w:r w:rsidRPr="00C63180">
        <w:rPr>
          <w:rFonts w:ascii="Times New Roman" w:eastAsia="Times New Roman" w:hAnsi="Times New Roman" w:cs="Times New Roman"/>
        </w:rPr>
        <w:t>, [Accessed 20 December 2019].</w:t>
      </w:r>
    </w:p>
    <w:p w14:paraId="1C2B0595" w14:textId="77777777" w:rsidR="00B84936" w:rsidRPr="00C63180" w:rsidRDefault="00B84936">
      <w:pPr>
        <w:rPr>
          <w:rFonts w:ascii="Times New Roman" w:eastAsia="Times New Roman" w:hAnsi="Times New Roman" w:cs="Times New Roman"/>
        </w:rPr>
      </w:pPr>
    </w:p>
    <w:p w14:paraId="3981F11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Slack. (2019). “The Next Chapter Program: A Collaboration for Impact,” </w:t>
      </w:r>
      <w:r w:rsidRPr="00C63180">
        <w:rPr>
          <w:rFonts w:ascii="Times New Roman" w:eastAsia="Times New Roman" w:hAnsi="Times New Roman" w:cs="Times New Roman"/>
          <w:i/>
        </w:rPr>
        <w:t>Slack Blog,</w:t>
      </w:r>
      <w:r w:rsidRPr="00C63180">
        <w:rPr>
          <w:rFonts w:ascii="Times New Roman" w:eastAsia="Times New Roman" w:hAnsi="Times New Roman" w:cs="Times New Roman"/>
        </w:rPr>
        <w:t xml:space="preserve"> Available online: </w:t>
      </w:r>
      <w:hyperlink r:id="rId117">
        <w:r w:rsidRPr="00C63180">
          <w:rPr>
            <w:rFonts w:ascii="Times New Roman" w:eastAsia="Times New Roman" w:hAnsi="Times New Roman" w:cs="Times New Roman"/>
            <w:color w:val="1155CC"/>
            <w:u w:val="single"/>
          </w:rPr>
          <w:t>https://slackhq.com/the-next-chapter-program-a-collaboration-for-impact</w:t>
        </w:r>
      </w:hyperlink>
      <w:r w:rsidRPr="00C63180">
        <w:rPr>
          <w:rFonts w:ascii="Times New Roman" w:eastAsia="Times New Roman" w:hAnsi="Times New Roman" w:cs="Times New Roman"/>
        </w:rPr>
        <w:t>, [Accessed 21 December 2019]. </w:t>
      </w:r>
    </w:p>
    <w:p w14:paraId="490B79B1" w14:textId="77777777" w:rsidR="00B84936" w:rsidRPr="00C63180" w:rsidRDefault="00B84936">
      <w:pPr>
        <w:spacing w:line="276" w:lineRule="auto"/>
        <w:rPr>
          <w:rFonts w:ascii="Times New Roman" w:eastAsia="Times New Roman" w:hAnsi="Times New Roman" w:cs="Times New Roman"/>
        </w:rPr>
      </w:pPr>
    </w:p>
    <w:p w14:paraId="58484FD2"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Smith, A. (2018). “Revocation of ‘Persuader Rule’ May Aid Union Avoidance,” </w:t>
      </w:r>
      <w:r w:rsidRPr="00C63180">
        <w:rPr>
          <w:rFonts w:ascii="Times New Roman" w:eastAsia="Times New Roman" w:hAnsi="Times New Roman" w:cs="Times New Roman"/>
          <w:i/>
        </w:rPr>
        <w:t>Society for Human Resource Management (SHRM)</w:t>
      </w:r>
      <w:r w:rsidRPr="00C63180">
        <w:rPr>
          <w:rFonts w:ascii="Times New Roman" w:eastAsia="Times New Roman" w:hAnsi="Times New Roman" w:cs="Times New Roman"/>
        </w:rPr>
        <w:t xml:space="preserve">, Available online: </w:t>
      </w:r>
      <w:hyperlink r:id="rId118">
        <w:r w:rsidRPr="00C63180">
          <w:rPr>
            <w:rFonts w:ascii="Times New Roman" w:eastAsia="Times New Roman" w:hAnsi="Times New Roman" w:cs="Times New Roman"/>
            <w:color w:val="1155CC"/>
            <w:u w:val="single"/>
          </w:rPr>
          <w:t>https://www.shrm.org/resourcesandtools/legal-and-compliance/employment-law/pages/in-focus-persuader-rule-rescinded.aspx</w:t>
        </w:r>
      </w:hyperlink>
      <w:r w:rsidRPr="00C63180">
        <w:rPr>
          <w:rFonts w:ascii="Times New Roman" w:eastAsia="Times New Roman" w:hAnsi="Times New Roman" w:cs="Times New Roman"/>
        </w:rPr>
        <w:t>, [Accessed 10 February 2020].</w:t>
      </w:r>
    </w:p>
    <w:p w14:paraId="692B00EE" w14:textId="77777777" w:rsidR="00B84936" w:rsidRPr="00C63180" w:rsidRDefault="00B84936">
      <w:pPr>
        <w:spacing w:line="276" w:lineRule="auto"/>
        <w:rPr>
          <w:rFonts w:ascii="Times New Roman" w:eastAsia="Times New Roman" w:hAnsi="Times New Roman" w:cs="Times New Roman"/>
        </w:rPr>
      </w:pPr>
    </w:p>
    <w:p w14:paraId="31CF9BE7"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Snyder, C. (2008). “What is Third-Wave Feminism? A New Directions Essay,” </w:t>
      </w:r>
      <w:r w:rsidRPr="00C63180">
        <w:rPr>
          <w:rFonts w:ascii="Times New Roman" w:eastAsia="Times New Roman" w:hAnsi="Times New Roman" w:cs="Times New Roman"/>
          <w:i/>
        </w:rPr>
        <w:t>Journal of Women in Culture and Society</w:t>
      </w:r>
      <w:r w:rsidRPr="00C63180">
        <w:rPr>
          <w:rFonts w:ascii="Times New Roman" w:eastAsia="Times New Roman" w:hAnsi="Times New Roman" w:cs="Times New Roman"/>
        </w:rPr>
        <w:t xml:space="preserve">, Vol. 34, No. 1, Available online: </w:t>
      </w:r>
      <w:hyperlink r:id="rId119">
        <w:r w:rsidRPr="00C63180">
          <w:rPr>
            <w:rFonts w:ascii="Times New Roman" w:eastAsia="Times New Roman" w:hAnsi="Times New Roman" w:cs="Times New Roman"/>
            <w:color w:val="1155CC"/>
            <w:u w:val="single"/>
          </w:rPr>
          <w:t>https://www.journals.uchicago.edu/doi/full/10.1086/588436</w:t>
        </w:r>
      </w:hyperlink>
      <w:r w:rsidRPr="00C63180">
        <w:rPr>
          <w:rFonts w:ascii="Times New Roman" w:eastAsia="Times New Roman" w:hAnsi="Times New Roman" w:cs="Times New Roman"/>
        </w:rPr>
        <w:t>, [Accessed 28 February 2020].</w:t>
      </w:r>
    </w:p>
    <w:p w14:paraId="049CC6E9" w14:textId="77777777" w:rsidR="00B84936" w:rsidRPr="00C63180" w:rsidRDefault="00B84936">
      <w:pPr>
        <w:spacing w:line="276" w:lineRule="auto"/>
        <w:rPr>
          <w:rFonts w:ascii="Times New Roman" w:eastAsia="Times New Roman" w:hAnsi="Times New Roman" w:cs="Times New Roman"/>
        </w:rPr>
      </w:pPr>
    </w:p>
    <w:p w14:paraId="0D8791E5" w14:textId="77777777" w:rsidR="00B84936" w:rsidRPr="00C63180" w:rsidRDefault="001D1521" w:rsidP="00861DF6">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Society for Human Resource Management (SHRM).</w:t>
      </w:r>
      <w:proofErr w:type="gramEnd"/>
      <w:r w:rsidRPr="00C63180">
        <w:rPr>
          <w:rFonts w:ascii="Times New Roman" w:eastAsia="Times New Roman" w:hAnsi="Times New Roman" w:cs="Times New Roman"/>
        </w:rPr>
        <w:t xml:space="preserve"> (2020). “Employee Free Choice Act (Card Check,” </w:t>
      </w:r>
      <w:r w:rsidRPr="00C63180">
        <w:rPr>
          <w:rFonts w:ascii="Times New Roman" w:eastAsia="Times New Roman" w:hAnsi="Times New Roman" w:cs="Times New Roman"/>
          <w:i/>
        </w:rPr>
        <w:t>Society for Human Resource Management (SHRM)</w:t>
      </w:r>
      <w:r w:rsidRPr="00C63180">
        <w:rPr>
          <w:rFonts w:ascii="Times New Roman" w:eastAsia="Times New Roman" w:hAnsi="Times New Roman" w:cs="Times New Roman"/>
        </w:rPr>
        <w:t xml:space="preserve">, Available online: </w:t>
      </w:r>
      <w:hyperlink r:id="rId120">
        <w:r w:rsidRPr="00C63180">
          <w:rPr>
            <w:rFonts w:ascii="Times New Roman" w:eastAsia="Times New Roman" w:hAnsi="Times New Roman" w:cs="Times New Roman"/>
            <w:color w:val="1155CC"/>
            <w:u w:val="single"/>
          </w:rPr>
          <w:t>https://www.shrm.org/hr-today/public-policy/hr-public-policy-issues/pages/employeefreechoiceact(</w:t>
        </w:r>
        <w:proofErr w:type="spellStart"/>
        <w:r w:rsidRPr="00C63180">
          <w:rPr>
            <w:rFonts w:ascii="Times New Roman" w:eastAsia="Times New Roman" w:hAnsi="Times New Roman" w:cs="Times New Roman"/>
            <w:color w:val="1155CC"/>
            <w:u w:val="single"/>
          </w:rPr>
          <w:t>cardcheck</w:t>
        </w:r>
        <w:proofErr w:type="spellEnd"/>
        <w:r w:rsidRPr="00C63180">
          <w:rPr>
            <w:rFonts w:ascii="Times New Roman" w:eastAsia="Times New Roman" w:hAnsi="Times New Roman" w:cs="Times New Roman"/>
            <w:color w:val="1155CC"/>
            <w:u w:val="single"/>
          </w:rPr>
          <w:t>).</w:t>
        </w:r>
        <w:proofErr w:type="spellStart"/>
        <w:r w:rsidRPr="00C63180">
          <w:rPr>
            <w:rFonts w:ascii="Times New Roman" w:eastAsia="Times New Roman" w:hAnsi="Times New Roman" w:cs="Times New Roman"/>
            <w:color w:val="1155CC"/>
            <w:u w:val="single"/>
          </w:rPr>
          <w:t>aspx</w:t>
        </w:r>
        <w:proofErr w:type="spellEnd"/>
      </w:hyperlink>
      <w:r w:rsidRPr="00C63180">
        <w:rPr>
          <w:rFonts w:ascii="Times New Roman" w:eastAsia="Times New Roman" w:hAnsi="Times New Roman" w:cs="Times New Roman"/>
        </w:rPr>
        <w:t>, [Accessed 11 February 2020].</w:t>
      </w:r>
    </w:p>
    <w:p w14:paraId="710296E7" w14:textId="77777777" w:rsidR="00861DF6" w:rsidRPr="00C63180" w:rsidRDefault="00861DF6" w:rsidP="00861DF6">
      <w:pPr>
        <w:ind w:left="720" w:hanging="720"/>
        <w:rPr>
          <w:rFonts w:ascii="Times New Roman" w:eastAsia="Times New Roman" w:hAnsi="Times New Roman" w:cs="Times New Roman"/>
        </w:rPr>
      </w:pPr>
    </w:p>
    <w:p w14:paraId="24F4A8FA" w14:textId="77777777" w:rsidR="00B84936" w:rsidRPr="00C63180" w:rsidRDefault="001D1521" w:rsidP="00861DF6">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Staunaes</w:t>
      </w:r>
      <w:proofErr w:type="spellEnd"/>
      <w:r w:rsidRPr="00C63180">
        <w:rPr>
          <w:rFonts w:ascii="Times New Roman" w:eastAsia="Times New Roman" w:hAnsi="Times New Roman" w:cs="Times New Roman"/>
        </w:rPr>
        <w:t xml:space="preserve">, D. (2003). “Where Have All The Subjects Gone? Bringing Together the Concepts of </w:t>
      </w:r>
      <w:proofErr w:type="spellStart"/>
      <w:r w:rsidRPr="00C63180">
        <w:rPr>
          <w:rFonts w:ascii="Times New Roman" w:eastAsia="Times New Roman" w:hAnsi="Times New Roman" w:cs="Times New Roman"/>
        </w:rPr>
        <w:t>Intersectionality</w:t>
      </w:r>
      <w:proofErr w:type="spellEnd"/>
      <w:r w:rsidRPr="00C63180">
        <w:rPr>
          <w:rFonts w:ascii="Times New Roman" w:eastAsia="Times New Roman" w:hAnsi="Times New Roman" w:cs="Times New Roman"/>
        </w:rPr>
        <w:t xml:space="preserve"> and </w:t>
      </w:r>
      <w:proofErr w:type="spellStart"/>
      <w:r w:rsidRPr="00C63180">
        <w:rPr>
          <w:rFonts w:ascii="Times New Roman" w:eastAsia="Times New Roman" w:hAnsi="Times New Roman" w:cs="Times New Roman"/>
        </w:rPr>
        <w:t>Subjectification</w:t>
      </w:r>
      <w:proofErr w:type="spellEnd"/>
      <w:r w:rsidRPr="00C63180">
        <w:rPr>
          <w:rFonts w:ascii="Times New Roman" w:eastAsia="Times New Roman" w:hAnsi="Times New Roman" w:cs="Times New Roman"/>
        </w:rPr>
        <w:t xml:space="preserve">,” </w:t>
      </w:r>
      <w:r w:rsidRPr="00C63180">
        <w:rPr>
          <w:rFonts w:ascii="Times New Roman" w:eastAsia="Times New Roman" w:hAnsi="Times New Roman" w:cs="Times New Roman"/>
          <w:i/>
        </w:rPr>
        <w:t>Nora</w:t>
      </w:r>
      <w:r w:rsidRPr="00C63180">
        <w:rPr>
          <w:rFonts w:ascii="Times New Roman" w:eastAsia="Times New Roman" w:hAnsi="Times New Roman" w:cs="Times New Roman"/>
        </w:rPr>
        <w:t>,</w:t>
      </w:r>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 xml:space="preserve">Vol. 11, </w:t>
      </w:r>
      <w:proofErr w:type="gramStart"/>
      <w:r w:rsidRPr="00C63180">
        <w:rPr>
          <w:rFonts w:ascii="Times New Roman" w:eastAsia="Times New Roman" w:hAnsi="Times New Roman" w:cs="Times New Roman"/>
        </w:rPr>
        <w:t>pp</w:t>
      </w:r>
      <w:proofErr w:type="gramEnd"/>
      <w:r w:rsidRPr="00C63180">
        <w:rPr>
          <w:rFonts w:ascii="Times New Roman" w:eastAsia="Times New Roman" w:hAnsi="Times New Roman" w:cs="Times New Roman"/>
        </w:rPr>
        <w:t xml:space="preserve">. 101-110, Available online: </w:t>
      </w:r>
      <w:hyperlink r:id="rId121">
        <w:r w:rsidRPr="00C63180">
          <w:rPr>
            <w:rFonts w:ascii="Times New Roman" w:eastAsia="Times New Roman" w:hAnsi="Times New Roman" w:cs="Times New Roman"/>
            <w:color w:val="0000FF"/>
            <w:u w:val="single"/>
          </w:rPr>
          <w:t>https://www.researchgate.net/publication/248995993_Where_Have_All_the_Subjects_Gone_Bringing_Together_the_Concepts_of_Intersectionality_and_Subjectification</w:t>
        </w:r>
      </w:hyperlink>
      <w:r w:rsidRPr="00C63180">
        <w:rPr>
          <w:rFonts w:ascii="Times New Roman" w:eastAsia="Times New Roman" w:hAnsi="Times New Roman" w:cs="Times New Roman"/>
        </w:rPr>
        <w:t xml:space="preserve">, [Accessed 25 December 2019]. </w:t>
      </w:r>
    </w:p>
    <w:p w14:paraId="5D932516" w14:textId="77777777" w:rsidR="00861DF6" w:rsidRPr="00C63180" w:rsidRDefault="00861DF6" w:rsidP="00861DF6">
      <w:pPr>
        <w:ind w:left="720" w:hanging="720"/>
        <w:rPr>
          <w:rFonts w:ascii="Times New Roman" w:eastAsia="Times New Roman" w:hAnsi="Times New Roman" w:cs="Times New Roman"/>
        </w:rPr>
      </w:pPr>
    </w:p>
    <w:p w14:paraId="59034DC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Stein, J. (2018). “Bernie Sanders to Announce Plan to Guarantee Every American a Job,” </w:t>
      </w:r>
      <w:r w:rsidRPr="00C63180">
        <w:rPr>
          <w:rFonts w:ascii="Times New Roman" w:eastAsia="Times New Roman" w:hAnsi="Times New Roman" w:cs="Times New Roman"/>
          <w:i/>
        </w:rPr>
        <w:t>The Washington Post</w:t>
      </w:r>
      <w:r w:rsidRPr="00C63180">
        <w:rPr>
          <w:rFonts w:ascii="Times New Roman" w:eastAsia="Times New Roman" w:hAnsi="Times New Roman" w:cs="Times New Roman"/>
        </w:rPr>
        <w:t xml:space="preserve">, Available online: </w:t>
      </w:r>
      <w:hyperlink r:id="rId122">
        <w:r w:rsidRPr="00C63180">
          <w:rPr>
            <w:rFonts w:ascii="Times New Roman" w:eastAsia="Times New Roman" w:hAnsi="Times New Roman" w:cs="Times New Roman"/>
            <w:color w:val="1155CC"/>
            <w:u w:val="single"/>
          </w:rPr>
          <w:t>https://www.washingtonpost.com/news/wonk/wp/2018/04/23/bernie-sanders-to-unveil-plan-to-guarantee-every-american-a-job/</w:t>
        </w:r>
      </w:hyperlink>
      <w:r w:rsidRPr="00C63180">
        <w:rPr>
          <w:rFonts w:ascii="Times New Roman" w:eastAsia="Times New Roman" w:hAnsi="Times New Roman" w:cs="Times New Roman"/>
        </w:rPr>
        <w:t>, [Accessed 2 January 2020]. </w:t>
      </w:r>
    </w:p>
    <w:p w14:paraId="6ECC4FD1" w14:textId="77777777" w:rsidR="00B84936" w:rsidRPr="00C63180" w:rsidRDefault="00B84936">
      <w:pPr>
        <w:rPr>
          <w:rFonts w:ascii="Times New Roman" w:eastAsia="Times New Roman" w:hAnsi="Times New Roman" w:cs="Times New Roman"/>
        </w:rPr>
      </w:pPr>
    </w:p>
    <w:p w14:paraId="2F1EF46C"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Strauss, A., &amp; Corbin, J. (1990).</w:t>
      </w:r>
      <w:r w:rsidRPr="00C63180">
        <w:rPr>
          <w:rFonts w:ascii="Times New Roman" w:eastAsia="Times New Roman" w:hAnsi="Times New Roman" w:cs="Times New Roman"/>
          <w:i/>
        </w:rPr>
        <w:t xml:space="preserve"> Basics of Qualitative Research: Grounded Theory Procedures and Techniques</w:t>
      </w:r>
      <w:r w:rsidRPr="00C63180">
        <w:rPr>
          <w:rFonts w:ascii="Times New Roman" w:eastAsia="Times New Roman" w:hAnsi="Times New Roman" w:cs="Times New Roman"/>
        </w:rPr>
        <w:t>,</w:t>
      </w:r>
      <w:r w:rsidRPr="00C63180">
        <w:rPr>
          <w:rFonts w:ascii="Times New Roman" w:eastAsia="Times New Roman" w:hAnsi="Times New Roman" w:cs="Times New Roman"/>
          <w:i/>
        </w:rPr>
        <w:t xml:space="preserve"> </w:t>
      </w:r>
      <w:r w:rsidRPr="00C63180">
        <w:rPr>
          <w:rFonts w:ascii="Times New Roman" w:eastAsia="Times New Roman" w:hAnsi="Times New Roman" w:cs="Times New Roman"/>
        </w:rPr>
        <w:t>Newbury Park, CA: Sage Publications, Inc. </w:t>
      </w:r>
    </w:p>
    <w:p w14:paraId="51939180" w14:textId="77777777" w:rsidR="00B84936" w:rsidRPr="00C63180" w:rsidRDefault="00B84936">
      <w:pPr>
        <w:rPr>
          <w:rFonts w:ascii="Times New Roman" w:eastAsia="Times New Roman" w:hAnsi="Times New Roman" w:cs="Times New Roman"/>
        </w:rPr>
      </w:pPr>
    </w:p>
    <w:p w14:paraId="2541B32B" w14:textId="77777777" w:rsidR="00B84936" w:rsidRPr="00C63180" w:rsidRDefault="001D1521" w:rsidP="00861DF6">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Tanner, J. (2019). “Finland Again Tops List of Happiest Nations, U.S. Rankings Drop,” </w:t>
      </w:r>
      <w:r w:rsidRPr="00C63180">
        <w:rPr>
          <w:rFonts w:ascii="Times New Roman" w:eastAsia="Times New Roman" w:hAnsi="Times New Roman" w:cs="Times New Roman"/>
          <w:i/>
        </w:rPr>
        <w:t xml:space="preserve">PBS </w:t>
      </w:r>
      <w:proofErr w:type="spellStart"/>
      <w:r w:rsidRPr="00C63180">
        <w:rPr>
          <w:rFonts w:ascii="Times New Roman" w:eastAsia="Times New Roman" w:hAnsi="Times New Roman" w:cs="Times New Roman"/>
          <w:i/>
        </w:rPr>
        <w:t>NewsHour</w:t>
      </w:r>
      <w:proofErr w:type="spellEnd"/>
      <w:r w:rsidRPr="00C63180">
        <w:rPr>
          <w:rFonts w:ascii="Times New Roman" w:eastAsia="Times New Roman" w:hAnsi="Times New Roman" w:cs="Times New Roman"/>
        </w:rPr>
        <w:t xml:space="preserve">, Available online </w:t>
      </w:r>
      <w:hyperlink r:id="rId123">
        <w:r w:rsidRPr="00C63180">
          <w:rPr>
            <w:rFonts w:ascii="Times New Roman" w:eastAsia="Times New Roman" w:hAnsi="Times New Roman" w:cs="Times New Roman"/>
            <w:color w:val="1155CC"/>
            <w:u w:val="single"/>
          </w:rPr>
          <w:t>https://www.pbs.org/newshour/economy/finland-again-tops-list-of-happiest-nations-u-s-ranking-drops</w:t>
        </w:r>
      </w:hyperlink>
      <w:r w:rsidRPr="00C63180">
        <w:rPr>
          <w:rFonts w:ascii="Times New Roman" w:eastAsia="Times New Roman" w:hAnsi="Times New Roman" w:cs="Times New Roman"/>
        </w:rPr>
        <w:t>, [Accessed 2 January 2020]. </w:t>
      </w:r>
    </w:p>
    <w:p w14:paraId="64834007" w14:textId="77777777" w:rsidR="00B84936" w:rsidRPr="00C63180" w:rsidRDefault="00B84936">
      <w:pPr>
        <w:rPr>
          <w:rFonts w:ascii="Times New Roman" w:eastAsia="Times New Roman" w:hAnsi="Times New Roman" w:cs="Times New Roman"/>
        </w:rPr>
      </w:pPr>
    </w:p>
    <w:p w14:paraId="1A3C2A5B" w14:textId="77777777" w:rsidR="00B84936" w:rsidRPr="00C63180" w:rsidRDefault="001D1521" w:rsidP="00641A69">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lastRenderedPageBreak/>
        <w:t>Tcherneva</w:t>
      </w:r>
      <w:proofErr w:type="spellEnd"/>
      <w:r w:rsidRPr="00C63180">
        <w:rPr>
          <w:rFonts w:ascii="Times New Roman" w:eastAsia="Times New Roman" w:hAnsi="Times New Roman" w:cs="Times New Roman"/>
        </w:rPr>
        <w:t xml:space="preserve">, P.R. (2018). “The Job Guarantee: Design, Jobs, and Implementation,” </w:t>
      </w:r>
      <w:r w:rsidRPr="00C63180">
        <w:rPr>
          <w:rFonts w:ascii="Times New Roman" w:eastAsia="Times New Roman" w:hAnsi="Times New Roman" w:cs="Times New Roman"/>
          <w:i/>
        </w:rPr>
        <w:t>Levy Economics Institute,</w:t>
      </w:r>
      <w:r w:rsidRPr="00C63180">
        <w:rPr>
          <w:rFonts w:ascii="Times New Roman" w:eastAsia="Times New Roman" w:hAnsi="Times New Roman" w:cs="Times New Roman"/>
        </w:rPr>
        <w:t xml:space="preserve"> Available online: </w:t>
      </w:r>
      <w:hyperlink r:id="rId124">
        <w:r w:rsidRPr="00C63180">
          <w:rPr>
            <w:rFonts w:ascii="Times New Roman" w:eastAsia="Times New Roman" w:hAnsi="Times New Roman" w:cs="Times New Roman"/>
            <w:color w:val="1155CC"/>
            <w:u w:val="single"/>
          </w:rPr>
          <w:t>http://www.levyinstitute.org/publications/the-job-guarantee-design-jobs-and-implementation</w:t>
        </w:r>
      </w:hyperlink>
      <w:r w:rsidRPr="00C63180">
        <w:rPr>
          <w:rFonts w:ascii="Times New Roman" w:eastAsia="Times New Roman" w:hAnsi="Times New Roman" w:cs="Times New Roman"/>
        </w:rPr>
        <w:t>, [Accessed 28 December 2019]. </w:t>
      </w:r>
    </w:p>
    <w:p w14:paraId="1131A86C" w14:textId="77777777" w:rsidR="00B84936" w:rsidRPr="00C63180" w:rsidRDefault="00B84936">
      <w:pPr>
        <w:rPr>
          <w:rFonts w:ascii="Times New Roman" w:eastAsia="Times New Roman" w:hAnsi="Times New Roman" w:cs="Times New Roman"/>
        </w:rPr>
      </w:pPr>
    </w:p>
    <w:p w14:paraId="3916F606"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The Sentencing Project.</w:t>
      </w:r>
      <w:proofErr w:type="gramEnd"/>
      <w:r w:rsidRPr="00C63180">
        <w:rPr>
          <w:rFonts w:ascii="Times New Roman" w:eastAsia="Times New Roman" w:hAnsi="Times New Roman" w:cs="Times New Roman"/>
        </w:rPr>
        <w:t xml:space="preserve"> (2007).  “Research &amp; Advocacy for Reform. Women in the Criminal Justice System,” Washington DC: The Sentencing Project, Available online: </w:t>
      </w:r>
      <w:hyperlink r:id="rId125">
        <w:r w:rsidRPr="00C63180">
          <w:rPr>
            <w:rFonts w:ascii="Times New Roman" w:eastAsia="Times New Roman" w:hAnsi="Times New Roman" w:cs="Times New Roman"/>
            <w:color w:val="1155CC"/>
            <w:u w:val="single"/>
          </w:rPr>
          <w:t>https://www.sentencingproject.org/wp-content/uploads/2016/01/Women-in-the-Criminal-Justice-System-Briefing-Sheets.pdf</w:t>
        </w:r>
      </w:hyperlink>
      <w:r w:rsidRPr="00C63180">
        <w:rPr>
          <w:rFonts w:ascii="Times New Roman" w:eastAsia="Times New Roman" w:hAnsi="Times New Roman" w:cs="Times New Roman"/>
        </w:rPr>
        <w:t>, [Accessed 13 December 2019].</w:t>
      </w:r>
    </w:p>
    <w:p w14:paraId="40E92643" w14:textId="77777777" w:rsidR="00B84936" w:rsidRPr="00C63180" w:rsidRDefault="00B84936">
      <w:pPr>
        <w:rPr>
          <w:rFonts w:ascii="Times New Roman" w:eastAsia="Times New Roman" w:hAnsi="Times New Roman" w:cs="Times New Roman"/>
        </w:rPr>
      </w:pPr>
    </w:p>
    <w:p w14:paraId="4B6DA943"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The Socialist Party Platform of 1912.</w:t>
      </w:r>
      <w:proofErr w:type="gramEnd"/>
      <w:r w:rsidRPr="00C63180">
        <w:rPr>
          <w:rFonts w:ascii="Times New Roman" w:eastAsia="Times New Roman" w:hAnsi="Times New Roman" w:cs="Times New Roman"/>
        </w:rPr>
        <w:t xml:space="preserve"> (1912). “Socialist Party of the United States of America,” </w:t>
      </w:r>
      <w:r w:rsidRPr="00C63180">
        <w:rPr>
          <w:rFonts w:ascii="Times New Roman" w:eastAsia="Times New Roman" w:hAnsi="Times New Roman" w:cs="Times New Roman"/>
          <w:i/>
        </w:rPr>
        <w:t>Sage American History</w:t>
      </w:r>
      <w:r w:rsidRPr="00C63180">
        <w:rPr>
          <w:rFonts w:ascii="Times New Roman" w:eastAsia="Times New Roman" w:hAnsi="Times New Roman" w:cs="Times New Roman"/>
        </w:rPr>
        <w:t xml:space="preserve">, Available online: </w:t>
      </w:r>
      <w:hyperlink r:id="rId126">
        <w:r w:rsidRPr="00C63180">
          <w:rPr>
            <w:rFonts w:ascii="Times New Roman" w:eastAsia="Times New Roman" w:hAnsi="Times New Roman" w:cs="Times New Roman"/>
            <w:color w:val="1155CC"/>
            <w:u w:val="single"/>
          </w:rPr>
          <w:t>http://sageamericanhistory.net/progressive/docs/SocialistPlat1912.htm</w:t>
        </w:r>
      </w:hyperlink>
      <w:r w:rsidRPr="00C63180">
        <w:rPr>
          <w:rFonts w:ascii="Times New Roman" w:eastAsia="Times New Roman" w:hAnsi="Times New Roman" w:cs="Times New Roman"/>
        </w:rPr>
        <w:t>, [Accessed 5 January 2020.]</w:t>
      </w:r>
    </w:p>
    <w:p w14:paraId="352ED8B3" w14:textId="77777777" w:rsidR="00641A69" w:rsidRPr="00C63180" w:rsidRDefault="00641A69" w:rsidP="00641A69">
      <w:pPr>
        <w:ind w:left="720" w:hanging="720"/>
        <w:rPr>
          <w:rFonts w:ascii="Times New Roman" w:eastAsia="Times New Roman" w:hAnsi="Times New Roman" w:cs="Times New Roman"/>
        </w:rPr>
      </w:pPr>
    </w:p>
    <w:p w14:paraId="49034FC6"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Toy, E.V. (2004).</w:t>
      </w:r>
      <w:proofErr w:type="gramEnd"/>
      <w:r w:rsidRPr="00C63180">
        <w:rPr>
          <w:rFonts w:ascii="Times New Roman" w:eastAsia="Times New Roman" w:hAnsi="Times New Roman" w:cs="Times New Roman"/>
        </w:rPr>
        <w:t xml:space="preserve"> “The Right Side of the 1960s: The Origins of the John Birch Society in the Pacific Northwest,” Vol. 105, No. 2, pp. 260-283, Available online: </w:t>
      </w:r>
      <w:hyperlink r:id="rId127">
        <w:r w:rsidRPr="00C63180">
          <w:rPr>
            <w:rFonts w:ascii="Times New Roman" w:eastAsia="Times New Roman" w:hAnsi="Times New Roman" w:cs="Times New Roman"/>
            <w:color w:val="1155CC"/>
            <w:u w:val="single"/>
          </w:rPr>
          <w:t>https://www.jstor.org/stable/20615422?seq=1</w:t>
        </w:r>
      </w:hyperlink>
      <w:r w:rsidRPr="00C63180">
        <w:rPr>
          <w:rFonts w:ascii="Times New Roman" w:eastAsia="Times New Roman" w:hAnsi="Times New Roman" w:cs="Times New Roman"/>
        </w:rPr>
        <w:t>, [Accessed 22 February 2020].</w:t>
      </w:r>
    </w:p>
    <w:p w14:paraId="613C17FA" w14:textId="77777777" w:rsidR="00641A69" w:rsidRPr="00C63180" w:rsidRDefault="00641A69" w:rsidP="00641A69">
      <w:pPr>
        <w:ind w:left="720" w:hanging="720"/>
        <w:rPr>
          <w:rFonts w:ascii="Times New Roman" w:eastAsia="Times New Roman" w:hAnsi="Times New Roman" w:cs="Times New Roman"/>
        </w:rPr>
      </w:pPr>
    </w:p>
    <w:p w14:paraId="1F183001"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Travis, J &amp; Western, B. (2014). </w:t>
      </w:r>
      <w:r w:rsidRPr="00C63180">
        <w:rPr>
          <w:rFonts w:ascii="Times New Roman" w:eastAsia="Times New Roman" w:hAnsi="Times New Roman" w:cs="Times New Roman"/>
          <w:i/>
        </w:rPr>
        <w:t xml:space="preserve">The Growth of Incarceration in the United States: Exploring Causes and Consequences, </w:t>
      </w:r>
      <w:r w:rsidRPr="00C63180">
        <w:rPr>
          <w:rFonts w:ascii="Times New Roman" w:eastAsia="Times New Roman" w:hAnsi="Times New Roman" w:cs="Times New Roman"/>
        </w:rPr>
        <w:t>Washington D.C.: The National Academies Press.</w:t>
      </w:r>
    </w:p>
    <w:p w14:paraId="5970C090" w14:textId="77777777" w:rsidR="00641A69" w:rsidRPr="00C63180" w:rsidRDefault="00641A69" w:rsidP="00641A69">
      <w:pPr>
        <w:ind w:left="720" w:hanging="720"/>
        <w:rPr>
          <w:rFonts w:ascii="Times New Roman" w:eastAsia="Times New Roman" w:hAnsi="Times New Roman" w:cs="Times New Roman"/>
        </w:rPr>
      </w:pPr>
    </w:p>
    <w:p w14:paraId="7DF65E5E" w14:textId="77777777" w:rsidR="00B84936" w:rsidRPr="00C63180" w:rsidRDefault="001D1521" w:rsidP="00641A69">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Traxler</w:t>
      </w:r>
      <w:proofErr w:type="spellEnd"/>
      <w:r w:rsidRPr="00C63180">
        <w:rPr>
          <w:rFonts w:ascii="Times New Roman" w:eastAsia="Times New Roman" w:hAnsi="Times New Roman" w:cs="Times New Roman"/>
        </w:rPr>
        <w:t xml:space="preserve">, F. &amp; </w:t>
      </w:r>
      <w:proofErr w:type="spellStart"/>
      <w:r w:rsidRPr="00C63180">
        <w:rPr>
          <w:rFonts w:ascii="Times New Roman" w:eastAsia="Times New Roman" w:hAnsi="Times New Roman" w:cs="Times New Roman"/>
        </w:rPr>
        <w:t>Brandl</w:t>
      </w:r>
      <w:proofErr w:type="spellEnd"/>
      <w:r w:rsidRPr="00C63180">
        <w:rPr>
          <w:rFonts w:ascii="Times New Roman" w:eastAsia="Times New Roman" w:hAnsi="Times New Roman" w:cs="Times New Roman"/>
        </w:rPr>
        <w:t>, B. (2012). “Collective Bargaining, Inter-</w:t>
      </w:r>
      <w:proofErr w:type="spellStart"/>
      <w:r w:rsidRPr="00C63180">
        <w:rPr>
          <w:rFonts w:ascii="Times New Roman" w:eastAsia="Times New Roman" w:hAnsi="Times New Roman" w:cs="Times New Roman"/>
        </w:rPr>
        <w:t>Sectoral</w:t>
      </w:r>
      <w:proofErr w:type="spellEnd"/>
      <w:r w:rsidRPr="00C63180">
        <w:rPr>
          <w:rFonts w:ascii="Times New Roman" w:eastAsia="Times New Roman" w:hAnsi="Times New Roman" w:cs="Times New Roman"/>
        </w:rPr>
        <w:t xml:space="preserve"> Heterogeneity and Competitiveness: A Cross-National Comparison of Macroeconomic Performance,” </w:t>
      </w:r>
      <w:r w:rsidRPr="00C63180">
        <w:rPr>
          <w:rFonts w:ascii="Times New Roman" w:eastAsia="Times New Roman" w:hAnsi="Times New Roman" w:cs="Times New Roman"/>
          <w:i/>
        </w:rPr>
        <w:t>British Journal of Industrial Relations</w:t>
      </w:r>
      <w:r w:rsidRPr="00C63180">
        <w:rPr>
          <w:rFonts w:ascii="Times New Roman" w:eastAsia="Times New Roman" w:hAnsi="Times New Roman" w:cs="Times New Roman"/>
        </w:rPr>
        <w:t xml:space="preserve">, Vol. 50, No. 1, Available online: </w:t>
      </w:r>
      <w:hyperlink r:id="rId128">
        <w:r w:rsidRPr="00C63180">
          <w:rPr>
            <w:rFonts w:ascii="Times New Roman" w:eastAsia="Times New Roman" w:hAnsi="Times New Roman" w:cs="Times New Roman"/>
            <w:color w:val="1155CC"/>
            <w:u w:val="single"/>
          </w:rPr>
          <w:t>https://doi.org/10.1111/j.1467-8543.2010.00804.x</w:t>
        </w:r>
      </w:hyperlink>
      <w:r w:rsidRPr="00C63180">
        <w:rPr>
          <w:rFonts w:ascii="Times New Roman" w:eastAsia="Times New Roman" w:hAnsi="Times New Roman" w:cs="Times New Roman"/>
        </w:rPr>
        <w:t>, Accessed 19 February 2020]</w:t>
      </w:r>
    </w:p>
    <w:p w14:paraId="6F8F2B57"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U.S. Bureau of Labor Statistics.</w:t>
      </w:r>
      <w:proofErr w:type="gramEnd"/>
      <w:r w:rsidRPr="00C63180">
        <w:rPr>
          <w:rFonts w:ascii="Times New Roman" w:eastAsia="Times New Roman" w:hAnsi="Times New Roman" w:cs="Times New Roman"/>
        </w:rPr>
        <w:t xml:space="preserve"> (2014). “How the Government Measures Unemployment Current Population Survey Technical Document,” </w:t>
      </w:r>
      <w:r w:rsidRPr="00C63180">
        <w:rPr>
          <w:rFonts w:ascii="Times New Roman" w:eastAsia="Times New Roman" w:hAnsi="Times New Roman" w:cs="Times New Roman"/>
          <w:i/>
        </w:rPr>
        <w:t>Current Population Survey</w:t>
      </w:r>
      <w:r w:rsidRPr="00C63180">
        <w:rPr>
          <w:rFonts w:ascii="Times New Roman" w:eastAsia="Times New Roman" w:hAnsi="Times New Roman" w:cs="Times New Roman"/>
        </w:rPr>
        <w:t xml:space="preserve">, Available online: </w:t>
      </w:r>
      <w:hyperlink r:id="rId129">
        <w:r w:rsidRPr="00C63180">
          <w:rPr>
            <w:rFonts w:ascii="Times New Roman" w:eastAsia="Times New Roman" w:hAnsi="Times New Roman" w:cs="Times New Roman"/>
            <w:color w:val="1155CC"/>
            <w:u w:val="single"/>
          </w:rPr>
          <w:t>https://www.bls.gov/cps/cps_htgm.pdf</w:t>
        </w:r>
      </w:hyperlink>
      <w:r w:rsidRPr="00C63180">
        <w:rPr>
          <w:rFonts w:ascii="Times New Roman" w:eastAsia="Times New Roman" w:hAnsi="Times New Roman" w:cs="Times New Roman"/>
        </w:rPr>
        <w:t>, [Accessed 26 December 2019]. </w:t>
      </w:r>
    </w:p>
    <w:p w14:paraId="627E97B9" w14:textId="77777777" w:rsidR="00B84936" w:rsidRPr="00C63180" w:rsidRDefault="00B84936">
      <w:pPr>
        <w:rPr>
          <w:rFonts w:ascii="Times New Roman" w:eastAsia="Times New Roman" w:hAnsi="Times New Roman" w:cs="Times New Roman"/>
        </w:rPr>
      </w:pPr>
    </w:p>
    <w:p w14:paraId="2D8F7C6F"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U.S. Bureau of Labor Statistics.</w:t>
      </w:r>
      <w:proofErr w:type="gramEnd"/>
      <w:r w:rsidRPr="00C63180">
        <w:rPr>
          <w:rFonts w:ascii="Times New Roman" w:eastAsia="Times New Roman" w:hAnsi="Times New Roman" w:cs="Times New Roman"/>
        </w:rPr>
        <w:t xml:space="preserve"> (2017a). “A Profile of The Working Poor, 2015. Report 1068,” Washington, D.C.: Bureau of Labor Statistics, Available online: </w:t>
      </w:r>
      <w:hyperlink r:id="rId130">
        <w:r w:rsidRPr="00C63180">
          <w:rPr>
            <w:rFonts w:ascii="Times New Roman" w:eastAsia="Times New Roman" w:hAnsi="Times New Roman" w:cs="Times New Roman"/>
            <w:color w:val="1155CC"/>
            <w:u w:val="single"/>
          </w:rPr>
          <w:t>https://www.bls.gov/opub/reports/working-poor/2015/home.htm</w:t>
        </w:r>
      </w:hyperlink>
      <w:r w:rsidRPr="00C63180">
        <w:rPr>
          <w:rFonts w:ascii="Times New Roman" w:eastAsia="Times New Roman" w:hAnsi="Times New Roman" w:cs="Times New Roman"/>
        </w:rPr>
        <w:t>, [Accessed 23 December 2019].</w:t>
      </w:r>
    </w:p>
    <w:p w14:paraId="74A57B33" w14:textId="77777777" w:rsidR="00B84936" w:rsidRPr="00C63180" w:rsidRDefault="00B84936">
      <w:pPr>
        <w:rPr>
          <w:rFonts w:ascii="Times New Roman" w:eastAsia="Times New Roman" w:hAnsi="Times New Roman" w:cs="Times New Roman"/>
        </w:rPr>
      </w:pPr>
    </w:p>
    <w:p w14:paraId="0B743B4E"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U.S. Bureau of Labor Statistics.</w:t>
      </w:r>
      <w:proofErr w:type="gramEnd"/>
      <w:r w:rsidRPr="00C63180">
        <w:rPr>
          <w:rFonts w:ascii="Times New Roman" w:eastAsia="Times New Roman" w:hAnsi="Times New Roman" w:cs="Times New Roman"/>
        </w:rPr>
        <w:t xml:space="preserve"> (2019). “News Release: The Employment Situation - December 2019,” </w:t>
      </w:r>
      <w:r w:rsidRPr="00C63180">
        <w:rPr>
          <w:rFonts w:ascii="Times New Roman" w:eastAsia="Times New Roman" w:hAnsi="Times New Roman" w:cs="Times New Roman"/>
          <w:i/>
        </w:rPr>
        <w:t>U.S. Department of Labor</w:t>
      </w:r>
      <w:r w:rsidRPr="00C63180">
        <w:rPr>
          <w:rFonts w:ascii="Times New Roman" w:eastAsia="Times New Roman" w:hAnsi="Times New Roman" w:cs="Times New Roman"/>
        </w:rPr>
        <w:t xml:space="preserve">, Available online: </w:t>
      </w:r>
      <w:hyperlink r:id="rId131">
        <w:r w:rsidRPr="00C63180">
          <w:rPr>
            <w:rFonts w:ascii="Times New Roman" w:eastAsia="Times New Roman" w:hAnsi="Times New Roman" w:cs="Times New Roman"/>
            <w:color w:val="1155CC"/>
            <w:u w:val="single"/>
          </w:rPr>
          <w:t>https://www.bls.gov/news.release/pdf/empsit.pdf</w:t>
        </w:r>
      </w:hyperlink>
      <w:r w:rsidRPr="00C63180">
        <w:rPr>
          <w:rFonts w:ascii="Times New Roman" w:eastAsia="Times New Roman" w:hAnsi="Times New Roman" w:cs="Times New Roman"/>
        </w:rPr>
        <w:t>, [Accessed 3 January 2020]. </w:t>
      </w:r>
    </w:p>
    <w:p w14:paraId="0513E8D8" w14:textId="77777777" w:rsidR="00B84936" w:rsidRPr="00C63180" w:rsidRDefault="00B84936">
      <w:pPr>
        <w:rPr>
          <w:rFonts w:ascii="Times New Roman" w:eastAsia="Times New Roman" w:hAnsi="Times New Roman" w:cs="Times New Roman"/>
        </w:rPr>
      </w:pPr>
    </w:p>
    <w:p w14:paraId="67D86136"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U.S. Bureau of Labor Statistics (2017b). “Labor Force Characteristics by Race and Ethnicity, 2016. Report 1070,” Washington, D.C.: Bureau of Labor Statistics, </w:t>
      </w:r>
      <w:r w:rsidRPr="00C63180">
        <w:rPr>
          <w:rFonts w:ascii="Times New Roman" w:eastAsia="Times New Roman" w:hAnsi="Times New Roman" w:cs="Times New Roman"/>
        </w:rPr>
        <w:lastRenderedPageBreak/>
        <w:t xml:space="preserve">Available online: </w:t>
      </w:r>
      <w:hyperlink r:id="rId132">
        <w:r w:rsidRPr="00C63180">
          <w:rPr>
            <w:rFonts w:ascii="Times New Roman" w:eastAsia="Times New Roman" w:hAnsi="Times New Roman" w:cs="Times New Roman"/>
            <w:color w:val="1155CC"/>
            <w:u w:val="single"/>
          </w:rPr>
          <w:t>https://www.bls.gov/opub/reports/race-and-ethnicity/2016/home.htm</w:t>
        </w:r>
      </w:hyperlink>
      <w:r w:rsidRPr="00C63180">
        <w:rPr>
          <w:rFonts w:ascii="Times New Roman" w:eastAsia="Times New Roman" w:hAnsi="Times New Roman" w:cs="Times New Roman"/>
        </w:rPr>
        <w:t>, [Accessed 23 December 2019.]</w:t>
      </w:r>
    </w:p>
    <w:p w14:paraId="73163E0A" w14:textId="77777777" w:rsidR="00B84936" w:rsidRPr="00C63180" w:rsidRDefault="00B84936">
      <w:pPr>
        <w:rPr>
          <w:rFonts w:ascii="Times New Roman" w:eastAsia="Times New Roman" w:hAnsi="Times New Roman" w:cs="Times New Roman"/>
        </w:rPr>
      </w:pPr>
    </w:p>
    <w:p w14:paraId="3756F547"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U.S. Constitution. (1868). </w:t>
      </w:r>
      <w:r w:rsidRPr="00C63180">
        <w:rPr>
          <w:rFonts w:ascii="Times New Roman" w:eastAsia="Times New Roman" w:hAnsi="Times New Roman" w:cs="Times New Roman"/>
          <w:i/>
        </w:rPr>
        <w:t>The Fourteenth Amendment to the United States Constitution</w:t>
      </w:r>
      <w:r w:rsidRPr="00C63180">
        <w:rPr>
          <w:rFonts w:ascii="Times New Roman" w:eastAsia="Times New Roman" w:hAnsi="Times New Roman" w:cs="Times New Roman"/>
        </w:rPr>
        <w:t xml:space="preserve">, Available online: </w:t>
      </w:r>
      <w:hyperlink r:id="rId133">
        <w:r w:rsidRPr="00C63180">
          <w:rPr>
            <w:rFonts w:ascii="Times New Roman" w:eastAsia="Times New Roman" w:hAnsi="Times New Roman" w:cs="Times New Roman"/>
            <w:color w:val="1155CC"/>
            <w:u w:val="single"/>
          </w:rPr>
          <w:t>https://www.law.cornell.edu/constitution/amendmentxiv</w:t>
        </w:r>
      </w:hyperlink>
      <w:r w:rsidRPr="00C63180">
        <w:rPr>
          <w:rFonts w:ascii="Times New Roman" w:eastAsia="Times New Roman" w:hAnsi="Times New Roman" w:cs="Times New Roman"/>
        </w:rPr>
        <w:t>, [Accessed 10 January 2020].</w:t>
      </w:r>
    </w:p>
    <w:p w14:paraId="1E0C7126" w14:textId="77777777" w:rsidR="00B84936" w:rsidRPr="00C63180" w:rsidRDefault="00B84936">
      <w:pPr>
        <w:rPr>
          <w:rFonts w:ascii="Times New Roman" w:eastAsia="Times New Roman" w:hAnsi="Times New Roman" w:cs="Times New Roman"/>
        </w:rPr>
      </w:pPr>
    </w:p>
    <w:p w14:paraId="5E5D75CD"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U.S. Constitution. (1913). </w:t>
      </w:r>
      <w:r w:rsidRPr="00C63180">
        <w:rPr>
          <w:rFonts w:ascii="Times New Roman" w:eastAsia="Times New Roman" w:hAnsi="Times New Roman" w:cs="Times New Roman"/>
          <w:i/>
        </w:rPr>
        <w:t>The Sixteenth Amendment to the United States Constitution</w:t>
      </w:r>
      <w:r w:rsidRPr="00C63180">
        <w:rPr>
          <w:rFonts w:ascii="Times New Roman" w:eastAsia="Times New Roman" w:hAnsi="Times New Roman" w:cs="Times New Roman"/>
        </w:rPr>
        <w:t xml:space="preserve">, Available online: </w:t>
      </w:r>
      <w:hyperlink r:id="rId134">
        <w:r w:rsidRPr="00C63180">
          <w:rPr>
            <w:rFonts w:ascii="Times New Roman" w:eastAsia="Times New Roman" w:hAnsi="Times New Roman" w:cs="Times New Roman"/>
            <w:color w:val="1155CC"/>
            <w:u w:val="single"/>
          </w:rPr>
          <w:t>https://www.law.cornell.edu/constitution/amendmentxvi</w:t>
        </w:r>
      </w:hyperlink>
      <w:r w:rsidRPr="00C63180">
        <w:rPr>
          <w:rFonts w:ascii="Times New Roman" w:eastAsia="Times New Roman" w:hAnsi="Times New Roman" w:cs="Times New Roman"/>
        </w:rPr>
        <w:t>, [Accessed 10 January 2020].</w:t>
      </w:r>
    </w:p>
    <w:p w14:paraId="427D1FC0" w14:textId="77777777" w:rsidR="00B84936" w:rsidRPr="00C63180" w:rsidRDefault="00B84936">
      <w:pPr>
        <w:rPr>
          <w:rFonts w:ascii="Times New Roman" w:eastAsia="Times New Roman" w:hAnsi="Times New Roman" w:cs="Times New Roman"/>
        </w:rPr>
      </w:pPr>
    </w:p>
    <w:p w14:paraId="5537E044"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U.S. Department of Labor.</w:t>
      </w:r>
      <w:proofErr w:type="gramEnd"/>
      <w:r w:rsidRPr="00C63180">
        <w:rPr>
          <w:rFonts w:ascii="Times New Roman" w:eastAsia="Times New Roman" w:hAnsi="Times New Roman" w:cs="Times New Roman"/>
        </w:rPr>
        <w:t xml:space="preserve"> (2016). “The Federal Bonding Program. U.S. Department of Labor,” Available online: </w:t>
      </w:r>
      <w:hyperlink r:id="rId135">
        <w:r w:rsidRPr="00C63180">
          <w:rPr>
            <w:rFonts w:ascii="Times New Roman" w:eastAsia="Times New Roman" w:hAnsi="Times New Roman" w:cs="Times New Roman"/>
            <w:color w:val="1155CC"/>
            <w:u w:val="single"/>
          </w:rPr>
          <w:t>https://bonds4jobs.com/</w:t>
        </w:r>
      </w:hyperlink>
      <w:r w:rsidRPr="00C63180">
        <w:rPr>
          <w:rFonts w:ascii="Times New Roman" w:eastAsia="Times New Roman" w:hAnsi="Times New Roman" w:cs="Times New Roman"/>
        </w:rPr>
        <w:t>, [Accessed 1 January 2020]. </w:t>
      </w:r>
    </w:p>
    <w:p w14:paraId="5BA37089" w14:textId="77777777" w:rsidR="00B84936" w:rsidRPr="00C63180" w:rsidRDefault="00B84936">
      <w:pPr>
        <w:rPr>
          <w:rFonts w:ascii="Times New Roman" w:eastAsia="Times New Roman" w:hAnsi="Times New Roman" w:cs="Times New Roman"/>
        </w:rPr>
      </w:pPr>
    </w:p>
    <w:p w14:paraId="28211DD3"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U.S. Internal Revenue Service.</w:t>
      </w:r>
      <w:proofErr w:type="gramEnd"/>
      <w:r w:rsidRPr="00C63180">
        <w:rPr>
          <w:rFonts w:ascii="Times New Roman" w:eastAsia="Times New Roman" w:hAnsi="Times New Roman" w:cs="Times New Roman"/>
        </w:rPr>
        <w:t xml:space="preserve"> (2020). “Work Opportunity Tax Credit. Internal Revenue Service,” </w:t>
      </w:r>
      <w:r w:rsidRPr="00C63180">
        <w:rPr>
          <w:rFonts w:ascii="Times New Roman" w:eastAsia="Times New Roman" w:hAnsi="Times New Roman" w:cs="Times New Roman"/>
          <w:i/>
        </w:rPr>
        <w:t>U.S. Internal Revenue Service</w:t>
      </w:r>
      <w:r w:rsidRPr="00C63180">
        <w:rPr>
          <w:rFonts w:ascii="Times New Roman" w:eastAsia="Times New Roman" w:hAnsi="Times New Roman" w:cs="Times New Roman"/>
        </w:rPr>
        <w:t xml:space="preserve">, Available online: </w:t>
      </w:r>
      <w:hyperlink r:id="rId136">
        <w:r w:rsidRPr="00C63180">
          <w:rPr>
            <w:rFonts w:ascii="Times New Roman" w:eastAsia="Times New Roman" w:hAnsi="Times New Roman" w:cs="Times New Roman"/>
            <w:color w:val="1155CC"/>
            <w:u w:val="single"/>
          </w:rPr>
          <w:t>https://www.irs.gov/businesses/small-businesses-self-employed/work-opportunity-tax-credit</w:t>
        </w:r>
      </w:hyperlink>
      <w:r w:rsidRPr="00C63180">
        <w:rPr>
          <w:rFonts w:ascii="Times New Roman" w:eastAsia="Times New Roman" w:hAnsi="Times New Roman" w:cs="Times New Roman"/>
        </w:rPr>
        <w:t>, [Accessed 3 January 2020]. </w:t>
      </w:r>
    </w:p>
    <w:p w14:paraId="5C268223" w14:textId="77777777" w:rsidR="00641A69" w:rsidRPr="00C63180" w:rsidRDefault="00641A69" w:rsidP="00641A69">
      <w:pPr>
        <w:ind w:left="720" w:hanging="720"/>
        <w:rPr>
          <w:rFonts w:ascii="Times New Roman" w:eastAsia="Times New Roman" w:hAnsi="Times New Roman" w:cs="Times New Roman"/>
        </w:rPr>
      </w:pPr>
    </w:p>
    <w:p w14:paraId="1981EA44" w14:textId="77777777" w:rsidR="00B84936" w:rsidRPr="00C63180" w:rsidRDefault="001D1521" w:rsidP="00641A69">
      <w:pPr>
        <w:ind w:left="720" w:hanging="720"/>
        <w:rPr>
          <w:rFonts w:ascii="Times New Roman" w:eastAsia="Times New Roman" w:hAnsi="Times New Roman" w:cs="Times New Roman"/>
        </w:rPr>
      </w:pPr>
      <w:proofErr w:type="spellStart"/>
      <w:r w:rsidRPr="00C63180">
        <w:rPr>
          <w:rFonts w:ascii="Times New Roman" w:eastAsia="Times New Roman" w:hAnsi="Times New Roman" w:cs="Times New Roman"/>
        </w:rPr>
        <w:t>UnionProof</w:t>
      </w:r>
      <w:proofErr w:type="spellEnd"/>
      <w:r w:rsidRPr="00C63180">
        <w:rPr>
          <w:rFonts w:ascii="Times New Roman" w:eastAsia="Times New Roman" w:hAnsi="Times New Roman" w:cs="Times New Roman"/>
        </w:rPr>
        <w:t xml:space="preserve">. (2020). “When Diversity and Inclusion Become Union Issues,” </w:t>
      </w:r>
      <w:proofErr w:type="spellStart"/>
      <w:r w:rsidRPr="00C63180">
        <w:rPr>
          <w:rFonts w:ascii="Times New Roman" w:eastAsia="Times New Roman" w:hAnsi="Times New Roman" w:cs="Times New Roman"/>
          <w:i/>
        </w:rPr>
        <w:t>UnionProof</w:t>
      </w:r>
      <w:proofErr w:type="spellEnd"/>
      <w:r w:rsidRPr="00C63180">
        <w:rPr>
          <w:rFonts w:ascii="Times New Roman" w:eastAsia="Times New Roman" w:hAnsi="Times New Roman" w:cs="Times New Roman"/>
        </w:rPr>
        <w:t xml:space="preserve">, Available online: </w:t>
      </w:r>
      <w:hyperlink r:id="rId137">
        <w:r w:rsidRPr="00C63180">
          <w:rPr>
            <w:rFonts w:ascii="Times New Roman" w:eastAsia="Times New Roman" w:hAnsi="Times New Roman" w:cs="Times New Roman"/>
            <w:color w:val="1155CC"/>
            <w:u w:val="single"/>
          </w:rPr>
          <w:t>https://www.unionproof.com/about/</w:t>
        </w:r>
      </w:hyperlink>
      <w:r w:rsidRPr="00C63180">
        <w:rPr>
          <w:rFonts w:ascii="Times New Roman" w:eastAsia="Times New Roman" w:hAnsi="Times New Roman" w:cs="Times New Roman"/>
        </w:rPr>
        <w:t>, [Accessed 11 February 2020].</w:t>
      </w:r>
    </w:p>
    <w:p w14:paraId="4C5B545A" w14:textId="77777777" w:rsidR="00641A69" w:rsidRPr="00C63180" w:rsidRDefault="00641A69" w:rsidP="00641A69">
      <w:pPr>
        <w:ind w:left="720" w:hanging="720"/>
        <w:rPr>
          <w:rFonts w:ascii="Times New Roman" w:eastAsia="Times New Roman" w:hAnsi="Times New Roman" w:cs="Times New Roman"/>
        </w:rPr>
      </w:pPr>
    </w:p>
    <w:p w14:paraId="2804F88A"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Von </w:t>
      </w:r>
      <w:proofErr w:type="spellStart"/>
      <w:r w:rsidRPr="00C63180">
        <w:rPr>
          <w:rFonts w:ascii="Times New Roman" w:eastAsia="Times New Roman" w:hAnsi="Times New Roman" w:cs="Times New Roman"/>
        </w:rPr>
        <w:t>Wilpert</w:t>
      </w:r>
      <w:proofErr w:type="spellEnd"/>
      <w:r w:rsidRPr="00C63180">
        <w:rPr>
          <w:rFonts w:ascii="Times New Roman" w:eastAsia="Times New Roman" w:hAnsi="Times New Roman" w:cs="Times New Roman"/>
        </w:rPr>
        <w:t xml:space="preserve">, M. (2017). “Union Busters Are More Prevalent Than They Seem, and May Soon Even Be at the NLRB,” </w:t>
      </w:r>
      <w:r w:rsidRPr="00C63180">
        <w:rPr>
          <w:rFonts w:ascii="Times New Roman" w:eastAsia="Times New Roman" w:hAnsi="Times New Roman" w:cs="Times New Roman"/>
          <w:i/>
        </w:rPr>
        <w:t>Working Economics Blog - Economic Policy Institute</w:t>
      </w:r>
      <w:r w:rsidRPr="00C63180">
        <w:rPr>
          <w:rFonts w:ascii="Times New Roman" w:eastAsia="Times New Roman" w:hAnsi="Times New Roman" w:cs="Times New Roman"/>
        </w:rPr>
        <w:t xml:space="preserve">, Available online: </w:t>
      </w:r>
      <w:hyperlink r:id="rId138">
        <w:r w:rsidRPr="00C63180">
          <w:rPr>
            <w:rFonts w:ascii="Times New Roman" w:eastAsia="Times New Roman" w:hAnsi="Times New Roman" w:cs="Times New Roman"/>
            <w:color w:val="1155CC"/>
            <w:u w:val="single"/>
          </w:rPr>
          <w:t>https://www.epi.org/blog/union-busters-are-more-prevalent-than-they-seem-and-may-soon-even-be-at-the-nlrb/</w:t>
        </w:r>
      </w:hyperlink>
      <w:r w:rsidRPr="00C63180">
        <w:rPr>
          <w:rFonts w:ascii="Times New Roman" w:eastAsia="Times New Roman" w:hAnsi="Times New Roman" w:cs="Times New Roman"/>
        </w:rPr>
        <w:t>, [Accessed 21 January 2020].</w:t>
      </w:r>
    </w:p>
    <w:p w14:paraId="66BFE027" w14:textId="77777777" w:rsidR="00641A69" w:rsidRPr="00C63180" w:rsidRDefault="00641A69" w:rsidP="00641A69">
      <w:pPr>
        <w:ind w:left="720" w:hanging="720"/>
        <w:rPr>
          <w:rFonts w:ascii="Times New Roman" w:eastAsia="Times New Roman" w:hAnsi="Times New Roman" w:cs="Times New Roman"/>
        </w:rPr>
      </w:pPr>
    </w:p>
    <w:p w14:paraId="61BF84B2"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Wagner, E. (2013).</w:t>
      </w:r>
      <w:proofErr w:type="gramEnd"/>
      <w:r w:rsidRPr="00C63180">
        <w:rPr>
          <w:rFonts w:ascii="Times New Roman" w:eastAsia="Times New Roman" w:hAnsi="Times New Roman" w:cs="Times New Roman"/>
        </w:rPr>
        <w:t xml:space="preserve"> “America’s New Gilded Age: A Review of </w:t>
      </w:r>
      <w:proofErr w:type="spellStart"/>
      <w:r w:rsidRPr="00C63180">
        <w:rPr>
          <w:rFonts w:ascii="Times New Roman" w:eastAsia="Times New Roman" w:hAnsi="Times New Roman" w:cs="Times New Roman"/>
        </w:rPr>
        <w:t>Chrystia</w:t>
      </w:r>
      <w:proofErr w:type="spellEnd"/>
      <w:r w:rsidRPr="00C63180">
        <w:rPr>
          <w:rFonts w:ascii="Times New Roman" w:eastAsia="Times New Roman" w:hAnsi="Times New Roman" w:cs="Times New Roman"/>
        </w:rPr>
        <w:t xml:space="preserve"> Freeland’s Plutocrats and Christopher Hayes’s Twilight of the Elites,” </w:t>
      </w:r>
      <w:r w:rsidRPr="00C63180">
        <w:rPr>
          <w:rFonts w:ascii="Times New Roman" w:eastAsia="Times New Roman" w:hAnsi="Times New Roman" w:cs="Times New Roman"/>
          <w:i/>
        </w:rPr>
        <w:t>Kennedy School Review</w:t>
      </w:r>
      <w:r w:rsidRPr="00C63180">
        <w:rPr>
          <w:rFonts w:ascii="Times New Roman" w:eastAsia="Times New Roman" w:hAnsi="Times New Roman" w:cs="Times New Roman"/>
        </w:rPr>
        <w:t xml:space="preserve">, Available online: </w:t>
      </w:r>
      <w:hyperlink r:id="rId139">
        <w:r w:rsidRPr="00C63180">
          <w:rPr>
            <w:rFonts w:ascii="Times New Roman" w:eastAsia="Times New Roman" w:hAnsi="Times New Roman" w:cs="Times New Roman"/>
            <w:color w:val="1155CC"/>
            <w:u w:val="single"/>
          </w:rPr>
          <w:t>https://ksr.hkspublications.org/2013/05/02/americas-new-gilded-age-a-review-of-chrystia-freelands-plutocrats-and-christopher-hayess-twilight-of-the-elites/</w:t>
        </w:r>
      </w:hyperlink>
      <w:r w:rsidRPr="00C63180">
        <w:rPr>
          <w:rFonts w:ascii="Times New Roman" w:eastAsia="Times New Roman" w:hAnsi="Times New Roman" w:cs="Times New Roman"/>
        </w:rPr>
        <w:t>, [Accessed 15 December 2019]. </w:t>
      </w:r>
    </w:p>
    <w:p w14:paraId="0B529435" w14:textId="77777777" w:rsidR="00B84936" w:rsidRPr="00C63180" w:rsidRDefault="00B84936">
      <w:pPr>
        <w:rPr>
          <w:rFonts w:ascii="Times New Roman" w:eastAsia="Times New Roman" w:hAnsi="Times New Roman" w:cs="Times New Roman"/>
        </w:rPr>
      </w:pPr>
    </w:p>
    <w:p w14:paraId="7A0C6C2C" w14:textId="77777777" w:rsidR="00B84936" w:rsidRPr="00C63180" w:rsidRDefault="001D1521" w:rsidP="00641A69">
      <w:pPr>
        <w:ind w:left="720" w:hanging="720"/>
        <w:rPr>
          <w:rFonts w:ascii="Times New Roman" w:eastAsia="Times New Roman" w:hAnsi="Times New Roman" w:cs="Times New Roman"/>
        </w:rPr>
      </w:pPr>
      <w:r w:rsidRPr="00C63180">
        <w:rPr>
          <w:rFonts w:ascii="Times New Roman" w:eastAsia="Times New Roman" w:hAnsi="Times New Roman" w:cs="Times New Roman"/>
        </w:rPr>
        <w:t xml:space="preserve">Wagner, P. &amp; Walsh. (2016). “States of Incarceration: The Global Context,” </w:t>
      </w:r>
      <w:r w:rsidRPr="00C63180">
        <w:rPr>
          <w:rFonts w:ascii="Times New Roman" w:eastAsia="Times New Roman" w:hAnsi="Times New Roman" w:cs="Times New Roman"/>
          <w:i/>
        </w:rPr>
        <w:t>Prison Policy Initiative</w:t>
      </w:r>
      <w:r w:rsidRPr="00C63180">
        <w:rPr>
          <w:rFonts w:ascii="Times New Roman" w:eastAsia="Times New Roman" w:hAnsi="Times New Roman" w:cs="Times New Roman"/>
        </w:rPr>
        <w:t xml:space="preserve">, Available online: </w:t>
      </w:r>
      <w:hyperlink r:id="rId140">
        <w:r w:rsidRPr="00C63180">
          <w:rPr>
            <w:rFonts w:ascii="Times New Roman" w:eastAsia="Times New Roman" w:hAnsi="Times New Roman" w:cs="Times New Roman"/>
            <w:color w:val="1155CC"/>
            <w:u w:val="single"/>
          </w:rPr>
          <w:t>https://www.prisonpolicy.org/global/2016.html</w:t>
        </w:r>
      </w:hyperlink>
      <w:r w:rsidRPr="00C63180">
        <w:rPr>
          <w:rFonts w:ascii="Times New Roman" w:eastAsia="Times New Roman" w:hAnsi="Times New Roman" w:cs="Times New Roman"/>
        </w:rPr>
        <w:t>, [Accessed 2 January 2020]. </w:t>
      </w:r>
    </w:p>
    <w:p w14:paraId="499ED9A8" w14:textId="77777777" w:rsidR="00B84936" w:rsidRPr="00C63180" w:rsidRDefault="00B84936">
      <w:pPr>
        <w:spacing w:line="276" w:lineRule="auto"/>
        <w:rPr>
          <w:rFonts w:ascii="Times New Roman" w:eastAsia="Times New Roman" w:hAnsi="Times New Roman" w:cs="Times New Roman"/>
        </w:rPr>
      </w:pPr>
    </w:p>
    <w:p w14:paraId="6E10DDAB" w14:textId="77777777" w:rsidR="00B84936" w:rsidRPr="00C63180" w:rsidRDefault="001D1521" w:rsidP="00641A69">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t>Wallerstein</w:t>
      </w:r>
      <w:proofErr w:type="spellEnd"/>
      <w:r w:rsidRPr="00C63180">
        <w:rPr>
          <w:rFonts w:ascii="Times New Roman" w:eastAsia="Times New Roman" w:hAnsi="Times New Roman" w:cs="Times New Roman"/>
        </w:rPr>
        <w:t>, M., Golden, M., &amp; Lange, P. (1997).</w:t>
      </w:r>
      <w:proofErr w:type="gramEnd"/>
      <w:r w:rsidRPr="00C63180">
        <w:rPr>
          <w:rFonts w:ascii="Times New Roman" w:eastAsia="Times New Roman" w:hAnsi="Times New Roman" w:cs="Times New Roman"/>
        </w:rPr>
        <w:t xml:space="preserve"> “Unions, Employers’ Associations, and Wage-Setting Institutions in Northern and Central Europe, 1950-1992.” </w:t>
      </w:r>
      <w:r w:rsidRPr="00C63180">
        <w:rPr>
          <w:rFonts w:ascii="Times New Roman" w:eastAsia="Times New Roman" w:hAnsi="Times New Roman" w:cs="Times New Roman"/>
          <w:i/>
        </w:rPr>
        <w:t>ILR Review</w:t>
      </w:r>
      <w:r w:rsidRPr="00C63180">
        <w:rPr>
          <w:rFonts w:ascii="Times New Roman" w:eastAsia="Times New Roman" w:hAnsi="Times New Roman" w:cs="Times New Roman"/>
        </w:rPr>
        <w:t xml:space="preserve">, Vol. 50, </w:t>
      </w:r>
      <w:proofErr w:type="gramStart"/>
      <w:r w:rsidRPr="00C63180">
        <w:rPr>
          <w:rFonts w:ascii="Times New Roman" w:eastAsia="Times New Roman" w:hAnsi="Times New Roman" w:cs="Times New Roman"/>
        </w:rPr>
        <w:t>No</w:t>
      </w:r>
      <w:proofErr w:type="gramEnd"/>
      <w:r w:rsidRPr="00C63180">
        <w:rPr>
          <w:rFonts w:ascii="Times New Roman" w:eastAsia="Times New Roman" w:hAnsi="Times New Roman" w:cs="Times New Roman"/>
        </w:rPr>
        <w:t xml:space="preserve">. 3, Available online: </w:t>
      </w:r>
      <w:hyperlink r:id="rId141">
        <w:r w:rsidRPr="00C63180">
          <w:rPr>
            <w:rFonts w:ascii="Times New Roman" w:eastAsia="Times New Roman" w:hAnsi="Times New Roman" w:cs="Times New Roman"/>
            <w:color w:val="1155CC"/>
            <w:u w:val="single"/>
          </w:rPr>
          <w:t>https://journals.sagepub.com/doi/pdf/10.1177/001979399705000301</w:t>
        </w:r>
      </w:hyperlink>
      <w:r w:rsidRPr="00C63180">
        <w:rPr>
          <w:rFonts w:ascii="Times New Roman" w:eastAsia="Times New Roman" w:hAnsi="Times New Roman" w:cs="Times New Roman"/>
        </w:rPr>
        <w:t xml:space="preserve">, [Accessed 17 February 2020]. </w:t>
      </w:r>
    </w:p>
    <w:p w14:paraId="1814C895" w14:textId="77777777" w:rsidR="00B84936" w:rsidRPr="00C63180" w:rsidRDefault="00B84936">
      <w:pPr>
        <w:spacing w:line="276" w:lineRule="auto"/>
        <w:rPr>
          <w:rFonts w:ascii="Times New Roman" w:eastAsia="Times New Roman" w:hAnsi="Times New Roman" w:cs="Times New Roman"/>
        </w:rPr>
      </w:pPr>
    </w:p>
    <w:p w14:paraId="705FBF7D" w14:textId="77777777" w:rsidR="00B84936" w:rsidRPr="00C63180" w:rsidRDefault="001D1521" w:rsidP="00641A69">
      <w:pPr>
        <w:ind w:left="720" w:hanging="720"/>
        <w:rPr>
          <w:rFonts w:ascii="Times New Roman" w:eastAsia="Times New Roman" w:hAnsi="Times New Roman" w:cs="Times New Roman"/>
        </w:rPr>
      </w:pPr>
      <w:proofErr w:type="spellStart"/>
      <w:proofErr w:type="gramStart"/>
      <w:r w:rsidRPr="00C63180">
        <w:rPr>
          <w:rFonts w:ascii="Times New Roman" w:eastAsia="Times New Roman" w:hAnsi="Times New Roman" w:cs="Times New Roman"/>
        </w:rPr>
        <w:lastRenderedPageBreak/>
        <w:t>Welbourne</w:t>
      </w:r>
      <w:proofErr w:type="spellEnd"/>
      <w:r w:rsidRPr="00C63180">
        <w:rPr>
          <w:rFonts w:ascii="Times New Roman" w:eastAsia="Times New Roman" w:hAnsi="Times New Roman" w:cs="Times New Roman"/>
        </w:rPr>
        <w:t xml:space="preserve">, T.M.; Rolf, S.; </w:t>
      </w:r>
      <w:proofErr w:type="spellStart"/>
      <w:r w:rsidRPr="00C63180">
        <w:rPr>
          <w:rFonts w:ascii="Times New Roman" w:eastAsia="Times New Roman" w:hAnsi="Times New Roman" w:cs="Times New Roman"/>
        </w:rPr>
        <w:t>Schlachter</w:t>
      </w:r>
      <w:proofErr w:type="spellEnd"/>
      <w:r w:rsidRPr="00C63180">
        <w:rPr>
          <w:rFonts w:ascii="Times New Roman" w:eastAsia="Times New Roman" w:hAnsi="Times New Roman" w:cs="Times New Roman"/>
        </w:rPr>
        <w:t>, S. (2017).</w:t>
      </w:r>
      <w:proofErr w:type="gramEnd"/>
      <w:r w:rsidRPr="00C63180">
        <w:rPr>
          <w:rFonts w:ascii="Times New Roman" w:eastAsia="Times New Roman" w:hAnsi="Times New Roman" w:cs="Times New Roman"/>
        </w:rPr>
        <w:t xml:space="preserve"> “The Case for Employee Resource Groups: A Review and Social Theory-Based Research Agenda,” </w:t>
      </w:r>
      <w:r w:rsidRPr="00C63180">
        <w:rPr>
          <w:rFonts w:ascii="Times New Roman" w:eastAsia="Times New Roman" w:hAnsi="Times New Roman" w:cs="Times New Roman"/>
          <w:i/>
        </w:rPr>
        <w:t>Personnel Review</w:t>
      </w:r>
      <w:r w:rsidRPr="00C63180">
        <w:rPr>
          <w:rFonts w:ascii="Times New Roman" w:eastAsia="Times New Roman" w:hAnsi="Times New Roman" w:cs="Times New Roman"/>
        </w:rPr>
        <w:t xml:space="preserve">, Vol. 46, No. 8, pp. 1816-1834, Available online: </w:t>
      </w:r>
      <w:hyperlink r:id="rId142">
        <w:r w:rsidRPr="00C63180">
          <w:rPr>
            <w:rFonts w:ascii="Times New Roman" w:eastAsia="Times New Roman" w:hAnsi="Times New Roman" w:cs="Times New Roman"/>
            <w:color w:val="1155CC"/>
            <w:u w:val="single"/>
          </w:rPr>
          <w:t>https://doi.org/10.1108/PR-01-2016-0004</w:t>
        </w:r>
      </w:hyperlink>
      <w:r w:rsidRPr="00C63180">
        <w:rPr>
          <w:rFonts w:ascii="Times New Roman" w:eastAsia="Times New Roman" w:hAnsi="Times New Roman" w:cs="Times New Roman"/>
        </w:rPr>
        <w:t xml:space="preserve">, [Accessed 18 March 2020]. </w:t>
      </w:r>
    </w:p>
    <w:p w14:paraId="24420391" w14:textId="77777777" w:rsidR="00B84936" w:rsidRPr="00C63180" w:rsidRDefault="00B84936">
      <w:pPr>
        <w:spacing w:line="276" w:lineRule="auto"/>
        <w:rPr>
          <w:rFonts w:ascii="Times New Roman" w:eastAsia="Times New Roman" w:hAnsi="Times New Roman" w:cs="Times New Roman"/>
        </w:rPr>
      </w:pPr>
    </w:p>
    <w:p w14:paraId="138F8D8C"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World Inequality Lab. (2018).</w:t>
      </w:r>
      <w:proofErr w:type="gramEnd"/>
      <w:r w:rsidRPr="00C63180">
        <w:rPr>
          <w:rFonts w:ascii="Times New Roman" w:eastAsia="Times New Roman" w:hAnsi="Times New Roman" w:cs="Times New Roman"/>
        </w:rPr>
        <w:t xml:space="preserve"> “World Inequality Report.” </w:t>
      </w:r>
      <w:r w:rsidRPr="00C63180">
        <w:rPr>
          <w:rFonts w:ascii="Times New Roman" w:eastAsia="Times New Roman" w:hAnsi="Times New Roman" w:cs="Times New Roman"/>
          <w:i/>
        </w:rPr>
        <w:t>World Wealth &amp; Income Database</w:t>
      </w:r>
      <w:r w:rsidRPr="00C63180">
        <w:rPr>
          <w:rFonts w:ascii="Times New Roman" w:eastAsia="Times New Roman" w:hAnsi="Times New Roman" w:cs="Times New Roman"/>
        </w:rPr>
        <w:t xml:space="preserve">, Available online: </w:t>
      </w:r>
      <w:hyperlink r:id="rId143">
        <w:r w:rsidRPr="00C63180">
          <w:rPr>
            <w:rFonts w:ascii="Times New Roman" w:eastAsia="Times New Roman" w:hAnsi="Times New Roman" w:cs="Times New Roman"/>
            <w:color w:val="1155CC"/>
            <w:u w:val="single"/>
          </w:rPr>
          <w:t>https://wir2018.wid.world/files/download/wir-presentation.pdf</w:t>
        </w:r>
      </w:hyperlink>
      <w:r w:rsidRPr="00C63180">
        <w:rPr>
          <w:rFonts w:ascii="Times New Roman" w:eastAsia="Times New Roman" w:hAnsi="Times New Roman" w:cs="Times New Roman"/>
        </w:rPr>
        <w:t xml:space="preserve">, [Accessed 20 January 2020]. </w:t>
      </w:r>
    </w:p>
    <w:p w14:paraId="0535EC5C" w14:textId="77777777" w:rsidR="00B84936" w:rsidRPr="00C63180" w:rsidRDefault="00B84936">
      <w:pPr>
        <w:rPr>
          <w:rFonts w:ascii="Times New Roman" w:eastAsia="Times New Roman" w:hAnsi="Times New Roman" w:cs="Times New Roman"/>
        </w:rPr>
      </w:pPr>
    </w:p>
    <w:p w14:paraId="00B93741" w14:textId="77777777" w:rsidR="00B84936" w:rsidRPr="00C63180" w:rsidRDefault="001D1521" w:rsidP="00641A69">
      <w:pPr>
        <w:ind w:left="720" w:hanging="720"/>
        <w:rPr>
          <w:rFonts w:ascii="Times New Roman" w:eastAsia="Times New Roman" w:hAnsi="Times New Roman" w:cs="Times New Roman"/>
        </w:rPr>
      </w:pPr>
      <w:proofErr w:type="gramStart"/>
      <w:r w:rsidRPr="00C63180">
        <w:rPr>
          <w:rFonts w:ascii="Times New Roman" w:eastAsia="Times New Roman" w:hAnsi="Times New Roman" w:cs="Times New Roman"/>
        </w:rPr>
        <w:t xml:space="preserve">Wray, L.R., </w:t>
      </w:r>
      <w:proofErr w:type="spellStart"/>
      <w:r w:rsidRPr="00C63180">
        <w:rPr>
          <w:rFonts w:ascii="Times New Roman" w:eastAsia="Times New Roman" w:hAnsi="Times New Roman" w:cs="Times New Roman"/>
        </w:rPr>
        <w:t>Dantas</w:t>
      </w:r>
      <w:proofErr w:type="spellEnd"/>
      <w:r w:rsidRPr="00C63180">
        <w:rPr>
          <w:rFonts w:ascii="Times New Roman" w:eastAsia="Times New Roman" w:hAnsi="Times New Roman" w:cs="Times New Roman"/>
        </w:rPr>
        <w:t xml:space="preserve">, F., </w:t>
      </w:r>
      <w:proofErr w:type="spellStart"/>
      <w:r w:rsidRPr="00C63180">
        <w:rPr>
          <w:rFonts w:ascii="Times New Roman" w:eastAsia="Times New Roman" w:hAnsi="Times New Roman" w:cs="Times New Roman"/>
        </w:rPr>
        <w:t>Fullwiler</w:t>
      </w:r>
      <w:proofErr w:type="spellEnd"/>
      <w:r w:rsidRPr="00C63180">
        <w:rPr>
          <w:rFonts w:ascii="Times New Roman" w:eastAsia="Times New Roman" w:hAnsi="Times New Roman" w:cs="Times New Roman"/>
        </w:rPr>
        <w:t xml:space="preserve">, S., </w:t>
      </w:r>
      <w:proofErr w:type="spellStart"/>
      <w:r w:rsidRPr="00C63180">
        <w:rPr>
          <w:rFonts w:ascii="Times New Roman" w:eastAsia="Times New Roman" w:hAnsi="Times New Roman" w:cs="Times New Roman"/>
        </w:rPr>
        <w:t>Tcherneva</w:t>
      </w:r>
      <w:proofErr w:type="spellEnd"/>
      <w:r w:rsidRPr="00C63180">
        <w:rPr>
          <w:rFonts w:ascii="Times New Roman" w:eastAsia="Times New Roman" w:hAnsi="Times New Roman" w:cs="Times New Roman"/>
        </w:rPr>
        <w:t xml:space="preserve">, P.R., &amp; </w:t>
      </w:r>
      <w:proofErr w:type="spellStart"/>
      <w:r w:rsidRPr="00C63180">
        <w:rPr>
          <w:rFonts w:ascii="Times New Roman" w:eastAsia="Times New Roman" w:hAnsi="Times New Roman" w:cs="Times New Roman"/>
        </w:rPr>
        <w:t>Kelton</w:t>
      </w:r>
      <w:proofErr w:type="spellEnd"/>
      <w:r w:rsidRPr="00C63180">
        <w:rPr>
          <w:rFonts w:ascii="Times New Roman" w:eastAsia="Times New Roman" w:hAnsi="Times New Roman" w:cs="Times New Roman"/>
        </w:rPr>
        <w:t>, S.A. (2018).</w:t>
      </w:r>
      <w:proofErr w:type="gramEnd"/>
      <w:r w:rsidRPr="00C63180">
        <w:rPr>
          <w:rFonts w:ascii="Times New Roman" w:eastAsia="Times New Roman" w:hAnsi="Times New Roman" w:cs="Times New Roman"/>
        </w:rPr>
        <w:t xml:space="preserve"> “Public Service Employment: A Path to Full Employment,” </w:t>
      </w:r>
      <w:r w:rsidRPr="00C63180">
        <w:rPr>
          <w:rFonts w:ascii="Times New Roman" w:eastAsia="Times New Roman" w:hAnsi="Times New Roman" w:cs="Times New Roman"/>
          <w:i/>
        </w:rPr>
        <w:t>Levy Economics Institute of Bard College,</w:t>
      </w:r>
      <w:r w:rsidRPr="00C63180">
        <w:rPr>
          <w:rFonts w:ascii="Times New Roman" w:eastAsia="Times New Roman" w:hAnsi="Times New Roman" w:cs="Times New Roman"/>
        </w:rPr>
        <w:t xml:space="preserve"> Available online: </w:t>
      </w:r>
      <w:hyperlink r:id="rId144">
        <w:r w:rsidRPr="00C63180">
          <w:rPr>
            <w:rFonts w:ascii="Times New Roman" w:eastAsia="Times New Roman" w:hAnsi="Times New Roman" w:cs="Times New Roman"/>
            <w:color w:val="1155CC"/>
            <w:u w:val="single"/>
          </w:rPr>
          <w:t>http://www.levyinstitute.org/publications/public-service-employment-a-path-to-full-employment</w:t>
        </w:r>
      </w:hyperlink>
      <w:r w:rsidRPr="00C63180">
        <w:rPr>
          <w:rFonts w:ascii="Times New Roman" w:eastAsia="Times New Roman" w:hAnsi="Times New Roman" w:cs="Times New Roman"/>
        </w:rPr>
        <w:t>, [Accessed 2 January 2020]. </w:t>
      </w:r>
    </w:p>
    <w:p w14:paraId="5C896412" w14:textId="77777777" w:rsidR="00B84936" w:rsidRPr="00C63180" w:rsidRDefault="00B84936">
      <w:pPr>
        <w:rPr>
          <w:rFonts w:ascii="Times New Roman" w:eastAsia="Times New Roman" w:hAnsi="Times New Roman" w:cs="Times New Roman"/>
        </w:rPr>
      </w:pPr>
    </w:p>
    <w:p w14:paraId="1DD0EDDE" w14:textId="77777777" w:rsidR="00B84936" w:rsidRPr="00C63180" w:rsidRDefault="001D1521" w:rsidP="00641A69">
      <w:pPr>
        <w:ind w:left="720" w:hanging="720"/>
        <w:rPr>
          <w:rFonts w:ascii="Times New Roman" w:eastAsia="Times New Roman" w:hAnsi="Times New Roman" w:cs="Times New Roman"/>
          <w:sz w:val="20"/>
          <w:szCs w:val="20"/>
        </w:rPr>
      </w:pPr>
      <w:r w:rsidRPr="00C63180">
        <w:rPr>
          <w:rFonts w:ascii="Times New Roman" w:eastAsia="Times New Roman" w:hAnsi="Times New Roman" w:cs="Times New Roman"/>
        </w:rPr>
        <w:t xml:space="preserve">Wray, L.R. (2018). “Policy Note: A Consensus Strategy for a Universal Job Guarantee Program,” </w:t>
      </w:r>
      <w:r w:rsidRPr="00C63180">
        <w:rPr>
          <w:rFonts w:ascii="Times New Roman" w:eastAsia="Times New Roman" w:hAnsi="Times New Roman" w:cs="Times New Roman"/>
          <w:i/>
        </w:rPr>
        <w:t>Levy Economics Institute of Bard College</w:t>
      </w:r>
      <w:r w:rsidRPr="00C63180">
        <w:rPr>
          <w:rFonts w:ascii="Times New Roman" w:eastAsia="Times New Roman" w:hAnsi="Times New Roman" w:cs="Times New Roman"/>
        </w:rPr>
        <w:t xml:space="preserve">, Available online: </w:t>
      </w:r>
      <w:hyperlink r:id="rId145">
        <w:r w:rsidRPr="00C63180">
          <w:rPr>
            <w:rFonts w:ascii="Times New Roman" w:eastAsia="Times New Roman" w:hAnsi="Times New Roman" w:cs="Times New Roman"/>
            <w:color w:val="1155CC"/>
            <w:u w:val="single"/>
          </w:rPr>
          <w:t>http://www.levyinstitute.org/pubs/pn_2018_3.pdf</w:t>
        </w:r>
      </w:hyperlink>
      <w:r w:rsidRPr="00C63180">
        <w:rPr>
          <w:rFonts w:ascii="Times New Roman" w:eastAsia="Times New Roman" w:hAnsi="Times New Roman" w:cs="Times New Roman"/>
        </w:rPr>
        <w:t>, [Accessed 2 January 2020]. </w:t>
      </w:r>
    </w:p>
    <w:p w14:paraId="73422F18" w14:textId="77777777" w:rsidR="00B84936" w:rsidRPr="00C63180" w:rsidRDefault="00B84936">
      <w:pPr>
        <w:rPr>
          <w:rFonts w:ascii="Times New Roman" w:eastAsia="Times New Roman" w:hAnsi="Times New Roman" w:cs="Times New Roman"/>
        </w:rPr>
      </w:pPr>
    </w:p>
    <w:sectPr w:rsidR="00B84936" w:rsidRPr="00C63180">
      <w:headerReference w:type="even" r:id="rId146"/>
      <w:headerReference w:type="default" r:id="rId147"/>
      <w:pgSz w:w="12240" w:h="15840"/>
      <w:pgMar w:top="1440" w:right="1800" w:bottom="1440" w:left="1800" w:header="72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8760F" w14:textId="77777777" w:rsidR="00134B6B" w:rsidRDefault="00134B6B">
      <w:r>
        <w:separator/>
      </w:r>
    </w:p>
  </w:endnote>
  <w:endnote w:type="continuationSeparator" w:id="0">
    <w:p w14:paraId="0D88F04A" w14:textId="77777777" w:rsidR="00134B6B" w:rsidRDefault="00134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altName w:val="Times New Roman"/>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0EADB0" w14:textId="77777777" w:rsidR="00134B6B" w:rsidRDefault="00134B6B">
      <w:r>
        <w:separator/>
      </w:r>
    </w:p>
  </w:footnote>
  <w:footnote w:type="continuationSeparator" w:id="0">
    <w:p w14:paraId="7E2496AF" w14:textId="77777777" w:rsidR="00134B6B" w:rsidRDefault="00134B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58E42" w14:textId="77777777" w:rsidR="00134B6B" w:rsidRDefault="00134B6B">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213F5218" w14:textId="77777777" w:rsidR="00134B6B" w:rsidRDefault="00134B6B">
    <w:pPr>
      <w:pBdr>
        <w:top w:val="nil"/>
        <w:left w:val="nil"/>
        <w:bottom w:val="nil"/>
        <w:right w:val="nil"/>
        <w:between w:val="nil"/>
      </w:pBdr>
      <w:tabs>
        <w:tab w:val="center" w:pos="4320"/>
        <w:tab w:val="right" w:pos="8640"/>
      </w:tabs>
      <w:ind w:right="360"/>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A257C" w14:textId="77777777" w:rsidR="00134B6B" w:rsidRDefault="00134B6B">
    <w:pPr>
      <w:pBdr>
        <w:top w:val="nil"/>
        <w:left w:val="nil"/>
        <w:bottom w:val="nil"/>
        <w:right w:val="nil"/>
        <w:between w:val="nil"/>
      </w:pBdr>
      <w:tabs>
        <w:tab w:val="center" w:pos="4320"/>
        <w:tab w:val="right" w:pos="8640"/>
      </w:tabs>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Fernando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3D274D">
      <w:rPr>
        <w:rFonts w:ascii="Times New Roman" w:eastAsia="Times New Roman" w:hAnsi="Times New Roman" w:cs="Times New Roman"/>
        <w:noProof/>
        <w:color w:val="000000"/>
      </w:rPr>
      <w:t>3</w:t>
    </w:r>
    <w:r>
      <w:rPr>
        <w:rFonts w:ascii="Times New Roman" w:eastAsia="Times New Roman" w:hAnsi="Times New Roman" w:cs="Times New Roman"/>
        <w:color w:val="000000"/>
      </w:rPr>
      <w:fldChar w:fldCharType="end"/>
    </w:r>
  </w:p>
  <w:p w14:paraId="0B4CF206" w14:textId="77777777" w:rsidR="00134B6B" w:rsidRDefault="00134B6B">
    <w:pPr>
      <w:pBdr>
        <w:top w:val="nil"/>
        <w:left w:val="nil"/>
        <w:bottom w:val="nil"/>
        <w:right w:val="nil"/>
        <w:between w:val="nil"/>
      </w:pBdr>
      <w:tabs>
        <w:tab w:val="center" w:pos="4320"/>
        <w:tab w:val="right" w:pos="8640"/>
      </w:tabs>
      <w:ind w:right="360"/>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6444A"/>
    <w:multiLevelType w:val="multilevel"/>
    <w:tmpl w:val="FC944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F1D6071"/>
    <w:multiLevelType w:val="multilevel"/>
    <w:tmpl w:val="3564A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29F5F25"/>
    <w:multiLevelType w:val="multilevel"/>
    <w:tmpl w:val="C8DC4A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6B421751"/>
    <w:multiLevelType w:val="multilevel"/>
    <w:tmpl w:val="6E24E4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84936"/>
    <w:rsid w:val="00024374"/>
    <w:rsid w:val="00107166"/>
    <w:rsid w:val="00134B6B"/>
    <w:rsid w:val="001D1521"/>
    <w:rsid w:val="00217056"/>
    <w:rsid w:val="00276C14"/>
    <w:rsid w:val="0031011C"/>
    <w:rsid w:val="00336BB7"/>
    <w:rsid w:val="00360673"/>
    <w:rsid w:val="003D274D"/>
    <w:rsid w:val="004E5410"/>
    <w:rsid w:val="005973F9"/>
    <w:rsid w:val="00630690"/>
    <w:rsid w:val="00641A69"/>
    <w:rsid w:val="006D53F9"/>
    <w:rsid w:val="00716C9E"/>
    <w:rsid w:val="007835B8"/>
    <w:rsid w:val="00861DF6"/>
    <w:rsid w:val="00867841"/>
    <w:rsid w:val="008E087E"/>
    <w:rsid w:val="009220EB"/>
    <w:rsid w:val="009464B3"/>
    <w:rsid w:val="009E4D3A"/>
    <w:rsid w:val="00A64106"/>
    <w:rsid w:val="00AE696A"/>
    <w:rsid w:val="00B72598"/>
    <w:rsid w:val="00B84936"/>
    <w:rsid w:val="00BD0DD1"/>
    <w:rsid w:val="00C037F3"/>
    <w:rsid w:val="00C63180"/>
    <w:rsid w:val="00CA61F0"/>
    <w:rsid w:val="00EB1968"/>
    <w:rsid w:val="00F15025"/>
    <w:rsid w:val="00F269C6"/>
    <w:rsid w:val="00F30C77"/>
    <w:rsid w:val="00F476A7"/>
    <w:rsid w:val="00F562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17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745D"/>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B745D"/>
    <w:pPr>
      <w:spacing w:before="100" w:beforeAutospacing="1" w:after="100" w:afterAutospacing="1"/>
      <w:outlineLvl w:val="1"/>
    </w:pPr>
    <w:rPr>
      <w:rFonts w:ascii="Times" w:hAnsi="Times"/>
      <w:b/>
      <w:bCs/>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character" w:customStyle="1" w:styleId="Heading1Char">
    <w:name w:val="Heading 1 Char"/>
    <w:basedOn w:val="DefaultParagraphFont"/>
    <w:link w:val="Heading1"/>
    <w:uiPriority w:val="9"/>
    <w:rsid w:val="001B745D"/>
    <w:rPr>
      <w:rFonts w:ascii="Times" w:hAnsi="Times"/>
      <w:b/>
      <w:bCs/>
      <w:kern w:val="36"/>
      <w:sz w:val="48"/>
      <w:szCs w:val="48"/>
    </w:rPr>
  </w:style>
  <w:style w:type="character" w:customStyle="1" w:styleId="Heading2Char">
    <w:name w:val="Heading 2 Char"/>
    <w:basedOn w:val="DefaultParagraphFont"/>
    <w:link w:val="Heading2"/>
    <w:uiPriority w:val="9"/>
    <w:rsid w:val="001B745D"/>
    <w:rPr>
      <w:rFonts w:ascii="Times" w:hAnsi="Times"/>
      <w:b/>
      <w:bCs/>
      <w:sz w:val="36"/>
      <w:szCs w:val="36"/>
    </w:rPr>
  </w:style>
  <w:style w:type="paragraph" w:customStyle="1" w:styleId="Normal1">
    <w:name w:val="Normal1"/>
    <w:rsid w:val="001B745D"/>
    <w:pPr>
      <w:spacing w:line="276" w:lineRule="auto"/>
    </w:pPr>
    <w:rPr>
      <w:rFonts w:ascii="Arial" w:eastAsia="Arial" w:hAnsi="Arial" w:cs="Arial"/>
      <w:sz w:val="22"/>
      <w:szCs w:val="22"/>
      <w:lang w:val="en"/>
    </w:rPr>
  </w:style>
  <w:style w:type="paragraph" w:styleId="NormalWeb">
    <w:name w:val="Normal (Web)"/>
    <w:basedOn w:val="Normal"/>
    <w:uiPriority w:val="99"/>
    <w:unhideWhenUsed/>
    <w:rsid w:val="001B745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1B745D"/>
    <w:rPr>
      <w:color w:val="0000FF"/>
      <w:u w:val="single"/>
    </w:rPr>
  </w:style>
  <w:style w:type="character" w:styleId="FollowedHyperlink">
    <w:name w:val="FollowedHyperlink"/>
    <w:basedOn w:val="DefaultParagraphFont"/>
    <w:uiPriority w:val="99"/>
    <w:semiHidden/>
    <w:unhideWhenUsed/>
    <w:rsid w:val="001B745D"/>
    <w:rPr>
      <w:color w:val="800080"/>
      <w:u w:val="single"/>
    </w:rPr>
  </w:style>
  <w:style w:type="paragraph" w:styleId="BalloonText">
    <w:name w:val="Balloon Text"/>
    <w:basedOn w:val="Normal"/>
    <w:link w:val="BalloonTextChar"/>
    <w:uiPriority w:val="99"/>
    <w:semiHidden/>
    <w:unhideWhenUsed/>
    <w:rsid w:val="001B7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5D"/>
    <w:rPr>
      <w:rFonts w:ascii="Lucida Grande" w:hAnsi="Lucida Grande" w:cs="Lucida Grande"/>
      <w:sz w:val="18"/>
      <w:szCs w:val="18"/>
    </w:rPr>
  </w:style>
  <w:style w:type="paragraph" w:styleId="Header">
    <w:name w:val="header"/>
    <w:basedOn w:val="Normal"/>
    <w:link w:val="HeaderChar"/>
    <w:uiPriority w:val="99"/>
    <w:unhideWhenUsed/>
    <w:rsid w:val="00B53781"/>
    <w:pPr>
      <w:tabs>
        <w:tab w:val="center" w:pos="4320"/>
        <w:tab w:val="right" w:pos="8640"/>
      </w:tabs>
    </w:pPr>
  </w:style>
  <w:style w:type="character" w:customStyle="1" w:styleId="HeaderChar">
    <w:name w:val="Header Char"/>
    <w:basedOn w:val="DefaultParagraphFont"/>
    <w:link w:val="Header"/>
    <w:uiPriority w:val="99"/>
    <w:rsid w:val="00B53781"/>
  </w:style>
  <w:style w:type="character" w:styleId="PageNumber">
    <w:name w:val="page number"/>
    <w:basedOn w:val="DefaultParagraphFont"/>
    <w:uiPriority w:val="99"/>
    <w:semiHidden/>
    <w:unhideWhenUsed/>
    <w:rsid w:val="00B53781"/>
  </w:style>
  <w:style w:type="paragraph" w:styleId="TOCHeading">
    <w:name w:val="TOC Heading"/>
    <w:basedOn w:val="Heading1"/>
    <w:next w:val="Normal"/>
    <w:uiPriority w:val="39"/>
    <w:unhideWhenUsed/>
    <w:qFormat/>
    <w:rsid w:val="00B5378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76C14"/>
    <w:pPr>
      <w:tabs>
        <w:tab w:val="right" w:leader="dot" w:pos="8630"/>
      </w:tabs>
      <w:spacing w:before="120" w:line="276" w:lineRule="auto"/>
    </w:pPr>
    <w:rPr>
      <w:rFonts w:asciiTheme="minorHAnsi" w:hAnsiTheme="minorHAnsi"/>
      <w:b/>
    </w:rPr>
  </w:style>
  <w:style w:type="paragraph" w:styleId="TOC2">
    <w:name w:val="toc 2"/>
    <w:basedOn w:val="Normal"/>
    <w:next w:val="Normal"/>
    <w:autoRedefine/>
    <w:uiPriority w:val="39"/>
    <w:unhideWhenUsed/>
    <w:rsid w:val="00F476A7"/>
    <w:pPr>
      <w:tabs>
        <w:tab w:val="right" w:leader="dot" w:pos="8630"/>
      </w:tabs>
      <w:ind w:left="240"/>
    </w:pPr>
    <w:rPr>
      <w:rFonts w:asciiTheme="minorHAnsi" w:hAnsiTheme="minorHAnsi"/>
      <w:noProof/>
      <w:sz w:val="22"/>
      <w:szCs w:val="22"/>
    </w:rPr>
  </w:style>
  <w:style w:type="paragraph" w:styleId="TOC3">
    <w:name w:val="toc 3"/>
    <w:basedOn w:val="Normal"/>
    <w:next w:val="Normal"/>
    <w:autoRedefine/>
    <w:uiPriority w:val="39"/>
    <w:unhideWhenUsed/>
    <w:rsid w:val="00B53781"/>
    <w:pPr>
      <w:ind w:left="480"/>
    </w:pPr>
    <w:rPr>
      <w:rFonts w:asciiTheme="minorHAnsi" w:hAnsiTheme="minorHAnsi"/>
      <w:sz w:val="22"/>
      <w:szCs w:val="22"/>
    </w:rPr>
  </w:style>
  <w:style w:type="paragraph" w:styleId="TOC4">
    <w:name w:val="toc 4"/>
    <w:basedOn w:val="Normal"/>
    <w:next w:val="Normal"/>
    <w:autoRedefine/>
    <w:uiPriority w:val="39"/>
    <w:unhideWhenUsed/>
    <w:rsid w:val="00B53781"/>
    <w:pPr>
      <w:ind w:left="720"/>
    </w:pPr>
    <w:rPr>
      <w:rFonts w:asciiTheme="minorHAnsi" w:hAnsiTheme="minorHAnsi"/>
      <w:sz w:val="20"/>
      <w:szCs w:val="20"/>
    </w:rPr>
  </w:style>
  <w:style w:type="paragraph" w:styleId="TOC5">
    <w:name w:val="toc 5"/>
    <w:basedOn w:val="Normal"/>
    <w:next w:val="Normal"/>
    <w:autoRedefine/>
    <w:uiPriority w:val="39"/>
    <w:unhideWhenUsed/>
    <w:rsid w:val="00B53781"/>
    <w:pPr>
      <w:ind w:left="960"/>
    </w:pPr>
    <w:rPr>
      <w:rFonts w:asciiTheme="minorHAnsi" w:hAnsiTheme="minorHAnsi"/>
      <w:sz w:val="20"/>
      <w:szCs w:val="20"/>
    </w:rPr>
  </w:style>
  <w:style w:type="paragraph" w:styleId="TOC6">
    <w:name w:val="toc 6"/>
    <w:basedOn w:val="Normal"/>
    <w:next w:val="Normal"/>
    <w:autoRedefine/>
    <w:uiPriority w:val="39"/>
    <w:unhideWhenUsed/>
    <w:rsid w:val="00B53781"/>
    <w:pPr>
      <w:ind w:left="1200"/>
    </w:pPr>
    <w:rPr>
      <w:rFonts w:asciiTheme="minorHAnsi" w:hAnsiTheme="minorHAnsi"/>
      <w:sz w:val="20"/>
      <w:szCs w:val="20"/>
    </w:rPr>
  </w:style>
  <w:style w:type="paragraph" w:styleId="TOC7">
    <w:name w:val="toc 7"/>
    <w:basedOn w:val="Normal"/>
    <w:next w:val="Normal"/>
    <w:autoRedefine/>
    <w:uiPriority w:val="39"/>
    <w:unhideWhenUsed/>
    <w:rsid w:val="00B53781"/>
    <w:pPr>
      <w:ind w:left="1440"/>
    </w:pPr>
    <w:rPr>
      <w:rFonts w:asciiTheme="minorHAnsi" w:hAnsiTheme="minorHAnsi"/>
      <w:sz w:val="20"/>
      <w:szCs w:val="20"/>
    </w:rPr>
  </w:style>
  <w:style w:type="paragraph" w:styleId="TOC8">
    <w:name w:val="toc 8"/>
    <w:basedOn w:val="Normal"/>
    <w:next w:val="Normal"/>
    <w:autoRedefine/>
    <w:uiPriority w:val="39"/>
    <w:unhideWhenUsed/>
    <w:rsid w:val="00B53781"/>
    <w:pPr>
      <w:ind w:left="1680"/>
    </w:pPr>
    <w:rPr>
      <w:rFonts w:asciiTheme="minorHAnsi" w:hAnsiTheme="minorHAnsi"/>
      <w:sz w:val="20"/>
      <w:szCs w:val="20"/>
    </w:rPr>
  </w:style>
  <w:style w:type="paragraph" w:styleId="TOC9">
    <w:name w:val="toc 9"/>
    <w:basedOn w:val="Normal"/>
    <w:next w:val="Normal"/>
    <w:autoRedefine/>
    <w:uiPriority w:val="39"/>
    <w:unhideWhenUsed/>
    <w:rsid w:val="00B53781"/>
    <w:pPr>
      <w:ind w:left="1920"/>
    </w:pPr>
    <w:rPr>
      <w:rFonts w:asciiTheme="minorHAnsi" w:hAnsiTheme="minorHAnsi"/>
      <w:sz w:val="20"/>
      <w:szCs w:val="20"/>
    </w:rPr>
  </w:style>
  <w:style w:type="paragraph" w:styleId="Footer">
    <w:name w:val="footer"/>
    <w:basedOn w:val="Normal"/>
    <w:link w:val="FooterChar"/>
    <w:uiPriority w:val="99"/>
    <w:unhideWhenUsed/>
    <w:rsid w:val="006037FC"/>
    <w:pPr>
      <w:tabs>
        <w:tab w:val="center" w:pos="4320"/>
        <w:tab w:val="right" w:pos="8640"/>
      </w:tabs>
    </w:pPr>
  </w:style>
  <w:style w:type="character" w:customStyle="1" w:styleId="FooterChar">
    <w:name w:val="Footer Char"/>
    <w:basedOn w:val="DefaultParagraphFont"/>
    <w:link w:val="Footer"/>
    <w:uiPriority w:val="99"/>
    <w:rsid w:val="006037FC"/>
  </w:style>
  <w:style w:type="paragraph" w:styleId="Caption">
    <w:name w:val="caption"/>
    <w:basedOn w:val="Normal"/>
    <w:next w:val="Normal"/>
    <w:qFormat/>
    <w:rsid w:val="00C34A0B"/>
    <w:rPr>
      <w:rFonts w:ascii="Times New Roman" w:eastAsia="Times New Roman" w:hAnsi="Times New Roman" w:cs="Times New Roman"/>
      <w:szCs w:val="20"/>
      <w:lang w:val="en-GB"/>
    </w:rPr>
  </w:style>
  <w:style w:type="character" w:customStyle="1" w:styleId="cls-response">
    <w:name w:val="cls-response"/>
    <w:basedOn w:val="DefaultParagraphFont"/>
    <w:rsid w:val="000A54BA"/>
  </w:style>
  <w:style w:type="character" w:customStyle="1" w:styleId="u-clearfix">
    <w:name w:val="u-clearfix"/>
    <w:basedOn w:val="DefaultParagraphFont"/>
    <w:rsid w:val="00DD6C7E"/>
  </w:style>
  <w:style w:type="character" w:styleId="CommentReference">
    <w:name w:val="annotation reference"/>
    <w:basedOn w:val="DefaultParagraphFont"/>
    <w:uiPriority w:val="99"/>
    <w:semiHidden/>
    <w:unhideWhenUsed/>
    <w:rsid w:val="006D6BFA"/>
    <w:rPr>
      <w:sz w:val="16"/>
      <w:szCs w:val="16"/>
    </w:rPr>
  </w:style>
  <w:style w:type="paragraph" w:styleId="CommentText">
    <w:name w:val="annotation text"/>
    <w:basedOn w:val="Normal"/>
    <w:link w:val="CommentTextChar"/>
    <w:uiPriority w:val="99"/>
    <w:semiHidden/>
    <w:unhideWhenUsed/>
    <w:rsid w:val="006D6BFA"/>
    <w:rPr>
      <w:sz w:val="20"/>
      <w:szCs w:val="20"/>
    </w:rPr>
  </w:style>
  <w:style w:type="character" w:customStyle="1" w:styleId="CommentTextChar">
    <w:name w:val="Comment Text Char"/>
    <w:basedOn w:val="DefaultParagraphFont"/>
    <w:link w:val="CommentText"/>
    <w:uiPriority w:val="99"/>
    <w:semiHidden/>
    <w:rsid w:val="006D6BFA"/>
    <w:rPr>
      <w:sz w:val="20"/>
      <w:szCs w:val="20"/>
    </w:rPr>
  </w:style>
  <w:style w:type="paragraph" w:styleId="CommentSubject">
    <w:name w:val="annotation subject"/>
    <w:basedOn w:val="CommentText"/>
    <w:next w:val="CommentText"/>
    <w:link w:val="CommentSubjectChar"/>
    <w:uiPriority w:val="99"/>
    <w:semiHidden/>
    <w:unhideWhenUsed/>
    <w:rsid w:val="006D6BFA"/>
    <w:rPr>
      <w:b/>
      <w:bCs/>
    </w:rPr>
  </w:style>
  <w:style w:type="character" w:customStyle="1" w:styleId="CommentSubjectChar">
    <w:name w:val="Comment Subject Char"/>
    <w:basedOn w:val="CommentTextChar"/>
    <w:link w:val="CommentSubject"/>
    <w:uiPriority w:val="99"/>
    <w:semiHidden/>
    <w:rsid w:val="006D6BFA"/>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Cambri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745D"/>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B745D"/>
    <w:pPr>
      <w:spacing w:before="100" w:beforeAutospacing="1" w:after="100" w:afterAutospacing="1"/>
      <w:outlineLvl w:val="1"/>
    </w:pPr>
    <w:rPr>
      <w:rFonts w:ascii="Times" w:hAnsi="Times"/>
      <w:b/>
      <w:bCs/>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character" w:customStyle="1" w:styleId="Heading1Char">
    <w:name w:val="Heading 1 Char"/>
    <w:basedOn w:val="DefaultParagraphFont"/>
    <w:link w:val="Heading1"/>
    <w:uiPriority w:val="9"/>
    <w:rsid w:val="001B745D"/>
    <w:rPr>
      <w:rFonts w:ascii="Times" w:hAnsi="Times"/>
      <w:b/>
      <w:bCs/>
      <w:kern w:val="36"/>
      <w:sz w:val="48"/>
      <w:szCs w:val="48"/>
    </w:rPr>
  </w:style>
  <w:style w:type="character" w:customStyle="1" w:styleId="Heading2Char">
    <w:name w:val="Heading 2 Char"/>
    <w:basedOn w:val="DefaultParagraphFont"/>
    <w:link w:val="Heading2"/>
    <w:uiPriority w:val="9"/>
    <w:rsid w:val="001B745D"/>
    <w:rPr>
      <w:rFonts w:ascii="Times" w:hAnsi="Times"/>
      <w:b/>
      <w:bCs/>
      <w:sz w:val="36"/>
      <w:szCs w:val="36"/>
    </w:rPr>
  </w:style>
  <w:style w:type="paragraph" w:customStyle="1" w:styleId="Normal1">
    <w:name w:val="Normal1"/>
    <w:rsid w:val="001B745D"/>
    <w:pPr>
      <w:spacing w:line="276" w:lineRule="auto"/>
    </w:pPr>
    <w:rPr>
      <w:rFonts w:ascii="Arial" w:eastAsia="Arial" w:hAnsi="Arial" w:cs="Arial"/>
      <w:sz w:val="22"/>
      <w:szCs w:val="22"/>
      <w:lang w:val="en"/>
    </w:rPr>
  </w:style>
  <w:style w:type="paragraph" w:styleId="NormalWeb">
    <w:name w:val="Normal (Web)"/>
    <w:basedOn w:val="Normal"/>
    <w:uiPriority w:val="99"/>
    <w:unhideWhenUsed/>
    <w:rsid w:val="001B745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1B745D"/>
    <w:rPr>
      <w:color w:val="0000FF"/>
      <w:u w:val="single"/>
    </w:rPr>
  </w:style>
  <w:style w:type="character" w:styleId="FollowedHyperlink">
    <w:name w:val="FollowedHyperlink"/>
    <w:basedOn w:val="DefaultParagraphFont"/>
    <w:uiPriority w:val="99"/>
    <w:semiHidden/>
    <w:unhideWhenUsed/>
    <w:rsid w:val="001B745D"/>
    <w:rPr>
      <w:color w:val="800080"/>
      <w:u w:val="single"/>
    </w:rPr>
  </w:style>
  <w:style w:type="paragraph" w:styleId="BalloonText">
    <w:name w:val="Balloon Text"/>
    <w:basedOn w:val="Normal"/>
    <w:link w:val="BalloonTextChar"/>
    <w:uiPriority w:val="99"/>
    <w:semiHidden/>
    <w:unhideWhenUsed/>
    <w:rsid w:val="001B74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5D"/>
    <w:rPr>
      <w:rFonts w:ascii="Lucida Grande" w:hAnsi="Lucida Grande" w:cs="Lucida Grande"/>
      <w:sz w:val="18"/>
      <w:szCs w:val="18"/>
    </w:rPr>
  </w:style>
  <w:style w:type="paragraph" w:styleId="Header">
    <w:name w:val="header"/>
    <w:basedOn w:val="Normal"/>
    <w:link w:val="HeaderChar"/>
    <w:uiPriority w:val="99"/>
    <w:unhideWhenUsed/>
    <w:rsid w:val="00B53781"/>
    <w:pPr>
      <w:tabs>
        <w:tab w:val="center" w:pos="4320"/>
        <w:tab w:val="right" w:pos="8640"/>
      </w:tabs>
    </w:pPr>
  </w:style>
  <w:style w:type="character" w:customStyle="1" w:styleId="HeaderChar">
    <w:name w:val="Header Char"/>
    <w:basedOn w:val="DefaultParagraphFont"/>
    <w:link w:val="Header"/>
    <w:uiPriority w:val="99"/>
    <w:rsid w:val="00B53781"/>
  </w:style>
  <w:style w:type="character" w:styleId="PageNumber">
    <w:name w:val="page number"/>
    <w:basedOn w:val="DefaultParagraphFont"/>
    <w:uiPriority w:val="99"/>
    <w:semiHidden/>
    <w:unhideWhenUsed/>
    <w:rsid w:val="00B53781"/>
  </w:style>
  <w:style w:type="paragraph" w:styleId="TOCHeading">
    <w:name w:val="TOC Heading"/>
    <w:basedOn w:val="Heading1"/>
    <w:next w:val="Normal"/>
    <w:uiPriority w:val="39"/>
    <w:unhideWhenUsed/>
    <w:qFormat/>
    <w:rsid w:val="00B5378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76C14"/>
    <w:pPr>
      <w:tabs>
        <w:tab w:val="right" w:leader="dot" w:pos="8630"/>
      </w:tabs>
      <w:spacing w:before="120" w:line="276" w:lineRule="auto"/>
    </w:pPr>
    <w:rPr>
      <w:rFonts w:asciiTheme="minorHAnsi" w:hAnsiTheme="minorHAnsi"/>
      <w:b/>
    </w:rPr>
  </w:style>
  <w:style w:type="paragraph" w:styleId="TOC2">
    <w:name w:val="toc 2"/>
    <w:basedOn w:val="Normal"/>
    <w:next w:val="Normal"/>
    <w:autoRedefine/>
    <w:uiPriority w:val="39"/>
    <w:unhideWhenUsed/>
    <w:rsid w:val="00F476A7"/>
    <w:pPr>
      <w:tabs>
        <w:tab w:val="right" w:leader="dot" w:pos="8630"/>
      </w:tabs>
      <w:ind w:left="240"/>
    </w:pPr>
    <w:rPr>
      <w:rFonts w:asciiTheme="minorHAnsi" w:hAnsiTheme="minorHAnsi"/>
      <w:noProof/>
      <w:sz w:val="22"/>
      <w:szCs w:val="22"/>
    </w:rPr>
  </w:style>
  <w:style w:type="paragraph" w:styleId="TOC3">
    <w:name w:val="toc 3"/>
    <w:basedOn w:val="Normal"/>
    <w:next w:val="Normal"/>
    <w:autoRedefine/>
    <w:uiPriority w:val="39"/>
    <w:unhideWhenUsed/>
    <w:rsid w:val="00B53781"/>
    <w:pPr>
      <w:ind w:left="480"/>
    </w:pPr>
    <w:rPr>
      <w:rFonts w:asciiTheme="minorHAnsi" w:hAnsiTheme="minorHAnsi"/>
      <w:sz w:val="22"/>
      <w:szCs w:val="22"/>
    </w:rPr>
  </w:style>
  <w:style w:type="paragraph" w:styleId="TOC4">
    <w:name w:val="toc 4"/>
    <w:basedOn w:val="Normal"/>
    <w:next w:val="Normal"/>
    <w:autoRedefine/>
    <w:uiPriority w:val="39"/>
    <w:unhideWhenUsed/>
    <w:rsid w:val="00B53781"/>
    <w:pPr>
      <w:ind w:left="720"/>
    </w:pPr>
    <w:rPr>
      <w:rFonts w:asciiTheme="minorHAnsi" w:hAnsiTheme="minorHAnsi"/>
      <w:sz w:val="20"/>
      <w:szCs w:val="20"/>
    </w:rPr>
  </w:style>
  <w:style w:type="paragraph" w:styleId="TOC5">
    <w:name w:val="toc 5"/>
    <w:basedOn w:val="Normal"/>
    <w:next w:val="Normal"/>
    <w:autoRedefine/>
    <w:uiPriority w:val="39"/>
    <w:unhideWhenUsed/>
    <w:rsid w:val="00B53781"/>
    <w:pPr>
      <w:ind w:left="960"/>
    </w:pPr>
    <w:rPr>
      <w:rFonts w:asciiTheme="minorHAnsi" w:hAnsiTheme="minorHAnsi"/>
      <w:sz w:val="20"/>
      <w:szCs w:val="20"/>
    </w:rPr>
  </w:style>
  <w:style w:type="paragraph" w:styleId="TOC6">
    <w:name w:val="toc 6"/>
    <w:basedOn w:val="Normal"/>
    <w:next w:val="Normal"/>
    <w:autoRedefine/>
    <w:uiPriority w:val="39"/>
    <w:unhideWhenUsed/>
    <w:rsid w:val="00B53781"/>
    <w:pPr>
      <w:ind w:left="1200"/>
    </w:pPr>
    <w:rPr>
      <w:rFonts w:asciiTheme="minorHAnsi" w:hAnsiTheme="minorHAnsi"/>
      <w:sz w:val="20"/>
      <w:szCs w:val="20"/>
    </w:rPr>
  </w:style>
  <w:style w:type="paragraph" w:styleId="TOC7">
    <w:name w:val="toc 7"/>
    <w:basedOn w:val="Normal"/>
    <w:next w:val="Normal"/>
    <w:autoRedefine/>
    <w:uiPriority w:val="39"/>
    <w:unhideWhenUsed/>
    <w:rsid w:val="00B53781"/>
    <w:pPr>
      <w:ind w:left="1440"/>
    </w:pPr>
    <w:rPr>
      <w:rFonts w:asciiTheme="minorHAnsi" w:hAnsiTheme="minorHAnsi"/>
      <w:sz w:val="20"/>
      <w:szCs w:val="20"/>
    </w:rPr>
  </w:style>
  <w:style w:type="paragraph" w:styleId="TOC8">
    <w:name w:val="toc 8"/>
    <w:basedOn w:val="Normal"/>
    <w:next w:val="Normal"/>
    <w:autoRedefine/>
    <w:uiPriority w:val="39"/>
    <w:unhideWhenUsed/>
    <w:rsid w:val="00B53781"/>
    <w:pPr>
      <w:ind w:left="1680"/>
    </w:pPr>
    <w:rPr>
      <w:rFonts w:asciiTheme="minorHAnsi" w:hAnsiTheme="minorHAnsi"/>
      <w:sz w:val="20"/>
      <w:szCs w:val="20"/>
    </w:rPr>
  </w:style>
  <w:style w:type="paragraph" w:styleId="TOC9">
    <w:name w:val="toc 9"/>
    <w:basedOn w:val="Normal"/>
    <w:next w:val="Normal"/>
    <w:autoRedefine/>
    <w:uiPriority w:val="39"/>
    <w:unhideWhenUsed/>
    <w:rsid w:val="00B53781"/>
    <w:pPr>
      <w:ind w:left="1920"/>
    </w:pPr>
    <w:rPr>
      <w:rFonts w:asciiTheme="minorHAnsi" w:hAnsiTheme="minorHAnsi"/>
      <w:sz w:val="20"/>
      <w:szCs w:val="20"/>
    </w:rPr>
  </w:style>
  <w:style w:type="paragraph" w:styleId="Footer">
    <w:name w:val="footer"/>
    <w:basedOn w:val="Normal"/>
    <w:link w:val="FooterChar"/>
    <w:uiPriority w:val="99"/>
    <w:unhideWhenUsed/>
    <w:rsid w:val="006037FC"/>
    <w:pPr>
      <w:tabs>
        <w:tab w:val="center" w:pos="4320"/>
        <w:tab w:val="right" w:pos="8640"/>
      </w:tabs>
    </w:pPr>
  </w:style>
  <w:style w:type="character" w:customStyle="1" w:styleId="FooterChar">
    <w:name w:val="Footer Char"/>
    <w:basedOn w:val="DefaultParagraphFont"/>
    <w:link w:val="Footer"/>
    <w:uiPriority w:val="99"/>
    <w:rsid w:val="006037FC"/>
  </w:style>
  <w:style w:type="paragraph" w:styleId="Caption">
    <w:name w:val="caption"/>
    <w:basedOn w:val="Normal"/>
    <w:next w:val="Normal"/>
    <w:qFormat/>
    <w:rsid w:val="00C34A0B"/>
    <w:rPr>
      <w:rFonts w:ascii="Times New Roman" w:eastAsia="Times New Roman" w:hAnsi="Times New Roman" w:cs="Times New Roman"/>
      <w:szCs w:val="20"/>
      <w:lang w:val="en-GB"/>
    </w:rPr>
  </w:style>
  <w:style w:type="character" w:customStyle="1" w:styleId="cls-response">
    <w:name w:val="cls-response"/>
    <w:basedOn w:val="DefaultParagraphFont"/>
    <w:rsid w:val="000A54BA"/>
  </w:style>
  <w:style w:type="character" w:customStyle="1" w:styleId="u-clearfix">
    <w:name w:val="u-clearfix"/>
    <w:basedOn w:val="DefaultParagraphFont"/>
    <w:rsid w:val="00DD6C7E"/>
  </w:style>
  <w:style w:type="character" w:styleId="CommentReference">
    <w:name w:val="annotation reference"/>
    <w:basedOn w:val="DefaultParagraphFont"/>
    <w:uiPriority w:val="99"/>
    <w:semiHidden/>
    <w:unhideWhenUsed/>
    <w:rsid w:val="006D6BFA"/>
    <w:rPr>
      <w:sz w:val="16"/>
      <w:szCs w:val="16"/>
    </w:rPr>
  </w:style>
  <w:style w:type="paragraph" w:styleId="CommentText">
    <w:name w:val="annotation text"/>
    <w:basedOn w:val="Normal"/>
    <w:link w:val="CommentTextChar"/>
    <w:uiPriority w:val="99"/>
    <w:semiHidden/>
    <w:unhideWhenUsed/>
    <w:rsid w:val="006D6BFA"/>
    <w:rPr>
      <w:sz w:val="20"/>
      <w:szCs w:val="20"/>
    </w:rPr>
  </w:style>
  <w:style w:type="character" w:customStyle="1" w:styleId="CommentTextChar">
    <w:name w:val="Comment Text Char"/>
    <w:basedOn w:val="DefaultParagraphFont"/>
    <w:link w:val="CommentText"/>
    <w:uiPriority w:val="99"/>
    <w:semiHidden/>
    <w:rsid w:val="006D6BFA"/>
    <w:rPr>
      <w:sz w:val="20"/>
      <w:szCs w:val="20"/>
    </w:rPr>
  </w:style>
  <w:style w:type="paragraph" w:styleId="CommentSubject">
    <w:name w:val="annotation subject"/>
    <w:basedOn w:val="CommentText"/>
    <w:next w:val="CommentText"/>
    <w:link w:val="CommentSubjectChar"/>
    <w:uiPriority w:val="99"/>
    <w:semiHidden/>
    <w:unhideWhenUsed/>
    <w:rsid w:val="006D6BFA"/>
    <w:rPr>
      <w:b/>
      <w:bCs/>
    </w:rPr>
  </w:style>
  <w:style w:type="character" w:customStyle="1" w:styleId="CommentSubjectChar">
    <w:name w:val="Comment Subject Char"/>
    <w:basedOn w:val="CommentTextChar"/>
    <w:link w:val="CommentSubject"/>
    <w:uiPriority w:val="99"/>
    <w:semiHidden/>
    <w:rsid w:val="006D6BFA"/>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202310">
      <w:bodyDiv w:val="1"/>
      <w:marLeft w:val="0"/>
      <w:marRight w:val="0"/>
      <w:marTop w:val="0"/>
      <w:marBottom w:val="0"/>
      <w:divBdr>
        <w:top w:val="none" w:sz="0" w:space="0" w:color="auto"/>
        <w:left w:val="none" w:sz="0" w:space="0" w:color="auto"/>
        <w:bottom w:val="none" w:sz="0" w:space="0" w:color="auto"/>
        <w:right w:val="none" w:sz="0" w:space="0" w:color="auto"/>
      </w:divBdr>
    </w:div>
    <w:div w:id="97780680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60" Type="http://schemas.openxmlformats.org/officeDocument/2006/relationships/hyperlink" Target="https://www.jstor.org/stable/25165888" TargetMode="External"/><Relationship Id="rId61" Type="http://schemas.openxmlformats.org/officeDocument/2006/relationships/hyperlink" Target="https://www.jstor.org/stable/41058335" TargetMode="External"/><Relationship Id="rId62" Type="http://schemas.openxmlformats.org/officeDocument/2006/relationships/hyperlink" Target="https://doi.org/10.1007/s10551-012-1400-9" TargetMode="External"/><Relationship Id="rId63" Type="http://schemas.openxmlformats.org/officeDocument/2006/relationships/hyperlink" Target="https://doi.org/10.1016/j.ijhm.2003.11.001" TargetMode="External"/><Relationship Id="rId64" Type="http://schemas.openxmlformats.org/officeDocument/2006/relationships/hyperlink" Target="https://worldhappiness.report/ed/2019/" TargetMode="External"/><Relationship Id="rId65" Type="http://schemas.openxmlformats.org/officeDocument/2006/relationships/hyperlink" Target="http://scholar.lib.vt.edu/ejournals/JTE/v9n1/pdf/hoepfl.pdf" TargetMode="External"/><Relationship Id="rId66" Type="http://schemas.openxmlformats.org/officeDocument/2006/relationships/hyperlink" Target="https://doi.org/10.7249/RB10003" TargetMode="External"/><Relationship Id="rId67" Type="http://schemas.openxmlformats.org/officeDocument/2006/relationships/hyperlink" Target="https://www.huntonlaborblog.com/2018/07/articles/labor-unions/dol-repeals-obama-era-persuader-rule/" TargetMode="External"/><Relationship Id="rId68" Type="http://schemas.openxmlformats.org/officeDocument/2006/relationships/hyperlink" Target="https://iowaperb.iowa.gov/recertification-faqs" TargetMode="External"/><Relationship Id="rId69" Type="http://schemas.openxmlformats.org/officeDocument/2006/relationships/hyperlink" Target="http://laborcenter.berkeley.edu/the-high-public-cost-of-low-wages/" TargetMode="External"/><Relationship Id="rId120" Type="http://schemas.openxmlformats.org/officeDocument/2006/relationships/hyperlink" Target="https://www.shrm.org/hr-today/public-policy/hr-public-policy-issues/pages/employeefreechoiceact(cardcheck).aspx" TargetMode="External"/><Relationship Id="rId121" Type="http://schemas.openxmlformats.org/officeDocument/2006/relationships/hyperlink" Target="https://www.researchgate.net/publication/248995993_Where_Have_All_the_Subjects_Gone_Bringing_Together_the_Concepts_of_Intersectionality_and_Subjectification" TargetMode="External"/><Relationship Id="rId122" Type="http://schemas.openxmlformats.org/officeDocument/2006/relationships/hyperlink" Target="https://www.washingtonpost.com/news/wonk/wp/2018/04/23/bernie-sanders-to-unveil-plan-to-guarantee-every-american-a-job/" TargetMode="External"/><Relationship Id="rId123" Type="http://schemas.openxmlformats.org/officeDocument/2006/relationships/hyperlink" Target="https://www.pbs.org/newshour/economy/finland-again-tops-list-of-happiest-nations-u-s-ranking-drops" TargetMode="External"/><Relationship Id="rId124" Type="http://schemas.openxmlformats.org/officeDocument/2006/relationships/hyperlink" Target="http://www.levyinstitute.org/publications/the-job-guarantee-design-jobs-and-implementation" TargetMode="External"/><Relationship Id="rId125" Type="http://schemas.openxmlformats.org/officeDocument/2006/relationships/hyperlink" Target="https://www.sentencingproject.org/wp-content/uploads/2016/01/Women-in-the-Criminal-Justice-System-Briefing-Sheets.pdf" TargetMode="External"/><Relationship Id="rId126" Type="http://schemas.openxmlformats.org/officeDocument/2006/relationships/hyperlink" Target="http://sageamericanhistory.net/progressive/docs/SocialistPlat1912.htm" TargetMode="External"/><Relationship Id="rId127" Type="http://schemas.openxmlformats.org/officeDocument/2006/relationships/hyperlink" Target="https://www.jstor.org/stable/20615422?seq=1" TargetMode="External"/><Relationship Id="rId128" Type="http://schemas.openxmlformats.org/officeDocument/2006/relationships/hyperlink" Target="https://doi.org/10.1111/j.1467-8543.2010.00804.x" TargetMode="External"/><Relationship Id="rId129" Type="http://schemas.openxmlformats.org/officeDocument/2006/relationships/hyperlink" Target="https://www.bls.gov/cps/cps_htgm.pdf" TargetMode="External"/><Relationship Id="rId40" Type="http://schemas.openxmlformats.org/officeDocument/2006/relationships/hyperlink" Target="https://www.jacobinmag.com/2019/08/bernie-sanders-labor-unions-proposal-workplace-democracy" TargetMode="External"/><Relationship Id="rId41" Type="http://schemas.openxmlformats.org/officeDocument/2006/relationships/hyperlink" Target="http://www.eisenhowerfoundation.org/docs/Kerner%2040%20Year%20Update,%20Executive%20Summary.pdf" TargetMode="External"/><Relationship Id="rId42" Type="http://schemas.openxmlformats.org/officeDocument/2006/relationships/hyperlink" Target="https://www.shrm.org/resourcesandtools/legal-and-compliance/employment-law/pages/employment-at-will.aspx" TargetMode="External"/><Relationship Id="rId90" Type="http://schemas.openxmlformats.org/officeDocument/2006/relationships/hyperlink" Target="https://www.vox.com/2018/4/27/17281676/job-guarantee-design-bad-jobs-labor-market-federal-reserve" TargetMode="External"/><Relationship Id="rId91" Type="http://schemas.openxmlformats.org/officeDocument/2006/relationships/hyperlink" Target="https://www.shrm.org/resourcesandtools/hr-topics/talent-acquisition/pages/texas-2012-eeoc-background-check-guidance-unenforceable.aspx" TargetMode="External"/><Relationship Id="rId92" Type="http://schemas.openxmlformats.org/officeDocument/2006/relationships/hyperlink" Target="http://proxy.library.nyu.edu/login?url=https://search.proquest.com/docview/2319476107?accountid=12768" TargetMode="External"/><Relationship Id="rId93" Type="http://schemas.openxmlformats.org/officeDocument/2006/relationships/hyperlink" Target="https://www.epi.org/publication/unlawful-employer-opposition-to-union-election-campaigns/" TargetMode="External"/><Relationship Id="rId94" Type="http://schemas.openxmlformats.org/officeDocument/2006/relationships/hyperlink" Target="https://www.epi.org/publication/black-women-will-be-most-affected-by-janus/" TargetMode="External"/><Relationship Id="rId95" Type="http://schemas.openxmlformats.org/officeDocument/2006/relationships/hyperlink" Target="https://www.americanprogressaction.org/issues/economy/news/2014/09/18/97477/new-census-data-once-again-illustrate-importance-of-unions-to-the-middle-class/" TargetMode="External"/><Relationship Id="rId96" Type="http://schemas.openxmlformats.org/officeDocument/2006/relationships/hyperlink" Target="https://www.epi.org/publication/mass-incarceration-and-childrens-outcomes/" TargetMode="External"/><Relationship Id="rId101" Type="http://schemas.openxmlformats.org/officeDocument/2006/relationships/hyperlink" Target="https://www.huffpost.com/entry/federal-job-guarantee-explained_n_5b363f4ae4b007aa2f7f59fc" TargetMode="External"/><Relationship Id="rId102" Type="http://schemas.openxmlformats.org/officeDocument/2006/relationships/hyperlink" Target="https://www.ppic.org/publication/californias-prison-population/" TargetMode="External"/><Relationship Id="rId103" Type="http://schemas.openxmlformats.org/officeDocument/2006/relationships/hyperlink" Target="https://www.shrm.org/resourcesandtools/hr-topics/labor-relations/pages/tips-foe.aspx" TargetMode="External"/><Relationship Id="rId104" Type="http://schemas.openxmlformats.org/officeDocument/2006/relationships/hyperlink" Target="https://www.crmvet.org/docs/6701_freedombudget.pdf" TargetMode="External"/><Relationship Id="rId105" Type="http://schemas.openxmlformats.org/officeDocument/2006/relationships/hyperlink" Target="http://www.sandersinstitute.com/blog/beyond-trump-a-federal-jobs-guarantee" TargetMode="External"/><Relationship Id="rId106" Type="http://schemas.openxmlformats.org/officeDocument/2006/relationships/hyperlink" Target="https://www.nelp.org/publication/ban-box-fair-chance-workers-records/" TargetMode="External"/><Relationship Id="rId107" Type="http://schemas.openxmlformats.org/officeDocument/2006/relationships/hyperlink" Target="https://www.nytimes.com/2019/05/29/opinion/greyston-bakery-open-hiring.html" TargetMode="External"/><Relationship Id="rId108" Type="http://schemas.openxmlformats.org/officeDocument/2006/relationships/hyperlink" Target="https://ourworldindata.org/income-inequality" TargetMode="External"/><Relationship Id="rId109" Type="http://schemas.openxmlformats.org/officeDocument/2006/relationships/hyperlink" Target="https://eml.berkeley.edu/~saez/SaezCEP2017.pdf" TargetMode="External"/><Relationship Id="rId97" Type="http://schemas.openxmlformats.org/officeDocument/2006/relationships/hyperlink" Target="https://www.bls.gov/opub/mlr/2001/01/art1full.pdf" TargetMode="External"/><Relationship Id="rId98" Type="http://schemas.openxmlformats.org/officeDocument/2006/relationships/hyperlink" Target="https://s27147.pcdn.co/wp-content/uploads/Ban-the-Box-Fair-Chance-Fact-Sheet.pdf" TargetMode="External"/><Relationship Id="rId99" Type="http://schemas.openxmlformats.org/officeDocument/2006/relationships/hyperlink" Target="https://www.brookings.edu/research/the-shift-in-private-sector-union-participation-explanations-and-effects/" TargetMode="External"/><Relationship Id="rId43" Type="http://schemas.openxmlformats.org/officeDocument/2006/relationships/hyperlink" Target="https://employment.findlaw.com/wages-and-benefits/what-are-right-to-work-laws.html" TargetMode="External"/><Relationship Id="rId44" Type="http://schemas.openxmlformats.org/officeDocument/2006/relationships/hyperlink" Target="https://www.will-law.org/wp-content/uploads/2019/11/democracy-in-the-workplace-final.pdf" TargetMode="External"/><Relationship Id="rId45" Type="http://schemas.openxmlformats.org/officeDocument/2006/relationships/hyperlink" Target="https://doi.org/10.1007/BF02779059" TargetMode="External"/><Relationship Id="rId46" Type="http://schemas.openxmlformats.org/officeDocument/2006/relationships/hyperlink" Target="https://doi.org/10.1177%2F001979398003400101" TargetMode="External"/><Relationship Id="rId47" Type="http://schemas.openxmlformats.org/officeDocument/2006/relationships/hyperlink" Target="https://www.nber.org/papers/w13242" TargetMode="External"/><Relationship Id="rId48" Type="http://schemas.openxmlformats.org/officeDocument/2006/relationships/hyperlink" Target="https://papers.ssrn.com/sol3/papers.cfm?abstract_id=1722991" TargetMode="External"/><Relationship Id="rId49" Type="http://schemas.openxmlformats.org/officeDocument/2006/relationships/hyperlink" Target="https://doi.org/10.1016/S0140-6736(19)33019-3" TargetMode="External"/><Relationship Id="rId100" Type="http://schemas.openxmlformats.org/officeDocument/2006/relationships/hyperlink" Target="https://www.federalregister.gov/documents/2018/07/18/2018-14948/rescission-of-rule-interpreting-advice-exemption-in-section-203c-of-the-labor-management-reporting" TargetMode="Externa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hyperlink" Target="http://scua.library.umass.edu/ead/mums001" TargetMode="External"/><Relationship Id="rId70" Type="http://schemas.openxmlformats.org/officeDocument/2006/relationships/hyperlink" Target="https://scholar.lib.vt.edu/ejournals/JITE/v32n3/ed_notes.html" TargetMode="External"/><Relationship Id="rId71" Type="http://schemas.openxmlformats.org/officeDocument/2006/relationships/hyperlink" Target="https://digital.lib.washington.edu/researchworks/handle/1773/43803" TargetMode="External"/><Relationship Id="rId72" Type="http://schemas.openxmlformats.org/officeDocument/2006/relationships/hyperlink" Target="https://doi.org/10.1177/1065912915591218" TargetMode="External"/><Relationship Id="rId73" Type="http://schemas.openxmlformats.org/officeDocument/2006/relationships/hyperlink" Target="https://www.prisonpolicy.org/phones/pleasedeposit_execsum.html" TargetMode="External"/><Relationship Id="rId74" Type="http://schemas.openxmlformats.org/officeDocument/2006/relationships/hyperlink" Target="https://www.brennancenter.org/our-work/research-reports/citizens-united-explained" TargetMode="External"/><Relationship Id="rId75" Type="http://schemas.openxmlformats.org/officeDocument/2006/relationships/hyperlink" Target="https://www.law.cornell.edu/wex/secondary_boycott" TargetMode="External"/><Relationship Id="rId76" Type="http://schemas.openxmlformats.org/officeDocument/2006/relationships/hyperlink" Target="https://www.law.cornell.edu/wex/employment-at-will_doctrine" TargetMode="External"/><Relationship Id="rId77" Type="http://schemas.openxmlformats.org/officeDocument/2006/relationships/hyperlink" Target="https://papers.ssrn.com/sol3/papers.cfm?abstract_id=1676108" TargetMode="External"/><Relationship Id="rId78" Type="http://schemas.openxmlformats.org/officeDocument/2006/relationships/hyperlink" Target="https://www.dataforprogress.org/blog/2019/8/29/the-workplace-democracy-plan-explained-part-1" TargetMode="External"/><Relationship Id="rId79" Type="http://schemas.openxmlformats.org/officeDocument/2006/relationships/hyperlink" Target="https://www.dataforprogress.org/blog/2019/9/5/the-workplace-democracy-explained-part-2" TargetMode="External"/><Relationship Id="rId23" Type="http://schemas.openxmlformats.org/officeDocument/2006/relationships/hyperlink" Target="https://www.yalelawjournal.org/article/the-new-labor-law" TargetMode="External"/><Relationship Id="rId24" Type="http://schemas.openxmlformats.org/officeDocument/2006/relationships/hyperlink" Target="http://www.msnbc.msn.com/id/23392251/print/1/displaymode/1098/" TargetMode="External"/><Relationship Id="rId25" Type="http://schemas.openxmlformats.org/officeDocument/2006/relationships/hyperlink" Target="https://www.researchgate.net/publication/225365312_A_Permanent_Jobs_Program_for_the_US_Economic_Restructuring_to_Meet_Human_Needs" TargetMode="External"/><Relationship Id="rId26" Type="http://schemas.openxmlformats.org/officeDocument/2006/relationships/hyperlink" Target="https://doi.org/10.1111/j.1468-2338.1993.tb00679.x" TargetMode="External"/><Relationship Id="rId27" Type="http://schemas.openxmlformats.org/officeDocument/2006/relationships/hyperlink" Target="https://www.epi.org/files/pdf/133275.pdf" TargetMode="External"/><Relationship Id="rId28" Type="http://schemas.openxmlformats.org/officeDocument/2006/relationships/hyperlink" Target="https://www.statista.com/chart/3958/gender-pay-gap-by-ethnicity/" TargetMode="External"/><Relationship Id="rId29" Type="http://schemas.openxmlformats.org/officeDocument/2006/relationships/hyperlink" Target="https://cepr.net/images/stories/reports/black-workers-unions-2016-08.pdf?v=2" TargetMode="External"/><Relationship Id="rId130" Type="http://schemas.openxmlformats.org/officeDocument/2006/relationships/hyperlink" Target="https://www.bls.gov/opub/reports/working-poor/2015/home.htm" TargetMode="External"/><Relationship Id="rId131" Type="http://schemas.openxmlformats.org/officeDocument/2006/relationships/hyperlink" Target="https://www.bls.gov/news.release/pdf/empsit.pdf" TargetMode="External"/><Relationship Id="rId132" Type="http://schemas.openxmlformats.org/officeDocument/2006/relationships/hyperlink" Target="https://www.bls.gov/opub/reports/race-and-ethnicity/2016/home.htm" TargetMode="External"/><Relationship Id="rId133" Type="http://schemas.openxmlformats.org/officeDocument/2006/relationships/hyperlink" Target="https://www.law.cornell.edu/constitution/amendmentxiv" TargetMode="External"/><Relationship Id="rId134" Type="http://schemas.openxmlformats.org/officeDocument/2006/relationships/hyperlink" Target="https://www.law.cornell.edu/constitution/amendmentxvi" TargetMode="External"/><Relationship Id="rId135" Type="http://schemas.openxmlformats.org/officeDocument/2006/relationships/hyperlink" Target="https://bonds4jobs.com/" TargetMode="External"/><Relationship Id="rId136" Type="http://schemas.openxmlformats.org/officeDocument/2006/relationships/hyperlink" Target="https://www.irs.gov/businesses/small-businesses-self-employed/work-opportunity-tax-credit" TargetMode="External"/><Relationship Id="rId137" Type="http://schemas.openxmlformats.org/officeDocument/2006/relationships/hyperlink" Target="https://www.unionproof.com/about/" TargetMode="External"/><Relationship Id="rId138" Type="http://schemas.openxmlformats.org/officeDocument/2006/relationships/hyperlink" Target="https://www.epi.org/blog/union-busters-are-more-prevalent-than-they-seem-and-may-soon-even-be-at-the-nlrb/" TargetMode="External"/><Relationship Id="rId139" Type="http://schemas.openxmlformats.org/officeDocument/2006/relationships/hyperlink" Target="https://ksr.hkspublications.org/2013/05/02/americas-new-gilded-age-a-review-of-chrystia-freelands-plutocrats-and-christopher-hayess-twilight-of-the-elite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50" Type="http://schemas.openxmlformats.org/officeDocument/2006/relationships/hyperlink" Target="https://www.theguardian.com/global/2018/aug/14/unions-brought-black-americans-into-the-middle-class-theyre-now-being-decimated" TargetMode="External"/><Relationship Id="rId51" Type="http://schemas.openxmlformats.org/officeDocument/2006/relationships/hyperlink" Target="https://doi.org/10.1080/13504630802343432" TargetMode="External"/><Relationship Id="rId52" Type="http://schemas.openxmlformats.org/officeDocument/2006/relationships/hyperlink" Target="https://www.vox.com/policy-and-politics/2019/8/21/20826661/bernie-sanders-union-plan-labor-worker-rights-2020" TargetMode="External"/><Relationship Id="rId53" Type="http://schemas.openxmlformats.org/officeDocument/2006/relationships/hyperlink" Target="https://www.epi.org/blog/union-decline-rising-inequality-charts/" TargetMode="External"/><Relationship Id="rId54" Type="http://schemas.openxmlformats.org/officeDocument/2006/relationships/hyperlink" Target="https://www.sentencingproject.org/publications/6148/" TargetMode="External"/><Relationship Id="rId55" Type="http://schemas.openxmlformats.org/officeDocument/2006/relationships/hyperlink" Target="https://www.dol.gov/general/aboutdol/history/flsa1938" TargetMode="External"/><Relationship Id="rId56" Type="http://schemas.openxmlformats.org/officeDocument/2006/relationships/hyperlink" Target="https://www.emerald.com/insight/content/doi/10.1108/S0742-6186(2009)0000016006/full/html" TargetMode="External"/><Relationship Id="rId57" Type="http://schemas.openxmlformats.org/officeDocument/2006/relationships/hyperlink" Target="https://www.shrm.org/resourcesandtools/hr-topics/behavioral-competencies/global-and-cultural-effectiveness/pages/research-employers-willing-to-overlook-criminal-record-to-hire-right-person.aspx" TargetMode="External"/><Relationship Id="rId58" Type="http://schemas.openxmlformats.org/officeDocument/2006/relationships/hyperlink" Target="https://www.ncbi.nlm.nih.gov/pmc/articles/PMC4880255/" TargetMode="External"/><Relationship Id="rId59" Type="http://schemas.openxmlformats.org/officeDocument/2006/relationships/hyperlink" Target="https://doi.org/10.1017/S1537592707070065" TargetMode="External"/><Relationship Id="rId110" Type="http://schemas.openxmlformats.org/officeDocument/2006/relationships/hyperlink" Target="http://gabriel-zucman.eu/files/SaezZucman2014.pdf" TargetMode="External"/><Relationship Id="rId111" Type="http://schemas.openxmlformats.org/officeDocument/2006/relationships/hyperlink" Target="https://berniesanders.com/issues/medicare-for-all/" TargetMode="External"/><Relationship Id="rId112" Type="http://schemas.openxmlformats.org/officeDocument/2006/relationships/hyperlink" Target="https://berniesanders.com/issues/jobs-for-all/" TargetMode="External"/><Relationship Id="rId113" Type="http://schemas.openxmlformats.org/officeDocument/2006/relationships/hyperlink" Target="https://berniesanders.com/issues/workplace-democracy/" TargetMode="External"/><Relationship Id="rId114" Type="http://schemas.openxmlformats.org/officeDocument/2006/relationships/hyperlink" Target="https://doi.org/10.1017/S1743923X07000086" TargetMode="External"/><Relationship Id="rId115" Type="http://schemas.openxmlformats.org/officeDocument/2006/relationships/hyperlink" Target="https://slackhq.com/diversity-at-slack-2019" TargetMode="External"/><Relationship Id="rId116" Type="http://schemas.openxmlformats.org/officeDocument/2006/relationships/hyperlink" Target="https://www.youtube.com/watch?v=buaZCXiwE5o" TargetMode="External"/><Relationship Id="rId117" Type="http://schemas.openxmlformats.org/officeDocument/2006/relationships/hyperlink" Target="https://slackhq.com/the-next-chapter-program-a-collaboration-for-impact" TargetMode="External"/><Relationship Id="rId118" Type="http://schemas.openxmlformats.org/officeDocument/2006/relationships/hyperlink" Target="https://www.shrm.org/resourcesandtools/legal-and-compliance/employment-law/pages/in-focus-persuader-rule-rescinded.aspx" TargetMode="External"/><Relationship Id="rId119" Type="http://schemas.openxmlformats.org/officeDocument/2006/relationships/hyperlink" Target="https://www.journals.uchicago.edu/doi/full/10.1086/588436" TargetMode="External"/><Relationship Id="rId30" Type="http://schemas.openxmlformats.org/officeDocument/2006/relationships/hyperlink" Target="https://www.youtube.com/watch?v=JpZij4inrIc" TargetMode="External"/><Relationship Id="rId31" Type="http://schemas.openxmlformats.org/officeDocument/2006/relationships/hyperlink" Target="http://www.criaw-icref.ca" TargetMode="External"/><Relationship Id="rId32" Type="http://schemas.openxmlformats.org/officeDocument/2006/relationships/hyperlink" Target="https://www.cdc.gov/violenceprevention/publichealthissue/social-ecologicalmodel.html?CDC_AA_refVal=https%3A%2F%2Fwww.cdc.gov%2Fviolenceprevention%2Foverview%2Fsocial-ecologicalmodel.html" TargetMode="External"/><Relationship Id="rId33" Type="http://schemas.openxmlformats.org/officeDocument/2006/relationships/hyperlink" Target="https://www.nber.org/papers/w24441" TargetMode="External"/><Relationship Id="rId34" Type="http://schemas.openxmlformats.org/officeDocument/2006/relationships/hyperlink" Target="https://www.jhsph.edu/departments/population-family-and-reproductive-health/child-adolescent-health-measurement-initiative/" TargetMode="External"/><Relationship Id="rId35" Type="http://schemas.openxmlformats.org/officeDocument/2006/relationships/hyperlink" Target="https://www.phila.gov/rise/employer/Pages/Initiative.aspx" TargetMode="External"/><Relationship Id="rId36" Type="http://schemas.openxmlformats.org/officeDocument/2006/relationships/hyperlink" Target="https://inequality.org/wp-content/uploads/2017/11/BILLIONAIRE-BONANZA-2017-Embargoed.pdf" TargetMode="External"/><Relationship Id="rId37" Type="http://schemas.openxmlformats.org/officeDocument/2006/relationships/hyperlink" Target="https://www.jstor.org/stable/1229039" TargetMode="External"/><Relationship Id="rId38" Type="http://schemas.openxmlformats.org/officeDocument/2006/relationships/hyperlink" Target="https://doi.org/10.1177/104973230201200211" TargetMode="External"/><Relationship Id="rId39" Type="http://schemas.openxmlformats.org/officeDocument/2006/relationships/hyperlink" Target="https://econfip.org/policy-brief/using-wage-boards-to-raise-pay/" TargetMode="External"/><Relationship Id="rId80" Type="http://schemas.openxmlformats.org/officeDocument/2006/relationships/hyperlink" Target="https://search.proquest.com/docview/237227726?pq-origsite=gscholar" TargetMode="External"/><Relationship Id="rId81" Type="http://schemas.openxmlformats.org/officeDocument/2006/relationships/hyperlink" Target="https://doi.org/10.1111/j.1467-8543.2006.00518.x" TargetMode="External"/><Relationship Id="rId82" Type="http://schemas.openxmlformats.org/officeDocument/2006/relationships/hyperlink" Target="https://www.jstor.org/stable/40928654" TargetMode="External"/><Relationship Id="rId83" Type="http://schemas.openxmlformats.org/officeDocument/2006/relationships/hyperlink" Target="https://www.americanprogress.org/issues/economy/reports/2018/04/09/448515/wage-boards-american-workers/" TargetMode="External"/><Relationship Id="rId84" Type="http://schemas.openxmlformats.org/officeDocument/2006/relationships/hyperlink" Target="https://www.americanprogressaction.org/issues/economy/news/2013/09/17/74363/latest-census-data-underscore-how-important-unions-are-for-the-middle-class/" TargetMode="External"/><Relationship Id="rId85" Type="http://schemas.openxmlformats.org/officeDocument/2006/relationships/hyperlink" Target="https://doi.org/10.1521/siso.69.1.56.56799" TargetMode="External"/><Relationship Id="rId86" Type="http://schemas.openxmlformats.org/officeDocument/2006/relationships/hyperlink" Target="https://doi.org/10.1177%2F0959680103009002003" TargetMode="External"/><Relationship Id="rId87" Type="http://schemas.openxmlformats.org/officeDocument/2006/relationships/hyperlink" Target="https://www.ncbi.nlm.nih.gov/pubmed/24120189" TargetMode="External"/><Relationship Id="rId88" Type="http://schemas.openxmlformats.org/officeDocument/2006/relationships/hyperlink" Target="https://www.wsj.com/articles/the-champions-of-the-401-k-lament-the-revolution-they-started-1483382348" TargetMode="External"/><Relationship Id="rId89" Type="http://schemas.openxmlformats.org/officeDocument/2006/relationships/hyperlink" Target="https://kinginstitute.stanford.edu/encyclopedia/march-washington-jobs-and-freedom" TargetMode="External"/><Relationship Id="rId140" Type="http://schemas.openxmlformats.org/officeDocument/2006/relationships/hyperlink" Target="https://www.prisonpolicy.org/global/2016.html" TargetMode="External"/><Relationship Id="rId141" Type="http://schemas.openxmlformats.org/officeDocument/2006/relationships/hyperlink" Target="https://journals.sagepub.com/doi/pdf/10.1177/001979399705000301" TargetMode="External"/><Relationship Id="rId142" Type="http://schemas.openxmlformats.org/officeDocument/2006/relationships/hyperlink" Target="https://doi.org/10.1108/PR-01-2016-0004" TargetMode="External"/><Relationship Id="rId143" Type="http://schemas.openxmlformats.org/officeDocument/2006/relationships/hyperlink" Target="https://wir2018.wid.world/files/download/wir-presentation.pdf" TargetMode="External"/><Relationship Id="rId144" Type="http://schemas.openxmlformats.org/officeDocument/2006/relationships/hyperlink" Target="http://www.levyinstitute.org/publications/public-service-employment-a-path-to-full-employment" TargetMode="External"/><Relationship Id="rId145" Type="http://schemas.openxmlformats.org/officeDocument/2006/relationships/hyperlink" Target="http://www.levyinstitute.org/pubs/pn_2018_3.pdf" TargetMode="External"/><Relationship Id="rId146" Type="http://schemas.openxmlformats.org/officeDocument/2006/relationships/header" Target="header1.xml"/><Relationship Id="rId147" Type="http://schemas.openxmlformats.org/officeDocument/2006/relationships/header" Target="header2.xml"/><Relationship Id="rId148" Type="http://schemas.openxmlformats.org/officeDocument/2006/relationships/fontTable" Target="fontTable.xml"/><Relationship Id="rId14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LYaXtOLS61ZpWf8OZ3o986+msA==">AMUW2mUrTEDsGuRrpIvl8fDI8cBt76z+9ObLxjBdt9l0d2JP6OhgE2BWMfHxIlyUrFQiX5hiv/aZV82SAAH5Os1elYLw8ktIajs1scO0wlq1rTu1Acqf0GHaQQLUcYz2yjjiu8sf4/M4</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277D6BA-3F49-9E41-AFC8-23B55BFF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95</Pages>
  <Words>25770</Words>
  <Characters>146893</Characters>
  <Application>Microsoft Macintosh Word</Application>
  <DocSecurity>0</DocSecurity>
  <Lines>1224</Lines>
  <Paragraphs>344</Paragraphs>
  <ScaleCrop>false</ScaleCrop>
  <Company/>
  <LinksUpToDate>false</LinksUpToDate>
  <CharactersWithSpaces>172319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J</cp:lastModifiedBy>
  <cp:revision>23</cp:revision>
  <dcterms:created xsi:type="dcterms:W3CDTF">2020-03-26T01:08:00Z</dcterms:created>
  <dcterms:modified xsi:type="dcterms:W3CDTF">2020-04-13T16:53:00Z</dcterms:modified>
</cp:coreProperties>
</file>