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CFAF4" w14:textId="77777777" w:rsidR="009F07D6" w:rsidRPr="00F54439" w:rsidRDefault="009F07D6" w:rsidP="009F07D6">
      <w:pPr>
        <w:jc w:val="center"/>
        <w:rPr>
          <w:rFonts w:ascii="Arial" w:hAnsi="Arial" w:cs="Arial"/>
        </w:rPr>
      </w:pPr>
      <w:r w:rsidRPr="00981502">
        <w:rPr>
          <w:rFonts w:ascii="Arial" w:hAnsi="Arial" w:cs="Arial"/>
          <w:b/>
          <w:noProof/>
        </w:rPr>
        <w:drawing>
          <wp:inline distT="0" distB="0" distL="0" distR="0" wp14:anchorId="61091B07" wp14:editId="355ECB1D">
            <wp:extent cx="2152650" cy="787400"/>
            <wp:effectExtent l="0" t="0" r="0" b="0"/>
            <wp:docPr id="87821227"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152650" cy="787400"/>
                    </a:xfrm>
                    <a:prstGeom prst="rect">
                      <a:avLst/>
                    </a:prstGeom>
                    <a:noFill/>
                    <a:ln>
                      <a:noFill/>
                    </a:ln>
                  </pic:spPr>
                </pic:pic>
              </a:graphicData>
            </a:graphic>
          </wp:inline>
        </w:drawing>
      </w:r>
    </w:p>
    <w:p w14:paraId="38E43E94" w14:textId="77777777" w:rsidR="009F07D6" w:rsidRPr="00F54439" w:rsidRDefault="009F07D6" w:rsidP="009F07D6">
      <w:pPr>
        <w:jc w:val="center"/>
        <w:rPr>
          <w:rFonts w:ascii="Arial" w:hAnsi="Arial" w:cs="Arial"/>
        </w:rPr>
      </w:pPr>
      <w:r w:rsidRPr="00F54439">
        <w:rPr>
          <w:rFonts w:ascii="Arial" w:hAnsi="Arial" w:cs="Arial"/>
        </w:rPr>
        <w:t>Applied Leadership and Management in the Workplace</w:t>
      </w:r>
      <w:r w:rsidRPr="00F54439">
        <w:rPr>
          <w:rFonts w:ascii="Arial" w:hAnsi="Arial" w:cs="Arial"/>
        </w:rPr>
        <w:br/>
        <w:t xml:space="preserve">            Module Assignment Submission </w:t>
      </w:r>
      <w:r w:rsidRPr="00F54439">
        <w:rPr>
          <w:rFonts w:ascii="Arial" w:hAnsi="Arial" w:cs="Arial"/>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9F07D6" w:rsidRPr="00F54439" w14:paraId="3B9C47AE" w14:textId="77777777" w:rsidTr="00FB3F13">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74188BC" w14:textId="77777777" w:rsidR="009F07D6" w:rsidRPr="00F54439" w:rsidRDefault="009F07D6" w:rsidP="009F07D6">
            <w:pPr>
              <w:jc w:val="center"/>
              <w:rPr>
                <w:rFonts w:ascii="Arial" w:hAnsi="Arial" w:cs="Arial"/>
              </w:rPr>
            </w:pPr>
            <w:r w:rsidRPr="00F54439">
              <w:rPr>
                <w:rFonts w:ascii="Arial" w:hAnsi="Arial" w:cs="Arial"/>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18276D64" w14:textId="77777777" w:rsidR="009F07D6" w:rsidRPr="00F54439" w:rsidRDefault="009F07D6" w:rsidP="009F07D6">
            <w:pPr>
              <w:jc w:val="center"/>
              <w:rPr>
                <w:rFonts w:ascii="Arial" w:hAnsi="Arial" w:cs="Arial"/>
              </w:rPr>
            </w:pPr>
            <w:r w:rsidRPr="00F54439">
              <w:rPr>
                <w:rFonts w:ascii="Arial" w:hAnsi="Arial" w:cs="Arial"/>
              </w:rPr>
              <w:t>Mica Davies</w:t>
            </w:r>
          </w:p>
        </w:tc>
      </w:tr>
      <w:tr w:rsidR="009F07D6" w:rsidRPr="00F54439" w14:paraId="116CE4BC" w14:textId="77777777" w:rsidTr="00FB3F13">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576BA72" w14:textId="77777777" w:rsidR="009F07D6" w:rsidRPr="00F54439" w:rsidRDefault="009F07D6" w:rsidP="009F07D6">
            <w:pPr>
              <w:jc w:val="center"/>
              <w:rPr>
                <w:rFonts w:ascii="Arial" w:hAnsi="Arial" w:cs="Arial"/>
              </w:rPr>
            </w:pPr>
            <w:r w:rsidRPr="00F54439">
              <w:rPr>
                <w:rFonts w:ascii="Arial" w:hAnsi="Arial" w:cs="Arial"/>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66DB9841" w14:textId="77777777" w:rsidR="009F07D6" w:rsidRPr="00F54439" w:rsidRDefault="009F07D6" w:rsidP="009F07D6">
            <w:pPr>
              <w:jc w:val="center"/>
              <w:rPr>
                <w:rFonts w:ascii="Arial" w:hAnsi="Arial" w:cs="Arial"/>
              </w:rPr>
            </w:pPr>
            <w:r w:rsidRPr="00F54439">
              <w:rPr>
                <w:rFonts w:ascii="Arial" w:hAnsi="Arial" w:cs="Arial"/>
              </w:rPr>
              <w:t>2313850</w:t>
            </w:r>
          </w:p>
        </w:tc>
      </w:tr>
      <w:tr w:rsidR="009F07D6" w:rsidRPr="00F54439" w14:paraId="44A4E274" w14:textId="77777777" w:rsidTr="00FB3F13">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98FC216" w14:textId="77777777" w:rsidR="009F07D6" w:rsidRPr="00F54439" w:rsidRDefault="009F07D6" w:rsidP="009F07D6">
            <w:pPr>
              <w:jc w:val="center"/>
              <w:rPr>
                <w:rFonts w:ascii="Arial" w:hAnsi="Arial" w:cs="Arial"/>
              </w:rPr>
            </w:pPr>
            <w:r w:rsidRPr="00F54439">
              <w:rPr>
                <w:rFonts w:ascii="Arial" w:hAnsi="Arial" w:cs="Arial"/>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3B158BE7" w14:textId="16DE0B9C" w:rsidR="009F07D6" w:rsidRPr="00F54439" w:rsidRDefault="009F07D6" w:rsidP="009F07D6">
            <w:pPr>
              <w:jc w:val="center"/>
              <w:rPr>
                <w:rFonts w:ascii="Arial" w:hAnsi="Arial" w:cs="Arial"/>
              </w:rPr>
            </w:pPr>
            <w:r w:rsidRPr="00F54439">
              <w:rPr>
                <w:rFonts w:ascii="Arial" w:hAnsi="Arial" w:cs="Arial"/>
              </w:rPr>
              <w:t>BMSK501</w:t>
            </w:r>
            <w:r>
              <w:rPr>
                <w:rFonts w:ascii="Arial" w:hAnsi="Arial" w:cs="Arial"/>
              </w:rPr>
              <w:t>0</w:t>
            </w:r>
          </w:p>
        </w:tc>
      </w:tr>
      <w:tr w:rsidR="009F07D6" w:rsidRPr="00F54439" w14:paraId="0A4AB671" w14:textId="77777777" w:rsidTr="00FB3F13">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4904533" w14:textId="77777777" w:rsidR="009F07D6" w:rsidRPr="00F54439" w:rsidRDefault="009F07D6" w:rsidP="009F07D6">
            <w:pPr>
              <w:jc w:val="center"/>
              <w:rPr>
                <w:rFonts w:ascii="Arial" w:hAnsi="Arial" w:cs="Arial"/>
              </w:rPr>
            </w:pPr>
            <w:r w:rsidRPr="00F54439">
              <w:rPr>
                <w:rFonts w:ascii="Arial" w:hAnsi="Arial" w:cs="Arial"/>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2DBB6CD3" w14:textId="16BE2B39" w:rsidR="009F07D6" w:rsidRPr="00F54439" w:rsidRDefault="009F07D6" w:rsidP="009F07D6">
            <w:pPr>
              <w:jc w:val="center"/>
              <w:rPr>
                <w:rFonts w:ascii="Arial" w:hAnsi="Arial" w:cs="Arial"/>
                <w:bCs/>
              </w:rPr>
            </w:pPr>
            <w:r>
              <w:rPr>
                <w:rFonts w:ascii="Arial" w:hAnsi="Arial" w:cs="Arial"/>
                <w:bCs/>
              </w:rPr>
              <w:t>Developing the learning Organisation</w:t>
            </w:r>
          </w:p>
        </w:tc>
      </w:tr>
    </w:tbl>
    <w:p w14:paraId="6F45D415" w14:textId="77777777" w:rsidR="009F07D6" w:rsidRPr="00F54439" w:rsidRDefault="009F07D6" w:rsidP="009F07D6">
      <w:pPr>
        <w:jc w:val="center"/>
        <w:rPr>
          <w:rFonts w:ascii="Arial" w:hAnsi="Arial" w:cs="Arial"/>
          <w:b/>
        </w:rPr>
      </w:pPr>
      <w:r w:rsidRPr="00F54439">
        <w:rPr>
          <w:rFonts w:ascii="Arial" w:hAnsi="Arial" w:cs="Arial"/>
        </w:rPr>
        <w:br/>
      </w:r>
      <w:r w:rsidRPr="00F54439">
        <w:rPr>
          <w:rFonts w:ascii="Arial" w:hAnsi="Arial" w:cs="Arial"/>
          <w:b/>
        </w:rPr>
        <w:t>Statement of Confirmation of Authenticity</w:t>
      </w:r>
    </w:p>
    <w:p w14:paraId="64E60AF5" w14:textId="77777777" w:rsidR="009F07D6" w:rsidRPr="00F54439" w:rsidRDefault="009F07D6" w:rsidP="009F07D6">
      <w:pPr>
        <w:jc w:val="center"/>
        <w:rPr>
          <w:rFonts w:ascii="Arial" w:hAnsi="Arial" w:cs="Arial"/>
        </w:rPr>
      </w:pPr>
      <w:r w:rsidRPr="00F54439">
        <w:rPr>
          <w:rFonts w:ascii="Arial" w:hAnsi="Arial" w:cs="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25FC03C" w14:textId="44E82F90" w:rsidR="009B35DB" w:rsidRPr="009B35DB" w:rsidRDefault="009F07D6" w:rsidP="009B35DB">
      <w:pPr>
        <w:spacing w:line="360" w:lineRule="auto"/>
        <w:rPr>
          <w:i/>
          <w:iCs/>
        </w:rPr>
      </w:pPr>
      <w:r w:rsidRPr="00981502">
        <w:rPr>
          <w:rFonts w:ascii="Arial" w:hAnsi="Arial" w:cs="Arial"/>
        </w:rPr>
        <w:t>Attention is drawn to the plagiarism and unfair practice policies of both the University and of ILM.</w:t>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lastRenderedPageBreak/>
        <w:br/>
      </w:r>
      <w:r>
        <w:rPr>
          <w:rFonts w:ascii="Arial" w:hAnsi="Arial" w:cs="Arial"/>
        </w:rPr>
        <w:br/>
      </w:r>
      <w:r>
        <w:rPr>
          <w:rFonts w:ascii="Arial" w:hAnsi="Arial" w:cs="Arial"/>
        </w:rPr>
        <w:br/>
      </w:r>
      <w:r>
        <w:rPr>
          <w:rFonts w:ascii="Arial" w:hAnsi="Arial" w:cs="Arial"/>
        </w:rPr>
        <w:br/>
        <w:t>Table of Contents:</w:t>
      </w:r>
      <w:r>
        <w:rPr>
          <w:rFonts w:ascii="Arial" w:hAnsi="Arial" w:cs="Arial"/>
        </w:rPr>
        <w:br/>
      </w:r>
      <w:r>
        <w:rPr>
          <w:rFonts w:ascii="Arial" w:hAnsi="Arial" w:cs="Arial"/>
        </w:rPr>
        <w:br/>
      </w:r>
      <w:r w:rsidR="00376ED0">
        <w:rPr>
          <w:rFonts w:ascii="Arial" w:hAnsi="Arial" w:cs="Arial"/>
        </w:rPr>
        <w:t xml:space="preserve">1. </w:t>
      </w:r>
      <w:r>
        <w:rPr>
          <w:rFonts w:ascii="Arial" w:hAnsi="Arial" w:cs="Arial"/>
        </w:rPr>
        <w:t>Introduction</w:t>
      </w:r>
      <w:r>
        <w:rPr>
          <w:rFonts w:ascii="Arial" w:hAnsi="Arial" w:cs="Arial"/>
        </w:rPr>
        <w:br/>
      </w:r>
      <w:r w:rsidR="00376ED0">
        <w:t>2. Critically Assessing Potential Benefits of Developing Individuals in the Workplace.</w:t>
      </w:r>
      <w:r w:rsidR="00376ED0">
        <w:br/>
        <w:t>3. Managing an Individual’s Expectations in Respect of Personal Development.</w:t>
      </w:r>
      <w:r w:rsidR="00376ED0">
        <w:br/>
        <w:t>4. Critically Evaluating Development Vehicles Available to Organisations.</w:t>
      </w:r>
      <w:r w:rsidR="00376ED0">
        <w:br/>
        <w:t>5. Development Plan for a</w:t>
      </w:r>
      <w:r w:rsidR="00937B05">
        <w:t xml:space="preserve"> Support Worker </w:t>
      </w:r>
      <w:r w:rsidR="00376ED0">
        <w:t>and</w:t>
      </w:r>
      <w:r w:rsidR="00937B05">
        <w:t xml:space="preserve"> Evaluation of</w:t>
      </w:r>
      <w:r w:rsidR="00376ED0">
        <w:t xml:space="preserve"> its Use in Performance Management. </w:t>
      </w:r>
      <w:r w:rsidR="00376ED0">
        <w:br/>
        <w:t>6. Conclusion</w:t>
      </w:r>
      <w:r w:rsidR="00376ED0">
        <w:br/>
        <w:t>7. References.</w:t>
      </w:r>
      <w:r>
        <w:br/>
      </w:r>
      <w:r>
        <w:br/>
      </w:r>
      <w:r>
        <w:br/>
      </w:r>
      <w:r>
        <w:br/>
      </w:r>
      <w:r>
        <w:br/>
      </w:r>
      <w:r>
        <w:br/>
      </w:r>
      <w:r>
        <w:br/>
      </w:r>
      <w:r>
        <w:br/>
      </w:r>
      <w:r>
        <w:br/>
      </w:r>
      <w:r>
        <w:br/>
      </w:r>
      <w:r>
        <w:br/>
      </w:r>
      <w:r>
        <w:br/>
      </w:r>
      <w:r>
        <w:br/>
      </w:r>
      <w:r>
        <w:br/>
      </w:r>
      <w:r>
        <w:br/>
      </w:r>
      <w:r>
        <w:br/>
      </w:r>
      <w:r>
        <w:br/>
      </w:r>
      <w:r>
        <w:br/>
      </w:r>
      <w:r>
        <w:br/>
      </w:r>
      <w:r w:rsidR="00376ED0">
        <w:lastRenderedPageBreak/>
        <w:br/>
      </w:r>
      <w:r w:rsidRPr="00F339D0">
        <w:rPr>
          <w:rStyle w:val="Heading2Char"/>
          <w:color w:val="8DD873" w:themeColor="accent6" w:themeTint="99"/>
        </w:rPr>
        <w:t>Introduction:</w:t>
      </w:r>
      <w:r>
        <w:br/>
      </w:r>
      <w:r>
        <w:br/>
      </w:r>
      <w:r w:rsidR="00EF26F0">
        <w:t xml:space="preserve">To care and support children with complex disabilities and challenges requires a specific set of skills and certain level of training, </w:t>
      </w:r>
      <w:proofErr w:type="gramStart"/>
      <w:r w:rsidR="00EF26F0">
        <w:t>in order to</w:t>
      </w:r>
      <w:proofErr w:type="gramEnd"/>
      <w:r w:rsidR="00EF26F0">
        <w:t xml:space="preserve"> meet organisational, interpersonal and developmental demands. These children often require personalised care plans which are specific to their needs, working alongside other healthcare professionals to ensure the best quality of life possible. Support workers often described as frontline workers, provide clear communication, on-going adaptive support and behaviour management, and socialisation within the community. Our main goal is to provide safety and experiences to those using the service, promoting their growth and development. </w:t>
      </w:r>
      <w:r w:rsidR="00EF26F0">
        <w:br/>
        <w:t xml:space="preserve">Within these settings, effective workplace relationships are valued as they display trust, communication, shared understanding among the staff team, and professional competence- deeming central to successful care and delivery. This report will go on to explore the way organisations can systematically develop their staff team to maximise both Organisational performance and Customer Value, where the ‘Customer’ encompasses, Children, Families, Regulatory bodies and commissioning authorities. </w:t>
      </w:r>
      <w:r w:rsidR="00EF26F0">
        <w:br/>
      </w:r>
      <w:r w:rsidR="00EF26F0" w:rsidRPr="00F339D0">
        <w:rPr>
          <w:color w:val="8DD873" w:themeColor="accent6" w:themeTint="99"/>
        </w:rPr>
        <w:br/>
      </w:r>
      <w:r w:rsidR="00EF26F0" w:rsidRPr="00F339D0">
        <w:rPr>
          <w:rFonts w:asciiTheme="majorHAnsi" w:hAnsiTheme="majorHAnsi"/>
          <w:color w:val="8DD873" w:themeColor="accent6" w:themeTint="99"/>
          <w:sz w:val="28"/>
          <w:szCs w:val="28"/>
        </w:rPr>
        <w:t>2. Critically Assessing Potential Benefits of Developing Individuals in the Workplace</w:t>
      </w:r>
      <w:r w:rsidR="00557260" w:rsidRPr="00F339D0">
        <w:rPr>
          <w:rFonts w:asciiTheme="majorHAnsi" w:hAnsiTheme="majorHAnsi"/>
          <w:color w:val="8DD873" w:themeColor="accent6" w:themeTint="99"/>
          <w:sz w:val="28"/>
          <w:szCs w:val="28"/>
        </w:rPr>
        <w:t>.</w:t>
      </w:r>
      <w:r w:rsidR="00EF26F0">
        <w:br/>
        <w:t xml:space="preserve">Developing individuals within the workplace environment is widely seen as a strategic approach which enhances organisational capabilities, improves quality of service and deliverance, strengthens workplace culture and creates inclusive atmospheres. </w:t>
      </w:r>
      <w:r w:rsidR="00A155EE">
        <w:t xml:space="preserve">(Armstrong &amp; Taylor, 2020). Within healthcare, for Children specifically with complex needs, these benefits could be amplified due to emotional, behavioural and the clinical complexity of the work itself. </w:t>
      </w:r>
      <w:r w:rsidR="00A155EE">
        <w:br/>
        <w:t xml:space="preserve">Our goal as an organisation is to enhance the quality of life for the Children and Families/Guardians. All staff members are fully trained in the relevant subjects required when working and receive structed training in communication strategies, sensory based approach, Positive behaviour support (PBS), Autism and Epilepsy training, </w:t>
      </w:r>
      <w:r w:rsidR="00A155EE">
        <w:lastRenderedPageBreak/>
        <w:t xml:space="preserve">Safeguarding, Trauma informed care, and Clinical skills such as PEG feeding and Stoma Bags, in order to fully meet every child’s needs and requirements. </w:t>
      </w:r>
      <w:r w:rsidR="00A155EE">
        <w:br/>
      </w:r>
      <w:r w:rsidR="00A155EE">
        <w:br/>
        <w:t xml:space="preserve">Challenging behaviour in children with disabilities can often arise from communication challenges, sensory distress and or triggers, and unmet needs. Skilled staff are fully trained </w:t>
      </w:r>
      <w:proofErr w:type="gramStart"/>
      <w:r w:rsidR="00A155EE">
        <w:t>in order to</w:t>
      </w:r>
      <w:proofErr w:type="gramEnd"/>
      <w:r w:rsidR="00A155EE">
        <w:t xml:space="preserve"> be able to deal with these situations confidently and competently as a 1-1 or 2-1 situation. Training provides the education to enable the fast recognition of triggers, implement proactive strategies, using de-escalation tools and techniques and react safely, efficiently and ethically to these barriers.</w:t>
      </w:r>
      <w:r w:rsidR="00A155EE">
        <w:br/>
      </w:r>
      <w:r w:rsidR="00A155EE" w:rsidRPr="00A155EE">
        <w:t>Development investment results in fewer physical interventions, reduced risk of injuries, and compliance with regulatory frameworks (NICE, 2015).</w:t>
      </w:r>
      <w:r w:rsidR="00E4182B">
        <w:br/>
      </w:r>
      <w:r w:rsidR="00E4182B">
        <w:br/>
        <w:t xml:space="preserve">There is an emotional labour associated with caring for children with complex disabilities, often leading to staff stress, burnout or compassion fatigue (Skirrow &amp; Hatton, 2007). </w:t>
      </w:r>
      <w:r w:rsidR="007F7DA2">
        <w:t>Developmental programmes, including reflective practices, supervision, and mental health awareness, can strengthen resilience and reduce a high staff turnover.</w:t>
      </w:r>
      <w:r w:rsidR="005C0B9A">
        <w:t xml:space="preserve"> High turnover of staff is common in </w:t>
      </w:r>
      <w:r w:rsidR="00FA0D2E">
        <w:t>healthcare</w:t>
      </w:r>
      <w:r w:rsidR="005C0B9A">
        <w:t xml:space="preserve"> due to the demands of the job, the long hours </w:t>
      </w:r>
      <w:r w:rsidR="00FA0D2E">
        <w:t>required,</w:t>
      </w:r>
      <w:r w:rsidR="005C0B9A">
        <w:t xml:space="preserve"> and the difficulties faced within these complex needs.</w:t>
      </w:r>
      <w:r w:rsidR="005C0B9A">
        <w:br/>
        <w:t>Planned team bonding exercises can strengthen team relationships, providing inclusive atmospheres to develop relationships further. This can also include team training, case reviews, debriefs and collective problem solving</w:t>
      </w:r>
      <w:r w:rsidR="003E62A4">
        <w:t>,</w:t>
      </w:r>
      <w:r w:rsidR="00E6737A">
        <w:t xml:space="preserve">    </w:t>
      </w:r>
      <w:r w:rsidR="00787564">
        <w:t xml:space="preserve">   </w:t>
      </w:r>
      <w:r w:rsidR="003E62A4">
        <w:t xml:space="preserve">  </w:t>
      </w:r>
      <w:r w:rsidR="00376ED0">
        <w:br/>
      </w:r>
      <w:r w:rsidR="00031AC4">
        <w:t xml:space="preserve">Support Workers are often known to leave roles due to feeling undervalued, lack of training/support, unclear progression pathways, and unfair treatment. Organisations that invest time and effort into reducing the number of </w:t>
      </w:r>
      <w:r w:rsidR="00FA0D2E">
        <w:t>turnovers</w:t>
      </w:r>
      <w:r w:rsidR="00031AC4">
        <w:t xml:space="preserve"> in staff </w:t>
      </w:r>
      <w:proofErr w:type="gramStart"/>
      <w:r w:rsidR="00031AC4">
        <w:t>are able to</w:t>
      </w:r>
      <w:proofErr w:type="gramEnd"/>
      <w:r w:rsidR="00031AC4">
        <w:t xml:space="preserve"> boost </w:t>
      </w:r>
      <w:r w:rsidR="00FA0D2E">
        <w:t>morale and</w:t>
      </w:r>
      <w:r w:rsidR="00031AC4">
        <w:t xml:space="preserve"> retain expertise. This is particularly important in Healthcare as Children often build relationships with staff members and consistency is key to the routines in their daily lives. Compliance and Professional standards, Regulatory bodies such as CQC and local </w:t>
      </w:r>
      <w:r w:rsidR="00FA0D2E">
        <w:t>safeguarding</w:t>
      </w:r>
      <w:r w:rsidR="00031AC4">
        <w:t xml:space="preserve"> authorities, require organisations to have evidence of the training provided and competency. Regular reviews and compliance checks are expected to be abided to. Developing individuals reduces regulatory risk and increases the organisation’s credibility and reputation. </w:t>
      </w:r>
      <w:r w:rsidR="00031AC4">
        <w:br/>
        <w:t xml:space="preserve">Cultural </w:t>
      </w:r>
      <w:r w:rsidR="00FA0D2E">
        <w:t>Transformation:</w:t>
      </w:r>
      <w:r w:rsidR="00031AC4">
        <w:t xml:space="preserve"> Meaning a workplace that priorities development fosters a </w:t>
      </w:r>
      <w:r w:rsidR="00031AC4">
        <w:lastRenderedPageBreak/>
        <w:t xml:space="preserve">culture of learning, inclusion, openness, accountability and </w:t>
      </w:r>
      <w:r w:rsidR="00FA0D2E">
        <w:t>high-quality</w:t>
      </w:r>
      <w:r w:rsidR="00031AC4">
        <w:t xml:space="preserve"> performance. Which leads to improving professional relationships, </w:t>
      </w:r>
      <w:r w:rsidR="00FA0D2E">
        <w:t>encourages</w:t>
      </w:r>
      <w:r w:rsidR="00031AC4">
        <w:t xml:space="preserve"> staff to speak out and use their voice, and often creates a better organisation outcomes and innovation throughout. </w:t>
      </w:r>
      <w:r w:rsidR="00031AC4">
        <w:br/>
        <w:t xml:space="preserve">Critical </w:t>
      </w:r>
      <w:r w:rsidR="00FA0D2E">
        <w:t>Conclusion:</w:t>
      </w:r>
      <w:r w:rsidR="00031AC4">
        <w:t xml:space="preserve"> The development of individuals in complex-needs healthcare settings is not optional. It is vital and strategic necessity, which enhances the care quality we provide, strengthens workplace relationships. Creates safe working environments, boosts retention and supports regulatory compliance. </w:t>
      </w:r>
      <w:r w:rsidR="00031AC4">
        <w:br/>
      </w:r>
      <w:r w:rsidR="00031AC4">
        <w:br/>
      </w:r>
      <w:r w:rsidR="00031AC4" w:rsidRPr="00F339D0">
        <w:rPr>
          <w:rFonts w:asciiTheme="majorHAnsi" w:hAnsiTheme="majorHAnsi"/>
          <w:color w:val="8DD873" w:themeColor="accent6" w:themeTint="99"/>
          <w:sz w:val="28"/>
          <w:szCs w:val="28"/>
        </w:rPr>
        <w:t>3. Managing an Individuals Expectations in Respect of Personal Development</w:t>
      </w:r>
      <w:r w:rsidR="00031AC4" w:rsidRPr="00F339D0">
        <w:rPr>
          <w:rFonts w:asciiTheme="majorHAnsi" w:hAnsiTheme="majorHAnsi"/>
          <w:color w:val="8DD873" w:themeColor="accent6" w:themeTint="99"/>
          <w:sz w:val="28"/>
          <w:szCs w:val="28"/>
        </w:rPr>
        <w:br/>
      </w:r>
      <w:r w:rsidR="00031AC4">
        <w:t>I</w:t>
      </w:r>
      <w:r w:rsidR="001E0A22">
        <w:t xml:space="preserve">n order to maintain motivation, alignment and realistic career progression, managing expectations around personal development is crucial. </w:t>
      </w:r>
      <w:r w:rsidR="001E0A22">
        <w:br/>
      </w:r>
      <w:r w:rsidR="001E0A22" w:rsidRPr="001E0A22">
        <w:t>Unmanaged expectations may lead to frustration, disengagement, or perceptions of favouritism. In contrast, clear communication around development processes enhances trust and ensures transparency (Bratton &amp; Gold, 2017).</w:t>
      </w:r>
      <w:r w:rsidR="001E0A22">
        <w:br/>
      </w:r>
      <w:r w:rsidR="001E0A22">
        <w:br/>
        <w:t xml:space="preserve">Staff must be aware and understand the importance of clear development expectations. Within Healthcare settings staff members must have a clear understanding of the core competencies, and specialist competencies as well as the baseline expectations. Following frameworks such as the Skills for Care “Core and Mandatory Training” help identify this. </w:t>
      </w:r>
      <w:r w:rsidR="00557260">
        <w:t>Support Workers may set goals to progress their careers into Behaviour specialists or senior management roles; transparent communication means they can understand and access available career pathways, required qualifications, expected timeframes and organisational capacity to support development.</w:t>
      </w:r>
      <w:r w:rsidR="001E0A22">
        <w:br/>
        <w:t xml:space="preserve">Using supervisions, appraisal meetings, debriefs and supervision sessions help to co-create developmental goals. Using this approach can help support the staff member to work closely with the guidelines supporting the organisation. </w:t>
      </w:r>
      <w:r w:rsidR="001E0A22">
        <w:br/>
        <w:t xml:space="preserve">Demonstrating an open-door policy can help staff to feel that they are able to come have honest, open conversations about anything work-related, as well as providing more personal support for issues arising in personal lives. This allows staff the chance </w:t>
      </w:r>
      <w:r w:rsidR="001E0A22">
        <w:lastRenderedPageBreak/>
        <w:t>to be honest about how they are feeling, any issues they are experiencing, which can lead to conversations about capabilities, confidences, timeframes achieved and maintained. Regular feedback and reviews should be given through evidence-based information, in a timely regular manner, balanced, and linked to personal developmental goals that are achievable within the company and within that person’s abilities. By using structured feedback frameworks such as Gibbs reflective cycle or the AID model, this can promote and support clarity</w:t>
      </w:r>
      <w:r w:rsidR="00557260">
        <w:t>, along with providing constructive and honest feedback</w:t>
      </w:r>
      <w:r w:rsidR="001E0A22">
        <w:t xml:space="preserve">. </w:t>
      </w:r>
      <w:r w:rsidR="001E0A22">
        <w:br/>
        <w:t xml:space="preserve">Setting and managing boundaries are important as its vital to clarity what development activities the organisation can offer, which are optional and what is expected and seen as requirements. </w:t>
      </w:r>
      <w:r w:rsidR="001E0A22">
        <w:br/>
        <w:t xml:space="preserve">Encouraging Self-Directed learning/education can help workers to take responsibility for part of their own personal education and development. This can be achieved through reading and taking it upon themselves to educate further on a subject, attending workshops, asking questions and advise to broaden their understanding, reflective practice methods and applying their skills. </w:t>
      </w:r>
      <w:r w:rsidR="0066319A">
        <w:br/>
        <w:t xml:space="preserve">Ethical Considerations: Developmental expectation management must be Equitable, </w:t>
      </w:r>
      <w:r w:rsidR="00FA0D2E">
        <w:t>culturally</w:t>
      </w:r>
      <w:r w:rsidR="0066319A">
        <w:t xml:space="preserve"> sensitive and appropriate and free from bias. Workers should all feel accepted, supported and respected throughout their workplace. Effective management of individual expectations ensures clarity throughout, fairness, and aligns within personal aspirations and organisational requirements; aiming to reduce conflict, enhance engagement and strengthen professional relationships.</w:t>
      </w:r>
      <w:r w:rsidR="0066319A">
        <w:br/>
      </w:r>
      <w:r w:rsidR="0066319A">
        <w:br/>
      </w:r>
      <w:r w:rsidR="0066319A" w:rsidRPr="00F339D0">
        <w:rPr>
          <w:rFonts w:asciiTheme="majorHAnsi" w:hAnsiTheme="majorHAnsi"/>
          <w:color w:val="8DD873" w:themeColor="accent6" w:themeTint="99"/>
          <w:sz w:val="28"/>
          <w:szCs w:val="28"/>
        </w:rPr>
        <w:t>4. Critically Evaluating Development Vehicles Available to Organisations</w:t>
      </w:r>
      <w:r w:rsidR="0066319A" w:rsidRPr="00F339D0">
        <w:rPr>
          <w:color w:val="8DD873" w:themeColor="accent6" w:themeTint="99"/>
        </w:rPr>
        <w:br/>
      </w:r>
      <w:r w:rsidR="0066319A">
        <w:t>Organisations working in Healthcare settings can access a variety of development vehicles</w:t>
      </w:r>
      <w:r w:rsidR="00557260">
        <w:t xml:space="preserve"> which are formal accredited or non-accredited training</w:t>
      </w:r>
      <w:r w:rsidR="0066319A">
        <w:t>.</w:t>
      </w:r>
      <w:r w:rsidR="0066319A">
        <w:br/>
        <w:t xml:space="preserve">Training Courses: These are mandatory and specialist training such as; Safeguarding, PBS, Manual Handling, Medication competency and </w:t>
      </w:r>
      <w:r w:rsidR="00557260">
        <w:t>administration, Autism</w:t>
      </w:r>
      <w:r w:rsidR="0066319A">
        <w:t xml:space="preserve">/Challenging Behaviour, </w:t>
      </w:r>
      <w:r w:rsidR="00557260">
        <w:t xml:space="preserve">Trauma-informed practice, </w:t>
      </w:r>
      <w:r w:rsidR="0066319A">
        <w:t xml:space="preserve">Communication barriers, Epilepsy Awareness and Oxygen handling and First Aid. </w:t>
      </w:r>
      <w:r w:rsidR="0066319A">
        <w:br/>
      </w:r>
      <w:r w:rsidR="004D78F5">
        <w:t xml:space="preserve">Experiencing on the job support and mentoring is important as this can provide a new </w:t>
      </w:r>
      <w:r w:rsidR="004D78F5">
        <w:lastRenderedPageBreak/>
        <w:t>member of staff with reassurance, more confidence and the chance to ask questions and advice. Allowing skill transfer, and real-time learning. Reflective practice sessions are important as it allows staff to take a structured reflective approach on incidents, triggers, interventions and teamwork, giving staff the chance to improve their self-awareness, emotional intelligence and resilience</w:t>
      </w:r>
      <w:proofErr w:type="gramStart"/>
      <w:r w:rsidR="004D78F5">
        <w:t xml:space="preserve">. </w:t>
      </w:r>
      <w:r w:rsidR="0066319A">
        <w:t xml:space="preserve"> </w:t>
      </w:r>
      <w:proofErr w:type="gramEnd"/>
      <w:r w:rsidR="004D78F5">
        <w:t xml:space="preserve">Supervision and Appraisal Meetings can support performance discussions allowing a collective plan to take place to support areas for development, identify strengths and look at progression plans. </w:t>
      </w:r>
      <w:r w:rsidR="004D78F5">
        <w:br/>
      </w:r>
      <w:r w:rsidR="004D78F5">
        <w:br/>
        <w:t>Performance Appraisal is Evaluating an employee’s current and/or past performance relative to his/her performance standards. Which is not to be confused with Performance Management; being the process employers use to make sure employees are working towards organisational goals. The differences between the two, is that Performance Management is ‘The System’ and Performance Appraisal Focuses on ‘The Person.’</w:t>
      </w:r>
      <w:r w:rsidR="009B35DB">
        <w:br/>
      </w:r>
      <w:r w:rsidR="009B35DB" w:rsidRPr="009B35DB">
        <w:rPr>
          <w:i/>
          <w:iCs/>
        </w:rPr>
        <w:t>‘the policies, procedures and practices that focus on employee performance as a means of fulfilling organisational goals and objectives’</w:t>
      </w:r>
      <w:r w:rsidR="009B35DB">
        <w:rPr>
          <w:i/>
          <w:iCs/>
        </w:rPr>
        <w:t xml:space="preserve"> </w:t>
      </w:r>
      <w:r w:rsidR="009B35DB" w:rsidRPr="009B35DB">
        <w:rPr>
          <w:i/>
          <w:iCs/>
        </w:rPr>
        <w:t>(Lowry (2002) in Marchington and Wilkinson (2005: 187-8))</w:t>
      </w:r>
    </w:p>
    <w:p w14:paraId="561C5CAC" w14:textId="5DCB3F77" w:rsidR="00FA0D2E" w:rsidRPr="004F287A" w:rsidRDefault="009B35DB" w:rsidP="00FA0D2E">
      <w:r w:rsidRPr="009B35DB">
        <w:t>Multi-disciplinary Team (MDT) learning</w:t>
      </w:r>
      <w:r>
        <w:t>: would be Joint learning across professionals, such as Occupational therapists, Social Workers, Support Staff, Psychologists, Teachers, Speech and Language Therapists, Allowing a holistic approach and understanding, providing knowledge transfer to reduce risks and barriers.</w:t>
      </w:r>
      <w:r>
        <w:br/>
        <w:t>E-learning Platforms are important in this day and age as it provides flexible training modules which are accessible anywhere and ensure up to date relevant subjects in order to comply with regulatory requirements</w:t>
      </w:r>
      <w:r w:rsidR="00557260">
        <w:t>, as-well as being cost effective and easy to update.</w:t>
      </w:r>
      <w:r>
        <w:br/>
        <w:t>External Coaching or Specialist Behaviour Support Services</w:t>
      </w:r>
      <w:r w:rsidR="009D36B1">
        <w:t xml:space="preserve"> allow expert external professionals offer specific skilled development, allowing staff to expand expertise and objectivity. </w:t>
      </w:r>
      <w:r w:rsidR="009D36B1">
        <w:br/>
        <w:t>Qualifications and Apprenticeships: NVQ’s, Diplomas, or degree level apprentices in health and social care can provide professional recognition, improvement of retention.</w:t>
      </w:r>
      <w:r w:rsidR="009D36B1">
        <w:br/>
        <w:t xml:space="preserve">Peer learning and Knowledge sharing, means holding informal team meetings, discussions and learning groups. Allowing relationships to build in the workplace, encourages collaboration. </w:t>
      </w:r>
      <w:r w:rsidR="009D36B1">
        <w:br/>
        <w:t xml:space="preserve">A blended approach using multiple development vehicles is most effective in a health care setting. Organisations must critically select methods based on an </w:t>
      </w:r>
      <w:r w:rsidR="00FA0D2E">
        <w:t>individual</w:t>
      </w:r>
      <w:r w:rsidR="009D36B1">
        <w:t xml:space="preserve"> </w:t>
      </w:r>
      <w:r w:rsidR="009D36B1">
        <w:lastRenderedPageBreak/>
        <w:t xml:space="preserve">needs, using </w:t>
      </w:r>
      <w:r w:rsidR="00FA0D2E">
        <w:t>a comprehensive approach</w:t>
      </w:r>
      <w:r w:rsidR="009D36B1">
        <w:t xml:space="preserve"> to meet the requirements necessary. Improve workplace dynamics and strategic objectives.</w:t>
      </w:r>
      <w:r w:rsidR="009D36B1">
        <w:br/>
      </w:r>
      <w:r w:rsidR="009D36B1">
        <w:br/>
      </w:r>
      <w:r w:rsidR="009D36B1" w:rsidRPr="00F339D0">
        <w:rPr>
          <w:rFonts w:asciiTheme="majorHAnsi" w:hAnsiTheme="majorHAnsi"/>
          <w:color w:val="8DD873" w:themeColor="accent6" w:themeTint="99"/>
          <w:sz w:val="28"/>
          <w:szCs w:val="28"/>
        </w:rPr>
        <w:t xml:space="preserve">5. Development Plan for </w:t>
      </w:r>
      <w:r w:rsidR="00937B05" w:rsidRPr="00F339D0">
        <w:rPr>
          <w:rFonts w:asciiTheme="majorHAnsi" w:hAnsiTheme="majorHAnsi"/>
          <w:color w:val="8DD873" w:themeColor="accent6" w:themeTint="99"/>
          <w:sz w:val="28"/>
          <w:szCs w:val="28"/>
        </w:rPr>
        <w:t xml:space="preserve">a Support Worker and Evaluation of </w:t>
      </w:r>
      <w:r w:rsidR="009D36B1" w:rsidRPr="00F339D0">
        <w:rPr>
          <w:rFonts w:asciiTheme="majorHAnsi" w:hAnsiTheme="majorHAnsi"/>
          <w:color w:val="8DD873" w:themeColor="accent6" w:themeTint="99"/>
          <w:sz w:val="28"/>
          <w:szCs w:val="28"/>
        </w:rPr>
        <w:t>Its Use in Performance Management</w:t>
      </w:r>
      <w:r w:rsidR="00937B05" w:rsidRPr="00F339D0">
        <w:rPr>
          <w:rFonts w:asciiTheme="majorHAnsi" w:hAnsiTheme="majorHAnsi"/>
          <w:color w:val="8DD873" w:themeColor="accent6" w:themeTint="99"/>
          <w:sz w:val="28"/>
          <w:szCs w:val="28"/>
        </w:rPr>
        <w:t>.</w:t>
      </w:r>
      <w:r w:rsidR="00937B05">
        <w:rPr>
          <w:rFonts w:asciiTheme="majorHAnsi" w:hAnsiTheme="majorHAnsi"/>
          <w:color w:val="4C94D8" w:themeColor="text2" w:themeTint="80"/>
          <w:sz w:val="28"/>
          <w:szCs w:val="28"/>
        </w:rPr>
        <w:br/>
      </w:r>
      <w:r w:rsidR="00937B05">
        <w:t xml:space="preserve">The following plan is designed specifically for my role as a senior support worker, supporting children with complex needs and challenging behaviour ongoing. </w:t>
      </w:r>
      <w:r w:rsidR="00937B05">
        <w:br/>
      </w:r>
      <w:r w:rsidR="00937B05">
        <w:br/>
      </w:r>
      <w:r w:rsidR="005F22AC">
        <w:t>This is based on observation from my senior members of staff, holding discussions through supervisions, having regular feedback.</w:t>
      </w:r>
      <w:r w:rsidR="005F22AC">
        <w:br/>
        <w:t xml:space="preserve">- Develop a deeper understanding of Positive Behaviour support </w:t>
      </w:r>
      <w:proofErr w:type="gramStart"/>
      <w:r w:rsidR="005F22AC">
        <w:t>through the use of</w:t>
      </w:r>
      <w:proofErr w:type="gramEnd"/>
      <w:r w:rsidR="005F22AC">
        <w:t xml:space="preserve"> training courses and workshops I’m able to access. </w:t>
      </w:r>
      <w:r w:rsidR="005F22AC">
        <w:br/>
        <w:t xml:space="preserve">-Improve my communication competencies such as use of British Sign Language and Makaton, allowing me to support the children more effectively. Increase my levels of confidence in more unfamiliar areas in work, along with de-escalation techniques. </w:t>
      </w:r>
      <w:r w:rsidR="005F22AC">
        <w:br/>
        <w:t xml:space="preserve">-Grow a better emotional resilience, and more transparency in reflective practice. </w:t>
      </w:r>
      <w:r w:rsidR="005F22AC">
        <w:br/>
        <w:t xml:space="preserve">- Stay up to date with Paperwork and documentation, </w:t>
      </w:r>
      <w:r w:rsidR="00FA0D2E">
        <w:t>improve</w:t>
      </w:r>
      <w:r w:rsidR="005F22AC">
        <w:t xml:space="preserve"> my reporting skills.</w:t>
      </w:r>
      <w:r w:rsidR="005F22AC">
        <w:br/>
        <w:t xml:space="preserve">- Gain a greater role clarity and leadership skills. Complete Health and Social Care Level 3. </w:t>
      </w:r>
      <w:r w:rsidR="005F22AC">
        <w:br/>
      </w:r>
      <w:r w:rsidR="005F22AC">
        <w:br/>
        <w:t>Personal Development Plan 6-12 months completion time.</w:t>
      </w:r>
      <w:r w:rsidR="005F22AC">
        <w:br/>
      </w:r>
      <w:r w:rsidR="005F22AC">
        <w:br/>
        <w:t>1. Improve Behaviour Management Skills</w:t>
      </w:r>
      <w:r w:rsidR="005F22AC">
        <w:br/>
        <w:t xml:space="preserve">I Will: Attend PBS training courses and workshops, Shadow Behavioural Specialists during sessions and crisis interventions, </w:t>
      </w:r>
      <w:r w:rsidR="00FA0D2E">
        <w:t>reflect</w:t>
      </w:r>
      <w:r w:rsidR="005F22AC">
        <w:t xml:space="preserve"> in a more transparent analytical way when documenting incidents and strategies. </w:t>
      </w:r>
      <w:r w:rsidR="005F22AC">
        <w:br/>
        <w:t>To measure success: I aim to reduce number of incidents during sessions, as well as aim to increase escalation strategies. Ask for supervisor feedback to keep comparisons and identify areas for improvement. Use and demonstrate use of behavioural strategies.</w:t>
      </w:r>
      <w:r w:rsidR="005F22AC">
        <w:br/>
      </w:r>
      <w:r w:rsidR="005F22AC">
        <w:br/>
        <w:t>2. Develop Communication</w:t>
      </w:r>
      <w:r w:rsidR="005F22AC">
        <w:br/>
        <w:t>I will: Complete Health and Social Care Level 3 qualification. Attend further BSL and Makaton courses. Attend weekly practice sessions with peers and senior members of staff. Observe Speech and language therapist  (SLT) sessions when they are accessible to myself.</w:t>
      </w:r>
      <w:r w:rsidR="005F22AC">
        <w:br/>
        <w:t xml:space="preserve">To measure success: Confidently demonstrate the use of communication aids within sessions and among peers. Ask for feedback from SLT and higher authorities. Improve child engagement indicators and develop </w:t>
      </w:r>
      <w:r w:rsidR="00406ABF">
        <w:t>stronger relationships with families.</w:t>
      </w:r>
      <w:r w:rsidR="00406ABF">
        <w:br/>
      </w:r>
      <w:r w:rsidR="00406ABF">
        <w:br/>
        <w:t>3. Strengthen emotional resilience</w:t>
      </w:r>
      <w:r w:rsidR="00406ABF">
        <w:br/>
      </w:r>
      <w:r w:rsidR="00406ABF">
        <w:lastRenderedPageBreak/>
        <w:t xml:space="preserve">I will: Ask for monthly reflective supervisions from senior members of staff, asking for direct honest feedback </w:t>
      </w:r>
      <w:proofErr w:type="gramStart"/>
      <w:r w:rsidR="00406ABF">
        <w:t>in order to</w:t>
      </w:r>
      <w:proofErr w:type="gramEnd"/>
      <w:r w:rsidR="00406ABF">
        <w:t xml:space="preserve"> identify areas of improvement. Use Gibbs reflective cycle post-incident to develop a better clearer understanding. Participate in a well-being programme. </w:t>
      </w:r>
      <w:r w:rsidR="00406ABF">
        <w:br/>
        <w:t xml:space="preserve">To measure success: Track stress indicators and patterns and aim to have improved emotional regulation during challenging behaviour. Perfect and improve techniques and strategies to aid in challenging behaviour. Self-report scales and feedback comparisons. </w:t>
      </w:r>
      <w:r w:rsidR="00406ABF">
        <w:br/>
      </w:r>
      <w:r w:rsidR="00406ABF">
        <w:br/>
        <w:t>4. Reporting and Documentation</w:t>
      </w:r>
      <w:r w:rsidR="00406ABF">
        <w:br/>
        <w:t>I will: Attend training for improved incident reporting standards. Checklist development plans. Peer review of documentation.</w:t>
      </w:r>
      <w:r w:rsidR="00406ABF">
        <w:br/>
        <w:t xml:space="preserve">To measure success: This aims to have fewer errors/omissions during sessions and through documentation. Aims for Positive audit outcomes and improved manager feedback. </w:t>
      </w:r>
      <w:r w:rsidR="00406ABF">
        <w:br/>
      </w:r>
      <w:r w:rsidR="00406ABF">
        <w:br/>
        <w:t>5. Growth in leadership capabilities</w:t>
      </w:r>
      <w:r w:rsidR="00406ABF">
        <w:br/>
        <w:t xml:space="preserve">I will: Complete and attend an introduction to supervision short course. Lead a team handover meeting monthly at the Office, having discussions about areas of improvement as a team, as well as the chance for staff to voice their opinions and thoughts. Continue to mentor/shadow new members of staff into the company and hold regular supervisions, keeping up to date with the regularities. </w:t>
      </w:r>
      <w:r w:rsidR="00406ABF">
        <w:br/>
        <w:t xml:space="preserve">To measure success: I will ask for feedback when demonstrating leadership behaviours. Use 360-degree feedback and make use of appraisal progression from senior management. </w:t>
      </w:r>
      <w:r w:rsidR="00406ABF">
        <w:br/>
      </w:r>
      <w:r w:rsidR="00406ABF">
        <w:br/>
      </w:r>
      <w:r w:rsidR="00406ABF" w:rsidRPr="00F339D0">
        <w:rPr>
          <w:rStyle w:val="Heading2Char"/>
          <w:color w:val="8DD873" w:themeColor="accent6" w:themeTint="99"/>
        </w:rPr>
        <w:t>5. Using the Plan to Support Performance Management</w:t>
      </w:r>
      <w:r w:rsidR="00406ABF" w:rsidRPr="00F339D0">
        <w:rPr>
          <w:color w:val="8DD873" w:themeColor="accent6" w:themeTint="99"/>
        </w:rPr>
        <w:t xml:space="preserve"> </w:t>
      </w:r>
      <w:r w:rsidR="00406ABF">
        <w:br/>
      </w:r>
      <w:r w:rsidR="00406ABF">
        <w:br/>
        <w:t xml:space="preserve">Performance management within Health and Social Care is </w:t>
      </w:r>
      <w:proofErr w:type="gramStart"/>
      <w:r w:rsidR="00406ABF">
        <w:t>very effective</w:t>
      </w:r>
      <w:proofErr w:type="gramEnd"/>
      <w:r w:rsidR="00406ABF">
        <w:t xml:space="preserve"> when designed as supportive rather than punitive. The developmental plan</w:t>
      </w:r>
      <w:r w:rsidR="00E00BED">
        <w:t xml:space="preserve"> demonstrates the following:</w:t>
      </w:r>
      <w:r w:rsidR="00E00BED">
        <w:br/>
        <w:t>Creates clear expectations for staff members: Objectives are SMART, Measurable and Transparent.</w:t>
      </w:r>
      <w:r w:rsidR="00E00BED">
        <w:br/>
        <w:t>Promotes Accountability: Managers and staff members share and hold responsibility for their own progress and expectations of the role.</w:t>
      </w:r>
      <w:r w:rsidR="00E00BED">
        <w:br/>
        <w:t xml:space="preserve">Supports Personal improvement: Regular feedback and reflective sessions ensure that the plan evolves with continuous changes. </w:t>
      </w:r>
      <w:r w:rsidR="00E00BED">
        <w:br/>
        <w:t>Aligns with individual growth with Organisational Goals: Develops behaviour Management skills which will directly improve the child’s health and well-being, achieving better outcomes.</w:t>
      </w:r>
      <w:r w:rsidR="00E00BED">
        <w:br/>
      </w:r>
      <w:r w:rsidR="00E00BED">
        <w:lastRenderedPageBreak/>
        <w:t>Encourages reflective learning: Critical reflection integrates theory and practice which will strengthen professional judgment and delivery of care.</w:t>
      </w:r>
      <w:r w:rsidR="00E00BED">
        <w:br/>
        <w:t>Appraisal and Progression: The plan focuses on personal growth and chance for potential promotion if plan is adhered too correctly and the correct improvements are made.</w:t>
      </w:r>
      <w:r w:rsidR="00937B05">
        <w:rPr>
          <w:rFonts w:asciiTheme="majorHAnsi" w:hAnsiTheme="majorHAnsi"/>
          <w:color w:val="4C94D8" w:themeColor="text2" w:themeTint="80"/>
          <w:sz w:val="28"/>
          <w:szCs w:val="28"/>
        </w:rPr>
        <w:br/>
      </w:r>
      <w:r w:rsidR="00E00BED" w:rsidRPr="00F339D0">
        <w:rPr>
          <w:rStyle w:val="Heading2Char"/>
          <w:color w:val="8DD873" w:themeColor="accent6" w:themeTint="99"/>
        </w:rPr>
        <w:br/>
        <w:t>6. Conclusion</w:t>
      </w:r>
      <w:r w:rsidR="00E00BED" w:rsidRPr="00F339D0">
        <w:rPr>
          <w:color w:val="8DD873" w:themeColor="accent6" w:themeTint="99"/>
        </w:rPr>
        <w:t xml:space="preserve"> </w:t>
      </w:r>
      <w:r w:rsidR="00E00BED">
        <w:rPr>
          <w:color w:val="000000" w:themeColor="text1"/>
        </w:rPr>
        <w:br/>
      </w:r>
      <w:r w:rsidR="00E00BED">
        <w:rPr>
          <w:color w:val="000000" w:themeColor="text1"/>
        </w:rPr>
        <w:br/>
        <w:t xml:space="preserve">This report has identified how developing </w:t>
      </w:r>
      <w:r w:rsidR="00FA0D2E">
        <w:rPr>
          <w:color w:val="000000" w:themeColor="text1"/>
        </w:rPr>
        <w:t>workplace</w:t>
      </w:r>
      <w:r w:rsidR="00E00BED">
        <w:rPr>
          <w:color w:val="000000" w:themeColor="text1"/>
        </w:rPr>
        <w:t xml:space="preserve"> relationships while supporting individual’s in health and social care, especially when working with children with complex needs, directly strengthens organisational performance, workforce resilience and the quality of care the service delivers. By investing in the developmental strategies, such as training courses, mentoring, reflective practice, and experimental learning, organisations can create positive environments where staff feel valued, supported, capable and empowered </w:t>
      </w:r>
      <w:proofErr w:type="gramStart"/>
      <w:r w:rsidR="00E00BED">
        <w:rPr>
          <w:color w:val="000000" w:themeColor="text1"/>
        </w:rPr>
        <w:t>in order to</w:t>
      </w:r>
      <w:proofErr w:type="gramEnd"/>
      <w:r w:rsidR="00E00BED">
        <w:rPr>
          <w:color w:val="000000" w:themeColor="text1"/>
        </w:rPr>
        <w:t xml:space="preserve"> achieve their best potential. </w:t>
      </w:r>
      <w:r w:rsidR="00E00BED">
        <w:rPr>
          <w:color w:val="000000" w:themeColor="text1"/>
        </w:rPr>
        <w:br/>
      </w:r>
      <w:r w:rsidR="00E00BED">
        <w:rPr>
          <w:color w:val="000000" w:themeColor="text1"/>
        </w:rPr>
        <w:br/>
        <w:t xml:space="preserve">Managing expectations, evaluating development vehicles accessible in HSC, and designing detailed development care plans, ensures that staff growth remains aligned with organisational capacity and children’s well-being and needs. A </w:t>
      </w:r>
      <w:r w:rsidR="00FA0D2E">
        <w:rPr>
          <w:color w:val="000000" w:themeColor="text1"/>
        </w:rPr>
        <w:t>development-oriented</w:t>
      </w:r>
      <w:r w:rsidR="00E00BED">
        <w:rPr>
          <w:color w:val="000000" w:themeColor="text1"/>
        </w:rPr>
        <w:t xml:space="preserve"> culture enhances collaboration, reduces high turn over of staff, burn out, increases the competence, and ensures compliance within regulatory standards. Within complex health care environments these factors are not option, they are deemed vital to the success of </w:t>
      </w:r>
      <w:r w:rsidR="00F339D0">
        <w:rPr>
          <w:color w:val="000000" w:themeColor="text1"/>
        </w:rPr>
        <w:t xml:space="preserve">maintaining safe, compassionate and effective services. </w:t>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br/>
      </w:r>
      <w:r w:rsidR="00FA0D2E">
        <w:rPr>
          <w:color w:val="000000" w:themeColor="text1"/>
        </w:rPr>
        <w:lastRenderedPageBreak/>
        <w:br/>
      </w:r>
      <w:r w:rsidR="00FA0D2E">
        <w:rPr>
          <w:color w:val="000000" w:themeColor="text1"/>
        </w:rPr>
        <w:br/>
      </w:r>
      <w:r w:rsidR="00FA0D2E" w:rsidRPr="00FA0D2E">
        <w:rPr>
          <w:rStyle w:val="Heading2Char"/>
          <w:color w:val="8DD873" w:themeColor="accent6" w:themeTint="99"/>
        </w:rPr>
        <w:t>References 5010</w:t>
      </w:r>
      <w:r w:rsidR="00FA0D2E" w:rsidRPr="00FA0D2E">
        <w:br/>
      </w:r>
      <w:r w:rsidR="00FA0D2E">
        <w:br/>
      </w:r>
      <w:r w:rsidR="00FA0D2E">
        <w:br/>
      </w:r>
      <w:r w:rsidR="00FA0D2E">
        <w:br/>
        <w:t xml:space="preserve">1. </w:t>
      </w:r>
      <w:r w:rsidR="00FA0D2E" w:rsidRPr="004F287A">
        <w:t xml:space="preserve">Parsons, Lian. “How to Build Business Relationships.” </w:t>
      </w:r>
      <w:r w:rsidR="00FA0D2E" w:rsidRPr="004F287A">
        <w:rPr>
          <w:i/>
          <w:iCs/>
        </w:rPr>
        <w:t>Professional Development | Harvard DCE</w:t>
      </w:r>
      <w:r w:rsidR="00FA0D2E" w:rsidRPr="004F287A">
        <w:t>, 16 Dec. 2022, professional.dce.harvard.edu/blog/how-to-build-business-relationships/.</w:t>
      </w:r>
    </w:p>
    <w:p w14:paraId="191C24E7" w14:textId="77777777" w:rsidR="00FA0D2E" w:rsidRPr="00B37288" w:rsidRDefault="00FA0D2E" w:rsidP="00FA0D2E">
      <w:r>
        <w:t xml:space="preserve">2. </w:t>
      </w:r>
      <w:r w:rsidRPr="001E3490">
        <w:t xml:space="preserve">Bratton, J. &amp; Gold, J. (2017) </w:t>
      </w:r>
      <w:r w:rsidRPr="001E3490">
        <w:rPr>
          <w:i/>
          <w:iCs/>
        </w:rPr>
        <w:t>Human Resource Management: Theory and Practice</w:t>
      </w:r>
      <w:r w:rsidRPr="001E3490">
        <w:t>. London: Palgrave.</w:t>
      </w:r>
      <w:r>
        <w:br/>
      </w:r>
      <w:r>
        <w:br/>
        <w:t xml:space="preserve">3. </w:t>
      </w:r>
      <w:r w:rsidRPr="00B37288">
        <w:t xml:space="preserve">Allen, D., et al. (2013) </w:t>
      </w:r>
      <w:r w:rsidRPr="00B37288">
        <w:rPr>
          <w:i/>
          <w:iCs/>
        </w:rPr>
        <w:t>Understanding challenging behaviour in children with intellectual disabilities</w:t>
      </w:r>
      <w:r w:rsidRPr="00B37288">
        <w:t>. Journal of Intellectual Disability Research, 57(4), 301–314.</w:t>
      </w:r>
    </w:p>
    <w:p w14:paraId="67C07367" w14:textId="77777777" w:rsidR="00FA0D2E" w:rsidRPr="00B37288" w:rsidRDefault="00FA0D2E" w:rsidP="00FA0D2E">
      <w:r>
        <w:t xml:space="preserve">4. </w:t>
      </w:r>
      <w:r w:rsidRPr="00B37288">
        <w:t xml:space="preserve">Armstrong, M. &amp; Taylor, S. (2020) </w:t>
      </w:r>
      <w:r w:rsidRPr="00B37288">
        <w:rPr>
          <w:i/>
          <w:iCs/>
        </w:rPr>
        <w:t>Armstrong’s Handbook of Human Resource Management Practice</w:t>
      </w:r>
      <w:r w:rsidRPr="00B37288">
        <w:t>. London: Kogan Page.</w:t>
      </w:r>
    </w:p>
    <w:p w14:paraId="5D182D2E" w14:textId="77777777" w:rsidR="00FA0D2E" w:rsidRPr="00B37288" w:rsidRDefault="00FA0D2E" w:rsidP="00FA0D2E">
      <w:r>
        <w:t xml:space="preserve">5. </w:t>
      </w:r>
      <w:r w:rsidRPr="00B37288">
        <w:t xml:space="preserve">Bratton, J. &amp; Gold, J. (2017) </w:t>
      </w:r>
      <w:r w:rsidRPr="00B37288">
        <w:rPr>
          <w:i/>
          <w:iCs/>
        </w:rPr>
        <w:t>Human Resource Management: Theory and Practice</w:t>
      </w:r>
      <w:r w:rsidRPr="00B37288">
        <w:t>. London: Palgrave.</w:t>
      </w:r>
    </w:p>
    <w:p w14:paraId="038A13BC" w14:textId="77777777" w:rsidR="00FA0D2E" w:rsidRPr="00B37288" w:rsidRDefault="00FA0D2E" w:rsidP="00FA0D2E">
      <w:r>
        <w:t xml:space="preserve">6. </w:t>
      </w:r>
      <w:r w:rsidRPr="00B37288">
        <w:t xml:space="preserve">Emerson, E. &amp; Einfeld, S. (2011) </w:t>
      </w:r>
      <w:r w:rsidRPr="00B37288">
        <w:rPr>
          <w:i/>
          <w:iCs/>
        </w:rPr>
        <w:t>Challenging Behaviour</w:t>
      </w:r>
      <w:r w:rsidRPr="00B37288">
        <w:t>. Cambridge University Press.</w:t>
      </w:r>
    </w:p>
    <w:p w14:paraId="6323B47D" w14:textId="77777777" w:rsidR="00FA0D2E" w:rsidRPr="00B37288" w:rsidRDefault="00FA0D2E" w:rsidP="00FA0D2E">
      <w:r>
        <w:rPr>
          <w:lang w:val="fr-FR"/>
        </w:rPr>
        <w:t xml:space="preserve">7. </w:t>
      </w:r>
      <w:r w:rsidRPr="00B37288">
        <w:rPr>
          <w:lang w:val="fr-FR"/>
        </w:rPr>
        <w:t xml:space="preserve">Gore, N.J., et al. </w:t>
      </w:r>
      <w:r w:rsidRPr="00B37288">
        <w:t xml:space="preserve">(2013) ‘Definition and scope for positive behaviour support’, </w:t>
      </w:r>
      <w:r w:rsidRPr="00B37288">
        <w:rPr>
          <w:i/>
          <w:iCs/>
        </w:rPr>
        <w:t>International Journal of Positive Behavioural Support</w:t>
      </w:r>
      <w:r w:rsidRPr="00B37288">
        <w:t>, 3(2), 14–23.</w:t>
      </w:r>
    </w:p>
    <w:p w14:paraId="6BD00B28" w14:textId="77777777" w:rsidR="00FA0D2E" w:rsidRPr="00B37288" w:rsidRDefault="00FA0D2E" w:rsidP="00FA0D2E">
      <w:r>
        <w:t xml:space="preserve">8. </w:t>
      </w:r>
      <w:r w:rsidRPr="00B37288">
        <w:t xml:space="preserve">Hussein, S., et al. (2016) ‘Staff retention in the social care sector’, </w:t>
      </w:r>
      <w:r w:rsidRPr="00B37288">
        <w:rPr>
          <w:i/>
          <w:iCs/>
        </w:rPr>
        <w:t>Health and Social Care in the Community</w:t>
      </w:r>
      <w:r w:rsidRPr="00B37288">
        <w:t>, 24(3), 375–384.</w:t>
      </w:r>
    </w:p>
    <w:p w14:paraId="2748DF04" w14:textId="77777777" w:rsidR="00FA0D2E" w:rsidRPr="00B37288" w:rsidRDefault="00FA0D2E" w:rsidP="00FA0D2E">
      <w:r>
        <w:t xml:space="preserve">9. </w:t>
      </w:r>
      <w:r w:rsidRPr="00B37288">
        <w:t xml:space="preserve">Latham, G. (2012) </w:t>
      </w:r>
      <w:r w:rsidRPr="00B37288">
        <w:rPr>
          <w:i/>
          <w:iCs/>
        </w:rPr>
        <w:t>Work Motivation: History, Theory, Research, and Practice</w:t>
      </w:r>
      <w:r w:rsidRPr="00B37288">
        <w:t>. Sage.</w:t>
      </w:r>
    </w:p>
    <w:p w14:paraId="31A05C12" w14:textId="77777777" w:rsidR="00FA0D2E" w:rsidRPr="00B37288" w:rsidRDefault="00FA0D2E" w:rsidP="00FA0D2E">
      <w:r>
        <w:t>10.</w:t>
      </w:r>
      <w:r w:rsidRPr="00B37288">
        <w:t xml:space="preserve">NICE (2015) </w:t>
      </w:r>
      <w:r w:rsidRPr="00B37288">
        <w:rPr>
          <w:i/>
          <w:iCs/>
        </w:rPr>
        <w:t>Challenging behaviour and learning disabilities: prevention and interventions</w:t>
      </w:r>
      <w:r w:rsidRPr="00B37288">
        <w:t>. NICE Guideline [NG11].</w:t>
      </w:r>
    </w:p>
    <w:p w14:paraId="6FF8DA2E" w14:textId="77777777" w:rsidR="00FA0D2E" w:rsidRPr="00B37288" w:rsidRDefault="00FA0D2E" w:rsidP="00FA0D2E">
      <w:r>
        <w:t xml:space="preserve">11. </w:t>
      </w:r>
      <w:r w:rsidRPr="00B37288">
        <w:t xml:space="preserve">Skirrow, P. &amp; Hatton, C. (2007) ‘Burnout among direct care workers’, </w:t>
      </w:r>
      <w:r w:rsidRPr="00B37288">
        <w:rPr>
          <w:i/>
          <w:iCs/>
        </w:rPr>
        <w:t>Journal of Applied Research in Intellectual Disabilities</w:t>
      </w:r>
      <w:r w:rsidRPr="00B37288">
        <w:t>, 20(2), 131–140.</w:t>
      </w:r>
    </w:p>
    <w:p w14:paraId="38D70707" w14:textId="77777777" w:rsidR="00FA0D2E" w:rsidRPr="00B37288" w:rsidRDefault="00FA0D2E" w:rsidP="00FA0D2E">
      <w:r>
        <w:t xml:space="preserve">12. </w:t>
      </w:r>
      <w:r w:rsidRPr="00B37288">
        <w:t xml:space="preserve">West, M. &amp; Dawson, J. (2012) </w:t>
      </w:r>
      <w:r w:rsidRPr="00B37288">
        <w:rPr>
          <w:i/>
          <w:iCs/>
        </w:rPr>
        <w:t>Employee engagement and NHS performance</w:t>
      </w:r>
      <w:r w:rsidRPr="00B37288">
        <w:t>. King’s Fund.</w:t>
      </w:r>
    </w:p>
    <w:p w14:paraId="2C357C2C" w14:textId="77777777" w:rsidR="00FA0D2E" w:rsidRPr="00B37288" w:rsidRDefault="00FA0D2E" w:rsidP="00FA0D2E">
      <w:r>
        <w:t xml:space="preserve">13. </w:t>
      </w:r>
      <w:r w:rsidRPr="00B37288">
        <w:t xml:space="preserve">West, M., et al. (2017) </w:t>
      </w:r>
      <w:r w:rsidRPr="00B37288">
        <w:rPr>
          <w:i/>
          <w:iCs/>
        </w:rPr>
        <w:t>Caring to Change: How Compassionate Leadership Can Stimulate Innovation</w:t>
      </w:r>
      <w:r w:rsidRPr="00B37288">
        <w:t>. The King’s Fund.</w:t>
      </w:r>
    </w:p>
    <w:p w14:paraId="1AE97BA7" w14:textId="77777777" w:rsidR="00FA0D2E" w:rsidRPr="00B37288" w:rsidRDefault="00FA0D2E" w:rsidP="00FA0D2E">
      <w:r>
        <w:t xml:space="preserve">14. </w:t>
      </w:r>
      <w:r w:rsidRPr="00B37288">
        <w:t xml:space="preserve">Skills for Care (2019) </w:t>
      </w:r>
      <w:r w:rsidRPr="00B37288">
        <w:rPr>
          <w:i/>
          <w:iCs/>
        </w:rPr>
        <w:t>Core and Mandatory Training Framework</w:t>
      </w:r>
      <w:r w:rsidRPr="00B37288">
        <w:t>.</w:t>
      </w:r>
    </w:p>
    <w:p w14:paraId="0A397D14" w14:textId="77777777" w:rsidR="00FA0D2E" w:rsidRPr="00B37288" w:rsidRDefault="00FA0D2E" w:rsidP="00FA0D2E">
      <w:r>
        <w:t xml:space="preserve">15. </w:t>
      </w:r>
      <w:r w:rsidRPr="00B37288">
        <w:t xml:space="preserve">NHS Leadership Academy (2020) </w:t>
      </w:r>
      <w:r w:rsidRPr="00B37288">
        <w:rPr>
          <w:i/>
          <w:iCs/>
        </w:rPr>
        <w:t>Healthcare Leadership Model</w:t>
      </w:r>
      <w:r w:rsidRPr="00B37288">
        <w:t>.</w:t>
      </w:r>
    </w:p>
    <w:p w14:paraId="5A801FB6" w14:textId="77777777" w:rsidR="00FA0D2E" w:rsidRPr="00B37288" w:rsidRDefault="00FA0D2E" w:rsidP="00FA0D2E">
      <w:r>
        <w:lastRenderedPageBreak/>
        <w:t xml:space="preserve">16. </w:t>
      </w:r>
      <w:r w:rsidRPr="00B37288">
        <w:t xml:space="preserve">Kolb, D. (2015) </w:t>
      </w:r>
      <w:r w:rsidRPr="00B37288">
        <w:rPr>
          <w:i/>
          <w:iCs/>
        </w:rPr>
        <w:t>Experiential Learning: Experience as the Source of Learning and Development</w:t>
      </w:r>
      <w:r w:rsidRPr="00B37288">
        <w:t>. Pearson.</w:t>
      </w:r>
    </w:p>
    <w:p w14:paraId="004D72D8" w14:textId="77777777" w:rsidR="00FA0D2E" w:rsidRPr="007E45E3" w:rsidRDefault="00FA0D2E" w:rsidP="00FA0D2E">
      <w:r>
        <w:t xml:space="preserve">17. </w:t>
      </w:r>
      <w:r w:rsidRPr="00B37288">
        <w:t xml:space="preserve">Schon, D. (1983) </w:t>
      </w:r>
      <w:r w:rsidRPr="00B37288">
        <w:rPr>
          <w:i/>
          <w:iCs/>
        </w:rPr>
        <w:t>The Reflective Practitioner</w:t>
      </w:r>
      <w:r w:rsidRPr="00B37288">
        <w:t>. Basic Books.</w:t>
      </w:r>
      <w:r>
        <w:br/>
      </w:r>
      <w:r>
        <w:br/>
        <w:t xml:space="preserve">18. </w:t>
      </w:r>
      <w:r w:rsidRPr="007E45E3">
        <w:t xml:space="preserve">Henderson, J. (2021) ‘Managing expectations in professional development conversations’, </w:t>
      </w:r>
      <w:r w:rsidRPr="007E45E3">
        <w:rPr>
          <w:i/>
          <w:iCs/>
        </w:rPr>
        <w:t>Journal of Workplace Learning</w:t>
      </w:r>
      <w:r w:rsidRPr="007E45E3">
        <w:t>, 33(7), pp. 512–525.</w:t>
      </w:r>
      <w:r>
        <w:br/>
      </w:r>
      <w:r>
        <w:br/>
        <w:t xml:space="preserve">19. </w:t>
      </w:r>
      <w:r w:rsidRPr="007E45E3">
        <w:t xml:space="preserve">Gibbs, G. (1988) </w:t>
      </w:r>
      <w:r w:rsidRPr="007E45E3">
        <w:rPr>
          <w:i/>
          <w:iCs/>
        </w:rPr>
        <w:t>Learning by Doing: A Guide to Teaching and Learning Methods</w:t>
      </w:r>
      <w:r w:rsidRPr="007E45E3">
        <w:t>. Oxford Polytechnic.</w:t>
      </w:r>
      <w:r>
        <w:br/>
      </w:r>
      <w:r>
        <w:br/>
        <w:t xml:space="preserve">20. </w:t>
      </w:r>
      <w:r w:rsidRPr="007E45E3">
        <w:t xml:space="preserve">Mindo. “Healing the Rift – Rebuilding Professional Relationships to Enhance Patient Safety.” </w:t>
      </w:r>
      <w:r w:rsidRPr="007E45E3">
        <w:rPr>
          <w:i/>
          <w:iCs/>
        </w:rPr>
        <w:t>Medical Independent</w:t>
      </w:r>
      <w:r w:rsidRPr="007E45E3">
        <w:t>, 19 Nov. 2023, www.medicalindependent.ie/comment/medico-legal/healing-the-rift-rebuilding-professional-relationships-to-enhance-patient-safety/.</w:t>
      </w:r>
    </w:p>
    <w:p w14:paraId="6FCC1027" w14:textId="363B8742" w:rsidR="009F07D6" w:rsidRPr="00937B05" w:rsidRDefault="009F07D6" w:rsidP="00937B05">
      <w:pPr>
        <w:spacing w:line="360" w:lineRule="auto"/>
        <w:jc w:val="center"/>
        <w:rPr>
          <w:rFonts w:asciiTheme="majorHAnsi" w:hAnsiTheme="majorHAnsi"/>
          <w:color w:val="4C94D8" w:themeColor="text2" w:themeTint="80"/>
          <w:sz w:val="28"/>
          <w:szCs w:val="28"/>
        </w:rPr>
      </w:pPr>
    </w:p>
    <w:sectPr w:rsidR="009F07D6" w:rsidRPr="00937B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7D6"/>
    <w:rsid w:val="00031AC4"/>
    <w:rsid w:val="00051A71"/>
    <w:rsid w:val="001E0A22"/>
    <w:rsid w:val="00376ED0"/>
    <w:rsid w:val="003E62A4"/>
    <w:rsid w:val="00406ABF"/>
    <w:rsid w:val="004D78F5"/>
    <w:rsid w:val="00557260"/>
    <w:rsid w:val="005C0B9A"/>
    <w:rsid w:val="005F22AC"/>
    <w:rsid w:val="00654369"/>
    <w:rsid w:val="0066319A"/>
    <w:rsid w:val="00787564"/>
    <w:rsid w:val="007F7DA2"/>
    <w:rsid w:val="00916A77"/>
    <w:rsid w:val="00937B05"/>
    <w:rsid w:val="009A13CA"/>
    <w:rsid w:val="009B35DB"/>
    <w:rsid w:val="009D36B1"/>
    <w:rsid w:val="009F07D6"/>
    <w:rsid w:val="00A155EE"/>
    <w:rsid w:val="00A4607A"/>
    <w:rsid w:val="00A91F58"/>
    <w:rsid w:val="00AF2C05"/>
    <w:rsid w:val="00BD29D0"/>
    <w:rsid w:val="00BE6DB6"/>
    <w:rsid w:val="00E00BED"/>
    <w:rsid w:val="00E4182B"/>
    <w:rsid w:val="00E6737A"/>
    <w:rsid w:val="00EF26F0"/>
    <w:rsid w:val="00F339D0"/>
    <w:rsid w:val="00FA0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851F0"/>
  <w15:chartTrackingRefBased/>
  <w15:docId w15:val="{0962A117-003E-482A-906F-591EFDB17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7D6"/>
  </w:style>
  <w:style w:type="paragraph" w:styleId="Heading1">
    <w:name w:val="heading 1"/>
    <w:basedOn w:val="Normal"/>
    <w:next w:val="Normal"/>
    <w:link w:val="Heading1Char"/>
    <w:uiPriority w:val="9"/>
    <w:qFormat/>
    <w:rsid w:val="009F07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07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07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07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07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07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07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07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07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7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07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07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07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07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07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07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07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07D6"/>
    <w:rPr>
      <w:rFonts w:eastAsiaTheme="majorEastAsia" w:cstheme="majorBidi"/>
      <w:color w:val="272727" w:themeColor="text1" w:themeTint="D8"/>
    </w:rPr>
  </w:style>
  <w:style w:type="paragraph" w:styleId="Title">
    <w:name w:val="Title"/>
    <w:basedOn w:val="Normal"/>
    <w:next w:val="Normal"/>
    <w:link w:val="TitleChar"/>
    <w:uiPriority w:val="10"/>
    <w:qFormat/>
    <w:rsid w:val="009F07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7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7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7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07D6"/>
    <w:pPr>
      <w:spacing w:before="160"/>
      <w:jc w:val="center"/>
    </w:pPr>
    <w:rPr>
      <w:i/>
      <w:iCs/>
      <w:color w:val="404040" w:themeColor="text1" w:themeTint="BF"/>
    </w:rPr>
  </w:style>
  <w:style w:type="character" w:customStyle="1" w:styleId="QuoteChar">
    <w:name w:val="Quote Char"/>
    <w:basedOn w:val="DefaultParagraphFont"/>
    <w:link w:val="Quote"/>
    <w:uiPriority w:val="29"/>
    <w:rsid w:val="009F07D6"/>
    <w:rPr>
      <w:i/>
      <w:iCs/>
      <w:color w:val="404040" w:themeColor="text1" w:themeTint="BF"/>
    </w:rPr>
  </w:style>
  <w:style w:type="paragraph" w:styleId="ListParagraph">
    <w:name w:val="List Paragraph"/>
    <w:basedOn w:val="Normal"/>
    <w:uiPriority w:val="34"/>
    <w:qFormat/>
    <w:rsid w:val="009F07D6"/>
    <w:pPr>
      <w:ind w:left="720"/>
      <w:contextualSpacing/>
    </w:pPr>
  </w:style>
  <w:style w:type="character" w:styleId="IntenseEmphasis">
    <w:name w:val="Intense Emphasis"/>
    <w:basedOn w:val="DefaultParagraphFont"/>
    <w:uiPriority w:val="21"/>
    <w:qFormat/>
    <w:rsid w:val="009F07D6"/>
    <w:rPr>
      <w:i/>
      <w:iCs/>
      <w:color w:val="0F4761" w:themeColor="accent1" w:themeShade="BF"/>
    </w:rPr>
  </w:style>
  <w:style w:type="paragraph" w:styleId="IntenseQuote">
    <w:name w:val="Intense Quote"/>
    <w:basedOn w:val="Normal"/>
    <w:next w:val="Normal"/>
    <w:link w:val="IntenseQuoteChar"/>
    <w:uiPriority w:val="30"/>
    <w:qFormat/>
    <w:rsid w:val="009F07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07D6"/>
    <w:rPr>
      <w:i/>
      <w:iCs/>
      <w:color w:val="0F4761" w:themeColor="accent1" w:themeShade="BF"/>
    </w:rPr>
  </w:style>
  <w:style w:type="character" w:styleId="IntenseReference">
    <w:name w:val="Intense Reference"/>
    <w:basedOn w:val="DefaultParagraphFont"/>
    <w:uiPriority w:val="32"/>
    <w:qFormat/>
    <w:rsid w:val="009F07D6"/>
    <w:rPr>
      <w:b/>
      <w:bCs/>
      <w:smallCaps/>
      <w:color w:val="0F4761" w:themeColor="accent1" w:themeShade="BF"/>
      <w:spacing w:val="5"/>
    </w:rPr>
  </w:style>
  <w:style w:type="paragraph" w:styleId="NormalWeb">
    <w:name w:val="Normal (Web)"/>
    <w:basedOn w:val="Normal"/>
    <w:uiPriority w:val="99"/>
    <w:semiHidden/>
    <w:unhideWhenUsed/>
    <w:rsid w:val="009B35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3147</Words>
  <Characters>17941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Mica Davies</dc:creator>
  <cp:keywords/>
  <dc:description/>
  <cp:lastModifiedBy>Mica Davies</cp:lastModifiedBy>
  <cp:revision>2</cp:revision>
  <dcterms:created xsi:type="dcterms:W3CDTF">2025-11-26T14:45:00Z</dcterms:created>
  <dcterms:modified xsi:type="dcterms:W3CDTF">2025-11-26T14:45:00Z</dcterms:modified>
</cp:coreProperties>
</file>