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E8E91D" w14:textId="77777777" w:rsidR="00BC4D78" w:rsidRDefault="00BC4D78" w:rsidP="003B6F23">
      <w:pPr>
        <w:pStyle w:val="TableParagraph"/>
        <w:spacing w:before="208"/>
        <w:ind w:left="0"/>
        <w:jc w:val="center"/>
        <w:rPr>
          <w:b/>
          <w:noProof/>
        </w:rPr>
      </w:pPr>
    </w:p>
    <w:p w14:paraId="219C182F" w14:textId="58B0A64E" w:rsidR="003B6F23" w:rsidRDefault="00BC4D78" w:rsidP="003B6F23">
      <w:pPr>
        <w:pStyle w:val="TableParagraph"/>
        <w:spacing w:before="208"/>
        <w:ind w:left="0"/>
        <w:jc w:val="center"/>
        <w:rPr>
          <w:b/>
        </w:rPr>
      </w:pPr>
      <w:r>
        <w:rPr>
          <w:b/>
          <w:noProof/>
        </w:rPr>
        <w:drawing>
          <wp:inline distT="0" distB="0" distL="0" distR="0" wp14:anchorId="50A84707" wp14:editId="621C7991">
            <wp:extent cx="3879850" cy="2749550"/>
            <wp:effectExtent l="0" t="0" r="6350" b="0"/>
            <wp:docPr id="4" name="Picture 4"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low confidence"/>
                    <pic:cNvPicPr/>
                  </pic:nvPicPr>
                  <pic:blipFill>
                    <a:blip r:embed="rId7">
                      <a:extLst>
                        <a:ext uri="{28A0092B-C50C-407E-A947-70E740481C1C}">
                          <a14:useLocalDpi xmlns:a14="http://schemas.microsoft.com/office/drawing/2010/main" val="0"/>
                        </a:ext>
                      </a:extLst>
                    </a:blip>
                    <a:stretch>
                      <a:fillRect/>
                    </a:stretch>
                  </pic:blipFill>
                  <pic:spPr>
                    <a:xfrm>
                      <a:off x="0" y="0"/>
                      <a:ext cx="3879850" cy="2749550"/>
                    </a:xfrm>
                    <a:prstGeom prst="rect">
                      <a:avLst/>
                    </a:prstGeom>
                  </pic:spPr>
                </pic:pic>
              </a:graphicData>
            </a:graphic>
          </wp:inline>
        </w:drawing>
      </w:r>
    </w:p>
    <w:p w14:paraId="7C58969E" w14:textId="77777777" w:rsidR="003B6F23" w:rsidRDefault="003B6F23" w:rsidP="003B6F23">
      <w:pPr>
        <w:pStyle w:val="TableParagraph"/>
        <w:spacing w:before="208"/>
        <w:ind w:left="0"/>
        <w:jc w:val="center"/>
        <w:rPr>
          <w:b/>
        </w:rPr>
      </w:pPr>
    </w:p>
    <w:p w14:paraId="6D97198A" w14:textId="77777777" w:rsidR="003B6F23" w:rsidRDefault="003B6F23" w:rsidP="003B6F23">
      <w:pPr>
        <w:pStyle w:val="TableParagraph"/>
        <w:spacing w:before="208"/>
        <w:ind w:left="0"/>
        <w:jc w:val="center"/>
        <w:rPr>
          <w:b/>
        </w:rPr>
      </w:pPr>
    </w:p>
    <w:p w14:paraId="7DD79864" w14:textId="77777777" w:rsidR="003B6F23" w:rsidRPr="00BC4D78" w:rsidRDefault="003B6F23" w:rsidP="003B6F23">
      <w:pPr>
        <w:jc w:val="center"/>
        <w:rPr>
          <w:rFonts w:ascii="Arial" w:hAnsi="Arial" w:cs="Arial"/>
          <w:b/>
          <w:sz w:val="44"/>
        </w:rPr>
      </w:pPr>
      <w:r w:rsidRPr="00BC4D78">
        <w:rPr>
          <w:rFonts w:ascii="Arial" w:hAnsi="Arial" w:cs="Arial"/>
          <w:b/>
          <w:sz w:val="44"/>
        </w:rPr>
        <w:t>LCBB5003 Management economics</w:t>
      </w:r>
    </w:p>
    <w:p w14:paraId="52FE27CB" w14:textId="7035E51C" w:rsidR="003B6F23" w:rsidRDefault="003B6F23" w:rsidP="003B6F23">
      <w:pPr>
        <w:jc w:val="center"/>
        <w:rPr>
          <w:rFonts w:ascii="Arial" w:hAnsi="Arial" w:cs="Arial"/>
          <w:b/>
          <w:sz w:val="44"/>
        </w:rPr>
      </w:pPr>
      <w:r w:rsidRPr="00BC4D78">
        <w:rPr>
          <w:rFonts w:ascii="Arial" w:hAnsi="Arial" w:cs="Arial"/>
          <w:b/>
          <w:sz w:val="44"/>
        </w:rPr>
        <w:t>Assessment Component 1: Essay</w:t>
      </w:r>
    </w:p>
    <w:p w14:paraId="40D67D4E" w14:textId="77777777" w:rsidR="00BC4D78" w:rsidRDefault="00BC4D78" w:rsidP="00BC4D78">
      <w:pPr>
        <w:rPr>
          <w:rFonts w:ascii="Arial" w:hAnsi="Arial" w:cs="Arial"/>
          <w:b/>
          <w:sz w:val="44"/>
        </w:rPr>
      </w:pPr>
    </w:p>
    <w:p w14:paraId="728862E0" w14:textId="78571BE8" w:rsidR="00BC4D78" w:rsidRPr="00BC4D78" w:rsidRDefault="00BC4D78" w:rsidP="00BC4D78">
      <w:pPr>
        <w:rPr>
          <w:rFonts w:ascii="Arial" w:hAnsi="Arial" w:cs="Arial"/>
          <w:b/>
          <w:sz w:val="32"/>
          <w:szCs w:val="32"/>
        </w:rPr>
      </w:pPr>
      <w:r w:rsidRPr="00BC4D78">
        <w:rPr>
          <w:rFonts w:ascii="Arial" w:hAnsi="Arial" w:cs="Arial"/>
          <w:b/>
          <w:sz w:val="32"/>
          <w:szCs w:val="32"/>
        </w:rPr>
        <w:t>Student name: Mihaela Daniela Simcea</w:t>
      </w:r>
    </w:p>
    <w:p w14:paraId="6E35DE91" w14:textId="2A0C7C7F" w:rsidR="00BC4D78" w:rsidRPr="00BC4D78" w:rsidRDefault="00BC4D78" w:rsidP="00BC4D78">
      <w:pPr>
        <w:rPr>
          <w:rFonts w:ascii="Arial" w:hAnsi="Arial" w:cs="Arial"/>
          <w:b/>
          <w:sz w:val="32"/>
          <w:szCs w:val="32"/>
        </w:rPr>
      </w:pPr>
      <w:r w:rsidRPr="00BC4D78">
        <w:rPr>
          <w:rFonts w:ascii="Arial" w:hAnsi="Arial" w:cs="Arial"/>
          <w:b/>
          <w:sz w:val="32"/>
          <w:szCs w:val="32"/>
        </w:rPr>
        <w:t>Student ID: 2028830</w:t>
      </w:r>
    </w:p>
    <w:p w14:paraId="3C10EBE1" w14:textId="77777777" w:rsidR="00BC4D78" w:rsidRPr="00BC4D78" w:rsidRDefault="00BC4D78" w:rsidP="00BC4D78">
      <w:pPr>
        <w:rPr>
          <w:rFonts w:ascii="Arial" w:hAnsi="Arial" w:cs="Arial"/>
          <w:b/>
          <w:sz w:val="32"/>
          <w:szCs w:val="32"/>
        </w:rPr>
      </w:pPr>
    </w:p>
    <w:p w14:paraId="7CD1E16D" w14:textId="1F48C48A" w:rsidR="00BC4D78" w:rsidRPr="00BC4D78" w:rsidRDefault="00BC4D78" w:rsidP="00BC4D78">
      <w:pPr>
        <w:rPr>
          <w:rFonts w:ascii="Arial" w:hAnsi="Arial" w:cs="Arial"/>
          <w:b/>
          <w:sz w:val="32"/>
          <w:szCs w:val="32"/>
        </w:rPr>
      </w:pPr>
      <w:r w:rsidRPr="00BC4D78">
        <w:rPr>
          <w:rFonts w:ascii="Arial" w:hAnsi="Arial" w:cs="Arial"/>
          <w:b/>
          <w:sz w:val="32"/>
          <w:szCs w:val="32"/>
        </w:rPr>
        <w:t xml:space="preserve">Lecturer name:  </w:t>
      </w:r>
      <w:r w:rsidRPr="00BC4D78">
        <w:rPr>
          <w:rFonts w:ascii="Arial" w:hAnsi="Arial" w:cs="Arial"/>
          <w:b/>
          <w:color w:val="242424"/>
          <w:sz w:val="32"/>
          <w:szCs w:val="32"/>
          <w:shd w:val="clear" w:color="auto" w:fill="FFFFFF"/>
        </w:rPr>
        <w:t xml:space="preserve">Vasilios </w:t>
      </w:r>
      <w:proofErr w:type="spellStart"/>
      <w:r w:rsidRPr="00BC4D78">
        <w:rPr>
          <w:rFonts w:ascii="Arial" w:hAnsi="Arial" w:cs="Arial"/>
          <w:b/>
          <w:color w:val="242424"/>
          <w:sz w:val="32"/>
          <w:szCs w:val="32"/>
          <w:shd w:val="clear" w:color="auto" w:fill="FFFFFF"/>
        </w:rPr>
        <w:t>Tavlaridis</w:t>
      </w:r>
      <w:proofErr w:type="spellEnd"/>
    </w:p>
    <w:p w14:paraId="7B496D23" w14:textId="77777777" w:rsidR="003B6F23" w:rsidRDefault="003B6F23">
      <w:pPr>
        <w:spacing w:line="259" w:lineRule="auto"/>
        <w:jc w:val="left"/>
        <w:rPr>
          <w:b/>
          <w:sz w:val="44"/>
        </w:rPr>
      </w:pPr>
      <w:r>
        <w:rPr>
          <w:b/>
          <w:sz w:val="44"/>
        </w:rPr>
        <w:br w:type="page"/>
      </w:r>
    </w:p>
    <w:sdt>
      <w:sdtPr>
        <w:rPr>
          <w:rFonts w:ascii="Times New Roman" w:eastAsiaTheme="minorHAnsi" w:hAnsi="Times New Roman" w:cstheme="minorBidi"/>
          <w:color w:val="auto"/>
          <w:sz w:val="24"/>
          <w:szCs w:val="22"/>
          <w:lang w:val="en-GB"/>
        </w:rPr>
        <w:id w:val="382534636"/>
        <w:docPartObj>
          <w:docPartGallery w:val="Table of Contents"/>
          <w:docPartUnique/>
        </w:docPartObj>
      </w:sdtPr>
      <w:sdtEndPr>
        <w:rPr>
          <w:rFonts w:ascii="Arial" w:hAnsi="Arial" w:cs="Arial"/>
          <w:b/>
          <w:bCs/>
          <w:noProof/>
          <w:sz w:val="22"/>
        </w:rPr>
      </w:sdtEndPr>
      <w:sdtContent>
        <w:p w14:paraId="4AECC21D" w14:textId="77777777" w:rsidR="00EE5E3F" w:rsidRPr="00101CEF" w:rsidRDefault="00EE5E3F" w:rsidP="00101CEF">
          <w:pPr>
            <w:pStyle w:val="TOCHeading"/>
          </w:pPr>
          <w:r w:rsidRPr="00101CEF">
            <w:t>Contents</w:t>
          </w:r>
        </w:p>
        <w:p w14:paraId="77DFA9AC" w14:textId="252D5D60" w:rsidR="00EE5E3F" w:rsidRPr="00BC4D78" w:rsidRDefault="00EE5E3F">
          <w:pPr>
            <w:pStyle w:val="TOC1"/>
            <w:tabs>
              <w:tab w:val="right" w:leader="dot" w:pos="9350"/>
            </w:tabs>
            <w:rPr>
              <w:rFonts w:ascii="Arial" w:hAnsi="Arial" w:cs="Arial"/>
              <w:noProof/>
              <w:sz w:val="22"/>
            </w:rPr>
          </w:pPr>
          <w:r w:rsidRPr="00101CEF">
            <w:rPr>
              <w:rFonts w:ascii="Arial" w:hAnsi="Arial" w:cs="Arial"/>
              <w:sz w:val="22"/>
            </w:rPr>
            <w:fldChar w:fldCharType="begin"/>
          </w:r>
          <w:r w:rsidRPr="00101CEF">
            <w:rPr>
              <w:rFonts w:ascii="Arial" w:hAnsi="Arial" w:cs="Arial"/>
              <w:sz w:val="22"/>
            </w:rPr>
            <w:instrText xml:space="preserve"> TOC \o "1-3" \h \z \u </w:instrText>
          </w:r>
          <w:r w:rsidRPr="00101CEF">
            <w:rPr>
              <w:rFonts w:ascii="Arial" w:hAnsi="Arial" w:cs="Arial"/>
              <w:sz w:val="22"/>
            </w:rPr>
            <w:fldChar w:fldCharType="separate"/>
          </w:r>
          <w:hyperlink w:anchor="_Toc116907947" w:history="1">
            <w:r w:rsidRPr="00BC4D78">
              <w:rPr>
                <w:rStyle w:val="Hyperlink"/>
                <w:rFonts w:ascii="Arial" w:hAnsi="Arial" w:cs="Arial"/>
                <w:noProof/>
                <w:sz w:val="22"/>
              </w:rPr>
              <w:t>Introduction</w:t>
            </w:r>
            <w:r w:rsidRPr="00BC4D78">
              <w:rPr>
                <w:rFonts w:ascii="Arial" w:hAnsi="Arial" w:cs="Arial"/>
                <w:noProof/>
                <w:webHidden/>
                <w:sz w:val="22"/>
              </w:rPr>
              <w:tab/>
            </w:r>
            <w:r w:rsidRPr="00BC4D78">
              <w:rPr>
                <w:rFonts w:ascii="Arial" w:hAnsi="Arial" w:cs="Arial"/>
                <w:noProof/>
                <w:webHidden/>
                <w:sz w:val="22"/>
              </w:rPr>
              <w:fldChar w:fldCharType="begin"/>
            </w:r>
            <w:r w:rsidRPr="00BC4D78">
              <w:rPr>
                <w:rFonts w:ascii="Arial" w:hAnsi="Arial" w:cs="Arial"/>
                <w:noProof/>
                <w:webHidden/>
                <w:sz w:val="22"/>
              </w:rPr>
              <w:instrText xml:space="preserve"> PAGEREF _Toc116907947 \h </w:instrText>
            </w:r>
            <w:r w:rsidRPr="00BC4D78">
              <w:rPr>
                <w:rFonts w:ascii="Arial" w:hAnsi="Arial" w:cs="Arial"/>
                <w:noProof/>
                <w:webHidden/>
                <w:sz w:val="22"/>
              </w:rPr>
            </w:r>
            <w:r w:rsidRPr="00BC4D78">
              <w:rPr>
                <w:rFonts w:ascii="Arial" w:hAnsi="Arial" w:cs="Arial"/>
                <w:noProof/>
                <w:webHidden/>
                <w:sz w:val="22"/>
              </w:rPr>
              <w:fldChar w:fldCharType="separate"/>
            </w:r>
            <w:r w:rsidRPr="00BC4D78">
              <w:rPr>
                <w:rFonts w:ascii="Arial" w:hAnsi="Arial" w:cs="Arial"/>
                <w:noProof/>
                <w:webHidden/>
                <w:sz w:val="22"/>
              </w:rPr>
              <w:t>3</w:t>
            </w:r>
            <w:r w:rsidRPr="00BC4D78">
              <w:rPr>
                <w:rFonts w:ascii="Arial" w:hAnsi="Arial" w:cs="Arial"/>
                <w:noProof/>
                <w:webHidden/>
                <w:sz w:val="22"/>
              </w:rPr>
              <w:fldChar w:fldCharType="end"/>
            </w:r>
          </w:hyperlink>
        </w:p>
        <w:p w14:paraId="5A7D3534" w14:textId="77777777" w:rsidR="00EE5E3F" w:rsidRPr="00BC4D78" w:rsidRDefault="00BC4D78">
          <w:pPr>
            <w:pStyle w:val="TOC1"/>
            <w:tabs>
              <w:tab w:val="right" w:leader="dot" w:pos="9350"/>
            </w:tabs>
            <w:rPr>
              <w:rFonts w:ascii="Arial" w:hAnsi="Arial" w:cs="Arial"/>
              <w:noProof/>
              <w:sz w:val="22"/>
            </w:rPr>
          </w:pPr>
          <w:hyperlink w:anchor="_Toc116907948" w:history="1">
            <w:r w:rsidR="00EE5E3F" w:rsidRPr="00BC4D78">
              <w:rPr>
                <w:rStyle w:val="Hyperlink"/>
                <w:rFonts w:ascii="Arial" w:hAnsi="Arial" w:cs="Arial"/>
                <w:noProof/>
                <w:sz w:val="22"/>
              </w:rPr>
              <w:t>Explanation of each market structure</w:t>
            </w:r>
            <w:r w:rsidR="00EE5E3F" w:rsidRPr="00BC4D78">
              <w:rPr>
                <w:rFonts w:ascii="Arial" w:hAnsi="Arial" w:cs="Arial"/>
                <w:noProof/>
                <w:webHidden/>
                <w:sz w:val="22"/>
              </w:rPr>
              <w:tab/>
            </w:r>
            <w:r w:rsidR="00EE5E3F" w:rsidRPr="00BC4D78">
              <w:rPr>
                <w:rFonts w:ascii="Arial" w:hAnsi="Arial" w:cs="Arial"/>
                <w:noProof/>
                <w:webHidden/>
                <w:sz w:val="22"/>
              </w:rPr>
              <w:fldChar w:fldCharType="begin"/>
            </w:r>
            <w:r w:rsidR="00EE5E3F" w:rsidRPr="00BC4D78">
              <w:rPr>
                <w:rFonts w:ascii="Arial" w:hAnsi="Arial" w:cs="Arial"/>
                <w:noProof/>
                <w:webHidden/>
                <w:sz w:val="22"/>
              </w:rPr>
              <w:instrText xml:space="preserve"> PAGEREF _Toc116907948 \h </w:instrText>
            </w:r>
            <w:r w:rsidR="00EE5E3F" w:rsidRPr="00BC4D78">
              <w:rPr>
                <w:rFonts w:ascii="Arial" w:hAnsi="Arial" w:cs="Arial"/>
                <w:noProof/>
                <w:webHidden/>
                <w:sz w:val="22"/>
              </w:rPr>
            </w:r>
            <w:r w:rsidR="00EE5E3F" w:rsidRPr="00BC4D78">
              <w:rPr>
                <w:rFonts w:ascii="Arial" w:hAnsi="Arial" w:cs="Arial"/>
                <w:noProof/>
                <w:webHidden/>
                <w:sz w:val="22"/>
              </w:rPr>
              <w:fldChar w:fldCharType="separate"/>
            </w:r>
            <w:r w:rsidR="00EE5E3F" w:rsidRPr="00BC4D78">
              <w:rPr>
                <w:rFonts w:ascii="Arial" w:hAnsi="Arial" w:cs="Arial"/>
                <w:noProof/>
                <w:webHidden/>
                <w:sz w:val="22"/>
              </w:rPr>
              <w:t>4</w:t>
            </w:r>
            <w:r w:rsidR="00EE5E3F" w:rsidRPr="00BC4D78">
              <w:rPr>
                <w:rFonts w:ascii="Arial" w:hAnsi="Arial" w:cs="Arial"/>
                <w:noProof/>
                <w:webHidden/>
                <w:sz w:val="22"/>
              </w:rPr>
              <w:fldChar w:fldCharType="end"/>
            </w:r>
          </w:hyperlink>
        </w:p>
        <w:p w14:paraId="106EE057" w14:textId="77777777" w:rsidR="00EE5E3F" w:rsidRPr="00BC4D78" w:rsidRDefault="00BC4D78">
          <w:pPr>
            <w:pStyle w:val="TOC2"/>
            <w:tabs>
              <w:tab w:val="right" w:leader="dot" w:pos="9350"/>
            </w:tabs>
            <w:rPr>
              <w:rFonts w:ascii="Arial" w:hAnsi="Arial" w:cs="Arial"/>
              <w:noProof/>
              <w:sz w:val="22"/>
            </w:rPr>
          </w:pPr>
          <w:hyperlink w:anchor="_Toc116907949" w:history="1">
            <w:r w:rsidR="00EE5E3F" w:rsidRPr="00BC4D78">
              <w:rPr>
                <w:rStyle w:val="Hyperlink"/>
                <w:rFonts w:ascii="Arial" w:hAnsi="Arial" w:cs="Arial"/>
                <w:noProof/>
                <w:sz w:val="22"/>
              </w:rPr>
              <w:t>Perfect Competition Monopoly</w:t>
            </w:r>
            <w:r w:rsidR="00EE5E3F" w:rsidRPr="00BC4D78">
              <w:rPr>
                <w:rFonts w:ascii="Arial" w:hAnsi="Arial" w:cs="Arial"/>
                <w:noProof/>
                <w:webHidden/>
                <w:sz w:val="22"/>
              </w:rPr>
              <w:tab/>
            </w:r>
            <w:r w:rsidR="00EE5E3F" w:rsidRPr="00BC4D78">
              <w:rPr>
                <w:rFonts w:ascii="Arial" w:hAnsi="Arial" w:cs="Arial"/>
                <w:noProof/>
                <w:webHidden/>
                <w:sz w:val="22"/>
              </w:rPr>
              <w:fldChar w:fldCharType="begin"/>
            </w:r>
            <w:r w:rsidR="00EE5E3F" w:rsidRPr="00BC4D78">
              <w:rPr>
                <w:rFonts w:ascii="Arial" w:hAnsi="Arial" w:cs="Arial"/>
                <w:noProof/>
                <w:webHidden/>
                <w:sz w:val="22"/>
              </w:rPr>
              <w:instrText xml:space="preserve"> PAGEREF _Toc116907949 \h </w:instrText>
            </w:r>
            <w:r w:rsidR="00EE5E3F" w:rsidRPr="00BC4D78">
              <w:rPr>
                <w:rFonts w:ascii="Arial" w:hAnsi="Arial" w:cs="Arial"/>
                <w:noProof/>
                <w:webHidden/>
                <w:sz w:val="22"/>
              </w:rPr>
            </w:r>
            <w:r w:rsidR="00EE5E3F" w:rsidRPr="00BC4D78">
              <w:rPr>
                <w:rFonts w:ascii="Arial" w:hAnsi="Arial" w:cs="Arial"/>
                <w:noProof/>
                <w:webHidden/>
                <w:sz w:val="22"/>
              </w:rPr>
              <w:fldChar w:fldCharType="separate"/>
            </w:r>
            <w:r w:rsidR="00EE5E3F" w:rsidRPr="00BC4D78">
              <w:rPr>
                <w:rFonts w:ascii="Arial" w:hAnsi="Arial" w:cs="Arial"/>
                <w:noProof/>
                <w:webHidden/>
                <w:sz w:val="22"/>
              </w:rPr>
              <w:t>4</w:t>
            </w:r>
            <w:r w:rsidR="00EE5E3F" w:rsidRPr="00BC4D78">
              <w:rPr>
                <w:rFonts w:ascii="Arial" w:hAnsi="Arial" w:cs="Arial"/>
                <w:noProof/>
                <w:webHidden/>
                <w:sz w:val="22"/>
              </w:rPr>
              <w:fldChar w:fldCharType="end"/>
            </w:r>
          </w:hyperlink>
        </w:p>
        <w:p w14:paraId="08A111EC" w14:textId="77777777" w:rsidR="00EE5E3F" w:rsidRPr="00BC4D78" w:rsidRDefault="00BC4D78">
          <w:pPr>
            <w:pStyle w:val="TOC2"/>
            <w:tabs>
              <w:tab w:val="right" w:leader="dot" w:pos="9350"/>
            </w:tabs>
            <w:rPr>
              <w:rFonts w:ascii="Arial" w:hAnsi="Arial" w:cs="Arial"/>
              <w:noProof/>
              <w:sz w:val="22"/>
            </w:rPr>
          </w:pPr>
          <w:hyperlink w:anchor="_Toc116907950" w:history="1">
            <w:r w:rsidR="00EE5E3F" w:rsidRPr="00BC4D78">
              <w:rPr>
                <w:rStyle w:val="Hyperlink"/>
                <w:rFonts w:ascii="Arial" w:hAnsi="Arial" w:cs="Arial"/>
                <w:noProof/>
                <w:sz w:val="22"/>
              </w:rPr>
              <w:t>Monopolistic competition</w:t>
            </w:r>
            <w:r w:rsidR="00EE5E3F" w:rsidRPr="00BC4D78">
              <w:rPr>
                <w:rFonts w:ascii="Arial" w:hAnsi="Arial" w:cs="Arial"/>
                <w:noProof/>
                <w:webHidden/>
                <w:sz w:val="22"/>
              </w:rPr>
              <w:tab/>
            </w:r>
            <w:r w:rsidR="00EE5E3F" w:rsidRPr="00BC4D78">
              <w:rPr>
                <w:rFonts w:ascii="Arial" w:hAnsi="Arial" w:cs="Arial"/>
                <w:noProof/>
                <w:webHidden/>
                <w:sz w:val="22"/>
              </w:rPr>
              <w:fldChar w:fldCharType="begin"/>
            </w:r>
            <w:r w:rsidR="00EE5E3F" w:rsidRPr="00BC4D78">
              <w:rPr>
                <w:rFonts w:ascii="Arial" w:hAnsi="Arial" w:cs="Arial"/>
                <w:noProof/>
                <w:webHidden/>
                <w:sz w:val="22"/>
              </w:rPr>
              <w:instrText xml:space="preserve"> PAGEREF _Toc116907950 \h </w:instrText>
            </w:r>
            <w:r w:rsidR="00EE5E3F" w:rsidRPr="00BC4D78">
              <w:rPr>
                <w:rFonts w:ascii="Arial" w:hAnsi="Arial" w:cs="Arial"/>
                <w:noProof/>
                <w:webHidden/>
                <w:sz w:val="22"/>
              </w:rPr>
            </w:r>
            <w:r w:rsidR="00EE5E3F" w:rsidRPr="00BC4D78">
              <w:rPr>
                <w:rFonts w:ascii="Arial" w:hAnsi="Arial" w:cs="Arial"/>
                <w:noProof/>
                <w:webHidden/>
                <w:sz w:val="22"/>
              </w:rPr>
              <w:fldChar w:fldCharType="separate"/>
            </w:r>
            <w:r w:rsidR="00EE5E3F" w:rsidRPr="00BC4D78">
              <w:rPr>
                <w:rFonts w:ascii="Arial" w:hAnsi="Arial" w:cs="Arial"/>
                <w:noProof/>
                <w:webHidden/>
                <w:sz w:val="22"/>
              </w:rPr>
              <w:t>5</w:t>
            </w:r>
            <w:r w:rsidR="00EE5E3F" w:rsidRPr="00BC4D78">
              <w:rPr>
                <w:rFonts w:ascii="Arial" w:hAnsi="Arial" w:cs="Arial"/>
                <w:noProof/>
                <w:webHidden/>
                <w:sz w:val="22"/>
              </w:rPr>
              <w:fldChar w:fldCharType="end"/>
            </w:r>
          </w:hyperlink>
        </w:p>
        <w:p w14:paraId="26393392" w14:textId="77777777" w:rsidR="00EE5E3F" w:rsidRPr="00BC4D78" w:rsidRDefault="00BC4D78">
          <w:pPr>
            <w:pStyle w:val="TOC2"/>
            <w:tabs>
              <w:tab w:val="right" w:leader="dot" w:pos="9350"/>
            </w:tabs>
            <w:rPr>
              <w:rFonts w:ascii="Arial" w:hAnsi="Arial" w:cs="Arial"/>
              <w:noProof/>
              <w:sz w:val="22"/>
            </w:rPr>
          </w:pPr>
          <w:hyperlink w:anchor="_Toc116907951" w:history="1">
            <w:r w:rsidR="00EE5E3F" w:rsidRPr="00BC4D78">
              <w:rPr>
                <w:rStyle w:val="Hyperlink"/>
                <w:rFonts w:ascii="Arial" w:hAnsi="Arial" w:cs="Arial"/>
                <w:noProof/>
                <w:sz w:val="22"/>
              </w:rPr>
              <w:t>Monopoly</w:t>
            </w:r>
            <w:r w:rsidR="00EE5E3F" w:rsidRPr="00BC4D78">
              <w:rPr>
                <w:rFonts w:ascii="Arial" w:hAnsi="Arial" w:cs="Arial"/>
                <w:noProof/>
                <w:webHidden/>
                <w:sz w:val="22"/>
              </w:rPr>
              <w:tab/>
            </w:r>
            <w:r w:rsidR="00EE5E3F" w:rsidRPr="00BC4D78">
              <w:rPr>
                <w:rFonts w:ascii="Arial" w:hAnsi="Arial" w:cs="Arial"/>
                <w:noProof/>
                <w:webHidden/>
                <w:sz w:val="22"/>
              </w:rPr>
              <w:fldChar w:fldCharType="begin"/>
            </w:r>
            <w:r w:rsidR="00EE5E3F" w:rsidRPr="00BC4D78">
              <w:rPr>
                <w:rFonts w:ascii="Arial" w:hAnsi="Arial" w:cs="Arial"/>
                <w:noProof/>
                <w:webHidden/>
                <w:sz w:val="22"/>
              </w:rPr>
              <w:instrText xml:space="preserve"> PAGEREF _Toc116907951 \h </w:instrText>
            </w:r>
            <w:r w:rsidR="00EE5E3F" w:rsidRPr="00BC4D78">
              <w:rPr>
                <w:rFonts w:ascii="Arial" w:hAnsi="Arial" w:cs="Arial"/>
                <w:noProof/>
                <w:webHidden/>
                <w:sz w:val="22"/>
              </w:rPr>
            </w:r>
            <w:r w:rsidR="00EE5E3F" w:rsidRPr="00BC4D78">
              <w:rPr>
                <w:rFonts w:ascii="Arial" w:hAnsi="Arial" w:cs="Arial"/>
                <w:noProof/>
                <w:webHidden/>
                <w:sz w:val="22"/>
              </w:rPr>
              <w:fldChar w:fldCharType="separate"/>
            </w:r>
            <w:r w:rsidR="00EE5E3F" w:rsidRPr="00BC4D78">
              <w:rPr>
                <w:rFonts w:ascii="Arial" w:hAnsi="Arial" w:cs="Arial"/>
                <w:noProof/>
                <w:webHidden/>
                <w:sz w:val="22"/>
              </w:rPr>
              <w:t>9</w:t>
            </w:r>
            <w:r w:rsidR="00EE5E3F" w:rsidRPr="00BC4D78">
              <w:rPr>
                <w:rFonts w:ascii="Arial" w:hAnsi="Arial" w:cs="Arial"/>
                <w:noProof/>
                <w:webHidden/>
                <w:sz w:val="22"/>
              </w:rPr>
              <w:fldChar w:fldCharType="end"/>
            </w:r>
          </w:hyperlink>
        </w:p>
        <w:p w14:paraId="7B7C41A6" w14:textId="77777777" w:rsidR="00EE5E3F" w:rsidRPr="00BC4D78" w:rsidRDefault="00BC4D78">
          <w:pPr>
            <w:pStyle w:val="TOC2"/>
            <w:tabs>
              <w:tab w:val="right" w:leader="dot" w:pos="9350"/>
            </w:tabs>
            <w:rPr>
              <w:rFonts w:ascii="Arial" w:hAnsi="Arial" w:cs="Arial"/>
              <w:noProof/>
              <w:sz w:val="22"/>
            </w:rPr>
          </w:pPr>
          <w:hyperlink w:anchor="_Toc116907952" w:history="1">
            <w:r w:rsidR="00EE5E3F" w:rsidRPr="00BC4D78">
              <w:rPr>
                <w:rStyle w:val="Hyperlink"/>
                <w:rFonts w:ascii="Arial" w:hAnsi="Arial" w:cs="Arial"/>
                <w:noProof/>
                <w:sz w:val="22"/>
              </w:rPr>
              <w:t>Duopoly Market</w:t>
            </w:r>
            <w:r w:rsidR="00EE5E3F" w:rsidRPr="00BC4D78">
              <w:rPr>
                <w:rFonts w:ascii="Arial" w:hAnsi="Arial" w:cs="Arial"/>
                <w:noProof/>
                <w:webHidden/>
                <w:sz w:val="22"/>
              </w:rPr>
              <w:tab/>
            </w:r>
            <w:r w:rsidR="00EE5E3F" w:rsidRPr="00BC4D78">
              <w:rPr>
                <w:rFonts w:ascii="Arial" w:hAnsi="Arial" w:cs="Arial"/>
                <w:noProof/>
                <w:webHidden/>
                <w:sz w:val="22"/>
              </w:rPr>
              <w:fldChar w:fldCharType="begin"/>
            </w:r>
            <w:r w:rsidR="00EE5E3F" w:rsidRPr="00BC4D78">
              <w:rPr>
                <w:rFonts w:ascii="Arial" w:hAnsi="Arial" w:cs="Arial"/>
                <w:noProof/>
                <w:webHidden/>
                <w:sz w:val="22"/>
              </w:rPr>
              <w:instrText xml:space="preserve"> PAGEREF _Toc116907952 \h </w:instrText>
            </w:r>
            <w:r w:rsidR="00EE5E3F" w:rsidRPr="00BC4D78">
              <w:rPr>
                <w:rFonts w:ascii="Arial" w:hAnsi="Arial" w:cs="Arial"/>
                <w:noProof/>
                <w:webHidden/>
                <w:sz w:val="22"/>
              </w:rPr>
            </w:r>
            <w:r w:rsidR="00EE5E3F" w:rsidRPr="00BC4D78">
              <w:rPr>
                <w:rFonts w:ascii="Arial" w:hAnsi="Arial" w:cs="Arial"/>
                <w:noProof/>
                <w:webHidden/>
                <w:sz w:val="22"/>
              </w:rPr>
              <w:fldChar w:fldCharType="separate"/>
            </w:r>
            <w:r w:rsidR="00EE5E3F" w:rsidRPr="00BC4D78">
              <w:rPr>
                <w:rFonts w:ascii="Arial" w:hAnsi="Arial" w:cs="Arial"/>
                <w:noProof/>
                <w:webHidden/>
                <w:sz w:val="22"/>
              </w:rPr>
              <w:t>11</w:t>
            </w:r>
            <w:r w:rsidR="00EE5E3F" w:rsidRPr="00BC4D78">
              <w:rPr>
                <w:rFonts w:ascii="Arial" w:hAnsi="Arial" w:cs="Arial"/>
                <w:noProof/>
                <w:webHidden/>
                <w:sz w:val="22"/>
              </w:rPr>
              <w:fldChar w:fldCharType="end"/>
            </w:r>
          </w:hyperlink>
        </w:p>
        <w:p w14:paraId="68EF86CC" w14:textId="77777777" w:rsidR="00EE5E3F" w:rsidRPr="00BC4D78" w:rsidRDefault="00BC4D78">
          <w:pPr>
            <w:pStyle w:val="TOC2"/>
            <w:tabs>
              <w:tab w:val="right" w:leader="dot" w:pos="9350"/>
            </w:tabs>
            <w:rPr>
              <w:rFonts w:ascii="Arial" w:hAnsi="Arial" w:cs="Arial"/>
              <w:noProof/>
              <w:sz w:val="22"/>
            </w:rPr>
          </w:pPr>
          <w:hyperlink w:anchor="_Toc116907953" w:history="1">
            <w:r w:rsidR="00EE5E3F" w:rsidRPr="00BC4D78">
              <w:rPr>
                <w:rStyle w:val="Hyperlink"/>
                <w:rFonts w:ascii="Arial" w:hAnsi="Arial" w:cs="Arial"/>
                <w:noProof/>
                <w:sz w:val="22"/>
              </w:rPr>
              <w:t>Oligopoly Market</w:t>
            </w:r>
            <w:r w:rsidR="00EE5E3F" w:rsidRPr="00BC4D78">
              <w:rPr>
                <w:rFonts w:ascii="Arial" w:hAnsi="Arial" w:cs="Arial"/>
                <w:noProof/>
                <w:webHidden/>
                <w:sz w:val="22"/>
              </w:rPr>
              <w:tab/>
            </w:r>
            <w:r w:rsidR="00EE5E3F" w:rsidRPr="00BC4D78">
              <w:rPr>
                <w:rFonts w:ascii="Arial" w:hAnsi="Arial" w:cs="Arial"/>
                <w:noProof/>
                <w:webHidden/>
                <w:sz w:val="22"/>
              </w:rPr>
              <w:fldChar w:fldCharType="begin"/>
            </w:r>
            <w:r w:rsidR="00EE5E3F" w:rsidRPr="00BC4D78">
              <w:rPr>
                <w:rFonts w:ascii="Arial" w:hAnsi="Arial" w:cs="Arial"/>
                <w:noProof/>
                <w:webHidden/>
                <w:sz w:val="22"/>
              </w:rPr>
              <w:instrText xml:space="preserve"> PAGEREF _Toc116907953 \h </w:instrText>
            </w:r>
            <w:r w:rsidR="00EE5E3F" w:rsidRPr="00BC4D78">
              <w:rPr>
                <w:rFonts w:ascii="Arial" w:hAnsi="Arial" w:cs="Arial"/>
                <w:noProof/>
                <w:webHidden/>
                <w:sz w:val="22"/>
              </w:rPr>
            </w:r>
            <w:r w:rsidR="00EE5E3F" w:rsidRPr="00BC4D78">
              <w:rPr>
                <w:rFonts w:ascii="Arial" w:hAnsi="Arial" w:cs="Arial"/>
                <w:noProof/>
                <w:webHidden/>
                <w:sz w:val="22"/>
              </w:rPr>
              <w:fldChar w:fldCharType="separate"/>
            </w:r>
            <w:r w:rsidR="00EE5E3F" w:rsidRPr="00BC4D78">
              <w:rPr>
                <w:rFonts w:ascii="Arial" w:hAnsi="Arial" w:cs="Arial"/>
                <w:noProof/>
                <w:webHidden/>
                <w:sz w:val="22"/>
              </w:rPr>
              <w:t>12</w:t>
            </w:r>
            <w:r w:rsidR="00EE5E3F" w:rsidRPr="00BC4D78">
              <w:rPr>
                <w:rFonts w:ascii="Arial" w:hAnsi="Arial" w:cs="Arial"/>
                <w:noProof/>
                <w:webHidden/>
                <w:sz w:val="22"/>
              </w:rPr>
              <w:fldChar w:fldCharType="end"/>
            </w:r>
          </w:hyperlink>
        </w:p>
        <w:p w14:paraId="481325F0" w14:textId="77777777" w:rsidR="00EE5E3F" w:rsidRPr="00BC4D78" w:rsidRDefault="00BC4D78">
          <w:pPr>
            <w:pStyle w:val="TOC1"/>
            <w:tabs>
              <w:tab w:val="right" w:leader="dot" w:pos="9350"/>
            </w:tabs>
            <w:rPr>
              <w:rFonts w:ascii="Arial" w:hAnsi="Arial" w:cs="Arial"/>
              <w:noProof/>
              <w:sz w:val="22"/>
            </w:rPr>
          </w:pPr>
          <w:hyperlink w:anchor="_Toc116907954" w:history="1">
            <w:r w:rsidR="00EE5E3F" w:rsidRPr="00BC4D78">
              <w:rPr>
                <w:rStyle w:val="Hyperlink"/>
                <w:rFonts w:ascii="Arial" w:hAnsi="Arial" w:cs="Arial"/>
                <w:noProof/>
                <w:sz w:val="22"/>
              </w:rPr>
              <w:t>Conclusion</w:t>
            </w:r>
            <w:r w:rsidR="00EE5E3F" w:rsidRPr="00BC4D78">
              <w:rPr>
                <w:rFonts w:ascii="Arial" w:hAnsi="Arial" w:cs="Arial"/>
                <w:noProof/>
                <w:webHidden/>
                <w:sz w:val="22"/>
              </w:rPr>
              <w:tab/>
            </w:r>
            <w:r w:rsidR="00EE5E3F" w:rsidRPr="00BC4D78">
              <w:rPr>
                <w:rFonts w:ascii="Arial" w:hAnsi="Arial" w:cs="Arial"/>
                <w:noProof/>
                <w:webHidden/>
                <w:sz w:val="22"/>
              </w:rPr>
              <w:fldChar w:fldCharType="begin"/>
            </w:r>
            <w:r w:rsidR="00EE5E3F" w:rsidRPr="00BC4D78">
              <w:rPr>
                <w:rFonts w:ascii="Arial" w:hAnsi="Arial" w:cs="Arial"/>
                <w:noProof/>
                <w:webHidden/>
                <w:sz w:val="22"/>
              </w:rPr>
              <w:instrText xml:space="preserve"> PAGEREF _Toc116907954 \h </w:instrText>
            </w:r>
            <w:r w:rsidR="00EE5E3F" w:rsidRPr="00BC4D78">
              <w:rPr>
                <w:rFonts w:ascii="Arial" w:hAnsi="Arial" w:cs="Arial"/>
                <w:noProof/>
                <w:webHidden/>
                <w:sz w:val="22"/>
              </w:rPr>
            </w:r>
            <w:r w:rsidR="00EE5E3F" w:rsidRPr="00BC4D78">
              <w:rPr>
                <w:rFonts w:ascii="Arial" w:hAnsi="Arial" w:cs="Arial"/>
                <w:noProof/>
                <w:webHidden/>
                <w:sz w:val="22"/>
              </w:rPr>
              <w:fldChar w:fldCharType="separate"/>
            </w:r>
            <w:r w:rsidR="00EE5E3F" w:rsidRPr="00BC4D78">
              <w:rPr>
                <w:rFonts w:ascii="Arial" w:hAnsi="Arial" w:cs="Arial"/>
                <w:noProof/>
                <w:webHidden/>
                <w:sz w:val="22"/>
              </w:rPr>
              <w:t>14</w:t>
            </w:r>
            <w:r w:rsidR="00EE5E3F" w:rsidRPr="00BC4D78">
              <w:rPr>
                <w:rFonts w:ascii="Arial" w:hAnsi="Arial" w:cs="Arial"/>
                <w:noProof/>
                <w:webHidden/>
                <w:sz w:val="22"/>
              </w:rPr>
              <w:fldChar w:fldCharType="end"/>
            </w:r>
          </w:hyperlink>
        </w:p>
        <w:p w14:paraId="21A33C42" w14:textId="77777777" w:rsidR="00EE5E3F" w:rsidRPr="00101CEF" w:rsidRDefault="00BC4D78">
          <w:pPr>
            <w:pStyle w:val="TOC1"/>
            <w:tabs>
              <w:tab w:val="right" w:leader="dot" w:pos="9350"/>
            </w:tabs>
            <w:rPr>
              <w:rFonts w:ascii="Arial" w:hAnsi="Arial" w:cs="Arial"/>
              <w:noProof/>
              <w:sz w:val="22"/>
            </w:rPr>
          </w:pPr>
          <w:hyperlink w:anchor="_Toc116907955" w:history="1">
            <w:r w:rsidR="00EE5E3F" w:rsidRPr="00BC4D78">
              <w:rPr>
                <w:rStyle w:val="Hyperlink"/>
                <w:rFonts w:ascii="Arial" w:hAnsi="Arial" w:cs="Arial"/>
                <w:noProof/>
                <w:sz w:val="22"/>
              </w:rPr>
              <w:t>References</w:t>
            </w:r>
            <w:r w:rsidR="00EE5E3F" w:rsidRPr="00BC4D78">
              <w:rPr>
                <w:rFonts w:ascii="Arial" w:hAnsi="Arial" w:cs="Arial"/>
                <w:noProof/>
                <w:webHidden/>
                <w:sz w:val="22"/>
              </w:rPr>
              <w:tab/>
            </w:r>
            <w:r w:rsidR="00EE5E3F" w:rsidRPr="00BC4D78">
              <w:rPr>
                <w:rFonts w:ascii="Arial" w:hAnsi="Arial" w:cs="Arial"/>
                <w:noProof/>
                <w:webHidden/>
                <w:sz w:val="22"/>
              </w:rPr>
              <w:fldChar w:fldCharType="begin"/>
            </w:r>
            <w:r w:rsidR="00EE5E3F" w:rsidRPr="00BC4D78">
              <w:rPr>
                <w:rFonts w:ascii="Arial" w:hAnsi="Arial" w:cs="Arial"/>
                <w:noProof/>
                <w:webHidden/>
                <w:sz w:val="22"/>
              </w:rPr>
              <w:instrText xml:space="preserve"> PAGEREF _Toc116907955 \h </w:instrText>
            </w:r>
            <w:r w:rsidR="00EE5E3F" w:rsidRPr="00BC4D78">
              <w:rPr>
                <w:rFonts w:ascii="Arial" w:hAnsi="Arial" w:cs="Arial"/>
                <w:noProof/>
                <w:webHidden/>
                <w:sz w:val="22"/>
              </w:rPr>
            </w:r>
            <w:r w:rsidR="00EE5E3F" w:rsidRPr="00BC4D78">
              <w:rPr>
                <w:rFonts w:ascii="Arial" w:hAnsi="Arial" w:cs="Arial"/>
                <w:noProof/>
                <w:webHidden/>
                <w:sz w:val="22"/>
              </w:rPr>
              <w:fldChar w:fldCharType="separate"/>
            </w:r>
            <w:r w:rsidR="00EE5E3F" w:rsidRPr="00BC4D78">
              <w:rPr>
                <w:rFonts w:ascii="Arial" w:hAnsi="Arial" w:cs="Arial"/>
                <w:noProof/>
                <w:webHidden/>
                <w:sz w:val="22"/>
              </w:rPr>
              <w:t>15</w:t>
            </w:r>
            <w:r w:rsidR="00EE5E3F" w:rsidRPr="00BC4D78">
              <w:rPr>
                <w:rFonts w:ascii="Arial" w:hAnsi="Arial" w:cs="Arial"/>
                <w:noProof/>
                <w:webHidden/>
                <w:sz w:val="22"/>
              </w:rPr>
              <w:fldChar w:fldCharType="end"/>
            </w:r>
          </w:hyperlink>
        </w:p>
        <w:p w14:paraId="0E4B822D" w14:textId="0F4217BD" w:rsidR="00EE5E3F" w:rsidRPr="00101CEF" w:rsidRDefault="00EE5E3F">
          <w:pPr>
            <w:rPr>
              <w:rFonts w:ascii="Arial" w:hAnsi="Arial" w:cs="Arial"/>
              <w:sz w:val="22"/>
            </w:rPr>
          </w:pPr>
          <w:r w:rsidRPr="00101CEF">
            <w:rPr>
              <w:rFonts w:ascii="Arial" w:hAnsi="Arial" w:cs="Arial"/>
              <w:b/>
              <w:bCs/>
              <w:noProof/>
              <w:sz w:val="22"/>
            </w:rPr>
            <w:fldChar w:fldCharType="end"/>
          </w:r>
        </w:p>
      </w:sdtContent>
    </w:sdt>
    <w:p w14:paraId="01CDB5CB" w14:textId="77777777" w:rsidR="003B6F23" w:rsidRDefault="003B6F23">
      <w:pPr>
        <w:spacing w:line="259" w:lineRule="auto"/>
        <w:jc w:val="left"/>
      </w:pPr>
      <w:r>
        <w:br w:type="page"/>
      </w:r>
    </w:p>
    <w:p w14:paraId="4BC3DE20" w14:textId="77777777" w:rsidR="003B6F23" w:rsidRPr="00101CEF" w:rsidRDefault="003B6F23" w:rsidP="00101CEF">
      <w:pPr>
        <w:pStyle w:val="Heading1"/>
      </w:pPr>
      <w:bookmarkStart w:id="0" w:name="_Toc116907947"/>
      <w:r w:rsidRPr="00101CEF">
        <w:lastRenderedPageBreak/>
        <w:t>Introduction</w:t>
      </w:r>
      <w:bookmarkEnd w:id="0"/>
    </w:p>
    <w:p w14:paraId="342D4001" w14:textId="77777777" w:rsidR="003B6F23" w:rsidRPr="00101CEF" w:rsidRDefault="003B6F23" w:rsidP="003B6F23">
      <w:pPr>
        <w:rPr>
          <w:rFonts w:ascii="Arial" w:hAnsi="Arial" w:cs="Arial"/>
          <w:sz w:val="22"/>
        </w:rPr>
      </w:pPr>
      <w:r w:rsidRPr="00101CEF">
        <w:rPr>
          <w:rFonts w:ascii="Arial" w:hAnsi="Arial" w:cs="Arial"/>
          <w:sz w:val="22"/>
        </w:rPr>
        <w:t>The study of how economic concepts may be successfully applied to the management problems that face organisations is what managerial economics refers to, at its most fundamental level of explanation. Economics is sometimes referred to as management economics when it is applied to problems that arise in the business world</w:t>
      </w:r>
      <w:r w:rsidR="00EE5E3F" w:rsidRPr="00101CEF">
        <w:rPr>
          <w:rFonts w:ascii="Arial" w:hAnsi="Arial" w:cs="Arial"/>
          <w:sz w:val="22"/>
        </w:rPr>
        <w:t xml:space="preserve"> (Benami et al., 2021)</w:t>
      </w:r>
      <w:r w:rsidRPr="00101CEF">
        <w:rPr>
          <w:rFonts w:ascii="Arial" w:hAnsi="Arial" w:cs="Arial"/>
          <w:sz w:val="22"/>
        </w:rPr>
        <w:t xml:space="preserve">. The Chief Executive Officer in charge of a corporation may use this information to make informed assumptions and conduct in-depth studies. This research has the potential to address a variety of market structures, including perfect competition, monopoly, monopolistic competition, duopoly, and oligopoly, as well as the influence these structures have on management decisions and the economic theories that underpin them. extensive explanations of a variety of market arrangements, including references to academic literature that are pertinent to the subject matter. Case studies that are relevant to the topic at hand will be presented, and graphs that illustrate the different market structures will be used to illustrate managerial decision making for a given company. As a result of this fact, the research project in question will include </w:t>
      </w:r>
      <w:r w:rsidR="005D52CD" w:rsidRPr="00101CEF">
        <w:rPr>
          <w:rFonts w:ascii="Arial" w:hAnsi="Arial" w:cs="Arial"/>
          <w:sz w:val="22"/>
        </w:rPr>
        <w:t xml:space="preserve">different organisational example. </w:t>
      </w:r>
    </w:p>
    <w:p w14:paraId="46FD30B1" w14:textId="77777777" w:rsidR="003B6F23" w:rsidRPr="00101CEF" w:rsidRDefault="003B6F23">
      <w:pPr>
        <w:spacing w:line="259" w:lineRule="auto"/>
        <w:jc w:val="left"/>
        <w:rPr>
          <w:rFonts w:ascii="Arial" w:hAnsi="Arial" w:cs="Arial"/>
          <w:sz w:val="22"/>
        </w:rPr>
      </w:pPr>
      <w:r w:rsidRPr="00101CEF">
        <w:rPr>
          <w:rFonts w:ascii="Arial" w:hAnsi="Arial" w:cs="Arial"/>
          <w:sz w:val="22"/>
        </w:rPr>
        <w:br w:type="page"/>
      </w:r>
    </w:p>
    <w:p w14:paraId="7A41D754" w14:textId="77777777" w:rsidR="00817A12" w:rsidRDefault="003B6F23" w:rsidP="00101CEF">
      <w:pPr>
        <w:pStyle w:val="Heading1"/>
      </w:pPr>
      <w:bookmarkStart w:id="1" w:name="_Toc116907948"/>
      <w:r w:rsidRPr="00A048ED">
        <w:lastRenderedPageBreak/>
        <w:t xml:space="preserve">Explanation of </w:t>
      </w:r>
      <w:r>
        <w:t>each market structure</w:t>
      </w:r>
      <w:bookmarkEnd w:id="1"/>
    </w:p>
    <w:p w14:paraId="4AEEBA56" w14:textId="77777777" w:rsidR="003B6F23" w:rsidRPr="00101CEF" w:rsidRDefault="003B6F23" w:rsidP="003B6F23">
      <w:pPr>
        <w:rPr>
          <w:rFonts w:ascii="Arial" w:hAnsi="Arial" w:cs="Arial"/>
          <w:sz w:val="22"/>
        </w:rPr>
      </w:pPr>
      <w:r w:rsidRPr="00101CEF">
        <w:rPr>
          <w:rFonts w:ascii="Arial" w:hAnsi="Arial" w:cs="Arial"/>
          <w:sz w:val="22"/>
        </w:rPr>
        <w:t>The various economic actors in a market are influenced in their opportunities, motivations, and decisions by the market's structure. Because of this, market structure is crucial in determining market results.</w:t>
      </w:r>
    </w:p>
    <w:p w14:paraId="436F42CB" w14:textId="77777777" w:rsidR="003B6F23" w:rsidRPr="00101CEF" w:rsidRDefault="003B6F23" w:rsidP="00101CEF">
      <w:pPr>
        <w:pStyle w:val="Heading2"/>
      </w:pPr>
      <w:bookmarkStart w:id="2" w:name="_Toc116907949"/>
      <w:r w:rsidRPr="00101CEF">
        <w:t>Perfect Competition Monopoly</w:t>
      </w:r>
      <w:bookmarkEnd w:id="2"/>
    </w:p>
    <w:p w14:paraId="1E623F83" w14:textId="77777777" w:rsidR="005D52CD" w:rsidRDefault="005D52CD" w:rsidP="003B6F23">
      <w:r w:rsidRPr="00101CEF">
        <w:rPr>
          <w:rFonts w:ascii="Arial" w:hAnsi="Arial" w:cs="Arial"/>
          <w:sz w:val="22"/>
        </w:rPr>
        <w:t>Perfect competition is a theoretical form of market organisation. In spite of the fact that perfect competition exists only in theory and seldom in practise, it may serve as a valuable model for understanding the role that supply and demand play in setting market prices and influencing the behaviour of market players</w:t>
      </w:r>
      <w:r w:rsidR="00EE5E3F" w:rsidRPr="00101CEF">
        <w:rPr>
          <w:rFonts w:ascii="Arial" w:hAnsi="Arial" w:cs="Arial"/>
          <w:sz w:val="22"/>
        </w:rPr>
        <w:t xml:space="preserve"> (</w:t>
      </w:r>
      <w:proofErr w:type="spellStart"/>
      <w:r w:rsidR="00EE5E3F" w:rsidRPr="00101CEF">
        <w:rPr>
          <w:rFonts w:ascii="Arial" w:hAnsi="Arial" w:cs="Arial"/>
          <w:sz w:val="22"/>
        </w:rPr>
        <w:t>Bertoletti</w:t>
      </w:r>
      <w:proofErr w:type="spellEnd"/>
      <w:r w:rsidR="00EE5E3F" w:rsidRPr="00101CEF">
        <w:rPr>
          <w:rFonts w:ascii="Arial" w:hAnsi="Arial" w:cs="Arial"/>
          <w:sz w:val="22"/>
        </w:rPr>
        <w:t xml:space="preserve"> and Etro, 2020)</w:t>
      </w:r>
      <w:r w:rsidRPr="00101CEF">
        <w:rPr>
          <w:rFonts w:ascii="Arial" w:hAnsi="Arial" w:cs="Arial"/>
          <w:sz w:val="22"/>
        </w:rPr>
        <w:t xml:space="preserve">. In a well-balanced market, when there are equal numbers of buyers and sellers, prices fairly reflect the tension between supply and demand. The corporation must generate some profit, even if just a little amount. An oversupply of money from consumers might lead to price erosion as new entrants flood the market. In </w:t>
      </w:r>
      <w:r w:rsidR="00EE5E3F" w:rsidRPr="00101CEF">
        <w:rPr>
          <w:rFonts w:ascii="Arial" w:hAnsi="Arial" w:cs="Arial"/>
          <w:sz w:val="22"/>
        </w:rPr>
        <w:t xml:space="preserve">Di Foggia and </w:t>
      </w:r>
      <w:proofErr w:type="spellStart"/>
      <w:r w:rsidR="00EE5E3F" w:rsidRPr="00101CEF">
        <w:rPr>
          <w:rFonts w:ascii="Arial" w:hAnsi="Arial" w:cs="Arial"/>
          <w:sz w:val="22"/>
        </w:rPr>
        <w:t>Beccarello</w:t>
      </w:r>
      <w:proofErr w:type="spellEnd"/>
      <w:r w:rsidR="00EE5E3F" w:rsidRPr="00101CEF">
        <w:rPr>
          <w:rFonts w:ascii="Arial" w:hAnsi="Arial" w:cs="Arial"/>
          <w:sz w:val="22"/>
        </w:rPr>
        <w:t xml:space="preserve"> (2021) </w:t>
      </w:r>
      <w:r w:rsidRPr="00101CEF">
        <w:rPr>
          <w:rFonts w:ascii="Arial" w:hAnsi="Arial" w:cs="Arial"/>
          <w:sz w:val="22"/>
        </w:rPr>
        <w:t>view, other market structures can only be compared to ideal competition. In a monopolistic scenario, customers have little choice but to pay whatever price the lone provider sets; in a perfectly competitive market, new companies may emerge and drive down prices for everyone. However, in the actual world of business, competition, product, marketing, and sales all play a role in creating a quite different landscape. By emphasising the importance of the grain provided to the cows whose dung was used to fertilise the crops, the owner of a neighbouring organic food store may distinguish their non-GMO soybeans from those of their rivals. Differentiation is the psychological term for when this kind of behaviour happens. To disregard the first two requirements is absolutely acceptable (completely uniform goods and willing participants regardless of cost). The globalisation of technology and trade, however, is expanding the malleability of data and materials</w:t>
      </w:r>
      <w:r w:rsidR="00EE5E3F" w:rsidRPr="00101CEF">
        <w:rPr>
          <w:rFonts w:ascii="Arial" w:hAnsi="Arial" w:cs="Arial"/>
          <w:sz w:val="22"/>
        </w:rPr>
        <w:t xml:space="preserve"> (Feenstra, 2016)</w:t>
      </w:r>
      <w:r w:rsidRPr="00101CEF">
        <w:rPr>
          <w:rFonts w:ascii="Arial" w:hAnsi="Arial" w:cs="Arial"/>
          <w:sz w:val="22"/>
        </w:rPr>
        <w:t>. For the second and third criterion, this is crucial since it provides greater room for manoeuvre. This theoretical model is far from being exact, yet it is useful since it can explain many observed phenomena. Many people think that a market with perfect competition is ideal because it distributes resources in the most effective way. The term "pure competition" is occasionally used interchangeably with this concept. One of the most important takeaways from this concept is the recognition that completely competitive market arrangements do not truly exist in the world as we know it. In this way, it provides a standard</w:t>
      </w:r>
      <w:r w:rsidRPr="005D52CD">
        <w:t xml:space="preserve"> </w:t>
      </w:r>
      <w:r w:rsidRPr="00101CEF">
        <w:rPr>
          <w:rFonts w:ascii="Arial" w:hAnsi="Arial" w:cs="Arial"/>
          <w:sz w:val="22"/>
        </w:rPr>
        <w:lastRenderedPageBreak/>
        <w:t>against which the functioning of the actual economic markets may be evaluated</w:t>
      </w:r>
      <w:r w:rsidRPr="005D52CD">
        <w:t>.</w:t>
      </w:r>
      <w:r>
        <w:rPr>
          <w:noProof/>
        </w:rPr>
        <w:drawing>
          <wp:inline distT="0" distB="0" distL="0" distR="0" wp14:anchorId="39C90F42" wp14:editId="289F6717">
            <wp:extent cx="5943600" cy="2705100"/>
            <wp:effectExtent l="19050" t="19050" r="1905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705100"/>
                    </a:xfrm>
                    <a:prstGeom prst="rect">
                      <a:avLst/>
                    </a:prstGeom>
                    <a:ln>
                      <a:solidFill>
                        <a:schemeClr val="tx1"/>
                      </a:solidFill>
                    </a:ln>
                  </pic:spPr>
                </pic:pic>
              </a:graphicData>
            </a:graphic>
          </wp:inline>
        </w:drawing>
      </w:r>
    </w:p>
    <w:p w14:paraId="3A2B4F4B" w14:textId="77777777" w:rsidR="005D52CD" w:rsidRPr="00EE5E3F" w:rsidRDefault="005D52CD" w:rsidP="00EE5E3F">
      <w:pPr>
        <w:jc w:val="center"/>
        <w:rPr>
          <w:i/>
          <w:sz w:val="20"/>
        </w:rPr>
      </w:pPr>
      <w:r w:rsidRPr="00EE5E3F">
        <w:rPr>
          <w:i/>
          <w:sz w:val="20"/>
        </w:rPr>
        <w:t>Figure 1: Perfect Competition</w:t>
      </w:r>
      <w:r w:rsidR="00EE5E3F" w:rsidRPr="00EE5E3F">
        <w:rPr>
          <w:i/>
          <w:sz w:val="20"/>
        </w:rPr>
        <w:t xml:space="preserve"> (Feenstra, 2016).</w:t>
      </w:r>
    </w:p>
    <w:p w14:paraId="2A8DCDC2" w14:textId="77777777" w:rsidR="005D52CD" w:rsidRPr="00101CEF" w:rsidRDefault="005D52CD" w:rsidP="005D52CD">
      <w:pPr>
        <w:rPr>
          <w:rFonts w:ascii="Arial" w:hAnsi="Arial" w:cs="Arial"/>
          <w:sz w:val="22"/>
        </w:rPr>
      </w:pPr>
      <w:r w:rsidRPr="00101CEF">
        <w:rPr>
          <w:rFonts w:ascii="Arial" w:hAnsi="Arial" w:cs="Arial"/>
          <w:sz w:val="22"/>
        </w:rPr>
        <w:t>McDonald's, as an example, is not like any other company despite the fact that many others use identical marketing methods and menu items. Therefore, there can't be ideal competition in the market since the products aren't all the same. There are clearly other fast food vendors, therefore the market can't be monopolised.</w:t>
      </w:r>
    </w:p>
    <w:p w14:paraId="1D1B5954" w14:textId="77777777" w:rsidR="002D2C0E" w:rsidRPr="00101CEF" w:rsidRDefault="002D2C0E" w:rsidP="00101CEF">
      <w:pPr>
        <w:pStyle w:val="Heading2"/>
      </w:pPr>
      <w:bookmarkStart w:id="3" w:name="_Toc116907950"/>
      <w:r w:rsidRPr="00101CEF">
        <w:t>Monopolistic competition</w:t>
      </w:r>
      <w:bookmarkEnd w:id="3"/>
    </w:p>
    <w:p w14:paraId="3D3EBACA" w14:textId="77777777" w:rsidR="002D2C0E" w:rsidRPr="00101CEF" w:rsidRDefault="002D2C0E" w:rsidP="002D2C0E">
      <w:pPr>
        <w:rPr>
          <w:rFonts w:ascii="Arial" w:hAnsi="Arial" w:cs="Arial"/>
          <w:sz w:val="22"/>
        </w:rPr>
      </w:pPr>
      <w:r w:rsidRPr="00101CEF">
        <w:rPr>
          <w:rFonts w:ascii="Arial" w:hAnsi="Arial" w:cs="Arial"/>
          <w:sz w:val="22"/>
        </w:rPr>
        <w:t>The structure of the market is referred to as monopolistic competition when there are several companies operating in the same industry and making products that are similar but somewhat different from one another. There is no monopoly, and each company operates independently from the others in the industry</w:t>
      </w:r>
      <w:r w:rsidR="00EE5E3F" w:rsidRPr="00101CEF">
        <w:rPr>
          <w:rFonts w:ascii="Arial" w:hAnsi="Arial" w:cs="Arial"/>
          <w:sz w:val="22"/>
        </w:rPr>
        <w:t xml:space="preserve"> (Lim and Lee, 2019)</w:t>
      </w:r>
      <w:r w:rsidRPr="00101CEF">
        <w:rPr>
          <w:rFonts w:ascii="Arial" w:hAnsi="Arial" w:cs="Arial"/>
          <w:sz w:val="22"/>
        </w:rPr>
        <w:t>. There is imperfect competition because of the dynamics of the market. The picture that follows shows the short-run equilibrium that occurs when monopolistic competition is present.</w:t>
      </w:r>
    </w:p>
    <w:p w14:paraId="2A90B7F8" w14:textId="77777777" w:rsidR="002D2C0E" w:rsidRDefault="002D2C0E" w:rsidP="002D2C0E">
      <w:pPr>
        <w:jc w:val="center"/>
      </w:pPr>
      <w:r>
        <w:rPr>
          <w:noProof/>
        </w:rPr>
        <w:lastRenderedPageBreak/>
        <w:drawing>
          <wp:inline distT="0" distB="0" distL="0" distR="0" wp14:anchorId="4447B25B" wp14:editId="39615469">
            <wp:extent cx="5211817" cy="4270327"/>
            <wp:effectExtent l="19050" t="19050" r="27305" b="165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13480" cy="4271689"/>
                    </a:xfrm>
                    <a:prstGeom prst="rect">
                      <a:avLst/>
                    </a:prstGeom>
                    <a:ln>
                      <a:solidFill>
                        <a:schemeClr val="tx1"/>
                      </a:solidFill>
                    </a:ln>
                  </pic:spPr>
                </pic:pic>
              </a:graphicData>
            </a:graphic>
          </wp:inline>
        </w:drawing>
      </w:r>
    </w:p>
    <w:p w14:paraId="0CEE5DBE" w14:textId="77777777" w:rsidR="002D2C0E" w:rsidRPr="00EE5E3F" w:rsidRDefault="002D2C0E" w:rsidP="002D2C0E">
      <w:pPr>
        <w:jc w:val="center"/>
        <w:rPr>
          <w:i/>
          <w:sz w:val="20"/>
        </w:rPr>
      </w:pPr>
      <w:r w:rsidRPr="00EE5E3F">
        <w:rPr>
          <w:i/>
          <w:sz w:val="20"/>
        </w:rPr>
        <w:t>Figure 2: The short-run equilibrium under monopolistic competition</w:t>
      </w:r>
      <w:r w:rsidR="00EE5E3F" w:rsidRPr="00EE5E3F">
        <w:rPr>
          <w:i/>
          <w:sz w:val="20"/>
        </w:rPr>
        <w:t xml:space="preserve"> (Lim and Lee, 2019)</w:t>
      </w:r>
      <w:r w:rsidRPr="00EE5E3F">
        <w:rPr>
          <w:i/>
          <w:sz w:val="20"/>
        </w:rPr>
        <w:t>.</w:t>
      </w:r>
    </w:p>
    <w:p w14:paraId="2F8F01CA" w14:textId="77777777" w:rsidR="002D2C0E" w:rsidRPr="00101CEF" w:rsidRDefault="002D2C0E" w:rsidP="002D2C0E">
      <w:pPr>
        <w:rPr>
          <w:rFonts w:ascii="Arial" w:hAnsi="Arial" w:cs="Arial"/>
          <w:sz w:val="22"/>
        </w:rPr>
      </w:pPr>
      <w:r w:rsidRPr="00101CEF">
        <w:rPr>
          <w:rFonts w:ascii="Arial" w:hAnsi="Arial" w:cs="Arial"/>
          <w:sz w:val="22"/>
        </w:rPr>
        <w:t>Profit maximisation occurs when marginal revenue (MR) equals marginal cost (MC) (MC). The company's production will have returned to normal at that same moment. The equilibrium price is found when the demand curve (average revenue, or AR) meets the intersection of the supply curve (marginal revenue, or MR) and the cost curve (marginal cost, or MC). The AR curve is the same thing as the demand curve.</w:t>
      </w:r>
    </w:p>
    <w:p w14:paraId="1C446BF7" w14:textId="77777777" w:rsidR="002D2C0E" w:rsidRPr="00101CEF" w:rsidRDefault="002D2C0E" w:rsidP="002D2C0E">
      <w:pPr>
        <w:rPr>
          <w:rFonts w:ascii="Arial" w:hAnsi="Arial" w:cs="Arial"/>
          <w:sz w:val="22"/>
        </w:rPr>
      </w:pPr>
      <w:r w:rsidRPr="00101CEF">
        <w:rPr>
          <w:rFonts w:ascii="Arial" w:hAnsi="Arial" w:cs="Arial"/>
          <w:sz w:val="22"/>
        </w:rPr>
        <w:t>The blue rectangle in the above diagram represents the total amount of income. calculated by adding the AR cost to the normal total cost and multiplying by the equilibrium output (ATC). Monopolistic competitors, like monopoly businesses, focus only on the short term when deciding on pricing and production</w:t>
      </w:r>
      <w:r w:rsidR="00EE5E3F" w:rsidRPr="00101CEF">
        <w:rPr>
          <w:rFonts w:ascii="Arial" w:hAnsi="Arial" w:cs="Arial"/>
          <w:sz w:val="22"/>
        </w:rPr>
        <w:t xml:space="preserve"> (Lim and Lee, 2019)</w:t>
      </w:r>
      <w:r w:rsidRPr="00101CEF">
        <w:rPr>
          <w:rFonts w:ascii="Arial" w:hAnsi="Arial" w:cs="Arial"/>
          <w:sz w:val="22"/>
        </w:rPr>
        <w:t>.</w:t>
      </w:r>
    </w:p>
    <w:p w14:paraId="07EEA472" w14:textId="77777777" w:rsidR="002D2C0E" w:rsidRPr="00101CEF" w:rsidRDefault="002D2C0E" w:rsidP="002D2C0E">
      <w:pPr>
        <w:rPr>
          <w:rFonts w:ascii="Arial" w:hAnsi="Arial" w:cs="Arial"/>
          <w:sz w:val="22"/>
        </w:rPr>
      </w:pPr>
      <w:r w:rsidRPr="00101CEF">
        <w:rPr>
          <w:rFonts w:ascii="Arial" w:hAnsi="Arial" w:cs="Arial"/>
          <w:sz w:val="22"/>
        </w:rPr>
        <w:t>As will be shown in the next section, businesses also face the risk of short-term economic losses while competing against monopolists. To the point when MR and MC are equal, and losses are minimal, they maintain equilibrium output. The blue rectangle represents the monetary loss in this illustration.</w:t>
      </w:r>
    </w:p>
    <w:p w14:paraId="6927685A" w14:textId="77777777" w:rsidR="002D2C0E" w:rsidRDefault="002D2C0E" w:rsidP="002D2C0E">
      <w:pPr>
        <w:jc w:val="center"/>
      </w:pPr>
      <w:r>
        <w:rPr>
          <w:noProof/>
        </w:rPr>
        <w:lastRenderedPageBreak/>
        <w:drawing>
          <wp:inline distT="0" distB="0" distL="0" distR="0" wp14:anchorId="67367029" wp14:editId="1B5B7C70">
            <wp:extent cx="5404893" cy="4382814"/>
            <wp:effectExtent l="19050" t="19050" r="24765" b="177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06347" cy="4383993"/>
                    </a:xfrm>
                    <a:prstGeom prst="rect">
                      <a:avLst/>
                    </a:prstGeom>
                    <a:ln>
                      <a:solidFill>
                        <a:schemeClr val="tx1"/>
                      </a:solidFill>
                    </a:ln>
                  </pic:spPr>
                </pic:pic>
              </a:graphicData>
            </a:graphic>
          </wp:inline>
        </w:drawing>
      </w:r>
    </w:p>
    <w:p w14:paraId="27DB34B7" w14:textId="77777777" w:rsidR="002D2C0E" w:rsidRPr="00EE5E3F" w:rsidRDefault="002D2C0E" w:rsidP="002D2C0E">
      <w:pPr>
        <w:jc w:val="center"/>
        <w:rPr>
          <w:i/>
          <w:sz w:val="20"/>
        </w:rPr>
      </w:pPr>
      <w:r w:rsidRPr="00EE5E3F">
        <w:rPr>
          <w:i/>
          <w:sz w:val="20"/>
        </w:rPr>
        <w:t>Figure 3: Showing the economic loss</w:t>
      </w:r>
      <w:r w:rsidR="00EE5E3F" w:rsidRPr="00EE5E3F">
        <w:rPr>
          <w:i/>
          <w:sz w:val="20"/>
        </w:rPr>
        <w:t xml:space="preserve"> (Lim and Lee, 2019).</w:t>
      </w:r>
    </w:p>
    <w:p w14:paraId="1F82192A" w14:textId="77777777" w:rsidR="002D2C0E" w:rsidRPr="00101CEF" w:rsidRDefault="002D2C0E" w:rsidP="002D2C0E">
      <w:pPr>
        <w:rPr>
          <w:rFonts w:ascii="Arial" w:hAnsi="Arial" w:cs="Arial"/>
          <w:sz w:val="22"/>
        </w:rPr>
      </w:pPr>
      <w:r w:rsidRPr="00101CEF">
        <w:rPr>
          <w:rFonts w:ascii="Arial" w:hAnsi="Arial" w:cs="Arial"/>
          <w:sz w:val="22"/>
        </w:rPr>
        <w:t>Even if they have a monopoly on the market, competitors nevertheless produce at a level where marginal costs and marginal profits cancel each other out over time. However, as a consequence of additional entries, the demand curve will have moved to the left. When there are more companies selling similar items, consumers have less of a need for a certain brand, which causes the demand curve for that brand to change</w:t>
      </w:r>
      <w:r w:rsidR="00EE5E3F" w:rsidRPr="00101CEF">
        <w:rPr>
          <w:rFonts w:ascii="Arial" w:hAnsi="Arial" w:cs="Arial"/>
          <w:sz w:val="22"/>
        </w:rPr>
        <w:t xml:space="preserve"> (Loertscher and Reisinger, 2014)</w:t>
      </w:r>
      <w:r w:rsidRPr="00101CEF">
        <w:rPr>
          <w:rFonts w:ascii="Arial" w:hAnsi="Arial" w:cs="Arial"/>
          <w:sz w:val="22"/>
        </w:rPr>
        <w:t>. The amount to which this activity dampens economic benefits is, of course, proportional to the magnitude of the influx of new members. Companies may no longer abuse customers by selling their products at inflated costs.</w:t>
      </w:r>
    </w:p>
    <w:p w14:paraId="5D0C1B13" w14:textId="77777777" w:rsidR="002D2C0E" w:rsidRPr="002D2C0E" w:rsidRDefault="002D2C0E" w:rsidP="002D2C0E"/>
    <w:p w14:paraId="3477984C" w14:textId="77777777" w:rsidR="002D2C0E" w:rsidRDefault="002D2C0E" w:rsidP="002D2C0E">
      <w:pPr>
        <w:jc w:val="center"/>
      </w:pPr>
      <w:r>
        <w:rPr>
          <w:noProof/>
        </w:rPr>
        <w:lastRenderedPageBreak/>
        <w:drawing>
          <wp:inline distT="0" distB="0" distL="0" distR="0" wp14:anchorId="5B680186" wp14:editId="6C6233DE">
            <wp:extent cx="5021837" cy="3920359"/>
            <wp:effectExtent l="19050" t="19050" r="26670" b="2349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25101" cy="3922907"/>
                    </a:xfrm>
                    <a:prstGeom prst="rect">
                      <a:avLst/>
                    </a:prstGeom>
                    <a:ln>
                      <a:solidFill>
                        <a:schemeClr val="tx1"/>
                      </a:solidFill>
                    </a:ln>
                  </pic:spPr>
                </pic:pic>
              </a:graphicData>
            </a:graphic>
          </wp:inline>
        </w:drawing>
      </w:r>
    </w:p>
    <w:p w14:paraId="6B1A60C4" w14:textId="77777777" w:rsidR="002D2C0E" w:rsidRPr="00EE5E3F" w:rsidRDefault="002D2C0E" w:rsidP="002D2C0E">
      <w:pPr>
        <w:jc w:val="center"/>
        <w:rPr>
          <w:i/>
          <w:sz w:val="20"/>
        </w:rPr>
      </w:pPr>
      <w:r w:rsidRPr="00EE5E3F">
        <w:rPr>
          <w:i/>
          <w:sz w:val="20"/>
        </w:rPr>
        <w:t>Figure 4: Long-Run Decisions</w:t>
      </w:r>
      <w:r w:rsidR="00EE5E3F" w:rsidRPr="00EE5E3F">
        <w:rPr>
          <w:i/>
          <w:sz w:val="20"/>
        </w:rPr>
        <w:t xml:space="preserve"> (Matsuda, Hirata and Kawasaki, 2021).</w:t>
      </w:r>
    </w:p>
    <w:p w14:paraId="6DFF3224" w14:textId="77777777" w:rsidR="002D2C0E" w:rsidRPr="00101CEF" w:rsidRDefault="002D2C0E" w:rsidP="002D2C0E">
      <w:pPr>
        <w:rPr>
          <w:rFonts w:ascii="Arial" w:hAnsi="Arial" w:cs="Arial"/>
          <w:sz w:val="22"/>
        </w:rPr>
      </w:pPr>
      <w:r w:rsidRPr="00101CEF">
        <w:rPr>
          <w:rFonts w:ascii="Arial" w:hAnsi="Arial" w:cs="Arial"/>
          <w:sz w:val="22"/>
        </w:rPr>
        <w:t>Firms that practise monopolistic competition are hurting themselves economically in the long term. At this moment, there is really little motivation for new companies to enter the market.</w:t>
      </w:r>
    </w:p>
    <w:p w14:paraId="7233817E" w14:textId="77777777" w:rsidR="002D2C0E" w:rsidRPr="00101CEF" w:rsidRDefault="002D2C0E" w:rsidP="002D2C0E">
      <w:pPr>
        <w:rPr>
          <w:rFonts w:ascii="Arial" w:hAnsi="Arial" w:cs="Arial"/>
          <w:sz w:val="22"/>
        </w:rPr>
      </w:pPr>
      <w:r w:rsidRPr="00101CEF">
        <w:rPr>
          <w:rFonts w:ascii="Arial" w:hAnsi="Arial" w:cs="Arial"/>
          <w:sz w:val="22"/>
        </w:rPr>
        <w:t>Fast food chains like Burger King and McDonald's are direct competitors since they operate in the same market. Both establishments provide a similar sort of fast food to a similar type of consumer base. Since they are competitors, these businesses strive to set themselves apart from one another in a number of ways, including advertising, pricing, and the variety of food and drink bundles they provide.</w:t>
      </w:r>
    </w:p>
    <w:p w14:paraId="3CFBA6B3" w14:textId="77777777" w:rsidR="00D63B79" w:rsidRDefault="00D63B79">
      <w:pPr>
        <w:spacing w:line="259" w:lineRule="auto"/>
        <w:jc w:val="left"/>
      </w:pPr>
      <w:r>
        <w:br w:type="page"/>
      </w:r>
    </w:p>
    <w:p w14:paraId="1D36F879" w14:textId="77777777" w:rsidR="002D2C0E" w:rsidRDefault="00D63B79" w:rsidP="00101CEF">
      <w:pPr>
        <w:pStyle w:val="Heading2"/>
      </w:pPr>
      <w:bookmarkStart w:id="4" w:name="_Toc116907951"/>
      <w:r>
        <w:lastRenderedPageBreak/>
        <w:t>Monopoly</w:t>
      </w:r>
      <w:bookmarkEnd w:id="4"/>
    </w:p>
    <w:p w14:paraId="60E6EC75" w14:textId="77777777" w:rsidR="00D63B79" w:rsidRPr="00101CEF" w:rsidRDefault="00D43488" w:rsidP="00D63B79">
      <w:pPr>
        <w:rPr>
          <w:rFonts w:ascii="Arial" w:hAnsi="Arial" w:cs="Arial"/>
          <w:sz w:val="22"/>
        </w:rPr>
      </w:pPr>
      <w:r w:rsidRPr="00101CEF">
        <w:rPr>
          <w:rFonts w:ascii="Arial" w:hAnsi="Arial" w:cs="Arial"/>
          <w:sz w:val="22"/>
        </w:rPr>
        <w:t>A kind of market setup in which customers buy their items directly from a single supplier. In a monopolistic market, the seller has no rivals who can offer customers anything close to what they're selling</w:t>
      </w:r>
      <w:r w:rsidR="00EE5E3F" w:rsidRPr="00101CEF">
        <w:rPr>
          <w:rFonts w:ascii="Arial" w:hAnsi="Arial" w:cs="Arial"/>
          <w:sz w:val="22"/>
        </w:rPr>
        <w:t xml:space="preserve"> (</w:t>
      </w:r>
      <w:proofErr w:type="spellStart"/>
      <w:r w:rsidR="00EE5E3F" w:rsidRPr="00101CEF">
        <w:rPr>
          <w:rFonts w:ascii="Arial" w:hAnsi="Arial" w:cs="Arial"/>
          <w:sz w:val="22"/>
        </w:rPr>
        <w:t>Mongey</w:t>
      </w:r>
      <w:proofErr w:type="spellEnd"/>
      <w:r w:rsidR="00EE5E3F" w:rsidRPr="00101CEF">
        <w:rPr>
          <w:rFonts w:ascii="Arial" w:hAnsi="Arial" w:cs="Arial"/>
          <w:sz w:val="22"/>
        </w:rPr>
        <w:t>, 2021)</w:t>
      </w:r>
      <w:r w:rsidRPr="00101CEF">
        <w:rPr>
          <w:rFonts w:ascii="Arial" w:hAnsi="Arial" w:cs="Arial"/>
          <w:sz w:val="22"/>
        </w:rPr>
        <w:t>. One must spend much at the outset to achieve a dominating position in the market, which in turn necessitates a government operating licence, exclusive rights to exploit resources, copyright, and patents, and a high total cost of investment. Due to these factors, entry into the market by new providers is challenging. Moreover, monopolies often have access to data that their competitors do not.</w:t>
      </w:r>
    </w:p>
    <w:p w14:paraId="160A2EAE" w14:textId="77777777" w:rsidR="009120E1" w:rsidRDefault="009120E1" w:rsidP="009120E1">
      <w:pPr>
        <w:jc w:val="center"/>
      </w:pPr>
      <w:r>
        <w:rPr>
          <w:noProof/>
        </w:rPr>
        <w:drawing>
          <wp:inline distT="0" distB="0" distL="0" distR="0" wp14:anchorId="2EB58D18" wp14:editId="2CA4454B">
            <wp:extent cx="5724525" cy="4924425"/>
            <wp:effectExtent l="19050" t="19050" r="28575" b="285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24525" cy="4924425"/>
                    </a:xfrm>
                    <a:prstGeom prst="rect">
                      <a:avLst/>
                    </a:prstGeom>
                    <a:ln>
                      <a:solidFill>
                        <a:schemeClr val="tx1"/>
                      </a:solidFill>
                    </a:ln>
                  </pic:spPr>
                </pic:pic>
              </a:graphicData>
            </a:graphic>
          </wp:inline>
        </w:drawing>
      </w:r>
    </w:p>
    <w:p w14:paraId="1FAD8B73" w14:textId="77777777" w:rsidR="009120E1" w:rsidRPr="00EE5E3F" w:rsidRDefault="009120E1" w:rsidP="009120E1">
      <w:pPr>
        <w:jc w:val="center"/>
        <w:rPr>
          <w:i/>
          <w:sz w:val="20"/>
        </w:rPr>
      </w:pPr>
      <w:r w:rsidRPr="00EE5E3F">
        <w:rPr>
          <w:i/>
          <w:sz w:val="20"/>
        </w:rPr>
        <w:t xml:space="preserve">Figure 5: Monopoly Graph. </w:t>
      </w:r>
    </w:p>
    <w:p w14:paraId="5FCB8421" w14:textId="77777777" w:rsidR="009120E1" w:rsidRPr="00101CEF" w:rsidRDefault="00EE5E3F" w:rsidP="009120E1">
      <w:pPr>
        <w:rPr>
          <w:rFonts w:ascii="Arial" w:hAnsi="Arial" w:cs="Arial"/>
          <w:sz w:val="22"/>
        </w:rPr>
      </w:pPr>
      <w:proofErr w:type="spellStart"/>
      <w:r w:rsidRPr="00101CEF">
        <w:rPr>
          <w:rFonts w:ascii="Arial" w:hAnsi="Arial" w:cs="Arial"/>
          <w:sz w:val="22"/>
        </w:rPr>
        <w:t>Mongey</w:t>
      </w:r>
      <w:proofErr w:type="spellEnd"/>
      <w:r w:rsidRPr="00101CEF">
        <w:rPr>
          <w:rFonts w:ascii="Arial" w:hAnsi="Arial" w:cs="Arial"/>
          <w:sz w:val="22"/>
        </w:rPr>
        <w:t xml:space="preserve"> (2021) state that, a</w:t>
      </w:r>
      <w:r w:rsidR="009120E1" w:rsidRPr="00101CEF">
        <w:rPr>
          <w:rFonts w:ascii="Arial" w:hAnsi="Arial" w:cs="Arial"/>
          <w:sz w:val="22"/>
        </w:rPr>
        <w:t xml:space="preserve"> monopolist will maximise profits by producing at the point when marginal revenue equals marginal cost. We'll do this based on the quantity manufactured (</w:t>
      </w:r>
      <w:proofErr w:type="spellStart"/>
      <w:r w:rsidR="009120E1" w:rsidRPr="00101CEF">
        <w:rPr>
          <w:rFonts w:ascii="Arial" w:hAnsi="Arial" w:cs="Arial"/>
          <w:sz w:val="22"/>
        </w:rPr>
        <w:t>Qm</w:t>
      </w:r>
      <w:proofErr w:type="spellEnd"/>
      <w:r w:rsidR="009120E1" w:rsidRPr="00101CEF">
        <w:rPr>
          <w:rFonts w:ascii="Arial" w:hAnsi="Arial" w:cs="Arial"/>
          <w:sz w:val="22"/>
        </w:rPr>
        <w:t xml:space="preserve">) </w:t>
      </w:r>
      <w:r w:rsidR="009120E1" w:rsidRPr="00101CEF">
        <w:rPr>
          <w:rFonts w:ascii="Arial" w:hAnsi="Arial" w:cs="Arial"/>
          <w:sz w:val="22"/>
        </w:rPr>
        <w:lastRenderedPageBreak/>
        <w:t>and the selling price per unit (Pm). The monopolist raises prices and decreases production in comparison to a free market. Red area = Supernormal Profit (AR-AC) * Q. Blue area = Costs to society in the form of a deadweight loss (the total of lost profits from producers and consumers) as compared to a perfectly competitive market.</w:t>
      </w:r>
    </w:p>
    <w:p w14:paraId="1D98DF86" w14:textId="77777777" w:rsidR="00D43488" w:rsidRDefault="00D43488" w:rsidP="00D43488">
      <w:pPr>
        <w:jc w:val="center"/>
      </w:pPr>
      <w:r>
        <w:rPr>
          <w:noProof/>
        </w:rPr>
        <w:drawing>
          <wp:inline distT="0" distB="0" distL="0" distR="0" wp14:anchorId="6423A01D" wp14:editId="4B9CB603">
            <wp:extent cx="5238750" cy="3676650"/>
            <wp:effectExtent l="19050" t="19050" r="19050" b="190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38750" cy="3676650"/>
                    </a:xfrm>
                    <a:prstGeom prst="rect">
                      <a:avLst/>
                    </a:prstGeom>
                    <a:ln>
                      <a:solidFill>
                        <a:schemeClr val="tx1"/>
                      </a:solidFill>
                    </a:ln>
                  </pic:spPr>
                </pic:pic>
              </a:graphicData>
            </a:graphic>
          </wp:inline>
        </w:drawing>
      </w:r>
    </w:p>
    <w:p w14:paraId="0CC3E2FC" w14:textId="77777777" w:rsidR="00D43488" w:rsidRPr="00101CEF" w:rsidRDefault="00D43488" w:rsidP="00D43488">
      <w:pPr>
        <w:jc w:val="center"/>
        <w:rPr>
          <w:rFonts w:ascii="Arial" w:hAnsi="Arial" w:cs="Arial"/>
          <w:i/>
          <w:sz w:val="22"/>
        </w:rPr>
      </w:pPr>
      <w:r w:rsidRPr="00101CEF">
        <w:rPr>
          <w:rFonts w:ascii="Arial" w:hAnsi="Arial" w:cs="Arial"/>
          <w:i/>
          <w:sz w:val="22"/>
        </w:rPr>
        <w:t>Figure 6: Economic of sale</w:t>
      </w:r>
    </w:p>
    <w:p w14:paraId="51E7A614" w14:textId="77777777" w:rsidR="00D43488" w:rsidRPr="00101CEF" w:rsidRDefault="00D43488" w:rsidP="009120E1">
      <w:pPr>
        <w:rPr>
          <w:rFonts w:ascii="Arial" w:hAnsi="Arial" w:cs="Arial"/>
          <w:sz w:val="22"/>
        </w:rPr>
      </w:pPr>
      <w:r w:rsidRPr="00101CEF">
        <w:rPr>
          <w:rFonts w:ascii="Arial" w:hAnsi="Arial" w:cs="Arial"/>
          <w:sz w:val="22"/>
        </w:rPr>
        <w:t>Producing at Q2 in a price-sensitive market would result in AC2 as the firm's average cost per unit. A monopoly may boost production in Q1 and reap the rewards of reduced LROC thanks to economies of scale (AC1). In sectors with large fixed costs, a monopoly may be preferable to a number of smaller companies. In order to obtain considerable economies of scale, monopolies are sometimes required</w:t>
      </w:r>
      <w:r w:rsidR="00EE5E3F" w:rsidRPr="00101CEF">
        <w:rPr>
          <w:rFonts w:ascii="Arial" w:hAnsi="Arial" w:cs="Arial"/>
          <w:sz w:val="22"/>
        </w:rPr>
        <w:t xml:space="preserve"> (Sabatino and </w:t>
      </w:r>
      <w:proofErr w:type="spellStart"/>
      <w:r w:rsidR="00EE5E3F" w:rsidRPr="00101CEF">
        <w:rPr>
          <w:rFonts w:ascii="Arial" w:hAnsi="Arial" w:cs="Arial"/>
          <w:sz w:val="22"/>
        </w:rPr>
        <w:t>Sapi</w:t>
      </w:r>
      <w:proofErr w:type="spellEnd"/>
      <w:r w:rsidR="00EE5E3F" w:rsidRPr="00101CEF">
        <w:rPr>
          <w:rFonts w:ascii="Arial" w:hAnsi="Arial" w:cs="Arial"/>
          <w:sz w:val="22"/>
        </w:rPr>
        <w:t>, 2022)</w:t>
      </w:r>
      <w:r w:rsidRPr="00101CEF">
        <w:rPr>
          <w:rFonts w:ascii="Arial" w:hAnsi="Arial" w:cs="Arial"/>
          <w:sz w:val="22"/>
        </w:rPr>
        <w:t>. A corporation with a monopoly on a certain product may be able to mass-produce that product at a cheaper price per unit because of its ability to control the market. Whether or whether the savings are distributed to customers depends on the ethics of the company. Companies that have successfully established a monopoly in their field might profit by selling products and services for which there are no competitors. An unchecked monopoly may set its own pricing with relative ease due to its market dominance. This is the case with brands like Microsoft and Windows, DeBeers and diamonds, and the firm that provides your area's natural gas.</w:t>
      </w:r>
    </w:p>
    <w:p w14:paraId="3EDB2083" w14:textId="77777777" w:rsidR="00D43488" w:rsidRDefault="00DC2AE5" w:rsidP="00101CEF">
      <w:pPr>
        <w:pStyle w:val="Heading2"/>
      </w:pPr>
      <w:bookmarkStart w:id="5" w:name="_Toc116907952"/>
      <w:r w:rsidRPr="00A048ED">
        <w:lastRenderedPageBreak/>
        <w:t>Duopoly</w:t>
      </w:r>
      <w:r>
        <w:t xml:space="preserve"> Market</w:t>
      </w:r>
      <w:bookmarkEnd w:id="5"/>
    </w:p>
    <w:p w14:paraId="777B13DC" w14:textId="77777777" w:rsidR="009120E1" w:rsidRPr="006D4E57" w:rsidRDefault="00DC2AE5" w:rsidP="009120E1">
      <w:pPr>
        <w:rPr>
          <w:rFonts w:ascii="Arial" w:hAnsi="Arial" w:cs="Arial"/>
          <w:sz w:val="22"/>
        </w:rPr>
      </w:pPr>
      <w:r w:rsidRPr="006D4E57">
        <w:rPr>
          <w:rFonts w:ascii="Arial" w:hAnsi="Arial" w:cs="Arial"/>
          <w:sz w:val="22"/>
        </w:rPr>
        <w:t>A duopoly exists in a market when two firms control essentially all of the demand for a certain product or service. Two firms dominate a market, forming a duopoly, the simplest kind of oligopoly. If the two firms competing in a duopoly agree to coordinate their pricing and production, the market effect will be similar to a monopoly. Both the European and American payment processing markets are dominated by duopolies like Visa and Mastercard</w:t>
      </w:r>
      <w:r w:rsidR="00EE5E3F" w:rsidRPr="006D4E57">
        <w:rPr>
          <w:rFonts w:ascii="Arial" w:hAnsi="Arial" w:cs="Arial"/>
          <w:sz w:val="22"/>
        </w:rPr>
        <w:t xml:space="preserve"> (Sabatino and </w:t>
      </w:r>
      <w:proofErr w:type="spellStart"/>
      <w:r w:rsidR="00EE5E3F" w:rsidRPr="006D4E57">
        <w:rPr>
          <w:rFonts w:ascii="Arial" w:hAnsi="Arial" w:cs="Arial"/>
          <w:sz w:val="22"/>
        </w:rPr>
        <w:t>Sapi</w:t>
      </w:r>
      <w:proofErr w:type="spellEnd"/>
      <w:r w:rsidR="00EE5E3F" w:rsidRPr="006D4E57">
        <w:rPr>
          <w:rFonts w:ascii="Arial" w:hAnsi="Arial" w:cs="Arial"/>
          <w:sz w:val="22"/>
        </w:rPr>
        <w:t>, 2022)</w:t>
      </w:r>
      <w:r w:rsidRPr="006D4E57">
        <w:rPr>
          <w:rFonts w:ascii="Arial" w:hAnsi="Arial" w:cs="Arial"/>
          <w:sz w:val="22"/>
        </w:rPr>
        <w:t xml:space="preserve">. When just two sellers are in the market, consumers have fewer choices. The potential for collusion between a duopoly's two enterprises to artificially inflate costs is another </w:t>
      </w:r>
      <w:proofErr w:type="spellStart"/>
      <w:r w:rsidRPr="006D4E57">
        <w:rPr>
          <w:rFonts w:ascii="Arial" w:hAnsi="Arial" w:cs="Arial"/>
          <w:sz w:val="22"/>
        </w:rPr>
        <w:t>another</w:t>
      </w:r>
      <w:proofErr w:type="spellEnd"/>
      <w:r w:rsidRPr="006D4E57">
        <w:rPr>
          <w:rFonts w:ascii="Arial" w:hAnsi="Arial" w:cs="Arial"/>
          <w:sz w:val="22"/>
        </w:rPr>
        <w:t xml:space="preserve"> drawback for consumers. In a certain industry, just two firms dominate the market. These firms may or may not be direct competitors. A company's involvement in a duopoly does not prevent it from operating competitively in other sectors. Like how Google and Meta (back when it was still called Facebook) have dominated the internet advertising sector for the majority of the 21st century</w:t>
      </w:r>
      <w:r w:rsidR="00EE5E3F" w:rsidRPr="006D4E57">
        <w:rPr>
          <w:rFonts w:ascii="Arial" w:hAnsi="Arial" w:cs="Arial"/>
          <w:sz w:val="22"/>
        </w:rPr>
        <w:t xml:space="preserve"> (Sabatino and </w:t>
      </w:r>
      <w:proofErr w:type="spellStart"/>
      <w:r w:rsidR="00EE5E3F" w:rsidRPr="006D4E57">
        <w:rPr>
          <w:rFonts w:ascii="Arial" w:hAnsi="Arial" w:cs="Arial"/>
          <w:sz w:val="22"/>
        </w:rPr>
        <w:t>Sapi</w:t>
      </w:r>
      <w:proofErr w:type="spellEnd"/>
      <w:r w:rsidR="00EE5E3F" w:rsidRPr="006D4E57">
        <w:rPr>
          <w:rFonts w:ascii="Arial" w:hAnsi="Arial" w:cs="Arial"/>
          <w:sz w:val="22"/>
        </w:rPr>
        <w:t>, 2022)</w:t>
      </w:r>
      <w:r w:rsidRPr="006D4E57">
        <w:rPr>
          <w:rFonts w:ascii="Arial" w:hAnsi="Arial" w:cs="Arial"/>
          <w:sz w:val="22"/>
        </w:rPr>
        <w:t>. However, Google does not have monopolistic power in the computer software or hardware industries. In contrast to an oligopoly, when two enterprises share market dominance, a monopoly involves only one corporation holding a monopoly. When just two vendors are vying for a customer's money, prices tend to drop. But when there are just two main competitors in an area, called a duopoly, a monopoly may be achieved via either the firms working together or one of them going out of business. Visa (V) and Mastercard (MA) have formed a duopoly in the payment card industry. Together, these two financial goliaths have sway over more than 80% of all card transactions made inside the European Union. The European Central Bank (ECB) has been working tirelessly to develop policies that would reduce the effect of these two companies on the economy. In contrast, a novel approach that would enable instantaneous payments via national payment cards across European nations might significantly alter the status quo. Interchange fee regulation has also been tried by the European Central Bank</w:t>
      </w:r>
      <w:r w:rsidR="00EE5E3F" w:rsidRPr="006D4E57">
        <w:rPr>
          <w:rFonts w:ascii="Arial" w:hAnsi="Arial" w:cs="Arial"/>
          <w:sz w:val="22"/>
        </w:rPr>
        <w:t xml:space="preserve"> (Yu, Huang, Zhong and Zhang, 2021)</w:t>
      </w:r>
      <w:r w:rsidRPr="006D4E57">
        <w:rPr>
          <w:rFonts w:ascii="Arial" w:hAnsi="Arial" w:cs="Arial"/>
          <w:sz w:val="22"/>
        </w:rPr>
        <w:t>.</w:t>
      </w:r>
    </w:p>
    <w:p w14:paraId="47B5C9B2" w14:textId="77777777" w:rsidR="00DC2AE5" w:rsidRDefault="00DC2AE5" w:rsidP="00DC2AE5">
      <w:pPr>
        <w:jc w:val="center"/>
      </w:pPr>
      <w:r>
        <w:rPr>
          <w:noProof/>
        </w:rPr>
        <w:lastRenderedPageBreak/>
        <w:drawing>
          <wp:inline distT="0" distB="0" distL="0" distR="0" wp14:anchorId="03BDE9B2" wp14:editId="65469C2B">
            <wp:extent cx="4038600" cy="2600325"/>
            <wp:effectExtent l="19050" t="19050" r="19050" b="285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038600" cy="2600325"/>
                    </a:xfrm>
                    <a:prstGeom prst="rect">
                      <a:avLst/>
                    </a:prstGeom>
                    <a:ln>
                      <a:solidFill>
                        <a:schemeClr val="tx1"/>
                      </a:solidFill>
                    </a:ln>
                  </pic:spPr>
                </pic:pic>
              </a:graphicData>
            </a:graphic>
          </wp:inline>
        </w:drawing>
      </w:r>
    </w:p>
    <w:p w14:paraId="2407855C" w14:textId="77777777" w:rsidR="00DC2AE5" w:rsidRPr="00EE5E3F" w:rsidRDefault="00DC2AE5" w:rsidP="00DC2AE5">
      <w:pPr>
        <w:jc w:val="center"/>
        <w:rPr>
          <w:i/>
          <w:sz w:val="20"/>
        </w:rPr>
      </w:pPr>
      <w:r w:rsidRPr="00EE5E3F">
        <w:rPr>
          <w:i/>
          <w:sz w:val="20"/>
        </w:rPr>
        <w:t>Figure 7: Cournot’s duopoly model</w:t>
      </w:r>
      <w:r w:rsidR="00EE5E3F" w:rsidRPr="00EE5E3F">
        <w:rPr>
          <w:i/>
          <w:sz w:val="20"/>
        </w:rPr>
        <w:t xml:space="preserve"> (Yu, Huang, Zhong and Zhang, 2021). </w:t>
      </w:r>
    </w:p>
    <w:p w14:paraId="4F93F024" w14:textId="77777777" w:rsidR="00DC2AE5" w:rsidRPr="006D4E57" w:rsidRDefault="00DC2AE5" w:rsidP="00DC2AE5">
      <w:pPr>
        <w:rPr>
          <w:rFonts w:ascii="Arial" w:hAnsi="Arial" w:cs="Arial"/>
          <w:sz w:val="22"/>
        </w:rPr>
      </w:pPr>
      <w:r w:rsidRPr="006D4E57">
        <w:rPr>
          <w:rFonts w:ascii="Arial" w:hAnsi="Arial" w:cs="Arial"/>
          <w:sz w:val="22"/>
        </w:rPr>
        <w:t>Figure 7 depicts a straight line (AR curve) representing the demand for mineral water between two companies. Since the maximum daily production of each mineral spring is ON = NB, the total output is OB. Let's say that producer A gets the ball rolling. That person is a monopolist, creating the highest possible amount of output (ON) by virtue of being a monopolist.</w:t>
      </w:r>
    </w:p>
    <w:p w14:paraId="7970671F" w14:textId="77777777" w:rsidR="00DC2AE5" w:rsidRDefault="00DC2AE5" w:rsidP="00101CEF">
      <w:pPr>
        <w:pStyle w:val="Heading2"/>
      </w:pPr>
      <w:bookmarkStart w:id="6" w:name="_Toc116907953"/>
      <w:r>
        <w:t>Oligopoly Market</w:t>
      </w:r>
      <w:bookmarkEnd w:id="6"/>
    </w:p>
    <w:p w14:paraId="68310C7E" w14:textId="77777777" w:rsidR="00DC2AE5" w:rsidRPr="006D4E57" w:rsidRDefault="008454C8" w:rsidP="00DC2AE5">
      <w:pPr>
        <w:rPr>
          <w:rFonts w:ascii="Arial" w:hAnsi="Arial" w:cs="Arial"/>
          <w:sz w:val="22"/>
        </w:rPr>
      </w:pPr>
      <w:r w:rsidRPr="006D4E57">
        <w:rPr>
          <w:rFonts w:ascii="Arial" w:hAnsi="Arial" w:cs="Arial"/>
          <w:sz w:val="22"/>
        </w:rPr>
        <w:t>Economics defines an oligopoly as a market structure in which two or more firms jointly dominate the industry. They may set prices and regulate production as a bloc in the market. However, they are unable to change the market on their own. Even within an oligopoly structure, different companies may command different shares of the market. This may be a huge deal, up to 50%, or it could be negligible, up to 5%. Markets with an oligopoly structure are characterised by the fact that a relatively small number of firms (of varying sizes) have the ability to control market conditions, including price formation and the distribution of goods and services</w:t>
      </w:r>
      <w:r w:rsidR="00EE5E3F" w:rsidRPr="006D4E57">
        <w:rPr>
          <w:rFonts w:ascii="Arial" w:hAnsi="Arial" w:cs="Arial"/>
          <w:sz w:val="22"/>
        </w:rPr>
        <w:t xml:space="preserve"> (Matsuda, Hirata and Kawasaki, 2021)</w:t>
      </w:r>
      <w:r w:rsidRPr="006D4E57">
        <w:rPr>
          <w:rFonts w:ascii="Arial" w:hAnsi="Arial" w:cs="Arial"/>
          <w:sz w:val="22"/>
        </w:rPr>
        <w:t>. A further feature of oligopolies is their mutual dependence on one another. In other words, they can easily counter any move made by an adversary. If, for example, one company were to lower its prices, it's likely that the competition would do the same. These days, oligopolies are commonplace. Currently, you may be using a product made by one of the oligopolies. However, understanding that an oligopoly often indicates a highly concentrated market is vital. Therefore, a few of firms exercise disproportionate market power. More than half of the worldwide market is dominated by Apple, Samsung, and Huawei</w:t>
      </w:r>
      <w:r w:rsidR="00EE5E3F" w:rsidRPr="006D4E57">
        <w:rPr>
          <w:rFonts w:ascii="Arial" w:hAnsi="Arial" w:cs="Arial"/>
          <w:sz w:val="22"/>
        </w:rPr>
        <w:t xml:space="preserve"> (</w:t>
      </w:r>
      <w:proofErr w:type="spellStart"/>
      <w:r w:rsidR="00EE5E3F" w:rsidRPr="006D4E57">
        <w:rPr>
          <w:rFonts w:ascii="Arial" w:hAnsi="Arial" w:cs="Arial"/>
          <w:sz w:val="22"/>
        </w:rPr>
        <w:t>Bertoletti</w:t>
      </w:r>
      <w:proofErr w:type="spellEnd"/>
      <w:r w:rsidR="00EE5E3F" w:rsidRPr="006D4E57">
        <w:rPr>
          <w:rFonts w:ascii="Arial" w:hAnsi="Arial" w:cs="Arial"/>
          <w:sz w:val="22"/>
        </w:rPr>
        <w:t xml:space="preserve"> and Etro, 2020)</w:t>
      </w:r>
      <w:r w:rsidRPr="006D4E57">
        <w:rPr>
          <w:rFonts w:ascii="Arial" w:hAnsi="Arial" w:cs="Arial"/>
          <w:sz w:val="22"/>
        </w:rPr>
        <w:t xml:space="preserve">. When there are just a few of powerful players in a market, the demand curve may be skewed. </w:t>
      </w:r>
      <w:r w:rsidRPr="006D4E57">
        <w:rPr>
          <w:rFonts w:ascii="Arial" w:hAnsi="Arial" w:cs="Arial"/>
          <w:sz w:val="22"/>
        </w:rPr>
        <w:lastRenderedPageBreak/>
        <w:t>This represents the positive and negative responses of demand elasticity to price changes. Consequently, there has been little to no change in costs.</w:t>
      </w:r>
    </w:p>
    <w:p w14:paraId="3CB91DE8" w14:textId="77777777" w:rsidR="008454C8" w:rsidRDefault="008454C8" w:rsidP="008454C8">
      <w:pPr>
        <w:jc w:val="center"/>
      </w:pPr>
      <w:r>
        <w:rPr>
          <w:noProof/>
        </w:rPr>
        <w:drawing>
          <wp:inline distT="0" distB="0" distL="0" distR="0" wp14:anchorId="176B9FE5" wp14:editId="528F031D">
            <wp:extent cx="5934075" cy="4619625"/>
            <wp:effectExtent l="19050" t="19050" r="28575" b="285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34075" cy="4619625"/>
                    </a:xfrm>
                    <a:prstGeom prst="rect">
                      <a:avLst/>
                    </a:prstGeom>
                    <a:ln>
                      <a:solidFill>
                        <a:schemeClr val="tx1"/>
                      </a:solidFill>
                    </a:ln>
                  </pic:spPr>
                </pic:pic>
              </a:graphicData>
            </a:graphic>
          </wp:inline>
        </w:drawing>
      </w:r>
    </w:p>
    <w:p w14:paraId="24BD28D8" w14:textId="77777777" w:rsidR="008454C8" w:rsidRPr="00EE5E3F" w:rsidRDefault="008454C8" w:rsidP="008454C8">
      <w:pPr>
        <w:jc w:val="center"/>
        <w:rPr>
          <w:i/>
          <w:sz w:val="20"/>
        </w:rPr>
      </w:pPr>
      <w:r w:rsidRPr="00EE5E3F">
        <w:rPr>
          <w:i/>
          <w:sz w:val="20"/>
        </w:rPr>
        <w:t>Figure 8: Oligopoly Graph – Kinked Demand Curve</w:t>
      </w:r>
      <w:r w:rsidR="00EE5E3F" w:rsidRPr="00EE5E3F">
        <w:rPr>
          <w:i/>
          <w:sz w:val="20"/>
        </w:rPr>
        <w:t xml:space="preserve"> (</w:t>
      </w:r>
      <w:proofErr w:type="spellStart"/>
      <w:r w:rsidR="00EE5E3F" w:rsidRPr="00EE5E3F">
        <w:rPr>
          <w:i/>
          <w:sz w:val="20"/>
        </w:rPr>
        <w:t>Bertoletti</w:t>
      </w:r>
      <w:proofErr w:type="spellEnd"/>
      <w:r w:rsidR="00EE5E3F" w:rsidRPr="00EE5E3F">
        <w:rPr>
          <w:i/>
          <w:sz w:val="20"/>
        </w:rPr>
        <w:t xml:space="preserve"> and Etro, 2020).</w:t>
      </w:r>
    </w:p>
    <w:p w14:paraId="07D4BEF6" w14:textId="77777777" w:rsidR="008454C8" w:rsidRPr="006D4E57" w:rsidRDefault="008454C8" w:rsidP="008454C8">
      <w:pPr>
        <w:rPr>
          <w:rFonts w:ascii="Arial" w:hAnsi="Arial" w:cs="Arial"/>
          <w:sz w:val="22"/>
        </w:rPr>
      </w:pPr>
      <w:r w:rsidRPr="006D4E57">
        <w:rPr>
          <w:rFonts w:ascii="Arial" w:hAnsi="Arial" w:cs="Arial"/>
          <w:sz w:val="22"/>
        </w:rPr>
        <w:t>The accompanying chart shows that there is no price-setting incentive for enterprises. This is because customers' spending would decrease in response to a price rise. Businesses lose money when they raise prices because consumers go elsewhere for their needs. There is no correlation between price drops and increased demand. The rationale behind this is that if prices are reduced, competition will grow. When one firm in an oligopoly chooses to lower prices, competitors frequently do the same. Demand from consumers will, as a direct result, increase very little, if at all.</w:t>
      </w:r>
    </w:p>
    <w:p w14:paraId="07AEAAB4" w14:textId="77777777" w:rsidR="008454C8" w:rsidRDefault="008454C8" w:rsidP="008454C8"/>
    <w:p w14:paraId="52D76BDE" w14:textId="77777777" w:rsidR="008454C8" w:rsidRDefault="008454C8" w:rsidP="00101CEF">
      <w:pPr>
        <w:pStyle w:val="Heading1"/>
      </w:pPr>
      <w:bookmarkStart w:id="7" w:name="_Toc116907954"/>
      <w:r>
        <w:lastRenderedPageBreak/>
        <w:t>Conclusion</w:t>
      </w:r>
      <w:bookmarkEnd w:id="7"/>
    </w:p>
    <w:p w14:paraId="2D52117F" w14:textId="77777777" w:rsidR="008454C8" w:rsidRPr="006D4E57" w:rsidRDefault="008454C8" w:rsidP="008454C8">
      <w:pPr>
        <w:rPr>
          <w:rFonts w:ascii="Arial" w:hAnsi="Arial" w:cs="Arial"/>
          <w:sz w:val="22"/>
        </w:rPr>
      </w:pPr>
      <w:r w:rsidRPr="006D4E57">
        <w:rPr>
          <w:rFonts w:ascii="Arial" w:hAnsi="Arial" w:cs="Arial"/>
          <w:sz w:val="22"/>
        </w:rPr>
        <w:t>In the field of economics, the term "market structure" refers to the classification and differentiation of distinct sectors based on the level of intensity and kind of price competition for various goods and services. It does this by taking into consideration the elements that have an influence on the activities and outcomes of organisations that are active in a certain market. This article lays out the market's structure in great detail, complete with diagrams and examples to help illustrate the concepts being discussed.</w:t>
      </w:r>
    </w:p>
    <w:p w14:paraId="4075F38D" w14:textId="77777777" w:rsidR="008454C8" w:rsidRDefault="008454C8">
      <w:pPr>
        <w:spacing w:line="259" w:lineRule="auto"/>
        <w:jc w:val="left"/>
      </w:pPr>
      <w:r>
        <w:br w:type="page"/>
      </w:r>
    </w:p>
    <w:p w14:paraId="080D4DD4" w14:textId="77777777" w:rsidR="00EE5E3F" w:rsidRDefault="00EE5E3F" w:rsidP="00101CEF">
      <w:pPr>
        <w:pStyle w:val="Heading1"/>
        <w:rPr>
          <w:sz w:val="36"/>
        </w:rPr>
      </w:pPr>
      <w:bookmarkStart w:id="8" w:name="_Toc116907955"/>
      <w:r>
        <w:lastRenderedPageBreak/>
        <w:t>References</w:t>
      </w:r>
      <w:bookmarkEnd w:id="8"/>
    </w:p>
    <w:p w14:paraId="016F7D2F" w14:textId="77777777" w:rsidR="00EE5E3F" w:rsidRPr="006D4E57" w:rsidRDefault="00EE5E3F" w:rsidP="00EE5E3F">
      <w:pPr>
        <w:rPr>
          <w:rFonts w:ascii="Arial" w:hAnsi="Arial" w:cs="Arial"/>
          <w:sz w:val="22"/>
        </w:rPr>
      </w:pPr>
      <w:r w:rsidRPr="006D4E57">
        <w:rPr>
          <w:rFonts w:ascii="Arial" w:hAnsi="Arial" w:cs="Arial"/>
          <w:sz w:val="22"/>
        </w:rPr>
        <w:t xml:space="preserve">Benami, E., </w:t>
      </w:r>
      <w:proofErr w:type="spellStart"/>
      <w:r w:rsidRPr="006D4E57">
        <w:rPr>
          <w:rFonts w:ascii="Arial" w:hAnsi="Arial" w:cs="Arial"/>
          <w:sz w:val="22"/>
        </w:rPr>
        <w:t>Jin</w:t>
      </w:r>
      <w:proofErr w:type="spellEnd"/>
      <w:r w:rsidRPr="006D4E57">
        <w:rPr>
          <w:rFonts w:ascii="Arial" w:hAnsi="Arial" w:cs="Arial"/>
          <w:sz w:val="22"/>
        </w:rPr>
        <w:t xml:space="preserve">, Z., Carter, M., Ghosh, A., </w:t>
      </w:r>
      <w:proofErr w:type="spellStart"/>
      <w:r w:rsidRPr="006D4E57">
        <w:rPr>
          <w:rFonts w:ascii="Arial" w:hAnsi="Arial" w:cs="Arial"/>
          <w:sz w:val="22"/>
        </w:rPr>
        <w:t>Hijmans</w:t>
      </w:r>
      <w:proofErr w:type="spellEnd"/>
      <w:r w:rsidRPr="006D4E57">
        <w:rPr>
          <w:rFonts w:ascii="Arial" w:hAnsi="Arial" w:cs="Arial"/>
          <w:sz w:val="22"/>
        </w:rPr>
        <w:t xml:space="preserve">, R., Hobbs, A., </w:t>
      </w:r>
      <w:proofErr w:type="spellStart"/>
      <w:r w:rsidRPr="006D4E57">
        <w:rPr>
          <w:rFonts w:ascii="Arial" w:hAnsi="Arial" w:cs="Arial"/>
          <w:sz w:val="22"/>
        </w:rPr>
        <w:t>Kenduiywo</w:t>
      </w:r>
      <w:proofErr w:type="spellEnd"/>
      <w:r w:rsidRPr="006D4E57">
        <w:rPr>
          <w:rFonts w:ascii="Arial" w:hAnsi="Arial" w:cs="Arial"/>
          <w:sz w:val="22"/>
        </w:rPr>
        <w:t>, B. and Lobell, D., 2021. Uniting remote sensing, crop modelling and economics for agricultural risk management. </w:t>
      </w:r>
      <w:r w:rsidRPr="006D4E57">
        <w:rPr>
          <w:rFonts w:ascii="Arial" w:hAnsi="Arial" w:cs="Arial"/>
          <w:i/>
          <w:iCs/>
          <w:sz w:val="22"/>
        </w:rPr>
        <w:t>Nature Reviews Earth &amp;amp; Environment</w:t>
      </w:r>
      <w:r w:rsidRPr="006D4E57">
        <w:rPr>
          <w:rFonts w:ascii="Arial" w:hAnsi="Arial" w:cs="Arial"/>
          <w:sz w:val="22"/>
        </w:rPr>
        <w:t>, 2(2), pp.140-159.</w:t>
      </w:r>
    </w:p>
    <w:p w14:paraId="2D222C46" w14:textId="77777777" w:rsidR="00EE5E3F" w:rsidRPr="006D4E57" w:rsidRDefault="00EE5E3F" w:rsidP="00EE5E3F">
      <w:pPr>
        <w:rPr>
          <w:rFonts w:ascii="Arial" w:hAnsi="Arial" w:cs="Arial"/>
          <w:sz w:val="22"/>
        </w:rPr>
      </w:pPr>
      <w:proofErr w:type="spellStart"/>
      <w:r w:rsidRPr="006D4E57">
        <w:rPr>
          <w:rFonts w:ascii="Arial" w:hAnsi="Arial" w:cs="Arial"/>
          <w:sz w:val="22"/>
        </w:rPr>
        <w:t>Bertoletti</w:t>
      </w:r>
      <w:proofErr w:type="spellEnd"/>
      <w:r w:rsidRPr="006D4E57">
        <w:rPr>
          <w:rFonts w:ascii="Arial" w:hAnsi="Arial" w:cs="Arial"/>
          <w:sz w:val="22"/>
        </w:rPr>
        <w:t>, P. and Etro, F., 2020. Monopolistic competition with generalized additively separable preferences. </w:t>
      </w:r>
      <w:r w:rsidRPr="006D4E57">
        <w:rPr>
          <w:rFonts w:ascii="Arial" w:hAnsi="Arial" w:cs="Arial"/>
          <w:i/>
          <w:iCs/>
          <w:sz w:val="22"/>
        </w:rPr>
        <w:t>Oxford Economic Papers</w:t>
      </w:r>
      <w:r w:rsidRPr="006D4E57">
        <w:rPr>
          <w:rFonts w:ascii="Arial" w:hAnsi="Arial" w:cs="Arial"/>
          <w:sz w:val="22"/>
        </w:rPr>
        <w:t>, 73(2), pp.927-952.</w:t>
      </w:r>
    </w:p>
    <w:p w14:paraId="130935C0" w14:textId="77777777" w:rsidR="00EE5E3F" w:rsidRPr="006D4E57" w:rsidRDefault="00EE5E3F" w:rsidP="00EE5E3F">
      <w:pPr>
        <w:rPr>
          <w:rFonts w:ascii="Arial" w:hAnsi="Arial" w:cs="Arial"/>
          <w:sz w:val="22"/>
        </w:rPr>
      </w:pPr>
      <w:r w:rsidRPr="006D4E57">
        <w:rPr>
          <w:rFonts w:ascii="Arial" w:hAnsi="Arial" w:cs="Arial"/>
          <w:sz w:val="22"/>
        </w:rPr>
        <w:t xml:space="preserve">Di Foggia, G. and </w:t>
      </w:r>
      <w:proofErr w:type="spellStart"/>
      <w:r w:rsidRPr="006D4E57">
        <w:rPr>
          <w:rFonts w:ascii="Arial" w:hAnsi="Arial" w:cs="Arial"/>
          <w:sz w:val="22"/>
        </w:rPr>
        <w:t>Beccarello</w:t>
      </w:r>
      <w:proofErr w:type="spellEnd"/>
      <w:r w:rsidRPr="006D4E57">
        <w:rPr>
          <w:rFonts w:ascii="Arial" w:hAnsi="Arial" w:cs="Arial"/>
          <w:sz w:val="22"/>
        </w:rPr>
        <w:t>, M., 2021. Market Structure of Urban Waste Treatment and Disposal: Empirical Evidence from the Italian Industry. </w:t>
      </w:r>
      <w:r w:rsidRPr="006D4E57">
        <w:rPr>
          <w:rFonts w:ascii="Arial" w:hAnsi="Arial" w:cs="Arial"/>
          <w:i/>
          <w:iCs/>
          <w:sz w:val="22"/>
        </w:rPr>
        <w:t>Sustainability</w:t>
      </w:r>
      <w:r w:rsidRPr="006D4E57">
        <w:rPr>
          <w:rFonts w:ascii="Arial" w:hAnsi="Arial" w:cs="Arial"/>
          <w:sz w:val="22"/>
        </w:rPr>
        <w:t>, 13(13), p.7412.</w:t>
      </w:r>
    </w:p>
    <w:p w14:paraId="635FCE31" w14:textId="77777777" w:rsidR="00EE5E3F" w:rsidRPr="006D4E57" w:rsidRDefault="00EE5E3F" w:rsidP="00EE5E3F">
      <w:pPr>
        <w:rPr>
          <w:rFonts w:ascii="Arial" w:hAnsi="Arial" w:cs="Arial"/>
          <w:sz w:val="22"/>
        </w:rPr>
      </w:pPr>
      <w:r w:rsidRPr="006D4E57">
        <w:rPr>
          <w:rFonts w:ascii="Arial" w:hAnsi="Arial" w:cs="Arial"/>
          <w:sz w:val="22"/>
        </w:rPr>
        <w:t>Feenstra, R., 2016. Gains from Trade Under Monopolistic Competition. </w:t>
      </w:r>
      <w:r w:rsidRPr="006D4E57">
        <w:rPr>
          <w:rFonts w:ascii="Arial" w:hAnsi="Arial" w:cs="Arial"/>
          <w:i/>
          <w:iCs/>
          <w:sz w:val="22"/>
        </w:rPr>
        <w:t>Pacific Economic Review</w:t>
      </w:r>
      <w:r w:rsidRPr="006D4E57">
        <w:rPr>
          <w:rFonts w:ascii="Arial" w:hAnsi="Arial" w:cs="Arial"/>
          <w:sz w:val="22"/>
        </w:rPr>
        <w:t>, 21(1), pp.35-44.</w:t>
      </w:r>
    </w:p>
    <w:p w14:paraId="6D762246" w14:textId="77777777" w:rsidR="00EE5E3F" w:rsidRPr="006D4E57" w:rsidRDefault="00EE5E3F" w:rsidP="00EE5E3F">
      <w:pPr>
        <w:rPr>
          <w:rFonts w:ascii="Arial" w:hAnsi="Arial" w:cs="Arial"/>
          <w:sz w:val="22"/>
        </w:rPr>
      </w:pPr>
      <w:r w:rsidRPr="006D4E57">
        <w:rPr>
          <w:rFonts w:ascii="Arial" w:hAnsi="Arial" w:cs="Arial"/>
          <w:sz w:val="22"/>
        </w:rPr>
        <w:t>Lim, J. and Lee, K., 2019. Employment effect of innovation under different market structures: Findings from Korean manufacturing firms. </w:t>
      </w:r>
      <w:r w:rsidRPr="006D4E57">
        <w:rPr>
          <w:rFonts w:ascii="Arial" w:hAnsi="Arial" w:cs="Arial"/>
          <w:i/>
          <w:iCs/>
          <w:sz w:val="22"/>
        </w:rPr>
        <w:t>Technological Forecasting and Social Change</w:t>
      </w:r>
      <w:r w:rsidRPr="006D4E57">
        <w:rPr>
          <w:rFonts w:ascii="Arial" w:hAnsi="Arial" w:cs="Arial"/>
          <w:sz w:val="22"/>
        </w:rPr>
        <w:t>, 146, pp.606-615.</w:t>
      </w:r>
    </w:p>
    <w:p w14:paraId="680DD24F" w14:textId="77777777" w:rsidR="00EE5E3F" w:rsidRPr="006D4E57" w:rsidRDefault="00EE5E3F" w:rsidP="00EE5E3F">
      <w:pPr>
        <w:rPr>
          <w:rFonts w:ascii="Arial" w:hAnsi="Arial" w:cs="Arial"/>
          <w:sz w:val="22"/>
        </w:rPr>
      </w:pPr>
      <w:r w:rsidRPr="006D4E57">
        <w:rPr>
          <w:rFonts w:ascii="Arial" w:hAnsi="Arial" w:cs="Arial"/>
          <w:sz w:val="22"/>
        </w:rPr>
        <w:t>Loertscher, S. and Reisinger, M., 2014. Market Structure and the Competitive Effects of Vertical Integration. </w:t>
      </w:r>
      <w:r w:rsidRPr="006D4E57">
        <w:rPr>
          <w:rFonts w:ascii="Arial" w:hAnsi="Arial" w:cs="Arial"/>
          <w:i/>
          <w:iCs/>
          <w:sz w:val="22"/>
        </w:rPr>
        <w:t>SSRN Electronic Journal</w:t>
      </w:r>
      <w:r w:rsidRPr="006D4E57">
        <w:rPr>
          <w:rFonts w:ascii="Arial" w:hAnsi="Arial" w:cs="Arial"/>
          <w:sz w:val="22"/>
        </w:rPr>
        <w:t>,.</w:t>
      </w:r>
    </w:p>
    <w:p w14:paraId="754A1CB4" w14:textId="77777777" w:rsidR="00EE5E3F" w:rsidRPr="006D4E57" w:rsidRDefault="00EE5E3F" w:rsidP="00EE5E3F">
      <w:pPr>
        <w:rPr>
          <w:rFonts w:ascii="Arial" w:hAnsi="Arial" w:cs="Arial"/>
          <w:sz w:val="22"/>
        </w:rPr>
      </w:pPr>
      <w:r w:rsidRPr="006D4E57">
        <w:rPr>
          <w:rFonts w:ascii="Arial" w:hAnsi="Arial" w:cs="Arial"/>
          <w:sz w:val="22"/>
        </w:rPr>
        <w:t>Matsuda, T., Hirata, E. and Kawasaki, T., 2021. Monopoly in the container shipping market: an econometric approach. </w:t>
      </w:r>
      <w:r w:rsidRPr="006D4E57">
        <w:rPr>
          <w:rFonts w:ascii="Arial" w:hAnsi="Arial" w:cs="Arial"/>
          <w:i/>
          <w:iCs/>
          <w:sz w:val="22"/>
        </w:rPr>
        <w:t>Maritime Business Review</w:t>
      </w:r>
      <w:r w:rsidRPr="006D4E57">
        <w:rPr>
          <w:rFonts w:ascii="Arial" w:hAnsi="Arial" w:cs="Arial"/>
          <w:sz w:val="22"/>
        </w:rPr>
        <w:t>, 7(4), pp.318-331.</w:t>
      </w:r>
    </w:p>
    <w:p w14:paraId="373C16D5" w14:textId="77777777" w:rsidR="00EE5E3F" w:rsidRPr="006D4E57" w:rsidRDefault="00EE5E3F" w:rsidP="00EE5E3F">
      <w:pPr>
        <w:rPr>
          <w:rFonts w:ascii="Arial" w:hAnsi="Arial" w:cs="Arial"/>
          <w:sz w:val="22"/>
        </w:rPr>
      </w:pPr>
      <w:proofErr w:type="spellStart"/>
      <w:r w:rsidRPr="006D4E57">
        <w:rPr>
          <w:rFonts w:ascii="Arial" w:hAnsi="Arial" w:cs="Arial"/>
          <w:sz w:val="22"/>
        </w:rPr>
        <w:t>Mongey</w:t>
      </w:r>
      <w:proofErr w:type="spellEnd"/>
      <w:r w:rsidRPr="006D4E57">
        <w:rPr>
          <w:rFonts w:ascii="Arial" w:hAnsi="Arial" w:cs="Arial"/>
          <w:sz w:val="22"/>
        </w:rPr>
        <w:t>, S., 2021. Market Structure and Monetary Non-Neutrality. </w:t>
      </w:r>
      <w:r w:rsidRPr="006D4E57">
        <w:rPr>
          <w:rFonts w:ascii="Arial" w:hAnsi="Arial" w:cs="Arial"/>
          <w:i/>
          <w:iCs/>
          <w:sz w:val="22"/>
        </w:rPr>
        <w:t>SSRN Electronic Journal</w:t>
      </w:r>
      <w:r w:rsidRPr="006D4E57">
        <w:rPr>
          <w:rFonts w:ascii="Arial" w:hAnsi="Arial" w:cs="Arial"/>
          <w:sz w:val="22"/>
        </w:rPr>
        <w:t>,.</w:t>
      </w:r>
    </w:p>
    <w:p w14:paraId="1744C385" w14:textId="77777777" w:rsidR="00EE5E3F" w:rsidRPr="006D4E57" w:rsidRDefault="00EE5E3F" w:rsidP="00EE5E3F">
      <w:pPr>
        <w:rPr>
          <w:rFonts w:ascii="Arial" w:hAnsi="Arial" w:cs="Arial"/>
          <w:sz w:val="22"/>
        </w:rPr>
      </w:pPr>
      <w:r w:rsidRPr="006D4E57">
        <w:rPr>
          <w:rFonts w:ascii="Arial" w:hAnsi="Arial" w:cs="Arial"/>
          <w:sz w:val="22"/>
        </w:rPr>
        <w:t xml:space="preserve">Sabatino, L. and </w:t>
      </w:r>
      <w:proofErr w:type="spellStart"/>
      <w:r w:rsidRPr="006D4E57">
        <w:rPr>
          <w:rFonts w:ascii="Arial" w:hAnsi="Arial" w:cs="Arial"/>
          <w:sz w:val="22"/>
        </w:rPr>
        <w:t>Sapi</w:t>
      </w:r>
      <w:proofErr w:type="spellEnd"/>
      <w:r w:rsidRPr="006D4E57">
        <w:rPr>
          <w:rFonts w:ascii="Arial" w:hAnsi="Arial" w:cs="Arial"/>
          <w:sz w:val="22"/>
        </w:rPr>
        <w:t>, G., 2022. Online privacy and market structure: Theory and evidence. </w:t>
      </w:r>
      <w:r w:rsidRPr="006D4E57">
        <w:rPr>
          <w:rFonts w:ascii="Arial" w:hAnsi="Arial" w:cs="Arial"/>
          <w:i/>
          <w:iCs/>
          <w:sz w:val="22"/>
        </w:rPr>
        <w:t>Information Economics and Policy</w:t>
      </w:r>
      <w:r w:rsidRPr="006D4E57">
        <w:rPr>
          <w:rFonts w:ascii="Arial" w:hAnsi="Arial" w:cs="Arial"/>
          <w:sz w:val="22"/>
        </w:rPr>
        <w:t>, 60, p.100985.</w:t>
      </w:r>
    </w:p>
    <w:p w14:paraId="440D8C80" w14:textId="77777777" w:rsidR="00EE5E3F" w:rsidRPr="006D4E57" w:rsidRDefault="00EE5E3F" w:rsidP="00EE5E3F">
      <w:pPr>
        <w:rPr>
          <w:rFonts w:ascii="Arial" w:hAnsi="Arial" w:cs="Arial"/>
          <w:sz w:val="22"/>
        </w:rPr>
      </w:pPr>
      <w:r w:rsidRPr="006D4E57">
        <w:rPr>
          <w:rFonts w:ascii="Arial" w:hAnsi="Arial" w:cs="Arial"/>
          <w:sz w:val="22"/>
        </w:rPr>
        <w:t>Yu, M., Huang, Y., Zhong, H. and Zhang, Q., 2021. Monopoly and corporate</w:t>
      </w:r>
      <w:r>
        <w:rPr>
          <w:sz w:val="27"/>
          <w:szCs w:val="27"/>
        </w:rPr>
        <w:t xml:space="preserve"> </w:t>
      </w:r>
      <w:r w:rsidRPr="006D4E57">
        <w:rPr>
          <w:rFonts w:ascii="Arial" w:hAnsi="Arial" w:cs="Arial"/>
          <w:sz w:val="22"/>
        </w:rPr>
        <w:t>innovation: evidence from antitrust law. </w:t>
      </w:r>
      <w:r w:rsidRPr="006D4E57">
        <w:rPr>
          <w:rFonts w:ascii="Arial" w:hAnsi="Arial" w:cs="Arial"/>
          <w:i/>
          <w:iCs/>
          <w:sz w:val="22"/>
        </w:rPr>
        <w:t>Nankai Business Review International</w:t>
      </w:r>
      <w:r w:rsidRPr="006D4E57">
        <w:rPr>
          <w:rFonts w:ascii="Arial" w:hAnsi="Arial" w:cs="Arial"/>
          <w:sz w:val="22"/>
        </w:rPr>
        <w:t>, 13(1), pp.58-78.</w:t>
      </w:r>
    </w:p>
    <w:p w14:paraId="56D3D367" w14:textId="77777777" w:rsidR="008454C8" w:rsidRPr="006D4E57" w:rsidRDefault="008454C8" w:rsidP="008454C8">
      <w:pPr>
        <w:rPr>
          <w:rFonts w:ascii="Arial" w:hAnsi="Arial" w:cs="Arial"/>
          <w:sz w:val="22"/>
        </w:rPr>
      </w:pPr>
    </w:p>
    <w:p w14:paraId="17620C82" w14:textId="77777777" w:rsidR="00DC2AE5" w:rsidRPr="00DC2AE5" w:rsidRDefault="00DC2AE5" w:rsidP="00DC2AE5"/>
    <w:p w14:paraId="278694E5" w14:textId="77777777" w:rsidR="009120E1" w:rsidRPr="00D63B79" w:rsidRDefault="009120E1" w:rsidP="009120E1"/>
    <w:sectPr w:rsidR="009120E1" w:rsidRPr="00D63B79" w:rsidSect="00CD00E5">
      <w:headerReference w:type="default" r:id="rId16"/>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025D17" w14:textId="77777777" w:rsidR="00BC4D78" w:rsidRDefault="00BC4D78" w:rsidP="00BC4D78">
      <w:pPr>
        <w:spacing w:after="0" w:line="240" w:lineRule="auto"/>
      </w:pPr>
      <w:r>
        <w:separator/>
      </w:r>
    </w:p>
  </w:endnote>
  <w:endnote w:type="continuationSeparator" w:id="0">
    <w:p w14:paraId="3A755D4D" w14:textId="77777777" w:rsidR="00BC4D78" w:rsidRDefault="00BC4D78" w:rsidP="00BC4D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2934245"/>
      <w:docPartObj>
        <w:docPartGallery w:val="Page Numbers (Bottom of Page)"/>
        <w:docPartUnique/>
      </w:docPartObj>
    </w:sdtPr>
    <w:sdtEndPr>
      <w:rPr>
        <w:noProof/>
      </w:rPr>
    </w:sdtEndPr>
    <w:sdtContent>
      <w:p w14:paraId="3CCF3EAE" w14:textId="4090EEE3" w:rsidR="00BC4D78" w:rsidRDefault="00BC4D7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B3D003" w14:textId="77777777" w:rsidR="00BC4D78" w:rsidRDefault="00BC4D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AEE664" w14:textId="77777777" w:rsidR="00BC4D78" w:rsidRDefault="00BC4D78" w:rsidP="00BC4D78">
      <w:pPr>
        <w:spacing w:after="0" w:line="240" w:lineRule="auto"/>
      </w:pPr>
      <w:r>
        <w:separator/>
      </w:r>
    </w:p>
  </w:footnote>
  <w:footnote w:type="continuationSeparator" w:id="0">
    <w:p w14:paraId="704F7829" w14:textId="77777777" w:rsidR="00BC4D78" w:rsidRDefault="00BC4D78" w:rsidP="00BC4D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1709699"/>
      <w:docPartObj>
        <w:docPartGallery w:val="Page Numbers (Top of Page)"/>
        <w:docPartUnique/>
      </w:docPartObj>
    </w:sdtPr>
    <w:sdtEndPr>
      <w:rPr>
        <w:noProof/>
      </w:rPr>
    </w:sdtEndPr>
    <w:sdtContent>
      <w:p w14:paraId="15E40132" w14:textId="365D45EA" w:rsidR="00BC4D78" w:rsidRDefault="00BC4D7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2F7A89D" w14:textId="77777777" w:rsidR="00BC4D78" w:rsidRDefault="00BC4D7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AxMzQysjQxsTSwMLZQ0lEKTi0uzszPAykwrAUAcqDGPSwAAAA="/>
  </w:docVars>
  <w:rsids>
    <w:rsidRoot w:val="003B6F23"/>
    <w:rsid w:val="00101CEF"/>
    <w:rsid w:val="002D2C0E"/>
    <w:rsid w:val="003B6F23"/>
    <w:rsid w:val="005D52CD"/>
    <w:rsid w:val="006D4E57"/>
    <w:rsid w:val="00817A12"/>
    <w:rsid w:val="008454C8"/>
    <w:rsid w:val="0087777C"/>
    <w:rsid w:val="009120E1"/>
    <w:rsid w:val="00BC4D78"/>
    <w:rsid w:val="00CD00E5"/>
    <w:rsid w:val="00D418B7"/>
    <w:rsid w:val="00D43488"/>
    <w:rsid w:val="00D63B79"/>
    <w:rsid w:val="00DC2AE5"/>
    <w:rsid w:val="00EE5E3F"/>
    <w:rsid w:val="00FA5C0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85593"/>
  <w15:chartTrackingRefBased/>
  <w15:docId w15:val="{162A1225-B508-4F90-9E5F-5DC381163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5C0A"/>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101CEF"/>
    <w:pPr>
      <w:keepNext/>
      <w:keepLines/>
      <w:spacing w:before="240" w:after="0"/>
      <w:outlineLvl w:val="0"/>
    </w:pPr>
    <w:rPr>
      <w:rFonts w:ascii="Arial" w:eastAsiaTheme="majorEastAsia" w:hAnsi="Arial" w:cs="Arial"/>
      <w:b/>
      <w:sz w:val="32"/>
      <w:szCs w:val="32"/>
    </w:rPr>
  </w:style>
  <w:style w:type="paragraph" w:styleId="Heading2">
    <w:name w:val="heading 2"/>
    <w:basedOn w:val="Normal"/>
    <w:next w:val="Normal"/>
    <w:link w:val="Heading2Char"/>
    <w:autoRedefine/>
    <w:uiPriority w:val="9"/>
    <w:unhideWhenUsed/>
    <w:qFormat/>
    <w:rsid w:val="00101CEF"/>
    <w:pPr>
      <w:keepNext/>
      <w:keepLines/>
      <w:spacing w:before="40" w:after="0"/>
      <w:outlineLvl w:val="1"/>
    </w:pPr>
    <w:rPr>
      <w:rFonts w:ascii="Arial" w:eastAsiaTheme="majorEastAsia" w:hAnsi="Arial" w:cs="Arial"/>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1CEF"/>
    <w:rPr>
      <w:rFonts w:ascii="Arial" w:eastAsiaTheme="majorEastAsia" w:hAnsi="Arial" w:cs="Arial"/>
      <w:b/>
      <w:sz w:val="32"/>
      <w:szCs w:val="32"/>
    </w:rPr>
  </w:style>
  <w:style w:type="character" w:customStyle="1" w:styleId="Heading2Char">
    <w:name w:val="Heading 2 Char"/>
    <w:basedOn w:val="DefaultParagraphFont"/>
    <w:link w:val="Heading2"/>
    <w:uiPriority w:val="9"/>
    <w:rsid w:val="00101CEF"/>
    <w:rPr>
      <w:rFonts w:ascii="Arial" w:eastAsiaTheme="majorEastAsia" w:hAnsi="Arial" w:cs="Arial"/>
      <w:b/>
      <w:sz w:val="32"/>
      <w:szCs w:val="32"/>
    </w:rPr>
  </w:style>
  <w:style w:type="paragraph" w:customStyle="1" w:styleId="TableParagraph">
    <w:name w:val="Table Paragraph"/>
    <w:basedOn w:val="Normal"/>
    <w:uiPriority w:val="1"/>
    <w:qFormat/>
    <w:rsid w:val="003B6F23"/>
    <w:pPr>
      <w:widowControl w:val="0"/>
      <w:autoSpaceDE w:val="0"/>
      <w:autoSpaceDN w:val="0"/>
      <w:spacing w:after="0" w:line="240" w:lineRule="auto"/>
      <w:ind w:left="110"/>
      <w:jc w:val="left"/>
    </w:pPr>
    <w:rPr>
      <w:rFonts w:ascii="Arial" w:eastAsia="Arial" w:hAnsi="Arial" w:cs="Arial"/>
      <w:sz w:val="22"/>
      <w:lang w:val="en-US"/>
    </w:rPr>
  </w:style>
  <w:style w:type="character" w:styleId="CommentReference">
    <w:name w:val="annotation reference"/>
    <w:basedOn w:val="DefaultParagraphFont"/>
    <w:uiPriority w:val="99"/>
    <w:semiHidden/>
    <w:unhideWhenUsed/>
    <w:rsid w:val="003B6F23"/>
    <w:rPr>
      <w:sz w:val="16"/>
      <w:szCs w:val="16"/>
    </w:rPr>
  </w:style>
  <w:style w:type="paragraph" w:styleId="CommentText">
    <w:name w:val="annotation text"/>
    <w:basedOn w:val="Normal"/>
    <w:link w:val="CommentTextChar"/>
    <w:uiPriority w:val="99"/>
    <w:semiHidden/>
    <w:unhideWhenUsed/>
    <w:rsid w:val="003B6F23"/>
    <w:pPr>
      <w:spacing w:line="240" w:lineRule="auto"/>
    </w:pPr>
    <w:rPr>
      <w:sz w:val="20"/>
      <w:szCs w:val="20"/>
    </w:rPr>
  </w:style>
  <w:style w:type="character" w:customStyle="1" w:styleId="CommentTextChar">
    <w:name w:val="Comment Text Char"/>
    <w:basedOn w:val="DefaultParagraphFont"/>
    <w:link w:val="CommentText"/>
    <w:uiPriority w:val="99"/>
    <w:semiHidden/>
    <w:rsid w:val="003B6F23"/>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3B6F23"/>
    <w:rPr>
      <w:b/>
      <w:bCs/>
    </w:rPr>
  </w:style>
  <w:style w:type="character" w:customStyle="1" w:styleId="CommentSubjectChar">
    <w:name w:val="Comment Subject Char"/>
    <w:basedOn w:val="CommentTextChar"/>
    <w:link w:val="CommentSubject"/>
    <w:uiPriority w:val="99"/>
    <w:semiHidden/>
    <w:rsid w:val="003B6F23"/>
    <w:rPr>
      <w:rFonts w:ascii="Times New Roman" w:hAnsi="Times New Roman"/>
      <w:b/>
      <w:bCs/>
      <w:sz w:val="20"/>
      <w:szCs w:val="20"/>
    </w:rPr>
  </w:style>
  <w:style w:type="paragraph" w:styleId="BalloonText">
    <w:name w:val="Balloon Text"/>
    <w:basedOn w:val="Normal"/>
    <w:link w:val="BalloonTextChar"/>
    <w:uiPriority w:val="99"/>
    <w:semiHidden/>
    <w:unhideWhenUsed/>
    <w:rsid w:val="003B6F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B6F23"/>
    <w:rPr>
      <w:rFonts w:ascii="Segoe UI" w:hAnsi="Segoe UI" w:cs="Segoe UI"/>
      <w:sz w:val="18"/>
      <w:szCs w:val="18"/>
    </w:rPr>
  </w:style>
  <w:style w:type="paragraph" w:styleId="NormalWeb">
    <w:name w:val="Normal (Web)"/>
    <w:basedOn w:val="Normal"/>
    <w:uiPriority w:val="99"/>
    <w:semiHidden/>
    <w:unhideWhenUsed/>
    <w:rsid w:val="00EE5E3F"/>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EE5E3F"/>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EE5E3F"/>
    <w:pPr>
      <w:spacing w:after="100"/>
    </w:pPr>
  </w:style>
  <w:style w:type="paragraph" w:styleId="TOC2">
    <w:name w:val="toc 2"/>
    <w:basedOn w:val="Normal"/>
    <w:next w:val="Normal"/>
    <w:autoRedefine/>
    <w:uiPriority w:val="39"/>
    <w:unhideWhenUsed/>
    <w:rsid w:val="00EE5E3F"/>
    <w:pPr>
      <w:spacing w:after="100"/>
      <w:ind w:left="240"/>
    </w:pPr>
  </w:style>
  <w:style w:type="character" w:styleId="Hyperlink">
    <w:name w:val="Hyperlink"/>
    <w:basedOn w:val="DefaultParagraphFont"/>
    <w:uiPriority w:val="99"/>
    <w:unhideWhenUsed/>
    <w:rsid w:val="00EE5E3F"/>
    <w:rPr>
      <w:color w:val="0563C1" w:themeColor="hyperlink"/>
      <w:u w:val="single"/>
    </w:rPr>
  </w:style>
  <w:style w:type="paragraph" w:styleId="Header">
    <w:name w:val="header"/>
    <w:basedOn w:val="Normal"/>
    <w:link w:val="HeaderChar"/>
    <w:uiPriority w:val="99"/>
    <w:unhideWhenUsed/>
    <w:rsid w:val="00BC4D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D78"/>
    <w:rPr>
      <w:rFonts w:ascii="Times New Roman" w:hAnsi="Times New Roman"/>
      <w:sz w:val="24"/>
    </w:rPr>
  </w:style>
  <w:style w:type="paragraph" w:styleId="Footer">
    <w:name w:val="footer"/>
    <w:basedOn w:val="Normal"/>
    <w:link w:val="FooterChar"/>
    <w:uiPriority w:val="99"/>
    <w:unhideWhenUsed/>
    <w:rsid w:val="00BC4D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D78"/>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125900">
      <w:bodyDiv w:val="1"/>
      <w:marLeft w:val="0"/>
      <w:marRight w:val="0"/>
      <w:marTop w:val="0"/>
      <w:marBottom w:val="0"/>
      <w:divBdr>
        <w:top w:val="none" w:sz="0" w:space="0" w:color="auto"/>
        <w:left w:val="none" w:sz="0" w:space="0" w:color="auto"/>
        <w:bottom w:val="none" w:sz="0" w:space="0" w:color="auto"/>
        <w:right w:val="none" w:sz="0" w:space="0" w:color="auto"/>
      </w:divBdr>
    </w:div>
    <w:div w:id="411003207">
      <w:bodyDiv w:val="1"/>
      <w:marLeft w:val="0"/>
      <w:marRight w:val="0"/>
      <w:marTop w:val="0"/>
      <w:marBottom w:val="0"/>
      <w:divBdr>
        <w:top w:val="none" w:sz="0" w:space="0" w:color="auto"/>
        <w:left w:val="none" w:sz="0" w:space="0" w:color="auto"/>
        <w:bottom w:val="none" w:sz="0" w:space="0" w:color="auto"/>
        <w:right w:val="none" w:sz="0" w:space="0" w:color="auto"/>
      </w:divBdr>
    </w:div>
    <w:div w:id="1888099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0B2D9C-177C-4036-9D6A-16774FD0BC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2620</Words>
  <Characters>14938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Simcea</dc:creator>
  <cp:keywords/>
  <dc:description/>
  <cp:lastModifiedBy>Mihaela Daniela Simcea (2028830)</cp:lastModifiedBy>
  <cp:revision>2</cp:revision>
  <dcterms:created xsi:type="dcterms:W3CDTF">2022-10-20T10:20:00Z</dcterms:created>
  <dcterms:modified xsi:type="dcterms:W3CDTF">2022-10-20T10:20:00Z</dcterms:modified>
</cp:coreProperties>
</file>