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BD0A" w14:textId="77777777" w:rsidR="00B55295" w:rsidRDefault="00B55295" w:rsidP="00B55295">
      <w:pPr>
        <w:jc w:val="center"/>
        <w:rPr>
          <w:b/>
          <w:bCs/>
          <w:sz w:val="32"/>
          <w:szCs w:val="28"/>
        </w:rPr>
      </w:pPr>
    </w:p>
    <w:p w14:paraId="7DB5FB86" w14:textId="77777777" w:rsidR="00B55295" w:rsidRDefault="00B55295" w:rsidP="00B55295">
      <w:pPr>
        <w:jc w:val="center"/>
        <w:rPr>
          <w:b/>
          <w:bCs/>
          <w:sz w:val="32"/>
          <w:szCs w:val="28"/>
        </w:rPr>
      </w:pPr>
    </w:p>
    <w:p w14:paraId="2F6DC8AE" w14:textId="77777777" w:rsidR="00B55295" w:rsidRDefault="00B55295" w:rsidP="00B55295">
      <w:pPr>
        <w:jc w:val="center"/>
        <w:rPr>
          <w:b/>
          <w:bCs/>
          <w:sz w:val="32"/>
          <w:szCs w:val="28"/>
        </w:rPr>
      </w:pPr>
    </w:p>
    <w:p w14:paraId="3DB72DE0" w14:textId="77777777" w:rsidR="00B55295" w:rsidRDefault="00B55295" w:rsidP="00B55295">
      <w:pPr>
        <w:jc w:val="center"/>
        <w:rPr>
          <w:b/>
          <w:bCs/>
          <w:sz w:val="32"/>
          <w:szCs w:val="28"/>
        </w:rPr>
      </w:pPr>
    </w:p>
    <w:p w14:paraId="20A33D64" w14:textId="77777777" w:rsidR="00B55295" w:rsidRDefault="00B55295" w:rsidP="00B55295">
      <w:pPr>
        <w:jc w:val="center"/>
        <w:rPr>
          <w:b/>
          <w:bCs/>
          <w:sz w:val="32"/>
          <w:szCs w:val="28"/>
        </w:rPr>
      </w:pPr>
    </w:p>
    <w:p w14:paraId="6B5BD08F" w14:textId="3767B54E" w:rsidR="00B55295" w:rsidRPr="00B55295" w:rsidRDefault="00B55295" w:rsidP="00B55295">
      <w:pPr>
        <w:jc w:val="center"/>
        <w:rPr>
          <w:b/>
          <w:bCs/>
          <w:sz w:val="32"/>
          <w:szCs w:val="28"/>
        </w:rPr>
      </w:pPr>
      <w:r w:rsidRPr="00B55295">
        <w:rPr>
          <w:b/>
          <w:bCs/>
          <w:sz w:val="32"/>
          <w:szCs w:val="28"/>
        </w:rPr>
        <w:t>LEVEL/ LEFEL 4</w:t>
      </w:r>
    </w:p>
    <w:p w14:paraId="3C5CE247" w14:textId="77777777" w:rsidR="00B55295" w:rsidRPr="00B55295" w:rsidRDefault="00B55295" w:rsidP="00B55295">
      <w:pPr>
        <w:jc w:val="center"/>
        <w:rPr>
          <w:b/>
          <w:bCs/>
          <w:sz w:val="32"/>
          <w:szCs w:val="28"/>
        </w:rPr>
      </w:pPr>
      <w:r w:rsidRPr="00B55295">
        <w:rPr>
          <w:b/>
          <w:bCs/>
          <w:sz w:val="32"/>
          <w:szCs w:val="28"/>
        </w:rPr>
        <w:t>MODULE CODE/ COD Y MODIWL: LCBB4002</w:t>
      </w:r>
    </w:p>
    <w:p w14:paraId="5261A006" w14:textId="77777777" w:rsidR="00B55295" w:rsidRPr="00B55295" w:rsidRDefault="00B55295" w:rsidP="00B55295">
      <w:pPr>
        <w:jc w:val="center"/>
        <w:rPr>
          <w:b/>
          <w:bCs/>
          <w:sz w:val="32"/>
          <w:szCs w:val="28"/>
        </w:rPr>
      </w:pPr>
      <w:r w:rsidRPr="00B55295">
        <w:rPr>
          <w:b/>
          <w:bCs/>
          <w:sz w:val="32"/>
          <w:szCs w:val="28"/>
        </w:rPr>
        <w:t>COMMUNITY ENGAGEMENT</w:t>
      </w:r>
    </w:p>
    <w:p w14:paraId="0644E50B" w14:textId="77777777" w:rsidR="00B55295" w:rsidRPr="00B55295" w:rsidRDefault="00B55295" w:rsidP="00B55295">
      <w:pPr>
        <w:jc w:val="center"/>
        <w:rPr>
          <w:b/>
          <w:bCs/>
          <w:sz w:val="32"/>
          <w:szCs w:val="28"/>
        </w:rPr>
      </w:pPr>
      <w:r w:rsidRPr="00B55295">
        <w:rPr>
          <w:b/>
          <w:bCs/>
          <w:sz w:val="32"/>
          <w:szCs w:val="28"/>
        </w:rPr>
        <w:t>ASSESSMENT TYPE/ MATH O ASESU: ASSIGNMENT</w:t>
      </w:r>
    </w:p>
    <w:p w14:paraId="286CF5AC" w14:textId="1C1388D3" w:rsidR="00A3314D" w:rsidRPr="00B55295" w:rsidRDefault="00B55295" w:rsidP="00B55295">
      <w:pPr>
        <w:jc w:val="center"/>
        <w:rPr>
          <w:b/>
          <w:bCs/>
          <w:sz w:val="32"/>
          <w:szCs w:val="28"/>
        </w:rPr>
      </w:pPr>
      <w:r w:rsidRPr="00B55295">
        <w:rPr>
          <w:b/>
          <w:bCs/>
          <w:sz w:val="32"/>
          <w:szCs w:val="28"/>
        </w:rPr>
        <w:t>ASSESSMENT/COMPONENT/ ASESIAD/CYDRAN: 2</w:t>
      </w:r>
    </w:p>
    <w:p w14:paraId="01A1814A" w14:textId="5145600B" w:rsidR="00B55295" w:rsidRPr="00B55295" w:rsidRDefault="00B55295" w:rsidP="00B55295">
      <w:pPr>
        <w:jc w:val="center"/>
        <w:rPr>
          <w:b/>
          <w:bCs/>
          <w:sz w:val="32"/>
          <w:szCs w:val="28"/>
        </w:rPr>
      </w:pPr>
      <w:r w:rsidRPr="00B55295">
        <w:rPr>
          <w:b/>
          <w:bCs/>
          <w:sz w:val="32"/>
          <w:szCs w:val="28"/>
        </w:rPr>
        <w:t>Student Name:</w:t>
      </w:r>
    </w:p>
    <w:p w14:paraId="3DF102EC" w14:textId="3F56362C" w:rsidR="00B55295" w:rsidRDefault="00B55295" w:rsidP="00B55295">
      <w:pPr>
        <w:jc w:val="center"/>
        <w:rPr>
          <w:b/>
          <w:bCs/>
          <w:sz w:val="32"/>
          <w:szCs w:val="28"/>
        </w:rPr>
      </w:pPr>
      <w:r w:rsidRPr="00B55295">
        <w:rPr>
          <w:b/>
          <w:bCs/>
          <w:sz w:val="32"/>
          <w:szCs w:val="28"/>
        </w:rPr>
        <w:t>Student ID:</w:t>
      </w:r>
    </w:p>
    <w:p w14:paraId="6968FD8A" w14:textId="77777777" w:rsidR="00B55295" w:rsidRDefault="00B55295">
      <w:pPr>
        <w:spacing w:before="0" w:after="160" w:line="259" w:lineRule="auto"/>
        <w:jc w:val="left"/>
        <w:rPr>
          <w:b/>
          <w:bCs/>
          <w:sz w:val="32"/>
          <w:szCs w:val="28"/>
        </w:rPr>
      </w:pPr>
      <w:r>
        <w:rPr>
          <w:b/>
          <w:bCs/>
          <w:sz w:val="32"/>
          <w:szCs w:val="28"/>
        </w:rPr>
        <w:br w:type="page"/>
      </w:r>
    </w:p>
    <w:p w14:paraId="6BCA5DF9" w14:textId="77777777" w:rsidR="00003248" w:rsidRDefault="00003248" w:rsidP="00003248">
      <w:pPr>
        <w:pStyle w:val="Heading1"/>
      </w:pPr>
      <w:r>
        <w:lastRenderedPageBreak/>
        <w:t xml:space="preserve">Introduction </w:t>
      </w:r>
    </w:p>
    <w:p w14:paraId="4D840547" w14:textId="77777777" w:rsidR="00003248" w:rsidRDefault="00003248" w:rsidP="00003248">
      <w:pPr>
        <w:rPr>
          <w:lang w:val="en" w:eastAsia="en-IN"/>
        </w:rPr>
      </w:pPr>
      <w:r w:rsidRPr="00E6217E">
        <w:rPr>
          <w:lang w:val="en" w:eastAsia="en-IN"/>
        </w:rPr>
        <w:t xml:space="preserve">The outcomes and lessons gained from the HS2 project provide a useful basis for thinking about future initiatives. The HS2 project, a high-speed train line in the United Kingdom, </w:t>
      </w:r>
      <w:proofErr w:type="spellStart"/>
      <w:r w:rsidRPr="00E6217E">
        <w:rPr>
          <w:lang w:val="en" w:eastAsia="en-IN"/>
        </w:rPr>
        <w:t>emphasises</w:t>
      </w:r>
      <w:proofErr w:type="spellEnd"/>
      <w:r w:rsidRPr="00E6217E">
        <w:rPr>
          <w:lang w:val="en" w:eastAsia="en-IN"/>
        </w:rPr>
        <w:t xml:space="preserve"> the significance of rigorous planning, active involvement of local communities, adherence to established norms, and thorough examination of its potential effects. Taking inspiration from the High Speed 2 (HS2) project, the proposed initiative seeks to establish a sustainable urban transit system. The new initiative aims to improve connection, reduce environmental effect, and make a positive contribution to the community by incorporating teachings on community involvement, environmental responsibility, and economic impact. The reflective examination of HS2 establishes a foundation for a progressive and socially aware urban development effort.</w:t>
      </w:r>
      <w:r>
        <w:rPr>
          <w:lang w:val="en" w:eastAsia="en-IN"/>
        </w:rPr>
        <w:t xml:space="preserve"> </w:t>
      </w:r>
    </w:p>
    <w:p w14:paraId="5CCB5D51" w14:textId="77777777" w:rsidR="00003248" w:rsidRDefault="00003248" w:rsidP="00003248">
      <w:pPr>
        <w:spacing w:after="160" w:line="259" w:lineRule="auto"/>
        <w:jc w:val="left"/>
        <w:rPr>
          <w:lang w:val="en" w:eastAsia="en-IN"/>
        </w:rPr>
      </w:pPr>
      <w:r>
        <w:rPr>
          <w:lang w:val="en" w:eastAsia="en-IN"/>
        </w:rPr>
        <w:br w:type="page"/>
      </w:r>
    </w:p>
    <w:p w14:paraId="00C7D52E" w14:textId="77777777" w:rsidR="00003248" w:rsidRDefault="00003248" w:rsidP="00003248">
      <w:pPr>
        <w:pStyle w:val="Heading1"/>
      </w:pPr>
      <w:r>
        <w:lastRenderedPageBreak/>
        <w:t xml:space="preserve">Discussion </w:t>
      </w:r>
    </w:p>
    <w:p w14:paraId="0D49F6A4" w14:textId="77777777" w:rsidR="00003248" w:rsidRDefault="00003248" w:rsidP="00003248">
      <w:pPr>
        <w:rPr>
          <w:lang w:val="en" w:eastAsia="en-IN"/>
        </w:rPr>
      </w:pPr>
      <w:r w:rsidRPr="00715C53">
        <w:rPr>
          <w:lang w:val="en" w:eastAsia="en-IN"/>
        </w:rPr>
        <w:t>There are a number of significant distinctions and opportunities for development between the community participation tactics used in the HS2 project, which is the live project that was presented in Assignment 1, and the planned future project of establishing a sustainable urban transport system.</w:t>
      </w:r>
      <w:r>
        <w:rPr>
          <w:lang w:val="en" w:eastAsia="en-IN"/>
        </w:rPr>
        <w:t xml:space="preserve"> </w:t>
      </w:r>
      <w:r w:rsidRPr="00715C53">
        <w:rPr>
          <w:lang w:val="en" w:eastAsia="en-IN"/>
        </w:rPr>
        <w:t>The HS2 project, as seen in Assignment 1, demonstrated a comprehensive framework for engaging with the community. The implementation of Public Consultation, Community Surveys, and Community Liaison Groups exemplified a proactive strategy in engaging local communities</w:t>
      </w:r>
      <w:sdt>
        <w:sdtPr>
          <w:rPr>
            <w:lang w:val="en" w:eastAsia="en-IN"/>
          </w:rPr>
          <w:id w:val="-612828668"/>
          <w:citation/>
        </w:sdtPr>
        <w:sdtContent>
          <w:r>
            <w:rPr>
              <w:lang w:val="en" w:eastAsia="en-IN"/>
            </w:rPr>
            <w:fldChar w:fldCharType="begin"/>
          </w:r>
          <w:r>
            <w:rPr>
              <w:lang w:eastAsia="en-IN"/>
            </w:rPr>
            <w:instrText xml:space="preserve"> CITATION hs217 \l 2057 </w:instrText>
          </w:r>
          <w:r>
            <w:rPr>
              <w:lang w:val="en" w:eastAsia="en-IN"/>
            </w:rPr>
            <w:fldChar w:fldCharType="separate"/>
          </w:r>
          <w:r>
            <w:rPr>
              <w:noProof/>
              <w:lang w:eastAsia="en-IN"/>
            </w:rPr>
            <w:t xml:space="preserve"> </w:t>
          </w:r>
          <w:r w:rsidRPr="00E90276">
            <w:rPr>
              <w:noProof/>
              <w:lang w:eastAsia="en-IN"/>
            </w:rPr>
            <w:t>(hs2, 2017)</w:t>
          </w:r>
          <w:r>
            <w:rPr>
              <w:lang w:val="en" w:eastAsia="en-IN"/>
            </w:rPr>
            <w:fldChar w:fldCharType="end"/>
          </w:r>
        </w:sdtContent>
      </w:sdt>
      <w:r w:rsidRPr="00715C53">
        <w:rPr>
          <w:lang w:val="en" w:eastAsia="en-IN"/>
        </w:rPr>
        <w:t xml:space="preserve">. The HS2 project duly </w:t>
      </w:r>
      <w:proofErr w:type="spellStart"/>
      <w:r w:rsidRPr="00715C53">
        <w:rPr>
          <w:lang w:val="en" w:eastAsia="en-IN"/>
        </w:rPr>
        <w:t>recognised</w:t>
      </w:r>
      <w:proofErr w:type="spellEnd"/>
      <w:r w:rsidRPr="00715C53">
        <w:rPr>
          <w:lang w:val="en" w:eastAsia="en-IN"/>
        </w:rPr>
        <w:t xml:space="preserve"> the potential ramifications on adjacent communities and actively sought public participation, hence promoting openness and cooperation. The establishment of Community Liaison Groups, which encompassed individuals from local businesses and community </w:t>
      </w:r>
      <w:proofErr w:type="spellStart"/>
      <w:r w:rsidRPr="00715C53">
        <w:rPr>
          <w:lang w:val="en" w:eastAsia="en-IN"/>
        </w:rPr>
        <w:t>organisations</w:t>
      </w:r>
      <w:proofErr w:type="spellEnd"/>
      <w:r w:rsidRPr="00715C53">
        <w:rPr>
          <w:lang w:val="en" w:eastAsia="en-IN"/>
        </w:rPr>
        <w:t>, facilitated the establishment of direct lines of communication and promptly addressed relevant problems.</w:t>
      </w:r>
      <w:r>
        <w:rPr>
          <w:lang w:val="en" w:eastAsia="en-IN"/>
        </w:rPr>
        <w:t xml:space="preserve"> </w:t>
      </w:r>
      <w:r w:rsidRPr="00715C53">
        <w:rPr>
          <w:lang w:val="en" w:eastAsia="en-IN"/>
        </w:rPr>
        <w:t xml:space="preserve">Nevertheless, the communication channels employed in HS2, including the website and several social media platforms, although informational in nature, may have been deficient in providing the necessary level of involvement with the community. In the forthcoming project, I anticipate </w:t>
      </w:r>
      <w:proofErr w:type="spellStart"/>
      <w:r w:rsidRPr="00715C53">
        <w:rPr>
          <w:lang w:val="en" w:eastAsia="en-IN"/>
        </w:rPr>
        <w:t>utilising</w:t>
      </w:r>
      <w:proofErr w:type="spellEnd"/>
      <w:r w:rsidRPr="00715C53">
        <w:rPr>
          <w:lang w:val="en" w:eastAsia="en-IN"/>
        </w:rPr>
        <w:t xml:space="preserve"> interactive and participative platforms to a greater extent. For example, the </w:t>
      </w:r>
      <w:proofErr w:type="spellStart"/>
      <w:r w:rsidRPr="00715C53">
        <w:rPr>
          <w:lang w:val="en" w:eastAsia="en-IN"/>
        </w:rPr>
        <w:t>utilisation</w:t>
      </w:r>
      <w:proofErr w:type="spellEnd"/>
      <w:r w:rsidRPr="00715C53">
        <w:rPr>
          <w:lang w:val="en" w:eastAsia="en-IN"/>
        </w:rPr>
        <w:t xml:space="preserve"> of virtual town hall meetings and online forums could facilitate a platform for direct and interactive discourse between project representatives and the community</w:t>
      </w:r>
      <w:sdt>
        <w:sdtPr>
          <w:rPr>
            <w:lang w:val="en" w:eastAsia="en-IN"/>
          </w:rPr>
          <w:id w:val="-1166475409"/>
          <w:citation/>
        </w:sdtPr>
        <w:sdtContent>
          <w:r>
            <w:rPr>
              <w:lang w:val="en" w:eastAsia="en-IN"/>
            </w:rPr>
            <w:fldChar w:fldCharType="begin"/>
          </w:r>
          <w:r>
            <w:rPr>
              <w:lang w:eastAsia="en-IN"/>
            </w:rPr>
            <w:instrText xml:space="preserve"> CITATION Imm22 \l 2057 </w:instrText>
          </w:r>
          <w:r>
            <w:rPr>
              <w:lang w:val="en" w:eastAsia="en-IN"/>
            </w:rPr>
            <w:fldChar w:fldCharType="separate"/>
          </w:r>
          <w:r>
            <w:rPr>
              <w:noProof/>
              <w:lang w:eastAsia="en-IN"/>
            </w:rPr>
            <w:t xml:space="preserve"> </w:t>
          </w:r>
          <w:r w:rsidRPr="00803A4B">
            <w:rPr>
              <w:noProof/>
              <w:lang w:eastAsia="en-IN"/>
            </w:rPr>
            <w:t>(Vinikas, 2022)</w:t>
          </w:r>
          <w:r>
            <w:rPr>
              <w:lang w:val="en" w:eastAsia="en-IN"/>
            </w:rPr>
            <w:fldChar w:fldCharType="end"/>
          </w:r>
        </w:sdtContent>
      </w:sdt>
      <w:r w:rsidRPr="00715C53">
        <w:rPr>
          <w:lang w:val="en" w:eastAsia="en-IN"/>
        </w:rPr>
        <w:t xml:space="preserve">. This </w:t>
      </w:r>
      <w:r>
        <w:rPr>
          <w:lang w:val="en" w:eastAsia="en-IN"/>
        </w:rPr>
        <w:t>method</w:t>
      </w:r>
      <w:r w:rsidRPr="00715C53">
        <w:rPr>
          <w:lang w:val="en" w:eastAsia="en-IN"/>
        </w:rPr>
        <w:t xml:space="preserve"> guarantees a heightened level of inclusivity and accessibility in the process of participation, hence expanding the reach to a wider demographic and encompassing a diverse array of viewpoints.</w:t>
      </w:r>
      <w:r>
        <w:rPr>
          <w:lang w:val="en" w:eastAsia="en-IN"/>
        </w:rPr>
        <w:t xml:space="preserve"> </w:t>
      </w:r>
      <w:r w:rsidRPr="00715C53">
        <w:rPr>
          <w:lang w:val="en" w:eastAsia="en-IN"/>
        </w:rPr>
        <w:t xml:space="preserve">HS2 demonstrated a commitment to environmental responsibility by </w:t>
      </w:r>
      <w:proofErr w:type="spellStart"/>
      <w:r w:rsidRPr="00715C53">
        <w:rPr>
          <w:lang w:val="en" w:eastAsia="en-IN"/>
        </w:rPr>
        <w:t>prioritising</w:t>
      </w:r>
      <w:proofErr w:type="spellEnd"/>
      <w:r w:rsidRPr="00715C53">
        <w:rPr>
          <w:lang w:val="en" w:eastAsia="en-IN"/>
        </w:rPr>
        <w:t xml:space="preserve"> sustainability and accessibility in its community engagement principles. The objective of the project was to develop a train system that </w:t>
      </w:r>
      <w:proofErr w:type="spellStart"/>
      <w:r w:rsidRPr="00715C53">
        <w:rPr>
          <w:lang w:val="en" w:eastAsia="en-IN"/>
        </w:rPr>
        <w:t>prioritises</w:t>
      </w:r>
      <w:proofErr w:type="spellEnd"/>
      <w:r w:rsidRPr="00715C53">
        <w:rPr>
          <w:lang w:val="en" w:eastAsia="en-IN"/>
        </w:rPr>
        <w:t xml:space="preserve"> environmental sustainability by incorporating renewable energy </w:t>
      </w:r>
      <w:r w:rsidRPr="00715C53">
        <w:rPr>
          <w:lang w:val="en" w:eastAsia="en-IN"/>
        </w:rPr>
        <w:lastRenderedPageBreak/>
        <w:t xml:space="preserve">sources and </w:t>
      </w:r>
      <w:proofErr w:type="spellStart"/>
      <w:r w:rsidRPr="00715C53">
        <w:rPr>
          <w:lang w:val="en" w:eastAsia="en-IN"/>
        </w:rPr>
        <w:t>utilising</w:t>
      </w:r>
      <w:proofErr w:type="spellEnd"/>
      <w:r w:rsidRPr="00715C53">
        <w:rPr>
          <w:lang w:val="en" w:eastAsia="en-IN"/>
        </w:rPr>
        <w:t xml:space="preserve"> materials with minimal carbon emissions. The commitment expressed by the user is in accordance with the objective of the future project, which aims to establish a sustainable urban transit system. Nevertheless, it is possible for the future project to progress even farther by actively engaging the community in the collaborative design of sustainability efforts. Involving community members in the decision-making process on green infrastructure and energy-efficient technology cultivates a sense of ownership and guarantees that the proposed solutions align with the specific requirements of the local population.</w:t>
      </w:r>
      <w:r>
        <w:rPr>
          <w:lang w:val="en" w:eastAsia="en-IN"/>
        </w:rPr>
        <w:t xml:space="preserve"> </w:t>
      </w:r>
      <w:r w:rsidRPr="00715C53">
        <w:rPr>
          <w:lang w:val="en" w:eastAsia="en-IN"/>
        </w:rPr>
        <w:t xml:space="preserve">The Economic Growth concept of the HS2 project, which entails the development of substantial employment opportunities and the stimulation of economic activity, offers a valuable lesson for future </w:t>
      </w:r>
      <w:proofErr w:type="spellStart"/>
      <w:r w:rsidRPr="00715C53">
        <w:rPr>
          <w:lang w:val="en" w:eastAsia="en-IN"/>
        </w:rPr>
        <w:t>endeavours</w:t>
      </w:r>
      <w:proofErr w:type="spellEnd"/>
      <w:r w:rsidRPr="00715C53">
        <w:rPr>
          <w:lang w:val="en" w:eastAsia="en-IN"/>
        </w:rPr>
        <w:t>. The economic impact assessment methodologies employed in the HS2 project, as undertaken by reputable firms such as KPMG and PwC, have facilitated a comprehensive comprehension of the initiative's ramifications. In the forthcoming project, it is imperative to incorporate comparable evaluations within the framework of community interaction</w:t>
      </w:r>
      <w:sdt>
        <w:sdtPr>
          <w:rPr>
            <w:lang w:val="en" w:eastAsia="en-IN"/>
          </w:rPr>
          <w:id w:val="1712449320"/>
          <w:citation/>
        </w:sdtPr>
        <w:sdtContent>
          <w:r>
            <w:rPr>
              <w:lang w:val="en" w:eastAsia="en-IN"/>
            </w:rPr>
            <w:fldChar w:fldCharType="begin"/>
          </w:r>
          <w:r>
            <w:rPr>
              <w:lang w:eastAsia="en-IN"/>
            </w:rPr>
            <w:instrText xml:space="preserve"> CITATION kpm23 \l 2057 </w:instrText>
          </w:r>
          <w:r>
            <w:rPr>
              <w:lang w:val="en" w:eastAsia="en-IN"/>
            </w:rPr>
            <w:fldChar w:fldCharType="separate"/>
          </w:r>
          <w:r>
            <w:rPr>
              <w:noProof/>
              <w:lang w:eastAsia="en-IN"/>
            </w:rPr>
            <w:t xml:space="preserve"> </w:t>
          </w:r>
          <w:r w:rsidRPr="00E90276">
            <w:rPr>
              <w:noProof/>
              <w:lang w:eastAsia="en-IN"/>
            </w:rPr>
            <w:t>(kpmg, 2023)</w:t>
          </w:r>
          <w:r>
            <w:rPr>
              <w:lang w:val="en" w:eastAsia="en-IN"/>
            </w:rPr>
            <w:fldChar w:fldCharType="end"/>
          </w:r>
        </w:sdtContent>
      </w:sdt>
      <w:r w:rsidRPr="00715C53">
        <w:rPr>
          <w:lang w:val="en" w:eastAsia="en-IN"/>
        </w:rPr>
        <w:t xml:space="preserve">. This entails not just highlighting the economic advantages, but also collectively </w:t>
      </w:r>
      <w:proofErr w:type="spellStart"/>
      <w:r w:rsidRPr="00715C53">
        <w:rPr>
          <w:lang w:val="en" w:eastAsia="en-IN"/>
        </w:rPr>
        <w:t>recognising</w:t>
      </w:r>
      <w:proofErr w:type="spellEnd"/>
      <w:r w:rsidRPr="00715C53">
        <w:rPr>
          <w:lang w:val="en" w:eastAsia="en-IN"/>
        </w:rPr>
        <w:t xml:space="preserve"> prospects for local enterprises and guaranteeing fair allocation of economic rewards.</w:t>
      </w:r>
      <w:r>
        <w:rPr>
          <w:lang w:val="en" w:eastAsia="en-IN"/>
        </w:rPr>
        <w:t xml:space="preserve"> </w:t>
      </w:r>
      <w:r w:rsidRPr="00715C53">
        <w:rPr>
          <w:lang w:val="en" w:eastAsia="en-IN"/>
        </w:rPr>
        <w:t>Upon reflection over prospective enhancements, it is evident that both projects may derive advantages from a heightened focus on cultural sensitivity and inclusivity. The community participation approach proposed for HS2 encompasses the key components of stakeholder identification, needs assessment, strategy formulation, and implementation. The integration of cultural competency training into project teams has the potential to improve comprehension and adaptability towards a wide range of community beliefs and customs.</w:t>
      </w:r>
    </w:p>
    <w:p w14:paraId="25DB8FE1" w14:textId="77777777" w:rsidR="00003248" w:rsidRDefault="00003248">
      <w:pPr>
        <w:spacing w:before="0" w:after="160" w:line="259" w:lineRule="auto"/>
        <w:jc w:val="left"/>
      </w:pPr>
      <w:r>
        <w:br w:type="page"/>
      </w:r>
    </w:p>
    <w:p w14:paraId="7149EA35" w14:textId="77777777" w:rsidR="00C87834" w:rsidRPr="00147BE9" w:rsidRDefault="00C87834" w:rsidP="00C87834">
      <w:pPr>
        <w:rPr>
          <w:shd w:val="clear" w:color="auto" w:fill="FFFFFF"/>
        </w:rPr>
      </w:pPr>
      <w:r>
        <w:lastRenderedPageBreak/>
        <w:t xml:space="preserve">Community engagement is a process of working within a collaborative environment with specific groups that have special interest in addressing various issues that may affect the overall wellbeing of people. The main objective of creating community engagement is to establish a meaningful community participation in various societal projects </w:t>
      </w:r>
      <w:r>
        <w:rPr>
          <w:shd w:val="clear" w:color="auto" w:fill="FFFFFF"/>
        </w:rPr>
        <w:t xml:space="preserve">(Marston </w:t>
      </w:r>
      <w:r w:rsidRPr="00147BE9">
        <w:rPr>
          <w:i/>
          <w:iCs/>
          <w:shd w:val="clear" w:color="auto" w:fill="FFFFFF"/>
        </w:rPr>
        <w:t>et al.,</w:t>
      </w:r>
      <w:r>
        <w:rPr>
          <w:shd w:val="clear" w:color="auto" w:fill="FFFFFF"/>
        </w:rPr>
        <w:t xml:space="preserve"> 2020)</w:t>
      </w:r>
      <w:r>
        <w:t xml:space="preserve">. A specific community can empower people by working in a collaborative social setting. The social capital theory is considered as a very important theory for understanding the concept of community engagement. According to the theory, the social relationship between </w:t>
      </w:r>
      <w:proofErr w:type="spellStart"/>
      <w:r>
        <w:t>like minded</w:t>
      </w:r>
      <w:proofErr w:type="spellEnd"/>
      <w:r>
        <w:t xml:space="preserve"> people can be a big asset for the community members. Exchanging and collaborative relationships between people helps to increase the productivity and efficiency of various social works. Establishing effective communication between all the people to work for the greater good of the society is one of the most effective techniques of creating community engagement. The principles of community engagement </w:t>
      </w:r>
      <w:proofErr w:type="gramStart"/>
      <w:r>
        <w:t>is</w:t>
      </w:r>
      <w:proofErr w:type="gramEnd"/>
      <w:r>
        <w:t xml:space="preserve"> to create sustainable development, empower people, protect democracy and equality of people as well. I will try to create effective communication between people by hosting various public meetings and social events. Boosting awareness between people through public meetings and events is one the most crucial approaches of the respective engagement. I believe, only active participation of all the stakeholders can improve the existing infrastructure of urban transportation </w:t>
      </w:r>
      <w:r>
        <w:rPr>
          <w:shd w:val="clear" w:color="auto" w:fill="FFFFFF"/>
        </w:rPr>
        <w:t xml:space="preserve">(Gilmore </w:t>
      </w:r>
      <w:r w:rsidRPr="00147BE9">
        <w:rPr>
          <w:i/>
          <w:iCs/>
          <w:shd w:val="clear" w:color="auto" w:fill="FFFFFF"/>
        </w:rPr>
        <w:t>et al.,</w:t>
      </w:r>
      <w:r>
        <w:rPr>
          <w:shd w:val="clear" w:color="auto" w:fill="FFFFFF"/>
        </w:rPr>
        <w:t xml:space="preserve"> 2020)</w:t>
      </w:r>
      <w:r>
        <w:t xml:space="preserve">. Appropriate support, communication and planning will help to </w:t>
      </w:r>
      <w:proofErr w:type="spellStart"/>
      <w:r>
        <w:t>fulfill</w:t>
      </w:r>
      <w:proofErr w:type="spellEnd"/>
      <w:r>
        <w:t xml:space="preserve"> the objective of improving the existing conditions of urban transport and creating new infrastructures as well.  The help and support of various stakeholders will help to boost community engagement as well. The significance of an active communication is huge to implement the ideologies and concepts of community engagement. Active consultation is a process of taking the problems of local communities into account by creating discussion about various contemporary social issues. The importance of active consultation is huge to find appropriate solutions for </w:t>
      </w:r>
      <w:r>
        <w:lastRenderedPageBreak/>
        <w:t>various societal and criminal issues (</w:t>
      </w:r>
      <w:r>
        <w:rPr>
          <w:shd w:val="clear" w:color="auto" w:fill="FFFFFF"/>
        </w:rPr>
        <w:t>World Health Organization, 2020)</w:t>
      </w:r>
      <w:r>
        <w:t xml:space="preserve">. I will try to create an active consultation between the stakeholders of society. An appropriate collaboration between local people, government and various non-governmental agencies is very much required to implement the idea of improving services of urban transport </w:t>
      </w:r>
      <w:r>
        <w:rPr>
          <w:shd w:val="clear" w:color="auto" w:fill="FFFFFF"/>
        </w:rPr>
        <w:t xml:space="preserve">(Gilmore </w:t>
      </w:r>
      <w:r w:rsidRPr="00147BE9">
        <w:rPr>
          <w:i/>
          <w:iCs/>
          <w:shd w:val="clear" w:color="auto" w:fill="FFFFFF"/>
        </w:rPr>
        <w:t>et al.,</w:t>
      </w:r>
      <w:r>
        <w:rPr>
          <w:shd w:val="clear" w:color="auto" w:fill="FFFFFF"/>
        </w:rPr>
        <w:t xml:space="preserve"> 2020)</w:t>
      </w:r>
      <w:r>
        <w:t xml:space="preserve">. First, I will try to create a good and supporting environment where local people can interpret their own point of view about the rising problems of urban transportation. Moreover, I will also try to create a good communication that only effective participation of all the community members can </w:t>
      </w:r>
      <w:proofErr w:type="spellStart"/>
      <w:r>
        <w:t>fulfill</w:t>
      </w:r>
      <w:proofErr w:type="spellEnd"/>
      <w:r>
        <w:t xml:space="preserve"> the respective objective </w:t>
      </w:r>
      <w:r>
        <w:rPr>
          <w:shd w:val="clear" w:color="auto" w:fill="FFFFFF"/>
        </w:rPr>
        <w:t xml:space="preserve">(Ding </w:t>
      </w:r>
      <w:r w:rsidRPr="00147BE9">
        <w:rPr>
          <w:i/>
          <w:iCs/>
          <w:shd w:val="clear" w:color="auto" w:fill="FFFFFF"/>
        </w:rPr>
        <w:t>et al.,</w:t>
      </w:r>
      <w:r>
        <w:rPr>
          <w:shd w:val="clear" w:color="auto" w:fill="FFFFFF"/>
        </w:rPr>
        <w:t xml:space="preserve"> 2020)</w:t>
      </w:r>
      <w:r>
        <w:t xml:space="preserve">. Furthermore, I will also listen to the feedback from other people as well for identifying various errors in the respective process. Only creating an environment of diversity and inclusion can </w:t>
      </w:r>
      <w:proofErr w:type="spellStart"/>
      <w:r>
        <w:t>fulfill</w:t>
      </w:r>
      <w:proofErr w:type="spellEnd"/>
      <w:r>
        <w:t xml:space="preserve"> the objectives of community engagement. Inclusion refers to making no biases </w:t>
      </w:r>
      <w:proofErr w:type="gramStart"/>
      <w:r>
        <w:t>on the basis of</w:t>
      </w:r>
      <w:proofErr w:type="gramEnd"/>
      <w:r>
        <w:t xml:space="preserve"> age, gender, region, sex and community as well in the respective project. I have the self confidence that creating active communication and boosting awareness about their contribution can </w:t>
      </w:r>
      <w:proofErr w:type="spellStart"/>
      <w:r>
        <w:t>fulfill</w:t>
      </w:r>
      <w:proofErr w:type="spellEnd"/>
      <w:r>
        <w:t xml:space="preserve"> the objective of improving the current infrastructure of urban transportation. General people may have many quotes about the respective topic. Hence, listening to them actively and answering them with necessary resolution is one of the best practices of community engagement. Moreover, creating a </w:t>
      </w:r>
      <w:proofErr w:type="spellStart"/>
      <w:r>
        <w:t>multi channel</w:t>
      </w:r>
      <w:proofErr w:type="spellEnd"/>
      <w:r>
        <w:t xml:space="preserve"> engagement will also help to implement the ideas of improving the infrastructure of urban transportation (</w:t>
      </w:r>
      <w:proofErr w:type="spellStart"/>
      <w:r>
        <w:rPr>
          <w:shd w:val="clear" w:color="auto" w:fill="FFFFFF"/>
        </w:rPr>
        <w:t>Khedir</w:t>
      </w:r>
      <w:proofErr w:type="spellEnd"/>
      <w:r>
        <w:rPr>
          <w:shd w:val="clear" w:color="auto" w:fill="FFFFFF"/>
        </w:rPr>
        <w:t>, 2020)</w:t>
      </w:r>
      <w:r>
        <w:t xml:space="preserve"> Furthermore, an additional survey may be conducted for understanding the views and concerns about the general community. Moreover, following the respective practices can help to </w:t>
      </w:r>
      <w:proofErr w:type="spellStart"/>
      <w:r>
        <w:t>fulfill</w:t>
      </w:r>
      <w:proofErr w:type="spellEnd"/>
      <w:r>
        <w:t xml:space="preserve"> the objectives of community engagement for improving the infrastructure of urban transport. </w:t>
      </w:r>
    </w:p>
    <w:p w14:paraId="667BBF98" w14:textId="72F6633C" w:rsidR="00003248" w:rsidRPr="00003248" w:rsidRDefault="00003248">
      <w:pPr>
        <w:spacing w:before="0" w:after="160" w:line="259" w:lineRule="auto"/>
        <w:jc w:val="left"/>
        <w:rPr>
          <w:b/>
          <w:bCs/>
        </w:rPr>
      </w:pPr>
      <w:r w:rsidRPr="00003248">
        <w:rPr>
          <w:b/>
          <w:bCs/>
        </w:rPr>
        <w:br w:type="page"/>
      </w:r>
    </w:p>
    <w:p w14:paraId="3981B053" w14:textId="732B7D88" w:rsidR="00B55295" w:rsidRDefault="00B55295" w:rsidP="00B55295">
      <w:r>
        <w:lastRenderedPageBreak/>
        <w:t xml:space="preserve">Conducting any research requires in-depth analysis and knowledge of the subject in a deeper regard. Projects like HS2 requires a careful consideration and knowledge gathered from in-depth research as it is a critical live project which will help in improving the economy of the country. It has been observed that people are facing a range of issues while transporting due to the long-time taken for travelling between UK cities. The HS2 project aims to solve this problem by constructing a high-speed project train line which comes in with a cost of around 98billion GBP. Projects like these, require adequate amount of research due to the fact that is has huge investment levels and will cater to the needs of a very large population. I will be conducting the research for this </w:t>
      </w:r>
      <w:r w:rsidR="00A52BBA">
        <w:t>urban transportation system</w:t>
      </w:r>
      <w:r>
        <w:t xml:space="preserve"> through the help of surveys and consultation from the public. This will help me in understanding what their viewpoints are regarding the project.</w:t>
      </w:r>
      <w:r w:rsidR="00A52BBA">
        <w:t xml:space="preserve"> Another important </w:t>
      </w:r>
      <w:proofErr w:type="gramStart"/>
      <w:r w:rsidR="00A52BBA">
        <w:t>aspects</w:t>
      </w:r>
      <w:proofErr w:type="gramEnd"/>
      <w:r w:rsidR="00A52BBA">
        <w:t xml:space="preserve"> in projects like these are community mapping. After working on this live project, I have understood that community mapping is a very important step in projects that require the participation of public and the society. This process includes involving people living across the communities to involve them in such large-scale projects for the purpose of identifying the assets that the neighbourhood have. This has helped the project that we did in destroying any type of asset for the society. We identified the range of opportunities that can help in the project. In all my future projects like these, I will try to utilise the method of community mapping which becomes an important aspect of going above the theoretical research process and understanding the neighbourhood with proper groundwork methods</w:t>
      </w:r>
      <w:r w:rsidR="004853F5">
        <w:t xml:space="preserve"> </w:t>
      </w:r>
      <w:sdt>
        <w:sdtPr>
          <w:id w:val="1385747802"/>
          <w:citation/>
        </w:sdtPr>
        <w:sdtContent>
          <w:r w:rsidR="004853F5">
            <w:fldChar w:fldCharType="begin"/>
          </w:r>
          <w:r w:rsidR="004853F5">
            <w:rPr>
              <w:lang w:val="en-US"/>
            </w:rPr>
            <w:instrText xml:space="preserve"> CITATION unu23 \l 1033 </w:instrText>
          </w:r>
          <w:r w:rsidR="004853F5">
            <w:fldChar w:fldCharType="separate"/>
          </w:r>
          <w:r w:rsidR="004853F5" w:rsidRPr="004853F5">
            <w:rPr>
              <w:noProof/>
              <w:lang w:val="en-US"/>
            </w:rPr>
            <w:t>(unu, 2023)</w:t>
          </w:r>
          <w:r w:rsidR="004853F5">
            <w:fldChar w:fldCharType="end"/>
          </w:r>
        </w:sdtContent>
      </w:sdt>
      <w:r w:rsidR="00A52BBA">
        <w:t xml:space="preserve">. These kinds of social engagement methods </w:t>
      </w:r>
      <w:proofErr w:type="gramStart"/>
      <w:r w:rsidR="00A52BBA">
        <w:t>helps</w:t>
      </w:r>
      <w:proofErr w:type="gramEnd"/>
      <w:r w:rsidR="00A52BBA">
        <w:t xml:space="preserve"> in understanding the viewpoint of the public eye and the members that will be actually utilising the outcome of the urban transportation system in their daily life. Through this project, I have understood the significance of these methods; thus, the primary aspect of research that I would engage the members in will be social engagement. A very crucial factor that needs to be considered </w:t>
      </w:r>
      <w:r w:rsidR="00A52BBA">
        <w:lastRenderedPageBreak/>
        <w:t>while completing these research methods are the way through which it will be conducted. From my learnings through this project, I have understood that the best way to understand public opinion on any matter regarding these subjects are social media platforms. The way these platforms can be utilised even by major television creators as to understand what people want to see, by project managers to evaluate what final outcomes do people really want has transformed the way these industries are working in the current world. The needs of the customers and peopl</w:t>
      </w:r>
      <w:r w:rsidR="003C3294">
        <w:t>e can be catered most appropriately by understanding what they really want. For the urban underground transportation system that I want to do, I will be utilising the social media platform to understand what kind of transportation system the consumers want after this wave of environment friendliness has come up. I will then conduct an impact analysis which including creating focus groups and cost-benefit analysis to conduct the further research</w:t>
      </w:r>
      <w:r w:rsidR="0039141D">
        <w:t xml:space="preserve"> </w:t>
      </w:r>
      <w:sdt>
        <w:sdtPr>
          <w:id w:val="931319389"/>
          <w:citation/>
        </w:sdtPr>
        <w:sdtContent>
          <w:r w:rsidR="0039141D">
            <w:fldChar w:fldCharType="begin"/>
          </w:r>
          <w:r w:rsidR="0039141D">
            <w:rPr>
              <w:lang w:val="en-US"/>
            </w:rPr>
            <w:instrText xml:space="preserve"> CITATION iis23 \l 1033 </w:instrText>
          </w:r>
          <w:r w:rsidR="0039141D">
            <w:fldChar w:fldCharType="separate"/>
          </w:r>
          <w:r w:rsidR="0039141D" w:rsidRPr="0039141D">
            <w:rPr>
              <w:noProof/>
              <w:lang w:val="en-US"/>
            </w:rPr>
            <w:t>(iisd, 2023)</w:t>
          </w:r>
          <w:r w:rsidR="0039141D">
            <w:fldChar w:fldCharType="end"/>
          </w:r>
        </w:sdtContent>
      </w:sdt>
      <w:r w:rsidR="003C3294">
        <w:t>. I have chosen focus groups because it helps in understanding what kind of eco-friendly feature people will like and what could bring in more complications for them. Further, the use of cost-benefit analysis has been chosen because it will help me in understanding a way to do the work in the minimum budget. As we are working to save all of our resources, I will also be inclined towards saving costs as well. Therefore, these approaches will help me to create a map for the project that I have aspired to do</w:t>
      </w:r>
      <w:r w:rsidR="0039141D">
        <w:t xml:space="preserve"> </w:t>
      </w:r>
      <w:sdt>
        <w:sdtPr>
          <w:id w:val="1385141772"/>
          <w:citation/>
        </w:sdtPr>
        <w:sdtContent>
          <w:r w:rsidR="0039141D">
            <w:fldChar w:fldCharType="begin"/>
          </w:r>
          <w:r w:rsidR="0039141D">
            <w:rPr>
              <w:lang w:val="en-US"/>
            </w:rPr>
            <w:instrText xml:space="preserve"> CITATION icm23 \l 1033 </w:instrText>
          </w:r>
          <w:r w:rsidR="0039141D">
            <w:fldChar w:fldCharType="separate"/>
          </w:r>
          <w:r w:rsidR="0039141D" w:rsidRPr="0039141D">
            <w:rPr>
              <w:noProof/>
              <w:lang w:val="en-US"/>
            </w:rPr>
            <w:t>(icma, 2023)</w:t>
          </w:r>
          <w:r w:rsidR="0039141D">
            <w:fldChar w:fldCharType="end"/>
          </w:r>
        </w:sdtContent>
      </w:sdt>
      <w:r w:rsidR="003C3294">
        <w:t xml:space="preserve">. </w:t>
      </w:r>
    </w:p>
    <w:p w14:paraId="3D71557B" w14:textId="3FE92CE5" w:rsidR="003C3294" w:rsidRDefault="003C3294">
      <w:pPr>
        <w:spacing w:before="0" w:after="160" w:line="259" w:lineRule="auto"/>
        <w:jc w:val="left"/>
      </w:pPr>
      <w:r>
        <w:br w:type="page"/>
      </w:r>
    </w:p>
    <w:p w14:paraId="6F6C2587" w14:textId="3E82BC97" w:rsidR="003C3294" w:rsidRDefault="003C3294" w:rsidP="00B55295">
      <w:r w:rsidRPr="003C3294">
        <w:rPr>
          <w:b/>
          <w:bCs/>
        </w:rPr>
        <w:lastRenderedPageBreak/>
        <w:t>Conclusion</w:t>
      </w:r>
    </w:p>
    <w:p w14:paraId="19B4FF89" w14:textId="72CBBB86" w:rsidR="004853F5" w:rsidRDefault="003C3294" w:rsidP="00B55295">
      <w:r>
        <w:t xml:space="preserve">Therefore, the overall process of community engagement is involving as many people in a large-scale project like HS2 as possible to address and solve the issues that affects their wellbeing. Any project that involves the betterment of the society or the neighbourhood should be completed with the help of community engagement processes that can help in building new relationship with the public and ensuring an overall benefit of all stakeholders involved. My learnings through this reflection are multifaceted. I have learned that we need to conduct projects like these with critical consideration and planning. These processes can help in achieving sustainable outcomes with the help of equitable decision-making processes. </w:t>
      </w:r>
    </w:p>
    <w:p w14:paraId="0CE60935" w14:textId="77777777" w:rsidR="004853F5" w:rsidRDefault="004853F5">
      <w:pPr>
        <w:spacing w:before="0" w:after="160" w:line="259" w:lineRule="auto"/>
        <w:jc w:val="left"/>
      </w:pPr>
      <w:r>
        <w:br w:type="page"/>
      </w:r>
    </w:p>
    <w:p w14:paraId="1F88C6CC" w14:textId="558A51BD" w:rsidR="004853F5" w:rsidRDefault="004853F5" w:rsidP="00B55295">
      <w:r w:rsidRPr="004853F5">
        <w:rPr>
          <w:b/>
          <w:bCs/>
        </w:rPr>
        <w:lastRenderedPageBreak/>
        <w:t>References</w:t>
      </w:r>
    </w:p>
    <w:p w14:paraId="2372146B" w14:textId="77777777" w:rsidR="00C87834" w:rsidRDefault="00C87834" w:rsidP="00C87834">
      <w:pPr>
        <w:rPr>
          <w:shd w:val="clear" w:color="auto" w:fill="FFFFFF"/>
        </w:rPr>
      </w:pPr>
      <w:r>
        <w:rPr>
          <w:shd w:val="clear" w:color="auto" w:fill="FFFFFF"/>
        </w:rPr>
        <w:t xml:space="preserve">Ding, W., Levine, R., Lin, C. and </w:t>
      </w:r>
      <w:proofErr w:type="spellStart"/>
      <w:r>
        <w:rPr>
          <w:shd w:val="clear" w:color="auto" w:fill="FFFFFF"/>
        </w:rPr>
        <w:t>Xie</w:t>
      </w:r>
      <w:proofErr w:type="spellEnd"/>
      <w:r>
        <w:rPr>
          <w:shd w:val="clear" w:color="auto" w:fill="FFFFFF"/>
        </w:rPr>
        <w:t>, W., (2020). </w:t>
      </w:r>
      <w:r>
        <w:rPr>
          <w:i/>
          <w:iCs/>
          <w:shd w:val="clear" w:color="auto" w:fill="FFFFFF"/>
        </w:rPr>
        <w:t>Social distancing and social capital: Why US counties respond differently to COVID-19</w:t>
      </w:r>
      <w:r>
        <w:rPr>
          <w:shd w:val="clear" w:color="auto" w:fill="FFFFFF"/>
        </w:rPr>
        <w:t> (No. w27393). National Bureau of Economic Research.</w:t>
      </w:r>
    </w:p>
    <w:p w14:paraId="6A85FFF8" w14:textId="77777777" w:rsidR="00C87834" w:rsidRDefault="00C87834" w:rsidP="00C87834">
      <w:pPr>
        <w:rPr>
          <w:shd w:val="clear" w:color="auto" w:fill="FFFFFF"/>
        </w:rPr>
      </w:pPr>
      <w:r>
        <w:rPr>
          <w:shd w:val="clear" w:color="auto" w:fill="FFFFFF"/>
        </w:rPr>
        <w:t xml:space="preserve">Gilmore, B., </w:t>
      </w:r>
      <w:proofErr w:type="spellStart"/>
      <w:r>
        <w:rPr>
          <w:shd w:val="clear" w:color="auto" w:fill="FFFFFF"/>
        </w:rPr>
        <w:t>Ndejjo</w:t>
      </w:r>
      <w:proofErr w:type="spellEnd"/>
      <w:r>
        <w:rPr>
          <w:shd w:val="clear" w:color="auto" w:fill="FFFFFF"/>
        </w:rPr>
        <w:t xml:space="preserve">, R., </w:t>
      </w:r>
      <w:proofErr w:type="spellStart"/>
      <w:r>
        <w:rPr>
          <w:shd w:val="clear" w:color="auto" w:fill="FFFFFF"/>
        </w:rPr>
        <w:t>Tchetchia</w:t>
      </w:r>
      <w:proofErr w:type="spellEnd"/>
      <w:r>
        <w:rPr>
          <w:shd w:val="clear" w:color="auto" w:fill="FFFFFF"/>
        </w:rPr>
        <w:t>, A., de Claro, V., Mago, E., Lopes, C. and Bhattacharyya, S., (2020). Community engagement for COVID-19 prevention and control: a rapid evidence synthesis. </w:t>
      </w:r>
      <w:r>
        <w:rPr>
          <w:i/>
          <w:iCs/>
          <w:shd w:val="clear" w:color="auto" w:fill="FFFFFF"/>
        </w:rPr>
        <w:t>BMJ global health</w:t>
      </w:r>
      <w:r>
        <w:rPr>
          <w:shd w:val="clear" w:color="auto" w:fill="FFFFFF"/>
        </w:rPr>
        <w:t>, </w:t>
      </w:r>
      <w:r>
        <w:rPr>
          <w:i/>
          <w:iCs/>
          <w:shd w:val="clear" w:color="auto" w:fill="FFFFFF"/>
        </w:rPr>
        <w:t>5</w:t>
      </w:r>
      <w:r>
        <w:rPr>
          <w:shd w:val="clear" w:color="auto" w:fill="FFFFFF"/>
        </w:rPr>
        <w:t>(10), p.e003188.</w:t>
      </w:r>
    </w:p>
    <w:p w14:paraId="31B9C8A7" w14:textId="77777777" w:rsidR="00C87834" w:rsidRPr="00B56369" w:rsidRDefault="00C87834" w:rsidP="00003248">
      <w:pPr>
        <w:rPr>
          <w:lang w:val="en" w:eastAsia="en-IN"/>
        </w:rPr>
      </w:pPr>
      <w:r w:rsidRPr="00B56369">
        <w:rPr>
          <w:lang w:val="en" w:eastAsia="en-IN"/>
        </w:rPr>
        <w:t xml:space="preserve">hs2, </w:t>
      </w:r>
      <w:r>
        <w:rPr>
          <w:lang w:val="en" w:eastAsia="en-IN"/>
        </w:rPr>
        <w:t>(</w:t>
      </w:r>
      <w:r w:rsidRPr="00B56369">
        <w:rPr>
          <w:lang w:val="en" w:eastAsia="en-IN"/>
        </w:rPr>
        <w:t>2017</w:t>
      </w:r>
      <w:r>
        <w:rPr>
          <w:lang w:val="en" w:eastAsia="en-IN"/>
        </w:rPr>
        <w:t>)</w:t>
      </w:r>
      <w:r w:rsidRPr="00B56369">
        <w:rPr>
          <w:lang w:val="en" w:eastAsia="en-IN"/>
        </w:rPr>
        <w:t>. Community engagement strategy. [Online] Available at: https://www.hs2.org.uk/about-us/our-documents/community-engagement-strategy/</w:t>
      </w:r>
    </w:p>
    <w:p w14:paraId="3F53764D" w14:textId="77777777" w:rsidR="00C87834" w:rsidRDefault="00C87834" w:rsidP="0039141D">
      <w:proofErr w:type="spellStart"/>
      <w:r>
        <w:t>icma</w:t>
      </w:r>
      <w:proofErr w:type="spellEnd"/>
      <w:r>
        <w:t xml:space="preserve">, (2023). </w:t>
      </w:r>
      <w:r w:rsidRPr="0039141D">
        <w:rPr>
          <w:i/>
          <w:iCs/>
        </w:rPr>
        <w:t>Seven-Step Guide to Community Engagement</w:t>
      </w:r>
      <w:r>
        <w:t>. [Online] Available at: https://icma.org/sites/default/files/Community%20Engagement%20Guide.pdf</w:t>
      </w:r>
    </w:p>
    <w:p w14:paraId="7FEE3452" w14:textId="77777777" w:rsidR="00C87834" w:rsidRDefault="00C87834" w:rsidP="0039141D">
      <w:proofErr w:type="spellStart"/>
      <w:r>
        <w:t>iisd</w:t>
      </w:r>
      <w:proofErr w:type="spellEnd"/>
      <w:r>
        <w:t xml:space="preserve">, (2023). </w:t>
      </w:r>
      <w:r w:rsidRPr="0039141D">
        <w:rPr>
          <w:i/>
          <w:iCs/>
        </w:rPr>
        <w:t>Impact Assessment Methods.</w:t>
      </w:r>
      <w:r>
        <w:t xml:space="preserve"> [Online] Available at: https://www.iisd.org/learning/eia/wp-content/uploads/2016/05/Impact-Assessment-Methods.pdf</w:t>
      </w:r>
    </w:p>
    <w:p w14:paraId="705A3183" w14:textId="77777777" w:rsidR="00C87834" w:rsidRDefault="00C87834" w:rsidP="00C87834">
      <w:pPr>
        <w:rPr>
          <w:shd w:val="clear" w:color="auto" w:fill="FFFFFF"/>
        </w:rPr>
      </w:pPr>
      <w:proofErr w:type="spellStart"/>
      <w:r>
        <w:rPr>
          <w:shd w:val="clear" w:color="auto" w:fill="FFFFFF"/>
        </w:rPr>
        <w:t>Khedir</w:t>
      </w:r>
      <w:proofErr w:type="spellEnd"/>
      <w:r>
        <w:rPr>
          <w:shd w:val="clear" w:color="auto" w:fill="FFFFFF"/>
        </w:rPr>
        <w:t>, H.H., (2020). </w:t>
      </w:r>
      <w:r>
        <w:rPr>
          <w:i/>
          <w:iCs/>
          <w:shd w:val="clear" w:color="auto" w:fill="FFFFFF"/>
        </w:rPr>
        <w:t>Social Capital, Civic Engagement and Democratization in Kurdistan</w:t>
      </w:r>
      <w:r>
        <w:rPr>
          <w:shd w:val="clear" w:color="auto" w:fill="FFFFFF"/>
        </w:rPr>
        <w:t xml:space="preserve"> (pp. 151-182). Cham: </w:t>
      </w:r>
      <w:proofErr w:type="spellStart"/>
      <w:r>
        <w:rPr>
          <w:shd w:val="clear" w:color="auto" w:fill="FFFFFF"/>
        </w:rPr>
        <w:t>palgrave</w:t>
      </w:r>
      <w:proofErr w:type="spellEnd"/>
      <w:r>
        <w:rPr>
          <w:shd w:val="clear" w:color="auto" w:fill="FFFFFF"/>
        </w:rPr>
        <w:t xml:space="preserve"> </w:t>
      </w:r>
      <w:proofErr w:type="spellStart"/>
      <w:r>
        <w:rPr>
          <w:shd w:val="clear" w:color="auto" w:fill="FFFFFF"/>
        </w:rPr>
        <w:t>macmillan</w:t>
      </w:r>
      <w:proofErr w:type="spellEnd"/>
      <w:r>
        <w:rPr>
          <w:shd w:val="clear" w:color="auto" w:fill="FFFFFF"/>
        </w:rPr>
        <w:t>.</w:t>
      </w:r>
    </w:p>
    <w:p w14:paraId="4F2A54DE" w14:textId="77777777" w:rsidR="00C87834" w:rsidRPr="00B56369" w:rsidRDefault="00C87834" w:rsidP="00003248">
      <w:pPr>
        <w:rPr>
          <w:lang w:val="en" w:eastAsia="en-IN"/>
        </w:rPr>
      </w:pPr>
      <w:proofErr w:type="spellStart"/>
      <w:r w:rsidRPr="00B56369">
        <w:rPr>
          <w:lang w:val="en" w:eastAsia="en-IN"/>
        </w:rPr>
        <w:t>kpmg</w:t>
      </w:r>
      <w:proofErr w:type="spellEnd"/>
      <w:r w:rsidRPr="00B56369">
        <w:rPr>
          <w:lang w:val="en" w:eastAsia="en-IN"/>
        </w:rPr>
        <w:t xml:space="preserve">, </w:t>
      </w:r>
      <w:r>
        <w:rPr>
          <w:lang w:val="en" w:eastAsia="en-IN"/>
        </w:rPr>
        <w:t>(</w:t>
      </w:r>
      <w:r w:rsidRPr="00B56369">
        <w:rPr>
          <w:lang w:val="en" w:eastAsia="en-IN"/>
        </w:rPr>
        <w:t>2023</w:t>
      </w:r>
      <w:r>
        <w:rPr>
          <w:lang w:val="en" w:eastAsia="en-IN"/>
        </w:rPr>
        <w:t>)</w:t>
      </w:r>
      <w:r w:rsidRPr="00B56369">
        <w:rPr>
          <w:lang w:val="en" w:eastAsia="en-IN"/>
        </w:rPr>
        <w:t>. Economic Impact Assessment:</w:t>
      </w:r>
      <w:r>
        <w:rPr>
          <w:lang w:val="en" w:eastAsia="en-IN"/>
        </w:rPr>
        <w:t xml:space="preserve"> </w:t>
      </w:r>
      <w:r w:rsidRPr="00B56369">
        <w:rPr>
          <w:lang w:val="en" w:eastAsia="en-IN"/>
        </w:rPr>
        <w:t>[Online] Available at: https://assets.kpmg.com/content/dam/kpmg/rs/pdf/2021/02/NEW-Economic-impact-Assessment.pdf</w:t>
      </w:r>
    </w:p>
    <w:p w14:paraId="2606A03E" w14:textId="77777777" w:rsidR="00C87834" w:rsidRDefault="00C87834" w:rsidP="00C87834">
      <w:pPr>
        <w:rPr>
          <w:shd w:val="clear" w:color="auto" w:fill="FFFFFF"/>
        </w:rPr>
      </w:pPr>
      <w:r>
        <w:rPr>
          <w:shd w:val="clear" w:color="auto" w:fill="FFFFFF"/>
        </w:rPr>
        <w:t xml:space="preserve">Marston, C., </w:t>
      </w:r>
      <w:proofErr w:type="spellStart"/>
      <w:r>
        <w:rPr>
          <w:shd w:val="clear" w:color="auto" w:fill="FFFFFF"/>
        </w:rPr>
        <w:t>Renedo</w:t>
      </w:r>
      <w:proofErr w:type="spellEnd"/>
      <w:r>
        <w:rPr>
          <w:shd w:val="clear" w:color="auto" w:fill="FFFFFF"/>
        </w:rPr>
        <w:t>, A. and Miles, S., (2020). Community participation is crucial in a pandemic. </w:t>
      </w:r>
      <w:r>
        <w:rPr>
          <w:i/>
          <w:iCs/>
          <w:shd w:val="clear" w:color="auto" w:fill="FFFFFF"/>
        </w:rPr>
        <w:t>The Lancet</w:t>
      </w:r>
      <w:r>
        <w:rPr>
          <w:shd w:val="clear" w:color="auto" w:fill="FFFFFF"/>
        </w:rPr>
        <w:t>, </w:t>
      </w:r>
      <w:r>
        <w:rPr>
          <w:i/>
          <w:iCs/>
          <w:shd w:val="clear" w:color="auto" w:fill="FFFFFF"/>
        </w:rPr>
        <w:t>395</w:t>
      </w:r>
      <w:r>
        <w:rPr>
          <w:shd w:val="clear" w:color="auto" w:fill="FFFFFF"/>
        </w:rPr>
        <w:t>(10238), pp.1676-1678.</w:t>
      </w:r>
    </w:p>
    <w:p w14:paraId="673E2AF6" w14:textId="77777777" w:rsidR="00C87834" w:rsidRDefault="00C87834" w:rsidP="0039141D">
      <w:proofErr w:type="spellStart"/>
      <w:r>
        <w:t>unu</w:t>
      </w:r>
      <w:proofErr w:type="spellEnd"/>
      <w:r>
        <w:t xml:space="preserve">, (2023). </w:t>
      </w:r>
      <w:r w:rsidRPr="0039141D">
        <w:rPr>
          <w:i/>
          <w:iCs/>
        </w:rPr>
        <w:t>Community mapping.</w:t>
      </w:r>
      <w:r>
        <w:t xml:space="preserve"> [Online] Available at: https://archive.unu.edu/unupress/food2/UIN11E/UIN11E0C.HTM</w:t>
      </w:r>
    </w:p>
    <w:p w14:paraId="5703014C" w14:textId="77777777" w:rsidR="00C87834" w:rsidRPr="00B56369" w:rsidRDefault="00C87834" w:rsidP="00003248">
      <w:pPr>
        <w:rPr>
          <w:lang w:val="en" w:eastAsia="en-IN"/>
        </w:rPr>
      </w:pPr>
      <w:proofErr w:type="spellStart"/>
      <w:r w:rsidRPr="00B56369">
        <w:rPr>
          <w:lang w:val="en" w:eastAsia="en-IN"/>
        </w:rPr>
        <w:lastRenderedPageBreak/>
        <w:t>Vinikas</w:t>
      </w:r>
      <w:proofErr w:type="spellEnd"/>
      <w:r w:rsidRPr="00B56369">
        <w:rPr>
          <w:lang w:val="en" w:eastAsia="en-IN"/>
        </w:rPr>
        <w:t xml:space="preserve">, I., </w:t>
      </w:r>
      <w:r>
        <w:rPr>
          <w:lang w:val="en" w:eastAsia="en-IN"/>
        </w:rPr>
        <w:t>(</w:t>
      </w:r>
      <w:r w:rsidRPr="00B56369">
        <w:rPr>
          <w:lang w:val="en" w:eastAsia="en-IN"/>
        </w:rPr>
        <w:t>2022</w:t>
      </w:r>
      <w:r>
        <w:rPr>
          <w:lang w:val="en" w:eastAsia="en-IN"/>
        </w:rPr>
        <w:t>)</w:t>
      </w:r>
      <w:r w:rsidRPr="00B56369">
        <w:rPr>
          <w:lang w:val="en" w:eastAsia="en-IN"/>
        </w:rPr>
        <w:t>. Understanding what a Virtual Town Hall Meeting is. [Online] Available at: https://corp.kaltura.com/blog/what-is-a-town-hall-meeting/</w:t>
      </w:r>
    </w:p>
    <w:p w14:paraId="2955A9F6" w14:textId="77777777" w:rsidR="00C87834" w:rsidRPr="00003248" w:rsidRDefault="00C87834" w:rsidP="00C87834">
      <w:pPr>
        <w:rPr>
          <w:lang w:val="en"/>
        </w:rPr>
      </w:pPr>
      <w:r>
        <w:rPr>
          <w:shd w:val="clear" w:color="auto" w:fill="FFFFFF"/>
        </w:rPr>
        <w:t>World Health Organization, (2020). </w:t>
      </w:r>
      <w:r>
        <w:rPr>
          <w:i/>
          <w:iCs/>
          <w:shd w:val="clear" w:color="auto" w:fill="FFFFFF"/>
        </w:rPr>
        <w:t>Responding to community spread of COVID-19: interim guidance, 7 March 2020</w:t>
      </w:r>
      <w:r>
        <w:rPr>
          <w:shd w:val="clear" w:color="auto" w:fill="FFFFFF"/>
        </w:rPr>
        <w:t> (No. WHO/COVID-19/</w:t>
      </w:r>
      <w:proofErr w:type="spellStart"/>
      <w:r>
        <w:rPr>
          <w:shd w:val="clear" w:color="auto" w:fill="FFFFFF"/>
        </w:rPr>
        <w:t>Community_Transmission</w:t>
      </w:r>
      <w:proofErr w:type="spellEnd"/>
      <w:r>
        <w:rPr>
          <w:shd w:val="clear" w:color="auto" w:fill="FFFFFF"/>
        </w:rPr>
        <w:t>/2020.1). World Health Organization</w:t>
      </w:r>
    </w:p>
    <w:sectPr w:rsidR="00C87834" w:rsidRPr="00003248" w:rsidSect="005353FE">
      <w:footerReference w:type="even"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F47B3" w14:textId="77777777" w:rsidR="001035F7" w:rsidRDefault="001035F7" w:rsidP="00895697">
      <w:pPr>
        <w:spacing w:before="0" w:after="0" w:line="240" w:lineRule="auto"/>
      </w:pPr>
      <w:r>
        <w:separator/>
      </w:r>
    </w:p>
  </w:endnote>
  <w:endnote w:type="continuationSeparator" w:id="0">
    <w:p w14:paraId="4F65D3F6" w14:textId="77777777" w:rsidR="001035F7" w:rsidRDefault="001035F7" w:rsidP="008956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6591234"/>
      <w:docPartObj>
        <w:docPartGallery w:val="Page Numbers (Bottom of Page)"/>
        <w:docPartUnique/>
      </w:docPartObj>
    </w:sdtPr>
    <w:sdtContent>
      <w:p w14:paraId="157ABC2C" w14:textId="0ECAE041" w:rsidR="005353FE" w:rsidRDefault="005353FE" w:rsidP="00C52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CD491E" w14:textId="77777777" w:rsidR="005353FE" w:rsidRDefault="005353FE" w:rsidP="00535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305782"/>
      <w:docPartObj>
        <w:docPartGallery w:val="Page Numbers (Bottom of Page)"/>
        <w:docPartUnique/>
      </w:docPartObj>
    </w:sdtPr>
    <w:sdtContent>
      <w:p w14:paraId="4F83136F" w14:textId="634450A4" w:rsidR="005353FE" w:rsidRDefault="005353FE" w:rsidP="00C52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DCFA83" w14:textId="77777777" w:rsidR="005353FE" w:rsidRDefault="005353FE" w:rsidP="005353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96366" w14:textId="77777777" w:rsidR="001035F7" w:rsidRDefault="001035F7" w:rsidP="00895697">
      <w:pPr>
        <w:spacing w:before="0" w:after="0" w:line="240" w:lineRule="auto"/>
      </w:pPr>
      <w:r>
        <w:separator/>
      </w:r>
    </w:p>
  </w:footnote>
  <w:footnote w:type="continuationSeparator" w:id="0">
    <w:p w14:paraId="4047E829" w14:textId="77777777" w:rsidR="001035F7" w:rsidRDefault="001035F7" w:rsidP="0089569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295"/>
    <w:rsid w:val="00003248"/>
    <w:rsid w:val="00092201"/>
    <w:rsid w:val="000A2F66"/>
    <w:rsid w:val="001035F7"/>
    <w:rsid w:val="00113AA9"/>
    <w:rsid w:val="00227C9E"/>
    <w:rsid w:val="002D1482"/>
    <w:rsid w:val="00312DE1"/>
    <w:rsid w:val="0039141D"/>
    <w:rsid w:val="003A56A5"/>
    <w:rsid w:val="003C3294"/>
    <w:rsid w:val="003C7856"/>
    <w:rsid w:val="004009C8"/>
    <w:rsid w:val="00455D7A"/>
    <w:rsid w:val="004853F5"/>
    <w:rsid w:val="004A3132"/>
    <w:rsid w:val="005353FE"/>
    <w:rsid w:val="006B7B08"/>
    <w:rsid w:val="006D2D04"/>
    <w:rsid w:val="00773744"/>
    <w:rsid w:val="00836B5A"/>
    <w:rsid w:val="00862D5E"/>
    <w:rsid w:val="00895697"/>
    <w:rsid w:val="008A3BD5"/>
    <w:rsid w:val="009033B6"/>
    <w:rsid w:val="0092513C"/>
    <w:rsid w:val="00983F2B"/>
    <w:rsid w:val="009C0CAC"/>
    <w:rsid w:val="00A3314D"/>
    <w:rsid w:val="00A52BBA"/>
    <w:rsid w:val="00A56964"/>
    <w:rsid w:val="00A705C9"/>
    <w:rsid w:val="00A833E4"/>
    <w:rsid w:val="00AC1F1E"/>
    <w:rsid w:val="00AD2E04"/>
    <w:rsid w:val="00AE3C9B"/>
    <w:rsid w:val="00B43E86"/>
    <w:rsid w:val="00B55295"/>
    <w:rsid w:val="00B97B5F"/>
    <w:rsid w:val="00BB09DC"/>
    <w:rsid w:val="00C12373"/>
    <w:rsid w:val="00C579E9"/>
    <w:rsid w:val="00C873BB"/>
    <w:rsid w:val="00C87834"/>
    <w:rsid w:val="00D36DAF"/>
    <w:rsid w:val="00DD4C5D"/>
    <w:rsid w:val="00E64D21"/>
    <w:rsid w:val="00EC6272"/>
    <w:rsid w:val="00F1762A"/>
    <w:rsid w:val="00F67ECE"/>
    <w:rsid w:val="00FC7771"/>
    <w:rsid w:val="00FD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D03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856"/>
    <w:pPr>
      <w:spacing w:before="120" w:after="12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autoRedefine/>
    <w:uiPriority w:val="9"/>
    <w:qFormat/>
    <w:rsid w:val="00227C9E"/>
    <w:pPr>
      <w:keepNext/>
      <w:keepLines/>
      <w:spacing w:before="400"/>
      <w:outlineLvl w:val="0"/>
    </w:pPr>
    <w:rPr>
      <w:rFonts w:cstheme="minorBidi"/>
      <w:b/>
      <w:kern w:val="2"/>
      <w:sz w:val="28"/>
      <w:szCs w:val="40"/>
      <w:lang w:val="en-US"/>
      <w14:ligatures w14:val="standardContextual"/>
    </w:rPr>
  </w:style>
  <w:style w:type="paragraph" w:styleId="Heading2">
    <w:name w:val="heading 2"/>
    <w:basedOn w:val="Normal"/>
    <w:next w:val="Normal"/>
    <w:link w:val="Heading2Char"/>
    <w:autoRedefine/>
    <w:uiPriority w:val="9"/>
    <w:unhideWhenUsed/>
    <w:qFormat/>
    <w:rsid w:val="00227C9E"/>
    <w:pPr>
      <w:keepNext/>
      <w:keepLines/>
      <w:spacing w:before="360"/>
      <w:outlineLvl w:val="1"/>
    </w:pPr>
    <w:rPr>
      <w:b/>
      <w:kern w:val="2"/>
      <w:sz w:val="26"/>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9E"/>
    <w:rPr>
      <w:rFonts w:ascii="Times New Roman" w:hAnsi="Times New Roman"/>
      <w:b/>
      <w:sz w:val="28"/>
      <w:szCs w:val="40"/>
    </w:rPr>
  </w:style>
  <w:style w:type="character" w:customStyle="1" w:styleId="Heading2Char">
    <w:name w:val="Heading 2 Char"/>
    <w:basedOn w:val="DefaultParagraphFont"/>
    <w:link w:val="Heading2"/>
    <w:uiPriority w:val="9"/>
    <w:rsid w:val="00227C9E"/>
    <w:rPr>
      <w:rFonts w:ascii="Times New Roman" w:hAnsi="Times New Roman" w:cs="Arial"/>
      <w:b/>
      <w:sz w:val="26"/>
      <w:szCs w:val="32"/>
      <w:lang w:val="en-GB"/>
    </w:rPr>
  </w:style>
  <w:style w:type="paragraph" w:styleId="Bibliography">
    <w:name w:val="Bibliography"/>
    <w:basedOn w:val="Normal"/>
    <w:next w:val="Normal"/>
    <w:uiPriority w:val="37"/>
    <w:unhideWhenUsed/>
    <w:rsid w:val="0039141D"/>
  </w:style>
  <w:style w:type="paragraph" w:styleId="Header">
    <w:name w:val="header"/>
    <w:basedOn w:val="Normal"/>
    <w:link w:val="HeaderChar"/>
    <w:uiPriority w:val="99"/>
    <w:unhideWhenUsed/>
    <w:rsid w:val="008956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5697"/>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8956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5697"/>
    <w:rPr>
      <w:rFonts w:ascii="Times New Roman" w:hAnsi="Times New Roman" w:cs="Arial"/>
      <w:kern w:val="0"/>
      <w:sz w:val="24"/>
      <w:lang w:val="en-GB"/>
      <w14:ligatures w14:val="none"/>
    </w:rPr>
  </w:style>
  <w:style w:type="character" w:styleId="PageNumber">
    <w:name w:val="page number"/>
    <w:basedOn w:val="DefaultParagraphFont"/>
    <w:uiPriority w:val="99"/>
    <w:semiHidden/>
    <w:unhideWhenUsed/>
    <w:rsid w:val="00535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020550">
      <w:bodyDiv w:val="1"/>
      <w:marLeft w:val="0"/>
      <w:marRight w:val="0"/>
      <w:marTop w:val="0"/>
      <w:marBottom w:val="0"/>
      <w:divBdr>
        <w:top w:val="none" w:sz="0" w:space="0" w:color="auto"/>
        <w:left w:val="none" w:sz="0" w:space="0" w:color="auto"/>
        <w:bottom w:val="none" w:sz="0" w:space="0" w:color="auto"/>
        <w:right w:val="none" w:sz="0" w:space="0" w:color="auto"/>
      </w:divBdr>
    </w:div>
    <w:div w:id="224224203">
      <w:bodyDiv w:val="1"/>
      <w:marLeft w:val="0"/>
      <w:marRight w:val="0"/>
      <w:marTop w:val="0"/>
      <w:marBottom w:val="0"/>
      <w:divBdr>
        <w:top w:val="none" w:sz="0" w:space="0" w:color="auto"/>
        <w:left w:val="none" w:sz="0" w:space="0" w:color="auto"/>
        <w:bottom w:val="none" w:sz="0" w:space="0" w:color="auto"/>
        <w:right w:val="none" w:sz="0" w:space="0" w:color="auto"/>
      </w:divBdr>
    </w:div>
    <w:div w:id="812985604">
      <w:bodyDiv w:val="1"/>
      <w:marLeft w:val="0"/>
      <w:marRight w:val="0"/>
      <w:marTop w:val="0"/>
      <w:marBottom w:val="0"/>
      <w:divBdr>
        <w:top w:val="none" w:sz="0" w:space="0" w:color="auto"/>
        <w:left w:val="none" w:sz="0" w:space="0" w:color="auto"/>
        <w:bottom w:val="none" w:sz="0" w:space="0" w:color="auto"/>
        <w:right w:val="none" w:sz="0" w:space="0" w:color="auto"/>
      </w:divBdr>
    </w:div>
    <w:div w:id="105404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unu23</b:Tag>
    <b:SourceType>InternetSite</b:SourceType>
    <b:Guid>{F136000F-8574-4CC3-AD90-97AE23FC42A0}</b:Guid>
    <b:Author>
      <b:Author>
        <b:NameList>
          <b:Person>
            <b:Last>unu</b:Last>
          </b:Person>
        </b:NameList>
      </b:Author>
    </b:Author>
    <b:Title>Community mapping</b:Title>
    <b:Year>2023</b:Year>
    <b:URL>https://archive.unu.edu/unupress/food2/UIN11E/UIN11E0C.HTM</b:URL>
    <b:RefOrder>1</b:RefOrder>
  </b:Source>
  <b:Source>
    <b:Tag>iis23</b:Tag>
    <b:SourceType>InternetSite</b:SourceType>
    <b:Guid>{8D675E05-D7FE-4271-97F6-1C34B68E8B11}</b:Guid>
    <b:Author>
      <b:Author>
        <b:NameList>
          <b:Person>
            <b:Last>iisd</b:Last>
          </b:Person>
        </b:NameList>
      </b:Author>
    </b:Author>
    <b:Title>Impact Assessment Methods</b:Title>
    <b:Year>2023</b:Year>
    <b:URL>https://www.iisd.org/learning/eia/wp-content/uploads/2016/05/Impact-Assessment-Methods.pdf</b:URL>
    <b:RefOrder>2</b:RefOrder>
  </b:Source>
  <b:Source>
    <b:Tag>icm23</b:Tag>
    <b:SourceType>InternetSite</b:SourceType>
    <b:Guid>{EE2A9A05-070A-479F-B1F0-18968272A4F9}</b:Guid>
    <b:Author>
      <b:Author>
        <b:NameList>
          <b:Person>
            <b:Last>icma</b:Last>
          </b:Person>
        </b:NameList>
      </b:Author>
    </b:Author>
    <b:Title>Seven-Step Guide to Community Engagement</b:Title>
    <b:Year>2023</b:Year>
    <b:URL>https://icma.org/sites/default/files/Community%20Engagement%20Guide.pdf</b:URL>
    <b:RefOrder>3</b:RefOrder>
  </b:Source>
  <b:Source>
    <b:Tag>hs217</b:Tag>
    <b:SourceType>InternetSite</b:SourceType>
    <b:Guid>{A3146BA3-C408-4AA9-935D-B98638D57F82}</b:Guid>
    <b:Author>
      <b:Author>
        <b:Corporate>hs2</b:Corporate>
      </b:Author>
    </b:Author>
    <b:Title>Community engagement strategy</b:Title>
    <b:Year>2017</b:Year>
    <b:URL>https://www.hs2.org.uk/about-us/our-documents/community-engagement-strategy/</b:URL>
    <b:RefOrder>1</b:RefOrder>
  </b:Source>
  <b:Source>
    <b:Tag>Imm22</b:Tag>
    <b:SourceType>InternetSite</b:SourceType>
    <b:Guid>{EE49ACA0-4407-4C33-B6EA-254A51B132A7}</b:Guid>
    <b:Author>
      <b:Author>
        <b:NameList>
          <b:Person>
            <b:Last>Vinikas</b:Last>
            <b:First>Immanuel</b:First>
          </b:Person>
        </b:NameList>
      </b:Author>
    </b:Author>
    <b:Title>Understanding what a Virtual Town Hall Meeting is</b:Title>
    <b:Year>2022</b:Year>
    <b:URL>https://corp.kaltura.com/blog/what-is-a-town-hall-meeting/</b:URL>
    <b:RefOrder>2</b:RefOrder>
  </b:Source>
  <b:Source>
    <b:Tag>kpm23</b:Tag>
    <b:SourceType>InternetSite</b:SourceType>
    <b:Guid>{3EED45E7-A19D-4483-A1AF-FB5CCF8B2514}</b:Guid>
    <b:Author>
      <b:Author>
        <b:Corporate>kpmg</b:Corporate>
      </b:Author>
    </b:Author>
    <b:Title>Economic Impact Assessment:</b:Title>
    <b:Year>2023</b:Year>
    <b:URL>https://assets.kpmg.com/content/dam/kpmg/rs/pdf/2021/02/NEW-Economic-impact-Assessment.pdf</b:URL>
    <b:RefOrder>3</b:RefOrder>
  </b:Source>
</b:Sources>
</file>

<file path=customXml/itemProps1.xml><?xml version="1.0" encoding="utf-8"?>
<ds:datastoreItem xmlns:ds="http://schemas.openxmlformats.org/officeDocument/2006/customXml" ds:itemID="{FF93AC7C-DD39-4B81-8F76-459F9FA82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2318</Words>
  <Characters>13215</Characters>
  <Application>Microsoft Office Word</Application>
  <DocSecurity>0</DocSecurity>
  <Lines>110</Lines>
  <Paragraphs>31</Paragraphs>
  <ScaleCrop>false</ScaleCrop>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2023-11-24T14:08:00Z</dcterms:created>
  <dcterms:modified xsi:type="dcterms:W3CDTF">2023-11-24T14:10:00Z</dcterms:modified>
</cp:coreProperties>
</file>