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p>
    <w:p>
      <w:pPr>
        <w:pStyle w:val="Body"/>
      </w:pPr>
    </w:p>
    <w:p>
      <w:pPr>
        <w:pStyle w:val="Body"/>
      </w:pPr>
    </w:p>
    <w:p>
      <w:pPr>
        <w:pStyle w:val="Body"/>
      </w:pPr>
    </w:p>
    <w:p>
      <w:pPr>
        <w:pStyle w:val="Body"/>
      </w:pPr>
    </w:p>
    <w:p>
      <w:pPr>
        <w:pStyle w:val="Body"/>
      </w:pPr>
    </w:p>
    <w:p>
      <w:pPr>
        <w:pStyle w:val="Body"/>
        <w:jc w:val="center"/>
        <w:rPr>
          <w:b w:val="1"/>
          <w:bCs w:val="1"/>
          <w:sz w:val="40"/>
          <w:szCs w:val="40"/>
        </w:rPr>
      </w:pPr>
      <w:r>
        <w:rPr>
          <w:b w:val="1"/>
          <w:bCs w:val="1"/>
          <w:sz w:val="40"/>
          <w:szCs w:val="40"/>
          <w:rtl w:val="0"/>
          <w:lang w:val="de-DE"/>
        </w:rPr>
        <w:t xml:space="preserve"> BMSW4001</w:t>
      </w:r>
    </w:p>
    <w:p>
      <w:pPr>
        <w:pStyle w:val="Body"/>
        <w:jc w:val="center"/>
        <w:rPr>
          <w:b w:val="1"/>
          <w:bCs w:val="1"/>
          <w:sz w:val="40"/>
          <w:szCs w:val="40"/>
        </w:rPr>
      </w:pPr>
      <w:r>
        <w:rPr>
          <w:b w:val="1"/>
          <w:bCs w:val="1"/>
          <w:sz w:val="40"/>
          <w:szCs w:val="40"/>
          <w:rtl w:val="0"/>
          <w:lang w:val="en-US"/>
        </w:rPr>
        <w:t xml:space="preserve"> Academic and Employability Skills</w:t>
      </w:r>
    </w:p>
    <w:p>
      <w:pPr>
        <w:pStyle w:val="Body"/>
      </w:pPr>
      <w:r>
        <w:rPr>
          <w:rtl w:val="0"/>
          <w:lang w:val="en-US"/>
        </w:rPr>
        <w:t>Student ID:</w:t>
      </w:r>
      <w:r>
        <w:rPr>
          <w:rtl w:val="0"/>
          <w:lang w:val="en-US"/>
        </w:rPr>
        <w:t>2123035</w:t>
      </w:r>
    </w:p>
    <w:p>
      <w:pPr>
        <w:pStyle w:val="Body"/>
      </w:pPr>
      <w:r>
        <w:rPr>
          <w:rtl w:val="0"/>
          <w:lang w:val="de-DE"/>
        </w:rPr>
        <w:t>Student Name:</w:t>
      </w:r>
      <w:r>
        <w:rPr>
          <w:rtl w:val="0"/>
          <w:lang w:val="en-US"/>
        </w:rPr>
        <w:t>Denise-Alice Popescu</w:t>
      </w:r>
    </w:p>
    <w:p>
      <w:pPr>
        <w:pStyle w:val="Body"/>
      </w:pPr>
      <w:r>
        <w:rPr>
          <w:rFonts w:ascii="Arial Unicode MS" w:cs="Arial Unicode MS" w:hAnsi="Arial Unicode MS" w:eastAsia="Arial Unicode MS"/>
          <w:b w:val="0"/>
          <w:bCs w:val="0"/>
          <w:i w:val="0"/>
          <w:iCs w:val="0"/>
        </w:rPr>
        <w:br w:type="page"/>
      </w:r>
    </w:p>
    <w:p>
      <w:pPr>
        <w:pStyle w:val="TOC Heading"/>
      </w:pPr>
      <w:r>
        <w:rPr>
          <w:rtl w:val="0"/>
          <w:lang w:val="en-US"/>
        </w:rPr>
        <w:t>Contents</w:t>
      </w:r>
    </w:p>
    <w:p>
      <w:pPr>
        <w:pStyle w:val="Body"/>
      </w:pPr>
      <w:r>
        <w:rPr/>
        <w:fldChar w:fldCharType="begin" w:fldLock="0"/>
      </w:r>
      <w:r>
        <w:instrText xml:space="preserve"> TOC \o 1-1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Time management</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Academic Writing</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Organizing Study</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Public Speaking and Presentation Skills</w:t>
        <w:tab/>
      </w:r>
      <w:r>
        <w:rPr/>
        <w:fldChar w:fldCharType="begin" w:fldLock="0"/>
      </w:r>
      <w:r>
        <w:instrText xml:space="preserve"> PAGEREF _Toc4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Conclusion</w:t>
        <w:tab/>
      </w:r>
      <w:r>
        <w:rPr/>
        <w:fldChar w:fldCharType="begin" w:fldLock="0"/>
      </w:r>
      <w:r>
        <w:instrText xml:space="preserve"> PAGEREF _Toc5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References</w:t>
        <w:tab/>
      </w:r>
      <w:r>
        <w:rPr/>
        <w:fldChar w:fldCharType="begin" w:fldLock="0"/>
      </w:r>
      <w:r>
        <w:instrText xml:space="preserve"> PAGEREF _Toc6 \h </w:instrText>
      </w:r>
      <w:r>
        <w:rPr/>
        <w:fldChar w:fldCharType="separate" w:fldLock="0"/>
      </w:r>
      <w:r>
        <w:rPr>
          <w:rFonts w:cs="Arial Unicode MS" w:eastAsia="Arial Unicode MS"/>
          <w:rtl w:val="0"/>
        </w:rPr>
        <w:t>10</w:t>
      </w:r>
      <w:r>
        <w:rPr/>
        <w:fldChar w:fldCharType="end" w:fldLock="0"/>
      </w:r>
    </w:p>
    <w:p>
      <w:pPr>
        <w:pStyle w:val="Body"/>
        <w:rPr>
          <w:rFonts w:ascii="Calibri" w:cs="Calibri" w:hAnsi="Calibri" w:eastAsia="Calibri"/>
          <w:sz w:val="22"/>
          <w:szCs w:val="22"/>
        </w:rPr>
      </w:pPr>
      <w:r>
        <w:rPr/>
        <w:fldChar w:fldCharType="end" w:fldLock="0"/>
      </w:r>
    </w:p>
    <w:p>
      <w:pPr>
        <w:pStyle w:val="Body"/>
      </w:pPr>
      <w:r>
        <w:rPr>
          <w:rFonts w:ascii="Arial Unicode MS" w:cs="Arial Unicode MS" w:hAnsi="Arial Unicode MS" w:eastAsia="Arial Unicode MS"/>
          <w:b w:val="0"/>
          <w:bCs w:val="0"/>
          <w:i w:val="0"/>
          <w:iCs w:val="0"/>
        </w:rPr>
        <w:br w:type="page"/>
      </w:r>
    </w:p>
    <w:p>
      <w:pPr>
        <w:pStyle w:val="Heading"/>
        <w:spacing w:after="160"/>
      </w:pPr>
      <w:bookmarkStart w:name="_Toc" w:id="0"/>
      <w:bookmarkStart w:name="_headingh.26in1rg" w:id="1"/>
      <w:bookmarkEnd w:id="1"/>
      <w:r>
        <w:rPr>
          <w:rtl w:val="0"/>
        </w:rPr>
        <w:t>I</w:t>
      </w:r>
      <w:r>
        <w:rPr>
          <w:rtl w:val="0"/>
          <w:lang w:val="fr-FR"/>
        </w:rPr>
        <w:t xml:space="preserve">ntroduction </w:t>
      </w:r>
      <w:bookmarkStart w:name="_headingh.lnxbz9" w:id="2"/>
      <w:bookmarkEnd w:id="2"/>
      <w:bookmarkEnd w:id="0"/>
    </w:p>
    <w:p>
      <w:pPr>
        <w:pStyle w:val="Body"/>
        <w:rPr>
          <w:b w:val="1"/>
          <w:bCs w:val="1"/>
          <w:outline w:val="0"/>
          <w:color w:val="0070c0"/>
          <w:sz w:val="28"/>
          <w:szCs w:val="28"/>
          <w:u w:color="0070c0"/>
          <w14:textFill>
            <w14:solidFill>
              <w14:srgbClr w14:val="0070C0"/>
            </w14:solidFill>
          </w14:textFill>
        </w:rPr>
      </w:pPr>
      <w:r>
        <w:rPr>
          <w:rtl w:val="0"/>
          <w:lang w:val="en-US"/>
        </w:rPr>
        <w:t>This scholarly study will reflect on its findings by employing the Gibbs' reflective, which was first published in 1988 by Graham Gibbs. Each of the four themes will be examined using the Gibbs reflect model, which is described in detail below. In addition, self-discipline and study organisation will be addressed, with a discussion of academic writing following as a conclusion. The final topic to be discussed will be public speaking and presentation skills in general. In 1988, he came up with the Gibbs aspect of his own personality. To summarise, emotions and opinions are expressed, and then evaluation, analysis, and resolution are carried out in accordance with Gibb's meditation model of six steps.</w:t>
      </w:r>
    </w:p>
    <w:p>
      <w:pPr>
        <w:pStyle w:val="Body"/>
      </w:pPr>
      <w:r>
        <w:rPr>
          <w:rFonts w:ascii="Arial Unicode MS" w:cs="Arial Unicode MS" w:hAnsi="Arial Unicode MS" w:eastAsia="Arial Unicode MS"/>
          <w:b w:val="0"/>
          <w:bCs w:val="0"/>
          <w:i w:val="0"/>
          <w:iCs w:val="0"/>
        </w:rPr>
        <w:br w:type="page"/>
      </w:r>
    </w:p>
    <w:p>
      <w:pPr>
        <w:pStyle w:val="Heading"/>
        <w:spacing w:after="160"/>
      </w:pPr>
      <w:bookmarkStart w:name="_Toc1" w:id="3"/>
      <w:r>
        <w:rPr>
          <w:rtl w:val="0"/>
          <w:lang w:val="fr-FR"/>
        </w:rPr>
        <w:t xml:space="preserve">Time management </w:t>
      </w:r>
      <w:bookmarkEnd w:id="3"/>
    </w:p>
    <w:p>
      <w:pPr>
        <w:pStyle w:val="Body"/>
      </w:pPr>
      <w:bookmarkStart w:name="_headingh.35nkun2" w:id="4"/>
      <w:bookmarkEnd w:id="4"/>
      <w:r>
        <w:rPr>
          <w:rtl w:val="0"/>
        </w:rPr>
        <w:t>T</w:t>
      </w:r>
      <w:r>
        <w:rPr>
          <w:rtl w:val="0"/>
          <w:lang w:val="en-US"/>
        </w:rPr>
        <w:t>ime management skills are essential for many people if they are to finish their tasks on time or without disruption (Pehlivan, 2013). As a college student, staying on top of my time management is critical to completing my assignments on time (Kaya et al., 2016). I remember squeezing every last drop of effort out of my assignments in order to turn them in on time for the start of year 1. Due to our tardiness and the fact that semester 1 was just around the corner, we were given a second target date to finish the geography and science assignment. To make matters worse, completing both tasks on time only exacerbated my already-severe case of exam anxiety. Since this semester was about to begin and I still had a lot to do, I was getting nervous. Due to my terrible time planning, I would also have to concentrate on getting my responsibilities before the deadline. Working late into the night to accomplish my goals while studying for an upcoming exam was not an enjoyable experience. Because it all was out of whack, I was also neglecting my health. On the plus side, it forced me to master time management skills for every task I had to complete in accordance with Grissom et al (2015). Living in that circumstance and experiencing it allowed me to realise the error I was making, which was allowing me to slip into that situation over and over again, and then rushing through all of my work at the last minute. Through my experience, I've learned that I should complete all of my activities on time and with correct management so that I don't have to do several jobs at the same time in the future, making it harder to complete. I would have created timelines for both submitting my projects and studying for the exam, and then managed both tasks properly. For this, I should have finished my projects on time, rather than delaying them for another day, and I should have begun studying for the assessment from the first day teachers began teaching, i.e., each subject on a daily basis. If the same issue occurs again in the future, I will strive to accomplish my work peacefully by allocating the time spent on each assignment, such as completing projects all at once and then studying for my examinations side by side, as Swart (2015) suggests.</w:t>
      </w:r>
    </w:p>
    <w:p>
      <w:pPr>
        <w:pStyle w:val="Body"/>
      </w:pPr>
      <w:r>
        <w:rPr>
          <w:rFonts w:ascii="Arial Unicode MS" w:cs="Arial Unicode MS" w:hAnsi="Arial Unicode MS" w:eastAsia="Arial Unicode MS"/>
          <w:b w:val="0"/>
          <w:bCs w:val="0"/>
          <w:i w:val="0"/>
          <w:iCs w:val="0"/>
        </w:rPr>
        <w:br w:type="page"/>
      </w:r>
    </w:p>
    <w:p>
      <w:pPr>
        <w:pStyle w:val="Heading"/>
      </w:pPr>
      <w:bookmarkStart w:name="_Toc2" w:id="5"/>
      <w:r>
        <w:rPr>
          <w:rFonts w:cs="Arial Unicode MS" w:eastAsia="Arial Unicode MS"/>
          <w:rtl w:val="0"/>
          <w:lang w:val="en-US"/>
        </w:rPr>
        <w:t xml:space="preserve">Academic Writing </w:t>
      </w:r>
      <w:bookmarkEnd w:id="5"/>
    </w:p>
    <w:p>
      <w:pPr>
        <w:pStyle w:val="Body"/>
      </w:pPr>
      <w:r>
        <w:rPr>
          <w:rtl w:val="0"/>
          <w:lang w:val="en-US"/>
        </w:rPr>
        <w:t>This more in-depth kind of writing has as its major purpose the dissemination of information on a certain subject matter that has been allocated for discussion or writing. In academic publications and institutions, it is used as a formal writing style (Petric, 2020). My professor once tasked me with creating a dissertation in the context of academic writing in the classroom. As a first-time academic writer, I was baffled by the requirements and the format of the paper I was needed to complete. I was unable to complete my dissertation since I was unable to find any relevant material on the websites. Although Ariyanti's instruction helped me grasp how to complete the dissertation, the formatting procedure and acquiring appropriate information were still a bit of a mystery to me (2016). My excitement was tempered by my trepidation. I was happy to learn new things that will help me in the future, but I was also apprehensive because I had no idea what to post on the given subject. As a learning experience in terms of a new style of academic writing, it was also a difficult one to put together. I began learning how to obtain intelligence for dissertations. According to Chin et al, I was able to focus more on my strategy and method and accurately analyzing the results because of this (2013). In the event that I have to write a paper, I will first thoroughly investigate the topic, then search for reliable material from reliable sources.</w:t>
      </w:r>
      <w:r>
        <w:rPr>
          <w:rFonts w:ascii="Arial Unicode MS" w:cs="Arial Unicode MS" w:hAnsi="Arial Unicode MS" w:eastAsia="Arial Unicode MS"/>
          <w:b w:val="0"/>
          <w:bCs w:val="0"/>
          <w:i w:val="0"/>
          <w:iCs w:val="0"/>
        </w:rPr>
        <w:br w:type="page"/>
      </w:r>
    </w:p>
    <w:p>
      <w:pPr>
        <w:pStyle w:val="Heading"/>
        <w:spacing w:after="160"/>
      </w:pPr>
      <w:bookmarkStart w:name="_Toc3" w:id="6"/>
      <w:bookmarkStart w:name="_headingh.1ksv4uv" w:id="7"/>
      <w:bookmarkEnd w:id="7"/>
      <w:r>
        <w:rPr>
          <w:rtl w:val="0"/>
        </w:rPr>
        <w:t>O</w:t>
      </w:r>
      <w:r>
        <w:rPr>
          <w:rtl w:val="0"/>
          <w:lang w:val="en-US"/>
        </w:rPr>
        <w:t>rganizing Study</w:t>
      </w:r>
      <w:bookmarkEnd w:id="6"/>
    </w:p>
    <w:p>
      <w:pPr>
        <w:pStyle w:val="Body"/>
      </w:pPr>
      <w:r>
        <w:rPr>
          <w:rtl w:val="0"/>
          <w:lang w:val="en-US"/>
        </w:rPr>
        <w:t>My ability to plan and arrange my studies was yet another thing I learned throughout my time in school. This is done to guarantee that pupils' education is not disturbed by the worldwide pandemic issue. I joined as in online course because I felt the need to brush up on certain skills during the outbreak. Online courses appealing to me because of its ease and the fact that I've been able to master the art of self-discipline. As a result of Wilson's guidance, I've become much better at taking notes and managing my time (2017). I've developed my capacity to absorb knowledge through online education. It's made me more personality and empathetic to the issue, as well as more knowledgeable about it. As a result of this, I feel that learning from the comfort of one's own home is really handy. It's also reasonably priced. I began to focus more on my thoughts during my schooling since it permitted me to go at my own speed. Despite the fact that I, too, too felt alone at times, I have improved my time management. In part, this was due to the fact that I was able to use the time I was saving by taking the classes online to do something productive. It's also helped me brush up on my rudimentary knowledge of computers and the internet. Additionally, it may be used to swiftly review lectures, allowing students to concentrate just on the material being presented on the current slide. I was also permitted to learn at my own pace during the session. Because of the lack of face-to-face connection, online courses has its drawbacks.</w:t>
      </w:r>
      <w:r>
        <w:rPr>
          <w:rFonts w:ascii="Arial Unicode MS" w:cs="Arial Unicode MS" w:hAnsi="Arial Unicode MS" w:eastAsia="Arial Unicode MS"/>
          <w:b w:val="0"/>
          <w:bCs w:val="0"/>
          <w:i w:val="0"/>
          <w:iCs w:val="0"/>
        </w:rPr>
        <w:br w:type="page"/>
      </w:r>
    </w:p>
    <w:p>
      <w:pPr>
        <w:pStyle w:val="Heading"/>
        <w:spacing w:after="160"/>
      </w:pPr>
      <w:bookmarkStart w:name="_Toc4" w:id="8"/>
      <w:r>
        <w:rPr>
          <w:rtl w:val="0"/>
          <w:lang w:val="en-US"/>
        </w:rPr>
        <w:t xml:space="preserve">Public Speaking and Presentation Skills </w:t>
      </w:r>
      <w:bookmarkEnd w:id="8"/>
    </w:p>
    <w:p>
      <w:pPr>
        <w:pStyle w:val="Body"/>
      </w:pPr>
      <w:r>
        <w:rPr>
          <w:rtl w:val="0"/>
          <w:lang w:val="en-US"/>
        </w:rPr>
        <w:t xml:space="preserve">Initial feelings of insecurity accompanied my learning of this module, as I was unsure of my ability to establish effective communication with others, or even have the confidence to participate in public speaking. I ultimately gained confidence as a result of my education and began participating in lectures and group presentations as a result. As a result of my active participation in the group sessions and public speaking, I gained a clear understanding of the need of creating mutual sense of teamwork between my fellow teammates. When I delivered something in front of everybody, I was able to maintain the attention of my audience due to my clear articulation and compelling presentational skills, as demonstrated by (Emden, 2016). To put it another way, this experience helped me to build a clear picture and realise the importance in understanding and satisfying the needs of different audiences when presenting different concerns to them. In addition to honing my public speaking abilities, I obtained proficiency with the PowerPoint presentation programme. It was helpful for me to have a better grasp of the importance of seamlessly integrating slides into presentations in order to enhance my presentational abilities. Because of the knowledge I learned from both motivation speaking and writing skills, as described by Beebe and Beebe, I was able to write sentences with proper grammar and communicate them to my audiences in a reasonable, cohesive manner (2018). It was through the practise of public speaking that I not only learned the craft of public speaking but also developed my writing skills. As a result of this training, I think that I am now improved able to maintain physical contact with and talk directly to my audience while presenting my speech. Along with the significance of memorising the themes effectively, it also showed me how to adjust my tone in accordance with the requirements of the topic so as to not feel boring and to emphasise the main aspects without making the topic feel repetitive. </w:t>
      </w:r>
    </w:p>
    <w:p>
      <w:pPr>
        <w:pStyle w:val="Body"/>
      </w:pPr>
      <w:r>
        <w:rPr>
          <w:rtl w:val="0"/>
          <w:lang w:val="en-US"/>
        </w:rPr>
        <w:t>My ideas and opinions regarding how I have improved my presentation and public speaking skills have been expressed using the Gibbs model of reflection, which was developed by Richard Gibbs. Based on an examination of Wikstr, As a whole, this framework consists of six phases that are separated into six subcategories based on the six stages of the model (2012). This paradigm was selected because it allows others to think about my learning experiences in a sequential manner. I had a favourable first impression despite the reality that I met a number of challenges. Even though it was difficult at first, I began to seek help from the facilitator as well as other more experienced students, and through them, I learned how to enhance my presenting and public speaking abilities. I did whatever I can to conquer my fear of speaking in front of a large crowd when the time came. As a youngster, I was quite nervous and apprehensive of appearing beside a huge audience. For me, the impulse to speak up before a huge audience was always tied to having strong beliefs on specific topics. Learning to speak outside a large audience has also made it evident to me how crucial it is to communicate clearly and concisely. An individual's self-assurance and faith in their conduct are symbolised by this (Bradbury, 2016). Having my opinions and sentiments communicated in this way by my superiors has been quite uplifting. My academic endeavours have been aided by these abilities, as I have learned how to speak effectively in front of a group or what to utilise Microsoft PowerPoint in an acceptable setting. The more I've studied, the more I've realised how important it is to know the ins and outs of PowerPoint and how to make the most of it. There are several advantages for college students to learning how to construct PowerPoint presentations, including the fact that it will help them in their future professional careers as well. For me, it has been a positive learning experience since I have increased my public speaking skills and learnt the value of utilising Microsoft PowerPoint, which itself is vital for success in life.</w:t>
      </w:r>
    </w:p>
    <w:p>
      <w:pPr>
        <w:pStyle w:val="Body"/>
      </w:pPr>
      <w:r>
        <w:rPr>
          <w:rFonts w:ascii="Arial Unicode MS" w:cs="Arial Unicode MS" w:hAnsi="Arial Unicode MS" w:eastAsia="Arial Unicode MS"/>
          <w:b w:val="0"/>
          <w:bCs w:val="0"/>
          <w:i w:val="0"/>
          <w:iCs w:val="0"/>
        </w:rPr>
        <w:br w:type="page"/>
      </w:r>
    </w:p>
    <w:p>
      <w:pPr>
        <w:pStyle w:val="Heading"/>
      </w:pPr>
      <w:bookmarkStart w:name="_Toc5" w:id="9"/>
      <w:r>
        <w:rPr>
          <w:rFonts w:cs="Arial Unicode MS" w:eastAsia="Arial Unicode MS"/>
          <w:rtl w:val="0"/>
          <w:lang w:val="fr-FR"/>
        </w:rPr>
        <w:t xml:space="preserve">Conclusion </w:t>
      </w:r>
      <w:bookmarkEnd w:id="9"/>
    </w:p>
    <w:p>
      <w:pPr>
        <w:pStyle w:val="Body"/>
      </w:pPr>
      <w:bookmarkStart w:name="_headingh.44sinio" w:id="10"/>
      <w:bookmarkEnd w:id="10"/>
      <w:r>
        <w:rPr>
          <w:rtl w:val="0"/>
        </w:rPr>
        <w:t>F</w:t>
      </w:r>
      <w:r>
        <w:rPr>
          <w:rtl w:val="0"/>
          <w:lang w:val="en-US"/>
        </w:rPr>
        <w:t>rom what I've just said, I've come to the conclusion that my time management, for example, have improved as a result of work - related process. I have also learned how to write academically in an appropriate manner. The most significant thing that I have learnt or improved is the ability to give effective presentations and talk eloquently in front of a group of people in a professional setting. These abilities are vital for the growth &amp; development of pupils in preparation for their future careers. It can be beneficial for both career and personal development to take this course. It was a happy moment for me, and I was able to get these valuable abilities, which will be highly useful in the future. While dealing with a pandemic situation, online learning may be extremely beneficial, and knowledge can be transferred more effectively through the use of online platforms.</w:t>
      </w:r>
      <w:r>
        <w:rPr>
          <w:rFonts w:ascii="Arial Unicode MS" w:cs="Arial Unicode MS" w:hAnsi="Arial Unicode MS" w:eastAsia="Arial Unicode MS"/>
          <w:b w:val="0"/>
          <w:bCs w:val="0"/>
          <w:i w:val="0"/>
          <w:iCs w:val="0"/>
        </w:rPr>
        <w:br w:type="page"/>
      </w:r>
    </w:p>
    <w:p>
      <w:pPr>
        <w:pStyle w:val="Heading"/>
        <w:spacing w:after="160"/>
      </w:pPr>
      <w:bookmarkStart w:name="_Toc6" w:id="11"/>
      <w:bookmarkStart w:name="_headingh.2jxsxqh" w:id="12"/>
      <w:bookmarkEnd w:id="12"/>
      <w:r>
        <w:rPr>
          <w:rtl w:val="0"/>
        </w:rPr>
        <w:t>R</w:t>
      </w:r>
      <w:r>
        <w:rPr>
          <w:rtl w:val="0"/>
          <w:lang w:val="fr-FR"/>
        </w:rPr>
        <w:t>eferences</w:t>
      </w:r>
      <w:bookmarkEnd w:id="11"/>
    </w:p>
    <w:p>
      <w:pPr>
        <w:pStyle w:val="Body"/>
        <w:ind w:left="720" w:hanging="720"/>
      </w:pPr>
      <w:r>
        <w:rPr>
          <w:rtl w:val="0"/>
        </w:rPr>
        <w:t>Ariyanti, A., 2016. Shaping students</w:t>
      </w:r>
      <w:r>
        <w:rPr>
          <w:rtl w:val="1"/>
        </w:rPr>
        <w:t xml:space="preserve">’ </w:t>
      </w:r>
      <w:r>
        <w:rPr>
          <w:rtl w:val="0"/>
          <w:lang w:val="en-US"/>
        </w:rPr>
        <w:t>writing skills: The study of fundamental aspects in mastering academic writing.</w:t>
      </w:r>
      <w:r>
        <w:rPr>
          <w:rtl w:val="0"/>
        </w:rPr>
        <w:t> </w:t>
      </w:r>
      <w:r>
        <w:rPr>
          <w:rtl w:val="0"/>
          <w:lang w:val="en-US"/>
        </w:rPr>
        <w:t>Indonesian Journal of EFL and Linguistics,</w:t>
      </w:r>
      <w:r>
        <w:rPr>
          <w:rtl w:val="0"/>
        </w:rPr>
        <w:t> </w:t>
      </w:r>
      <w:r>
        <w:rPr>
          <w:rtl w:val="0"/>
        </w:rPr>
        <w:t>1(1), pp.63-77.</w:t>
      </w:r>
    </w:p>
    <w:p>
      <w:pPr>
        <w:pStyle w:val="Body"/>
        <w:ind w:left="720" w:hanging="720"/>
      </w:pPr>
      <w:r>
        <w:rPr>
          <w:rtl w:val="0"/>
          <w:lang w:val="en-US"/>
        </w:rPr>
        <w:t>Beebe, S.A. and Beebe, S.J., 2010.</w:t>
      </w:r>
      <w:r>
        <w:rPr>
          <w:rtl w:val="0"/>
        </w:rPr>
        <w:t> </w:t>
      </w:r>
      <w:r>
        <w:rPr>
          <w:rtl w:val="0"/>
          <w:lang w:val="en-US"/>
        </w:rPr>
        <w:t>Public speaking handbook. Allyn &amp; Bacon.</w:t>
      </w:r>
    </w:p>
    <w:p>
      <w:pPr>
        <w:pStyle w:val="Body"/>
        <w:ind w:left="720" w:hanging="720"/>
      </w:pPr>
      <w:r>
        <w:rPr>
          <w:rtl w:val="0"/>
          <w:lang w:val="en-US"/>
        </w:rPr>
        <w:t>Bradbury, A.J., 2016.</w:t>
      </w:r>
      <w:r>
        <w:rPr>
          <w:rtl w:val="0"/>
        </w:rPr>
        <w:t> </w:t>
      </w:r>
      <w:r>
        <w:rPr>
          <w:rtl w:val="0"/>
          <w:lang w:val="en-US"/>
        </w:rPr>
        <w:t>Successful presentation skills</w:t>
      </w:r>
      <w:r>
        <w:rPr>
          <w:rtl w:val="0"/>
        </w:rPr>
        <w:t> </w:t>
      </w:r>
      <w:r>
        <w:rPr>
          <w:rtl w:val="0"/>
          <w:lang w:val="en-US"/>
        </w:rPr>
        <w:t>(Vol. 111). Kogan Page Publishers.</w:t>
      </w:r>
    </w:p>
    <w:p>
      <w:pPr>
        <w:pStyle w:val="Body"/>
        <w:ind w:left="720" w:hanging="720"/>
      </w:pPr>
      <w:r>
        <w:rPr>
          <w:rtl w:val="0"/>
        </w:rPr>
        <w:t>Chin, P., Reid, S., Wray, S. and Yamazaki, Y., 2013.</w:t>
      </w:r>
      <w:r>
        <w:rPr>
          <w:rtl w:val="0"/>
        </w:rPr>
        <w:t> </w:t>
      </w:r>
      <w:r>
        <w:rPr>
          <w:rtl w:val="0"/>
          <w:lang w:val="en-US"/>
        </w:rPr>
        <w:t>Academic Writing Skills 3 Student's Book</w:t>
      </w:r>
      <w:r>
        <w:rPr>
          <w:rtl w:val="0"/>
        </w:rPr>
        <w:t> </w:t>
      </w:r>
      <w:r>
        <w:rPr>
          <w:rtl w:val="0"/>
          <w:lang w:val="en-US"/>
        </w:rPr>
        <w:t>(Vol. 3). Cambridge University Press.</w:t>
      </w:r>
    </w:p>
    <w:p>
      <w:pPr>
        <w:pStyle w:val="Body"/>
        <w:ind w:left="720" w:hanging="720"/>
      </w:pPr>
      <w:r>
        <w:rPr>
          <w:rtl w:val="0"/>
        </w:rPr>
        <w:t>Emden, J., 2016.</w:t>
      </w:r>
      <w:r>
        <w:rPr>
          <w:rtl w:val="0"/>
        </w:rPr>
        <w:t> </w:t>
      </w:r>
      <w:r>
        <w:rPr>
          <w:rtl w:val="0"/>
          <w:lang w:val="en-US"/>
        </w:rPr>
        <w:t>Presentation skills for students. Macmillan International Higher Education.</w:t>
      </w:r>
    </w:p>
    <w:p>
      <w:pPr>
        <w:pStyle w:val="Body"/>
        <w:ind w:left="720" w:hanging="720"/>
      </w:pPr>
      <w:r>
        <w:rPr>
          <w:rtl w:val="0"/>
          <w:lang w:val="en-US"/>
        </w:rPr>
        <w:t>Grissom, J.A., Loeb, S. and Mitani, H., 2015. Principal time management skills: Explaining patterns in principals</w:t>
      </w:r>
      <w:r>
        <w:rPr>
          <w:rtl w:val="1"/>
        </w:rPr>
        <w:t xml:space="preserve">’ </w:t>
      </w:r>
      <w:r>
        <w:rPr>
          <w:rtl w:val="0"/>
          <w:lang w:val="en-US"/>
        </w:rPr>
        <w:t>time use, job stress, and perceived effectiveness.</w:t>
      </w:r>
      <w:r>
        <w:rPr>
          <w:rtl w:val="0"/>
        </w:rPr>
        <w:t> </w:t>
      </w:r>
      <w:r>
        <w:rPr>
          <w:rtl w:val="0"/>
          <w:lang w:val="en-US"/>
        </w:rPr>
        <w:t>Journal of Educational Administration.</w:t>
      </w:r>
    </w:p>
    <w:p>
      <w:pPr>
        <w:pStyle w:val="Body"/>
        <w:ind w:left="720" w:hanging="720"/>
      </w:pPr>
      <w:r>
        <w:rPr>
          <w:rtl w:val="0"/>
        </w:rPr>
        <w:t>Kaya, H., Kaya, N., Pallo</w:t>
      </w:r>
      <w:r>
        <w:rPr>
          <w:rtl w:val="0"/>
        </w:rPr>
        <w:t>ş</w:t>
      </w:r>
      <w:r>
        <w:rPr>
          <w:rtl w:val="0"/>
        </w:rPr>
        <w:t>, A.</w:t>
      </w:r>
      <w:r>
        <w:rPr>
          <w:rtl w:val="0"/>
        </w:rPr>
        <w:t>Ö</w:t>
      </w:r>
      <w:r>
        <w:rPr>
          <w:rtl w:val="0"/>
          <w:lang w:val="en-US"/>
        </w:rPr>
        <w:t>. and K</w:t>
      </w:r>
      <w:r>
        <w:rPr>
          <w:rtl w:val="0"/>
        </w:rPr>
        <w:t>üçü</w:t>
      </w:r>
      <w:r>
        <w:rPr>
          <w:rtl w:val="0"/>
          <w:lang w:val="en-US"/>
        </w:rPr>
        <w:t>k, L., 2016. Assessing time-management skills in terms of age, gender, and anxiety levels: A study on nursing and midwifery students in Turkey.</w:t>
      </w:r>
      <w:r>
        <w:rPr>
          <w:rtl w:val="0"/>
        </w:rPr>
        <w:t> </w:t>
      </w:r>
      <w:r>
        <w:rPr>
          <w:rtl w:val="0"/>
          <w:lang w:val="en-US"/>
        </w:rPr>
        <w:t>Nurse education in practice,</w:t>
      </w:r>
      <w:r>
        <w:rPr>
          <w:rtl w:val="0"/>
        </w:rPr>
        <w:t> </w:t>
      </w:r>
      <w:r>
        <w:rPr>
          <w:rtl w:val="0"/>
        </w:rPr>
        <w:t>12(5), pp.284-288.</w:t>
      </w:r>
    </w:p>
    <w:p>
      <w:pPr>
        <w:pStyle w:val="Body"/>
        <w:ind w:left="720" w:hanging="720"/>
      </w:pPr>
      <w:r>
        <w:rPr>
          <w:rtl w:val="0"/>
          <w:lang w:val="en-US"/>
        </w:rPr>
        <w:t>Pehlivan, A., 2013. The effect of the time management skills of students taking a financial accounting course on their course grades and grade point averages.</w:t>
      </w:r>
      <w:r>
        <w:rPr>
          <w:rtl w:val="0"/>
        </w:rPr>
        <w:t> </w:t>
      </w:r>
      <w:r>
        <w:rPr>
          <w:rtl w:val="0"/>
          <w:lang w:val="en-US"/>
        </w:rPr>
        <w:t>International Journal of Business and Social Science,</w:t>
      </w:r>
      <w:r>
        <w:rPr>
          <w:rtl w:val="0"/>
        </w:rPr>
        <w:t> </w:t>
      </w:r>
      <w:r>
        <w:rPr>
          <w:rtl w:val="0"/>
        </w:rPr>
        <w:t>4(5).</w:t>
      </w:r>
    </w:p>
    <w:p>
      <w:pPr>
        <w:pStyle w:val="Body"/>
        <w:ind w:left="720" w:hanging="720"/>
      </w:pPr>
      <w:r>
        <w:rPr>
          <w:rtl w:val="0"/>
          <w:lang w:val="en-US"/>
        </w:rPr>
        <w:t>Petric, B., 2020. Students' attitudes towards writing and the development of academic writing skills.</w:t>
      </w:r>
      <w:r>
        <w:rPr>
          <w:rtl w:val="0"/>
        </w:rPr>
        <w:t> </w:t>
      </w:r>
      <w:r>
        <w:rPr>
          <w:rtl w:val="0"/>
          <w:lang w:val="en-US"/>
        </w:rPr>
        <w:t>The Writing Center Journal,</w:t>
      </w:r>
      <w:r>
        <w:rPr>
          <w:rtl w:val="0"/>
        </w:rPr>
        <w:t> </w:t>
      </w:r>
      <w:r>
        <w:rPr>
          <w:rtl w:val="0"/>
        </w:rPr>
        <w:t>22(2), pp.9-27.</w:t>
      </w:r>
    </w:p>
    <w:p>
      <w:pPr>
        <w:pStyle w:val="Body"/>
        <w:ind w:left="720" w:hanging="720"/>
      </w:pPr>
      <w:r>
        <w:rPr>
          <w:rtl w:val="0"/>
          <w:lang w:val="en-US"/>
        </w:rPr>
        <w:t>Swart, A.J., Lombard, K. and de Jager, H., 2015. Exploring the relationship between time management skills and the academic achievement of African engineering students</w:t>
      </w:r>
      <w:r>
        <w:rPr>
          <w:rtl w:val="0"/>
        </w:rPr>
        <w:t>–</w:t>
      </w:r>
      <w:r>
        <w:rPr>
          <w:rtl w:val="0"/>
          <w:lang w:val="en-US"/>
        </w:rPr>
        <w:t>a case study.</w:t>
      </w:r>
      <w:r>
        <w:rPr>
          <w:rtl w:val="0"/>
        </w:rPr>
        <w:t> </w:t>
      </w:r>
      <w:r>
        <w:rPr>
          <w:rtl w:val="0"/>
          <w:lang w:val="en-US"/>
        </w:rPr>
        <w:t>European Journal of Engineering Education,</w:t>
      </w:r>
      <w:r>
        <w:rPr>
          <w:rtl w:val="0"/>
        </w:rPr>
        <w:t> </w:t>
      </w:r>
      <w:r>
        <w:rPr>
          <w:rtl w:val="0"/>
        </w:rPr>
        <w:t>35(1), pp.79-89.</w:t>
      </w:r>
    </w:p>
    <w:p>
      <w:pPr>
        <w:pStyle w:val="Body"/>
        <w:ind w:left="720" w:hanging="720"/>
      </w:pPr>
      <w:r>
        <w:rPr>
          <w:rtl w:val="0"/>
          <w:lang w:val="en-US"/>
        </w:rPr>
        <w:t>Wikstr, B.M., 2012. A visual art museum in Sweden as pedagogical scenery: Gibbs</w:t>
      </w:r>
      <w:r>
        <w:rPr>
          <w:rtl w:val="1"/>
        </w:rPr>
        <w:t xml:space="preserve">’ </w:t>
      </w:r>
      <w:r>
        <w:rPr>
          <w:rtl w:val="0"/>
          <w:lang w:val="en-US"/>
        </w:rPr>
        <w:t>reflective cycle guiding student nurses in the reflective process.</w:t>
      </w:r>
    </w:p>
    <w:p>
      <w:pPr>
        <w:pStyle w:val="Body"/>
        <w:ind w:left="720" w:hanging="720"/>
      </w:pPr>
      <w:r>
        <w:rPr>
          <w:rtl w:val="0"/>
          <w:lang w:val="en-US"/>
        </w:rPr>
        <w:t>Wilson, L., 2017.</w:t>
      </w:r>
      <w:r>
        <w:rPr>
          <w:rtl w:val="0"/>
        </w:rPr>
        <w:t> </w:t>
      </w:r>
      <w:r>
        <w:rPr>
          <w:rtl w:val="0"/>
          <w:lang w:val="en-US"/>
        </w:rPr>
        <w:t>The academic man: A study in the sociology of a profession. Routledge.</w:t>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tabs>
        <w:tab w:val="center" w:pos="4680"/>
        <w:tab w:val="right" w:pos="9340"/>
      </w:tabs>
      <w:spacing w:after="0" w:line="240" w:lineRule="auto"/>
      <w:jc w:val="right"/>
    </w:pPr>
    <w:r>
      <w:rPr>
        <w:outline w:val="0"/>
        <w:color w:val="000000"/>
        <w:u w:color="000000"/>
        <w:rtl w:val="0"/>
        <w14:textFill>
          <w14:solidFill>
            <w14:srgbClr w14:val="000000"/>
          </w14:solidFill>
        </w14:textFill>
      </w:rPr>
      <w:fldChar w:fldCharType="begin" w:fldLock="0"/>
    </w:r>
    <w:r>
      <w:rPr>
        <w:outline w:val="0"/>
        <w:color w:val="000000"/>
        <w:u w:color="000000"/>
        <w:rtl w:val="0"/>
        <w14:textFill>
          <w14:solidFill>
            <w14:srgbClr w14:val="000000"/>
          </w14:solidFill>
        </w14:textFill>
      </w:rPr>
      <w:instrText xml:space="preserve"> PAGE </w:instrText>
    </w:r>
    <w:r>
      <w:rPr>
        <w:outline w:val="0"/>
        <w:color w:val="000000"/>
        <w:u w:color="000000"/>
        <w:rtl w:val="0"/>
        <w14:textFill>
          <w14:solidFill>
            <w14:srgbClr w14:val="000000"/>
          </w14:solidFill>
        </w14:textFill>
      </w:rPr>
      <w:fldChar w:fldCharType="separate" w:fldLock="0"/>
    </w:r>
    <w:r>
      <w:rPr>
        <w:outline w:val="0"/>
        <w:color w:val="000000"/>
        <w:u w:color="000000"/>
        <w:rtl w:val="0"/>
        <w14:textFill>
          <w14:solidFill>
            <w14:srgbClr w14:val="000000"/>
          </w14:solidFill>
        </w14:textFill>
      </w:rPr>
    </w:r>
    <w:r>
      <w:rPr>
        <w:outline w:val="0"/>
        <w:color w:val="000000"/>
        <w:u w:color="000000"/>
        <w:rtl w:val="0"/>
        <w14:textFill>
          <w14:solidFill>
            <w14:srgbClr w14:val="000000"/>
          </w14:solidFill>
        </w14:textFill>
      </w:rPr>
      <w:fldChar w:fldCharType="end" w:fldLock="0"/>
    </w:r>
    <w:r>
      <w:rPr>
        <w:outline w:val="0"/>
        <w:color w:val="000000"/>
        <w:u w:color="000000"/>
        <w14:textFill>
          <w14:solidFill>
            <w14:srgbClr w14:val="000000"/>
          </w14:solidFill>
        </w14:textFill>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0" w:after="0" w:line="360" w:lineRule="auto"/>
      <w:ind w:left="0" w:right="0" w:firstLine="0"/>
      <w:jc w:val="both"/>
      <w:outlineLvl w:val="9"/>
    </w:pPr>
    <w:rPr>
      <w:rFonts w:ascii="Times New Roman" w:cs="Arial Unicode MS" w:hAnsi="Times New Roman" w:eastAsia="Arial Unicode MS"/>
      <w:b w:val="1"/>
      <w:bCs w:val="1"/>
      <w:i w:val="0"/>
      <w:iCs w:val="0"/>
      <w:caps w:val="0"/>
      <w:smallCaps w:val="0"/>
      <w:strike w:val="0"/>
      <w:dstrike w:val="0"/>
      <w:outline w:val="0"/>
      <w:color w:val="0070c0"/>
      <w:spacing w:val="0"/>
      <w:kern w:val="0"/>
      <w:position w:val="0"/>
      <w:sz w:val="28"/>
      <w:szCs w:val="28"/>
      <w:u w:val="none" w:color="0070c0"/>
      <w:shd w:val="nil" w:color="auto" w:fill="auto"/>
      <w:vertAlign w:val="baseline"/>
      <w:lang w:val="en-US"/>
      <w14:textFill>
        <w14:solidFill>
          <w14:srgbClr w14:val="0070C0"/>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70c0"/>
      <w:spacing w:val="0"/>
      <w:kern w:val="0"/>
      <w:position w:val="0"/>
      <w:sz w:val="28"/>
      <w:szCs w:val="28"/>
      <w:u w:val="none" w:color="0070c0"/>
      <w:shd w:val="nil" w:color="auto" w:fill="auto"/>
      <w:vertAlign w:val="baseline"/>
      <w14:textOutline>
        <w14:noFill/>
      </w14:textOutline>
      <w14:textFill>
        <w14:solidFill>
          <w14:srgbClr w14:val="0070C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