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E53C7D">
        <w:t>Nicholas Beynon</w:t>
      </w:r>
    </w:p>
    <w:p w:rsidR="007E4409" w:rsidRDefault="00E53C7D">
      <w:r>
        <w:t>PC 6680</w:t>
      </w:r>
      <w:r w:rsidR="00E41B08">
        <w:t xml:space="preserve"> - </w:t>
      </w:r>
      <w:r w:rsidR="007E4409">
        <w:t>South Wales Police</w:t>
      </w:r>
    </w:p>
    <w:p w:rsidR="00585F20" w:rsidRPr="00E53C7D" w:rsidRDefault="007E4409">
      <w:r>
        <w:t>Student Number</w:t>
      </w:r>
      <w:r w:rsidRPr="00E53C7D">
        <w:t xml:space="preserve">: </w:t>
      </w:r>
      <w:r w:rsidR="00E53C7D" w:rsidRPr="00E53C7D">
        <w:rPr>
          <w:rFonts w:ascii="Tahoma" w:hAnsi="Tahoma" w:cs="Tahoma"/>
          <w:bCs/>
          <w:sz w:val="21"/>
          <w:szCs w:val="21"/>
        </w:rPr>
        <w:t>1922454</w:t>
      </w:r>
    </w:p>
    <w:p w:rsidR="007E4409" w:rsidRDefault="00F643BE">
      <w:r>
        <w:t xml:space="preserve">Exam </w:t>
      </w:r>
      <w:r w:rsidR="00E53C7D">
        <w:t>2</w:t>
      </w:r>
      <w:r w:rsidR="00544969">
        <w:t xml:space="preserve"> – </w:t>
      </w:r>
      <w:r w:rsidR="00E53C7D">
        <w:t>16</w:t>
      </w:r>
      <w:r w:rsidR="00544969">
        <w:t>/</w:t>
      </w:r>
      <w:r w:rsidR="00E53C7D">
        <w:t>11</w:t>
      </w:r>
      <w:r w:rsidR="007E4409">
        <w:t>/2020</w:t>
      </w:r>
      <w:bookmarkStart w:id="0" w:name="_GoBack"/>
      <w:bookmarkEnd w:id="0"/>
    </w:p>
    <w:p w:rsidR="00682F3B" w:rsidRDefault="00682F3B"/>
    <w:p w:rsidR="00682F3B" w:rsidRDefault="00682F3B">
      <w:r>
        <w:t>Question 1</w:t>
      </w:r>
    </w:p>
    <w:p w:rsidR="00682F3B" w:rsidRDefault="00EC466B">
      <w:r>
        <w:t>A police constable in full uniform may stop any motor vehicle vehicle travelling on a road or any public place and any vehicle must stop if signalled to do so by a constable. Any person on a pedal cycle must also stop if signalled to do so.</w:t>
      </w:r>
    </w:p>
    <w:p w:rsidR="00682F3B" w:rsidRDefault="00682F3B"/>
    <w:p w:rsidR="00682F3B" w:rsidRDefault="00682F3B">
      <w:r>
        <w:t>Question 2</w:t>
      </w:r>
    </w:p>
    <w:p w:rsidR="00682F3B" w:rsidRDefault="00EC466B">
      <w:r>
        <w:t>Section 6(4) of the Road Traffic Act refers to an officer’s power to administer a road side breath analysis test following a moving traffic offence</w:t>
      </w:r>
      <w:r w:rsidR="00585F20">
        <w:t xml:space="preserve"> so long as the officer has reasonable suspicion to believe the driver has been involved in a moving traffic offence.</w:t>
      </w:r>
    </w:p>
    <w:p w:rsidR="00682F3B" w:rsidRDefault="00682F3B"/>
    <w:p w:rsidR="00682F3B" w:rsidRDefault="00682F3B" w:rsidP="00682F3B">
      <w:r>
        <w:t>Question 3</w:t>
      </w:r>
    </w:p>
    <w:p w:rsidR="00682F3B" w:rsidRDefault="00EC466B">
      <w:r>
        <w:t>A person is guilty of an offence if they drive a motor propelled vehicle on a road or public place without due care and attention and without consideration of other road users or users of that public place.</w:t>
      </w:r>
    </w:p>
    <w:p w:rsidR="00682F3B" w:rsidRDefault="00682F3B"/>
    <w:p w:rsidR="00682F3B" w:rsidRDefault="00682F3B" w:rsidP="00682F3B">
      <w:r>
        <w:t>Question 4</w:t>
      </w:r>
    </w:p>
    <w:p w:rsidR="00682F3B" w:rsidRDefault="00EC466B">
      <w:r>
        <w:t>Effective road policing powers will help reduce other areas of criminality as it has become increasingly apparent that criminals are using vehicles to conduct themselves. This is why searching of vehicles stopped under section 163 is vital. Drug dealers and those operating under ‘county lines’ are excellent examples of targeting under road traffic powers led by intelligence based policing.</w:t>
      </w:r>
    </w:p>
    <w:p w:rsidR="00682F3B" w:rsidRDefault="00682F3B"/>
    <w:p w:rsidR="00682F3B" w:rsidRDefault="00682F3B" w:rsidP="00682F3B">
      <w:r>
        <w:t>Question 5</w:t>
      </w:r>
    </w:p>
    <w:p w:rsidR="00682F3B" w:rsidRDefault="00EC466B">
      <w:r>
        <w:t xml:space="preserve">A constable may seize any motor vehicle if it cannot produce valid </w:t>
      </w:r>
      <w:r w:rsidR="001C0B1B">
        <w:t>certificate of insurance or are unable to provide names and addresses for a driver of a vehicle which has been witnessed driving on a road, has been involved in an offence or is suspected to have been involved in an offence or has been involved in a road traffic collision or is suspected to have been involved in a road traffic collision.</w:t>
      </w:r>
    </w:p>
    <w:p w:rsidR="00682F3B" w:rsidRDefault="00682F3B"/>
    <w:p w:rsidR="00DC3F28" w:rsidRDefault="00DC3F28" w:rsidP="00682F3B"/>
    <w:p w:rsidR="00DC3F28" w:rsidRDefault="00DC3F28" w:rsidP="00682F3B"/>
    <w:p w:rsidR="00DC3F28" w:rsidRDefault="00DC3F28" w:rsidP="00682F3B"/>
    <w:p w:rsidR="00682F3B" w:rsidRDefault="00682F3B" w:rsidP="00682F3B">
      <w:r>
        <w:lastRenderedPageBreak/>
        <w:t>Question 6</w:t>
      </w:r>
    </w:p>
    <w:p w:rsidR="00DC3F28" w:rsidRDefault="00DC3F28" w:rsidP="00682F3B"/>
    <w:p w:rsidR="00682F3B" w:rsidRDefault="00DC3F28">
      <w:r>
        <w:t>A reportable road traffic collision is when any person who is driving a mechanically propelled vehicle has an accident or collision on the road or any public place that has caused damage to any property or injury to any person.</w:t>
      </w:r>
    </w:p>
    <w:p w:rsidR="00682F3B" w:rsidRDefault="00682F3B"/>
    <w:p w:rsidR="00682F3B" w:rsidRDefault="00682F3B" w:rsidP="00682F3B">
      <w:r>
        <w:t>Question 7</w:t>
      </w:r>
    </w:p>
    <w:p w:rsidR="00682F3B" w:rsidRDefault="00682F3B"/>
    <w:p w:rsidR="00682F3B" w:rsidRDefault="001C0B1B">
      <w:r>
        <w:t xml:space="preserve">A family liaison officer acts as a first point of contact between the families of victims of road traffic fatalities and the police, they are specially trained to be sympathetic and with a wide range of knowledge of road traffic legislation in order to provide families with complete updates in regards to any ongoing investigations and outcomes for </w:t>
      </w:r>
      <w:r w:rsidR="00D55E6F">
        <w:t>road traffic fatalities. They provide an important service to families at a vulnerable time and give families a single point of contact to answer queries or concerns.</w:t>
      </w:r>
    </w:p>
    <w:p w:rsidR="00682F3B" w:rsidRDefault="00682F3B" w:rsidP="00682F3B">
      <w:r>
        <w:t>Question 8</w:t>
      </w:r>
    </w:p>
    <w:p w:rsidR="00682F3B" w:rsidRDefault="00585F20">
      <w:r>
        <w:t>Section 170 of the Road Traffic Act states that any persons involved in a road traffic collision must stop as soon as is reasonably practicable and exchange their information with the other party or parties. This includes their name and address as well as ideally a contact number. If there has been any form of injury at the location a person is also required to give the other party their insurance details.</w:t>
      </w:r>
    </w:p>
    <w:p w:rsidR="00585F20" w:rsidRDefault="00585F20">
      <w:r>
        <w:t>If a person is unable to provide these details at the scene for whatever reason, every effort must be taken to trace the other party as soon as is practicable and if unable a person must contact the police within 24 hours and report the incident.</w:t>
      </w:r>
    </w:p>
    <w:p w:rsidR="00682F3B" w:rsidRDefault="00682F3B"/>
    <w:p w:rsidR="00682F3B" w:rsidRDefault="00682F3B" w:rsidP="00682F3B">
      <w:r>
        <w:t>Question 9</w:t>
      </w:r>
    </w:p>
    <w:p w:rsidR="00682F3B" w:rsidRDefault="00585F20">
      <w:r>
        <w:t>Section 6E RTA gives constables (whether in uniform or not) the power to enter a house using reasonable force if necessary and deal with a driver for the offence of driving whilst over the prescribed limit. This power can be used either following a positive road side breath test should as subject make off from a constable, or prior to one if the suspect cannot provide a breath test sample or provide any satisfactory reason for why they would be unable to provide a breath test sample.</w:t>
      </w:r>
    </w:p>
    <w:p w:rsidR="00682F3B" w:rsidRDefault="00682F3B"/>
    <w:p w:rsidR="00682F3B" w:rsidRDefault="007F5501">
      <w:r>
        <w:t>Question 10</w:t>
      </w:r>
    </w:p>
    <w:p w:rsidR="00682F3B" w:rsidRDefault="00585F20">
      <w:r>
        <w:t>A person is guilty of an offence if they cause the death of another person whilst dangerously driving a motor propelled vehicle on a road or a public place.</w:t>
      </w:r>
    </w:p>
    <w:p w:rsidR="00682F3B" w:rsidRDefault="00682F3B" w:rsidP="00682F3B">
      <w:r>
        <w:t>Question 11</w:t>
      </w:r>
    </w:p>
    <w:p w:rsidR="00682F3B" w:rsidRDefault="007F5501">
      <w:r>
        <w:t xml:space="preserve">A person is guilty of an offence if following an examination they are over the prescribed limits for alcohol or a controlled drug. A preliminary examination can be carried out at the road side however a more detailed examination is required either at a police station or a hospital which will measure </w:t>
      </w:r>
      <w:r>
        <w:lastRenderedPageBreak/>
        <w:t xml:space="preserve">the amount of alcohol or a controlled drug in a person’s blood or urine. The prescribed limit of alcohol is 44mgs of alcohol per specimen. </w:t>
      </w:r>
    </w:p>
    <w:p w:rsidR="00682F3B" w:rsidRDefault="00682F3B"/>
    <w:p w:rsidR="00682F3B" w:rsidRDefault="00682F3B" w:rsidP="00682F3B">
      <w:r>
        <w:t>Question 12</w:t>
      </w:r>
    </w:p>
    <w:p w:rsidR="00682F3B" w:rsidRDefault="00682F3B"/>
    <w:p w:rsidR="00682F3B" w:rsidRDefault="007F5501">
      <w:r>
        <w:t>Other than the interviewing officers and the suspect a suspect is allowed to have legal representation in the interview with them this could come in the form of a solicitor or any other legal representative, their role is to protect their clients’ interests by providing them with a clear understanding of the law and to ensure that all lines of questioning are fair and legal. A suspect is entitled to legal advice at any point during an interview.</w:t>
      </w:r>
    </w:p>
    <w:p w:rsidR="007F5501" w:rsidRDefault="007F5501">
      <w:r>
        <w:t>A suspect is also allowed an appropriate adult depending on their vulnerability, mental ill health or other circumstances. An appropriate adult would be present to ensure that the suspect understands the questions put to them and are not there to answer in place of the suspect.</w:t>
      </w:r>
    </w:p>
    <w:p w:rsidR="007F5501" w:rsidRDefault="007F5501">
      <w:r>
        <w:t>Suspects are also entitled to an interpreter which are used in cases where a suspect does not speak English, English is not their first language or the suspect feels more comfortable speaking in another language.</w:t>
      </w:r>
    </w:p>
    <w:p w:rsidR="00682F3B" w:rsidRDefault="00682F3B" w:rsidP="00682F3B">
      <w:r>
        <w:t>Question 13</w:t>
      </w:r>
    </w:p>
    <w:p w:rsidR="00682F3B" w:rsidRDefault="007F5501">
      <w:r>
        <w:t>The police interviewing model uses the Mnemonic PEACE</w:t>
      </w:r>
    </w:p>
    <w:p w:rsidR="007F5501" w:rsidRDefault="007F5501">
      <w:r>
        <w:t>The P stands for planning and preparation which is where an officer has reviewed all information and evidence available to them, familiarising themselves with the case and any exhibits attached to the case at this time an officer would establish a</w:t>
      </w:r>
      <w:r w:rsidR="00E56D07">
        <w:t xml:space="preserve"> strategy and</w:t>
      </w:r>
      <w:r>
        <w:t xml:space="preserve"> plan for the interview identifying </w:t>
      </w:r>
      <w:r w:rsidR="00E56D07">
        <w:t>key topics to discuss and probe. These topics would be shared with a co-interviewer if necessary. It may also be necessary to prepare a solicitor or legal advisor briefing ahead of time to discuss this case with the legal representative of the suspect.</w:t>
      </w:r>
    </w:p>
    <w:p w:rsidR="00E56D07" w:rsidRDefault="00E56D07">
      <w:r>
        <w:t>The E stands for engage and explain. This section refers to any necessary information that a suspect is required to have prior to interview, it is a PACE requirement that a suspect be informed of topics including the information that an interview is being visually recorded and what would happen to that recording afterwards. The officer would use this time to explain what topics the officer intends to discuss during the course of the interview as well as any exhibits they may wish to bring to the suspects attention. The officer would outline the roles of everyone in the room including constables, solicitors, legal advisors, appropriate adults or translators. The officer would also caution the suspect at this stage to ensure that they are aware what they are saying may well be used in court if the case were to go to court.</w:t>
      </w:r>
      <w:r w:rsidR="00B575DB">
        <w:t xml:space="preserve"> The suspect would be advised also that the interview can be stopped at any time for free and independent legal advice.</w:t>
      </w:r>
    </w:p>
    <w:p w:rsidR="00E56D07" w:rsidRDefault="00E56D07">
      <w:r>
        <w:t>The A stands for account as well as challenges and clarifications, this section is where the bulk of the questioning would take place. Depending on the strategy decided during planning and preparation phase an officer may consider to begin with either an open or a closed question. Typically an officer should then continue around each of their topics in full allowing the suspect time to consider their answers.</w:t>
      </w:r>
      <w:r w:rsidR="001C57C3">
        <w:t xml:space="preserve"> This section is also when the officer would conduct the police agenda where the officer would ask questions to clarify the points to prove </w:t>
      </w:r>
      <w:r w:rsidR="00BA3566">
        <w:t>for an offence.</w:t>
      </w:r>
      <w:r>
        <w:t xml:space="preserve"> Once the suspect has answered (or chosen not to answer) each topic the officer would put to them any challenges or clarifications they </w:t>
      </w:r>
      <w:r>
        <w:lastRenderedPageBreak/>
        <w:t>wish to make. It is advised that challenges and clarifications are left to the end as cognitive load theory suggests tha</w:t>
      </w:r>
      <w:r w:rsidR="001C57C3">
        <w:t>t suspects would be less likely to provide a false account when challenged.</w:t>
      </w:r>
    </w:p>
    <w:p w:rsidR="00BA3566" w:rsidRDefault="00BA3566">
      <w:r>
        <w:t xml:space="preserve">The C stands for conclusion, this is where an interview would be formally concluded </w:t>
      </w:r>
      <w:r w:rsidR="00B575DB">
        <w:t>and a suspect advised of what would happen next in regards to the interview being used at court.</w:t>
      </w:r>
    </w:p>
    <w:p w:rsidR="00682F3B" w:rsidRDefault="00B575DB">
      <w:r>
        <w:t>The E stands for evaluation and this is where an officer would write up a summary of the interview for the custody record and the court case file as well as provide an opportunity for self-reflection as to how the interview was conducted.</w:t>
      </w:r>
    </w:p>
    <w:p w:rsidR="00682F3B" w:rsidRDefault="00682F3B" w:rsidP="00682F3B">
      <w:r>
        <w:t>Question 14</w:t>
      </w:r>
    </w:p>
    <w:p w:rsidR="00682F3B" w:rsidRDefault="00B575DB">
      <w:r>
        <w:t xml:space="preserve">A person is guilty of an offence if they physically, financially, emotionally or sexually </w:t>
      </w:r>
      <w:r w:rsidR="00DE06E2">
        <w:t xml:space="preserve">manipulate or </w:t>
      </w:r>
      <w:r>
        <w:t>control the behaviour of another person known to them in a close relationship or they bullies or otherwise coerces that person’s behaviour out of fear or intimidation.</w:t>
      </w:r>
    </w:p>
    <w:p w:rsidR="00682F3B" w:rsidRDefault="00682F3B"/>
    <w:p w:rsidR="00682F3B" w:rsidRDefault="00682F3B" w:rsidP="00682F3B">
      <w:r>
        <w:t>Question 15</w:t>
      </w:r>
    </w:p>
    <w:p w:rsidR="00682F3B" w:rsidRDefault="00B575DB">
      <w:r>
        <w:t>Recognising Coercive Control and the relatively new offence for it is so important because it has become increasingly prevalent that not all domestic abuse if physical. A person in a coercive controlling relationship can be made vulnerable by many factors, the main factors are physically, financially, emotionally or sexually. With abuser using any or all of these elements to maintain control over the other person. The victim need not to be physically assaulted to be controlled by the fear of being assaulted. The same is true for sexual offences. A controlling abuser would often seek to control all the finances to prevent their victim from feeling like they could escape from them, presenting them with ‘no other option’ but to stay with them. They would likewise use emotional abuse to control their victim, lowering their self-esteem and self</w:t>
      </w:r>
      <w:r w:rsidR="00233EB7">
        <w:t>-w</w:t>
      </w:r>
      <w:r>
        <w:t xml:space="preserve">orth </w:t>
      </w:r>
      <w:r w:rsidR="00233EB7">
        <w:t>as a further means of preventing escape. Officers need to be able to recognise these as offences and give the victims full information that helps them recognise that they are victims.</w:t>
      </w:r>
    </w:p>
    <w:p w:rsidR="00233EB7" w:rsidRDefault="00233EB7">
      <w:r>
        <w:t>The six stages of leaving posits that often victims of domestic abuse and coercive control do not recognise themselves as victims and recognition of them being victims is vital for them to escape the abuse.</w:t>
      </w:r>
    </w:p>
    <w:p w:rsidR="00682F3B" w:rsidRDefault="00682F3B"/>
    <w:p w:rsidR="00682F3B" w:rsidRDefault="00682F3B" w:rsidP="00682F3B">
      <w:r>
        <w:t>Question 16</w:t>
      </w:r>
    </w:p>
    <w:p w:rsidR="00233EB7" w:rsidRDefault="00233EB7" w:rsidP="00682F3B"/>
    <w:p w:rsidR="00233EB7" w:rsidRDefault="00233EB7" w:rsidP="00682F3B">
      <w:r>
        <w:t>If a constable reasonably believes that a child could suffer significant harm due to their circumstances they can issue a Police Protection Order (PPO) these allow officers to remove a child from their abode and away from their parent, parents or care giver for their own protection temporarily for up to 48 hours. This power under section 46 of the Children’s Act 1989 is not taken lightly and must be authorised by a superintendent or higher. The child must be taken to a place of safety, ideally with another care giver such as another parent or grandparent or other family member however if none are available or viable then social services can provide short term emergency care if necessary.</w:t>
      </w:r>
    </w:p>
    <w:p w:rsidR="00682F3B" w:rsidRDefault="00233EB7">
      <w:r>
        <w:t xml:space="preserve">This power gives officers time to apply to the courts for an Emergency Protection Order (EPO) which is where the courts examine a child’s circumstances and vulnerability and can if necessary provide </w:t>
      </w:r>
      <w:r>
        <w:lastRenderedPageBreak/>
        <w:t>the child with longer term protective care and in extreme cases have the child moved to a new permanent home for their own protection.</w:t>
      </w:r>
    </w:p>
    <w:p w:rsidR="00233EB7" w:rsidRDefault="00233EB7"/>
    <w:p w:rsidR="00682F3B" w:rsidRDefault="00682F3B" w:rsidP="00682F3B">
      <w:r>
        <w:t>Question 17</w:t>
      </w:r>
    </w:p>
    <w:p w:rsidR="00682F3B" w:rsidRDefault="00233EB7">
      <w:r>
        <w:t>It is an offence for any caregiver to allow a child to experience</w:t>
      </w:r>
      <w:r w:rsidR="00EA2F05">
        <w:t xml:space="preserve"> physical</w:t>
      </w:r>
      <w:r>
        <w:t xml:space="preserve"> violence, neglect or cruelty either through abuse or lack of care.</w:t>
      </w:r>
    </w:p>
    <w:p w:rsidR="00233EB7" w:rsidRDefault="00233EB7"/>
    <w:p w:rsidR="00682F3B" w:rsidRDefault="000E5258">
      <w:r>
        <w:t>Question 18</w:t>
      </w:r>
    </w:p>
    <w:p w:rsidR="000E5258" w:rsidRDefault="000E5258">
      <w:r>
        <w:t>There is a referral scheme in place for officers to raise concerns about children at risk of abuse. O</w:t>
      </w:r>
      <w:r w:rsidR="00DC3F28">
        <w:t>fficers can refer and risk assess cases where they identify vulnerable children to the public protection unit. These cases are reviewed at a MARAC or Multi Agency Risk Assessment Conference which is where the police, social services and any other relevant agency meet to discuss cases and what protective actions can be taken to minimise risk and prevent harm.</w:t>
      </w:r>
    </w:p>
    <w:p w:rsidR="00682F3B" w:rsidRDefault="00682F3B"/>
    <w:p w:rsidR="00682F3B" w:rsidRDefault="00682F3B" w:rsidP="00682F3B">
      <w:r>
        <w:t>Question 19</w:t>
      </w:r>
    </w:p>
    <w:p w:rsidR="00682F3B" w:rsidRDefault="00233EB7">
      <w:r>
        <w:t xml:space="preserve">The public protection notification process (or PPN) is a document used nationally across police forces, other emergency services and social care providers. It allows officers to highlight any areas of vulnerability to </w:t>
      </w:r>
      <w:r w:rsidR="001F3582">
        <w:t xml:space="preserve">other agencies. They are used for vulnerable adults, vulnerable children or when any person is considered at risk. The PPN is completed by the officer within the same tour of duty when they have an encounter with a vulnerable person or child. The officer fills out a </w:t>
      </w:r>
      <w:proofErr w:type="spellStart"/>
      <w:r w:rsidR="001F3582">
        <w:t>proforma</w:t>
      </w:r>
      <w:proofErr w:type="spellEnd"/>
      <w:r w:rsidR="001F3582">
        <w:t xml:space="preserve"> detailing their initial concerns and then has an opportunity for a free narrative. Consent should always be sought out before completing a PPN. Once the form is completed the officer must then risk assess it and give it a grading Red (High) Yellow (Medium) or Green (Standard). This information is then reviewed by the public protection department who then share it with their contacts in partner agencies. </w:t>
      </w:r>
    </w:p>
    <w:p w:rsidR="00682F3B" w:rsidRDefault="00682F3B"/>
    <w:p w:rsidR="00682F3B" w:rsidRDefault="00682F3B" w:rsidP="00682F3B">
      <w:r>
        <w:t>Question 20</w:t>
      </w:r>
    </w:p>
    <w:p w:rsidR="00682F3B" w:rsidRDefault="001F3582">
      <w:r>
        <w:t>South Wales Police policy in regards to domestic abuse calls for positive action, which suggests that an offender should be arrested and if possible charged for any offe</w:t>
      </w:r>
      <w:r w:rsidR="00EA2F2A">
        <w:t xml:space="preserve">nces. Even if a person is not charged officers can then apply for a DVPN a domestic violence protection notice. If authorised by an officer ranked superintendent or above these notices are served on offenders. They provide restrictions on the offender, such as ‘you cannot reside at the same abode as ‘the victim’’ or ‘you must not contact the victim by any means including electronically’ these restrictions can last up for 48 hours from a DVPN and allow the victim to have some ‘breathing space’ following an incident of domestic violence. </w:t>
      </w:r>
    </w:p>
    <w:p w:rsidR="00EA2F2A" w:rsidRDefault="00EA2F2A">
      <w:r>
        <w:t>In addition to the DVPN there is the DVPO Domestic Violence Protection Order, these are applied for by the police to the courts. They are similar in nature to the DVPN however the court needs to authorise them and the restrictions put in place last for up to 28 days. Often the police would apply for both a DVPN and DVPO simultaneously to provide the best protection they can to victims of domestic abuse.</w:t>
      </w:r>
    </w:p>
    <w:p w:rsidR="00682F3B" w:rsidRDefault="00682F3B"/>
    <w:p w:rsidR="00682F3B" w:rsidRDefault="00682F3B" w:rsidP="00682F3B">
      <w:r>
        <w:t>Question 21</w:t>
      </w:r>
    </w:p>
    <w:p w:rsidR="00682F3B" w:rsidRDefault="00EA2F2A">
      <w:r>
        <w:t>Child Sexual Exploitation is the process in which an adult coerces, intimidates, bullies or manipulates a child for their own means</w:t>
      </w:r>
      <w:r w:rsidR="00DE06E2">
        <w:t xml:space="preserve"> whether for sexual activity, financial or other personal gain</w:t>
      </w:r>
      <w:r>
        <w:t>.</w:t>
      </w:r>
      <w:r w:rsidR="00DE06E2">
        <w:t xml:space="preserve"> This can be done in a number of ways. Often adults will use the ‘fake relationship model’ where they target a vulnerable child and pretend to be their friend, or boyfriend/ girlfriend. Offenders will typically provide for the child in ways that other care givers would not, with designer clothes or other expensive items in an attempt to ‘build trust’ with the child. Over time however the abusers relationship would change asking for sexual favours in return or for them to do something illegal in return.</w:t>
      </w:r>
    </w:p>
    <w:p w:rsidR="00EC2E78" w:rsidRDefault="00EC2E78">
      <w:r>
        <w:t>Child Sexual Exploitation can take place over a long period of time or a short period of time depending on the nature and circumstances of the abuser. In some cases people will create a fake identity for themselves online to convince a child that they are trustworthy.</w:t>
      </w:r>
    </w:p>
    <w:p w:rsidR="00DE06E2" w:rsidRDefault="00DE06E2">
      <w:r>
        <w:t>In its most severe cases Child Sexual Exploitation leads children in to prostitution or drug rings. County lines operators frequently use children to mask their own operations.</w:t>
      </w:r>
    </w:p>
    <w:p w:rsidR="00682F3B" w:rsidRDefault="00682F3B"/>
    <w:p w:rsidR="00682F3B" w:rsidRDefault="00682F3B" w:rsidP="00682F3B">
      <w:r>
        <w:t>Question 22</w:t>
      </w:r>
    </w:p>
    <w:p w:rsidR="00682F3B" w:rsidRDefault="00EC2E78">
      <w:r>
        <w:t xml:space="preserve">The Child Sexual Offender Disclosure Scheme (CSODS) sometimes referred to as </w:t>
      </w:r>
      <w:proofErr w:type="spellStart"/>
      <w:r>
        <w:t>Sarahs</w:t>
      </w:r>
      <w:proofErr w:type="spellEnd"/>
      <w:r>
        <w:t xml:space="preserve"> Law is where concerned parties can apply to the police in order to receive information about a child’s care giver and to whether or not there is a history of sexual offending. This is typically used in cases where a parent has a new partner and concerns are raised regarding their behaviour. Information is not given out lightly and each application is closely reviewed to minimise risk and prevent breaches of the data protection act. Information would only ever be disclosed to a relevant party for the </w:t>
      </w:r>
      <w:r w:rsidR="000E5258">
        <w:t>child’s</w:t>
      </w:r>
      <w:r>
        <w:t xml:space="preserve"> protection. For example a grandparent who is not primary carer could raise concern for a child because of a new partner, the information would</w:t>
      </w:r>
      <w:r w:rsidR="000E5258">
        <w:t xml:space="preserve"> not be given to the grandparent but instead</w:t>
      </w:r>
      <w:r>
        <w:t xml:space="preserve"> be given to the primary carer if nec</w:t>
      </w:r>
      <w:r w:rsidR="000E5258">
        <w:t xml:space="preserve">essary. </w:t>
      </w:r>
    </w:p>
    <w:p w:rsidR="00682F3B" w:rsidRDefault="00682F3B"/>
    <w:p w:rsidR="00682F3B" w:rsidRDefault="00682F3B" w:rsidP="00682F3B">
      <w:r>
        <w:t>Question 23</w:t>
      </w:r>
    </w:p>
    <w:p w:rsidR="00682F3B" w:rsidRDefault="000E5258">
      <w:r>
        <w:t>In regard to rape and a victims consent the courts would always assume that any persons under the age of 13 would be unable to consent to any sexual activity. The courts would also examine each case on its own merit as to whether or not consent could be reasonably assumed on the part of the offender. In cases of unconsciousness (no matter the circumstances) the courts will assume that consent is not granted. It would be up to the defendant to prove consent in cases of a sexual offence. The court will also examine cases of diminished responsibility either through mental ill health or any other circumstances when determining whether consent could be reasonably assumed.</w:t>
      </w:r>
    </w:p>
    <w:p w:rsidR="00682F3B" w:rsidRDefault="00682F3B"/>
    <w:p w:rsidR="00682F3B" w:rsidRDefault="00682F3B" w:rsidP="00682F3B">
      <w:r>
        <w:t>Question 24</w:t>
      </w:r>
    </w:p>
    <w:p w:rsidR="00682F3B" w:rsidRDefault="004A0FB8">
      <w:r>
        <w:t>The overriding objectives of the procedural code are impartiality and fairness to seeing justice done in court.</w:t>
      </w:r>
    </w:p>
    <w:p w:rsidR="00682F3B" w:rsidRDefault="00682F3B" w:rsidP="00682F3B">
      <w:r>
        <w:lastRenderedPageBreak/>
        <w:t>Question 25</w:t>
      </w:r>
    </w:p>
    <w:p w:rsidR="00682F3B" w:rsidRDefault="00682F3B" w:rsidP="00682F3B"/>
    <w:p w:rsidR="00682F3B" w:rsidRDefault="000E5258" w:rsidP="00682F3B">
      <w:r>
        <w:t>Ran out of time.</w:t>
      </w:r>
    </w:p>
    <w:sectPr w:rsidR="00682F3B" w:rsidSect="00E53C7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2F05" w:rsidRDefault="00EA2F05" w:rsidP="00E53C7D">
      <w:pPr>
        <w:spacing w:after="0" w:line="240" w:lineRule="auto"/>
      </w:pPr>
      <w:r>
        <w:separator/>
      </w:r>
    </w:p>
  </w:endnote>
  <w:endnote w:type="continuationSeparator" w:id="0">
    <w:p w:rsidR="00EA2F05" w:rsidRDefault="00EA2F05" w:rsidP="00E53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Footer"/>
      <w:rPr>
        <w:color w:val="000000"/>
        <w:sz w:val="17"/>
      </w:rPr>
    </w:pPr>
    <w:bookmarkStart w:id="3" w:name="TITUS1FooterEvenPages"/>
    <w:r>
      <w:rPr>
        <w:color w:val="000000"/>
        <w:sz w:val="17"/>
      </w:rPr>
      <w:t> </w:t>
    </w:r>
  </w:p>
  <w:bookmarkEnd w:id="3"/>
  <w:p w:rsidR="00EA2F05" w:rsidRDefault="00EA2F05" w:rsidP="00EC466B">
    <w:pPr>
      <w:pStyle w:val="Footer"/>
    </w:pPr>
  </w:p>
  <w:p w:rsidR="00EA2F05" w:rsidRDefault="00EA2F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Footer"/>
      <w:rPr>
        <w:color w:val="000000"/>
        <w:sz w:val="17"/>
      </w:rPr>
    </w:pPr>
    <w:bookmarkStart w:id="4" w:name="TITUS1FooterPrimary"/>
    <w:r>
      <w:rPr>
        <w:color w:val="000000"/>
        <w:sz w:val="17"/>
      </w:rPr>
      <w:t> </w:t>
    </w:r>
  </w:p>
  <w:bookmarkEnd w:id="4"/>
  <w:p w:rsidR="00EA2F05" w:rsidRDefault="00EA2F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Footer"/>
      <w:rPr>
        <w:color w:val="000000"/>
        <w:sz w:val="17"/>
      </w:rPr>
    </w:pPr>
    <w:bookmarkStart w:id="6" w:name="TITUS1FooterFirstPage"/>
    <w:r>
      <w:rPr>
        <w:color w:val="000000"/>
        <w:sz w:val="17"/>
      </w:rPr>
      <w:t> </w:t>
    </w:r>
  </w:p>
  <w:bookmarkEnd w:id="6"/>
  <w:p w:rsidR="00EA2F05" w:rsidRDefault="00EA2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2F05" w:rsidRDefault="00EA2F05" w:rsidP="00E53C7D">
      <w:pPr>
        <w:spacing w:after="0" w:line="240" w:lineRule="auto"/>
      </w:pPr>
      <w:r>
        <w:separator/>
      </w:r>
    </w:p>
  </w:footnote>
  <w:footnote w:type="continuationSeparator" w:id="0">
    <w:p w:rsidR="00EA2F05" w:rsidRDefault="00EA2F05" w:rsidP="00E53C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Header"/>
      <w:rPr>
        <w:color w:val="000000"/>
        <w:sz w:val="17"/>
      </w:rPr>
    </w:pPr>
    <w:bookmarkStart w:id="1" w:name="TITUS1HeaderEvenPages"/>
    <w:r>
      <w:rPr>
        <w:color w:val="000000"/>
        <w:sz w:val="17"/>
      </w:rPr>
      <w:t> </w:t>
    </w:r>
  </w:p>
  <w:bookmarkEnd w:id="1"/>
  <w:p w:rsidR="00EA2F05" w:rsidRDefault="00EA2F05" w:rsidP="00EC466B">
    <w:pPr>
      <w:pStyle w:val="Header"/>
    </w:pPr>
  </w:p>
  <w:p w:rsidR="00EA2F05" w:rsidRDefault="00EA2F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Header"/>
      <w:rPr>
        <w:color w:val="000000"/>
        <w:sz w:val="17"/>
      </w:rPr>
    </w:pPr>
    <w:bookmarkStart w:id="2" w:name="TITUS1HeaderPrimary"/>
    <w:r>
      <w:rPr>
        <w:color w:val="000000"/>
        <w:sz w:val="17"/>
      </w:rPr>
      <w:t> </w:t>
    </w:r>
  </w:p>
  <w:bookmarkEnd w:id="2"/>
  <w:p w:rsidR="00EA2F05" w:rsidRDefault="00EA2F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2F05" w:rsidRDefault="00E91BD9" w:rsidP="00E91BD9">
    <w:pPr>
      <w:pStyle w:val="Header"/>
      <w:rPr>
        <w:color w:val="000000"/>
        <w:sz w:val="17"/>
      </w:rPr>
    </w:pPr>
    <w:bookmarkStart w:id="5" w:name="TITUS1HeaderFirstPage"/>
    <w:r>
      <w:rPr>
        <w:color w:val="000000"/>
        <w:sz w:val="17"/>
      </w:rPr>
      <w:t> </w:t>
    </w:r>
  </w:p>
  <w:bookmarkEnd w:id="5"/>
  <w:p w:rsidR="00EA2F05" w:rsidRDefault="00EA2F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2CF3"/>
    <w:rsid w:val="000E5258"/>
    <w:rsid w:val="00121DF7"/>
    <w:rsid w:val="001C0B1B"/>
    <w:rsid w:val="001C57C3"/>
    <w:rsid w:val="001F3582"/>
    <w:rsid w:val="00233EB7"/>
    <w:rsid w:val="00320A98"/>
    <w:rsid w:val="004A0FB8"/>
    <w:rsid w:val="00544969"/>
    <w:rsid w:val="00585F20"/>
    <w:rsid w:val="00682F3B"/>
    <w:rsid w:val="006E2168"/>
    <w:rsid w:val="00783FCE"/>
    <w:rsid w:val="007E4409"/>
    <w:rsid w:val="007F5501"/>
    <w:rsid w:val="00877432"/>
    <w:rsid w:val="00B575DB"/>
    <w:rsid w:val="00B81F37"/>
    <w:rsid w:val="00BA3566"/>
    <w:rsid w:val="00C2722F"/>
    <w:rsid w:val="00D55E6F"/>
    <w:rsid w:val="00DC3F28"/>
    <w:rsid w:val="00DE06E2"/>
    <w:rsid w:val="00DF5F05"/>
    <w:rsid w:val="00E41B08"/>
    <w:rsid w:val="00E53C7D"/>
    <w:rsid w:val="00E56D07"/>
    <w:rsid w:val="00E91BD9"/>
    <w:rsid w:val="00EA2F05"/>
    <w:rsid w:val="00EA2F2A"/>
    <w:rsid w:val="00EC2E78"/>
    <w:rsid w:val="00EC466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942D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C7D"/>
  </w:style>
  <w:style w:type="paragraph" w:styleId="Footer">
    <w:name w:val="footer"/>
    <w:basedOn w:val="Normal"/>
    <w:link w:val="FooterChar"/>
    <w:uiPriority w:val="99"/>
    <w:unhideWhenUsed/>
    <w:rsid w:val="00E53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C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2416</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Beynon,Nicholas swp6680</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