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0EB38" w14:textId="7B2F81E6" w:rsidR="00696636" w:rsidRPr="001A46CB" w:rsidRDefault="00000000" w:rsidP="001A46C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1A46CB">
        <w:rPr>
          <w:rFonts w:ascii="Arial" w:hAnsi="Arial" w:cs="Arial"/>
          <w:sz w:val="22"/>
          <w:szCs w:val="22"/>
          <w:lang w:val="en-GB"/>
        </w:rPr>
        <w:t>Marking Rubric for Usability Engineering Assignment 2</w:t>
      </w:r>
    </w:p>
    <w:tbl>
      <w:tblPr>
        <w:tblStyle w:val="TableGrid"/>
        <w:tblW w:w="14455" w:type="dxa"/>
        <w:tblLook w:val="04A0" w:firstRow="1" w:lastRow="0" w:firstColumn="1" w:lastColumn="0" w:noHBand="0" w:noVBand="1"/>
      </w:tblPr>
      <w:tblGrid>
        <w:gridCol w:w="1050"/>
        <w:gridCol w:w="1884"/>
        <w:gridCol w:w="1884"/>
        <w:gridCol w:w="1895"/>
        <w:gridCol w:w="1885"/>
        <w:gridCol w:w="1895"/>
        <w:gridCol w:w="1910"/>
        <w:gridCol w:w="2052"/>
      </w:tblGrid>
      <w:tr w:rsidR="004B4242" w:rsidRPr="001A46CB" w14:paraId="2D6840B8" w14:textId="77777777" w:rsidTr="004B4242">
        <w:trPr>
          <w:cantSplit/>
          <w:trHeight w:val="567"/>
        </w:trPr>
        <w:tc>
          <w:tcPr>
            <w:tcW w:w="29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6C41C9" w14:textId="76FBC7F1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STUDENT</w:t>
            </w:r>
          </w:p>
        </w:tc>
        <w:tc>
          <w:tcPr>
            <w:tcW w:w="7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6D1BE" w14:textId="16A32C99" w:rsidR="004B4242" w:rsidRPr="001A46CB" w:rsidRDefault="00A15B7C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Charlie Keirl</w:t>
            </w:r>
          </w:p>
        </w:tc>
        <w:tc>
          <w:tcPr>
            <w:tcW w:w="1910" w:type="dxa"/>
            <w:shd w:val="clear" w:color="auto" w:fill="auto"/>
            <w:vAlign w:val="center"/>
          </w:tcPr>
          <w:p w14:paraId="1C1956F1" w14:textId="6CC72078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GRADE</w:t>
            </w:r>
          </w:p>
        </w:tc>
        <w:tc>
          <w:tcPr>
            <w:tcW w:w="2052" w:type="dxa"/>
            <w:shd w:val="clear" w:color="auto" w:fill="auto"/>
            <w:vAlign w:val="center"/>
          </w:tcPr>
          <w:p w14:paraId="13292B21" w14:textId="20B6C762" w:rsidR="004B4242" w:rsidRPr="001A46CB" w:rsidRDefault="0014653A" w:rsidP="004B4242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4653A">
              <w:rPr>
                <w:rFonts w:ascii="Arial" w:hAnsi="Arial" w:cs="Arial"/>
                <w:b/>
                <w:bCs/>
                <w:color w:val="00B050"/>
                <w:sz w:val="36"/>
                <w:szCs w:val="36"/>
                <w:lang w:val="en-GB"/>
              </w:rPr>
              <w:t>58</w:t>
            </w:r>
          </w:p>
        </w:tc>
      </w:tr>
      <w:tr w:rsidR="001A46CB" w:rsidRPr="001A46CB" w14:paraId="7FF5D768" w14:textId="77777777" w:rsidTr="004B4242">
        <w:trPr>
          <w:cantSplit/>
          <w:trHeight w:val="567"/>
        </w:trPr>
        <w:tc>
          <w:tcPr>
            <w:tcW w:w="1050" w:type="dxa"/>
            <w:shd w:val="clear" w:color="auto" w:fill="D6E3BC" w:themeFill="accent3" w:themeFillTint="66"/>
          </w:tcPr>
          <w:p w14:paraId="3FCCC160" w14:textId="77777777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84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370ADA05" w14:textId="20E64DC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2D234748" w14:textId="13080DE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6E3BC" w:themeFill="accent3" w:themeFillTint="66"/>
          </w:tcPr>
          <w:p w14:paraId="54EA7634" w14:textId="3E42860A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3D7272F8" w14:textId="365AD001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4FD0A1A4" w14:textId="191CFE7C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6AB15774" w14:textId="41C57970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85" w:type="dxa"/>
            <w:shd w:val="clear" w:color="auto" w:fill="D6E3BC" w:themeFill="accent3" w:themeFillTint="66"/>
          </w:tcPr>
          <w:p w14:paraId="5855081C" w14:textId="085B8E2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3074E24C" w14:textId="11D5F642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95" w:type="dxa"/>
            <w:shd w:val="clear" w:color="auto" w:fill="D6E3BC" w:themeFill="accent3" w:themeFillTint="66"/>
          </w:tcPr>
          <w:p w14:paraId="11C8E7BB" w14:textId="3B691D00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0F1A3955" w14:textId="5124F49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910" w:type="dxa"/>
            <w:shd w:val="clear" w:color="auto" w:fill="D6E3BC" w:themeFill="accent3" w:themeFillTint="66"/>
          </w:tcPr>
          <w:p w14:paraId="2763D948" w14:textId="4A8A50A2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7C161C6F" w14:textId="636EA95A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2052" w:type="dxa"/>
            <w:shd w:val="clear" w:color="auto" w:fill="D6E3BC" w:themeFill="accent3" w:themeFillTint="66"/>
          </w:tcPr>
          <w:p w14:paraId="0000270A" w14:textId="37442334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774DD51E" w14:textId="3C937519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1A46CB" w:rsidRPr="001A46CB" w14:paraId="48AE1CF2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1555A632" w14:textId="77777777" w:rsidR="00696636" w:rsidRPr="001A46CB" w:rsidRDefault="00000000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Full-Colour Design Storyboards (30%)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D597EB" w14:textId="77777777" w:rsidR="00696636" w:rsidRPr="001A46CB" w:rsidRDefault="00000000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colour design storyboards submitted or those provided lack functionality and clarity. Major design flaws or omissions.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A31DE59" w14:textId="777777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poorly executed, with limited functionality and minimal improvement from wireframes. Major gaps in design logic.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62BDD36" w14:textId="5C970639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colour storyboards provided. Some functionality and design aspects are addressed, but improvements from wireframes are limited.</w:t>
            </w:r>
          </w:p>
        </w:tc>
        <w:tc>
          <w:tcPr>
            <w:tcW w:w="1885" w:type="dxa"/>
          </w:tcPr>
          <w:p w14:paraId="0BD25B81" w14:textId="105ED1FF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clear and demonstrate significant improvement from wireframes. Interaction design theory is applied but not always consistently.</w:t>
            </w:r>
          </w:p>
        </w:tc>
        <w:tc>
          <w:tcPr>
            <w:tcW w:w="1895" w:type="dxa"/>
          </w:tcPr>
          <w:p w14:paraId="200D1325" w14:textId="28D6A14F" w:rsidR="00696636" w:rsidRPr="001A46CB" w:rsidRDefault="0072622F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EEB8AC" wp14:editId="05CB7C74">
                      <wp:simplePos x="0" y="0"/>
                      <wp:positionH relativeFrom="column">
                        <wp:posOffset>-662364</wp:posOffset>
                      </wp:positionH>
                      <wp:positionV relativeFrom="paragraph">
                        <wp:posOffset>12227</wp:posOffset>
                      </wp:positionV>
                      <wp:extent cx="1201479" cy="1733107"/>
                      <wp:effectExtent l="19050" t="19050" r="36830" b="38735"/>
                      <wp:wrapNone/>
                      <wp:docPr id="194119075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7331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1F620C" id="Oval 1" o:spid="_x0000_s1026" style="position:absolute;margin-left:-52.15pt;margin-top:.95pt;width:94.6pt;height:136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" filled="f" strokecolor="#00b050" strokeweight="4.5pt"/>
                  </w:pict>
                </mc:Fallback>
              </mc:AlternateContent>
            </w:r>
            <w:r w:rsidRPr="001A46CB">
              <w:rPr>
                <w:rFonts w:ascii="Arial" w:hAnsi="Arial" w:cs="Arial"/>
                <w:lang w:val="en-GB"/>
              </w:rPr>
              <w:t>Well-designed, clear, and functional storyboards. Significant improvements from wireframes with good application of interaction design theory.</w:t>
            </w:r>
          </w:p>
        </w:tc>
        <w:tc>
          <w:tcPr>
            <w:tcW w:w="1910" w:type="dxa"/>
          </w:tcPr>
          <w:p w14:paraId="30A43D85" w14:textId="777777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Highly detailed, functional storyboards showing clear and thoughtful improvements from wireframes. Strong application of interaction design theory.</w:t>
            </w:r>
          </w:p>
        </w:tc>
        <w:tc>
          <w:tcPr>
            <w:tcW w:w="2052" w:type="dxa"/>
          </w:tcPr>
          <w:p w14:paraId="27D8F14F" w14:textId="777777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storyboards with outstanding detail and functionality. Significant, well-justified improvements informed by interaction design theory.</w:t>
            </w:r>
          </w:p>
        </w:tc>
      </w:tr>
      <w:tr w:rsidR="00017B7F" w:rsidRPr="001A46CB" w14:paraId="5D67F914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D5F7BCA" w14:textId="03FC3CB8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Prototype Feedback Collection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031CF7E3" w14:textId="7EB215E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095E6A8D" w14:textId="2BEC505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is weak or superficial. Limited alignment with personas or minimal depth in feedback analysis.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2A67B7" w14:textId="37C0270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feedback collection is described. Feedback aligns somewhat with personas but lacks depth in usability and emotional response analysis.</w:t>
            </w:r>
          </w:p>
        </w:tc>
        <w:tc>
          <w:tcPr>
            <w:tcW w:w="1885" w:type="dxa"/>
          </w:tcPr>
          <w:p w14:paraId="23D97C56" w14:textId="3B0B58A6" w:rsidR="001A46CB" w:rsidRPr="001A46CB" w:rsidRDefault="0072622F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61C43E" wp14:editId="56D64DA8">
                      <wp:simplePos x="0" y="0"/>
                      <wp:positionH relativeFrom="column">
                        <wp:posOffset>-664210</wp:posOffset>
                      </wp:positionH>
                      <wp:positionV relativeFrom="paragraph">
                        <wp:posOffset>24603</wp:posOffset>
                      </wp:positionV>
                      <wp:extent cx="1201479" cy="1733107"/>
                      <wp:effectExtent l="19050" t="19050" r="36830" b="38735"/>
                      <wp:wrapNone/>
                      <wp:docPr id="109584402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7331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68675D" id="Oval 1" o:spid="_x0000_s1026" style="position:absolute;margin-left:-52.3pt;margin-top:1.95pt;width:94.6pt;height:13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Clear feedback collection process, aligned with most personas. Usability and emotional feedback are analysed but with some gaps.</w:t>
            </w:r>
          </w:p>
        </w:tc>
        <w:tc>
          <w:tcPr>
            <w:tcW w:w="1895" w:type="dxa"/>
          </w:tcPr>
          <w:p w14:paraId="6983C7E9" w14:textId="4FAEF28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Thorough feedback collection process, aligned with personas. Feedback analysis is insightful and actionable.</w:t>
            </w:r>
          </w:p>
        </w:tc>
        <w:tc>
          <w:tcPr>
            <w:tcW w:w="1910" w:type="dxa"/>
          </w:tcPr>
          <w:p w14:paraId="7F991254" w14:textId="4693AE81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feedback collection process, aligned with personas, yielding actionable insights into usability and emotional response.</w:t>
            </w:r>
          </w:p>
        </w:tc>
        <w:tc>
          <w:tcPr>
            <w:tcW w:w="2052" w:type="dxa"/>
          </w:tcPr>
          <w:p w14:paraId="2E6114CE" w14:textId="2A9A598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feedback process with advanced insights. Feedback directly informs significant and well-justified design improvements.</w:t>
            </w:r>
          </w:p>
        </w:tc>
      </w:tr>
      <w:tr w:rsidR="00017B7F" w:rsidRPr="001A46CB" w14:paraId="51246690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695869A" w14:textId="733FDA7D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Data Collection Plan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59A800" w14:textId="73ADDC60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description of data collection provided or rationale for collecting data is unclear or irrelevant.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378ECA9D" w14:textId="5F640A2C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description of data collection but limited rationale. Methods for collecting data are superficial or poorly defined.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BFFAEDD" w14:textId="408173EE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Some description of data collection with reasonable rationale. Methods are partially defined but lack clarity or depth.</w:t>
            </w:r>
          </w:p>
        </w:tc>
        <w:tc>
          <w:tcPr>
            <w:tcW w:w="1885" w:type="dxa"/>
          </w:tcPr>
          <w:p w14:paraId="1AE45F94" w14:textId="15DF565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description of data collection with solid rationale. Methods are appropriate but lack some depth.</w:t>
            </w:r>
          </w:p>
        </w:tc>
        <w:tc>
          <w:tcPr>
            <w:tcW w:w="1895" w:type="dxa"/>
          </w:tcPr>
          <w:p w14:paraId="46337E04" w14:textId="3BFC5C6B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Well-thought-out description of data collection. Rationale is clear and methods are well-defined.</w:t>
            </w:r>
          </w:p>
        </w:tc>
        <w:tc>
          <w:tcPr>
            <w:tcW w:w="1910" w:type="dxa"/>
          </w:tcPr>
          <w:p w14:paraId="407643B5" w14:textId="61A64408" w:rsidR="001A46CB" w:rsidRPr="001A46CB" w:rsidRDefault="0072622F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31AE96" wp14:editId="3745B031">
                      <wp:simplePos x="0" y="0"/>
                      <wp:positionH relativeFrom="column">
                        <wp:posOffset>-80999</wp:posOffset>
                      </wp:positionH>
                      <wp:positionV relativeFrom="paragraph">
                        <wp:posOffset>41275</wp:posOffset>
                      </wp:positionV>
                      <wp:extent cx="1201479" cy="1401090"/>
                      <wp:effectExtent l="19050" t="19050" r="36830" b="46990"/>
                      <wp:wrapNone/>
                      <wp:docPr id="23301124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40109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762165" id="Oval 1" o:spid="_x0000_s1026" style="position:absolute;margin-left:-6.4pt;margin-top:3.25pt;width:94.6pt;height:110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Comprehensive description of data collection with clear and well-justified rationale. Methods are appropriate.</w:t>
            </w:r>
          </w:p>
        </w:tc>
        <w:tc>
          <w:tcPr>
            <w:tcW w:w="2052" w:type="dxa"/>
          </w:tcPr>
          <w:p w14:paraId="141051F2" w14:textId="1F2E8C24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plan for data collection with advanced insights. Rationale and methods are professional.</w:t>
            </w:r>
          </w:p>
        </w:tc>
      </w:tr>
      <w:tr w:rsidR="001A46CB" w:rsidRPr="001A46CB" w14:paraId="14C0CDAC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3B5FDF4B" w14:textId="58A7CA56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lastRenderedPageBreak/>
              <w:t>Usability vs. User Experience Design Analysis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680611D7" w14:textId="380A3A0E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discussion of usability vs. user experience or examples provided. No evidence of design conflicts considered.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BE75DE4" w14:textId="7B620BBD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Minimal discussion of usability vs. user experience. Limited or unclear examples provided. Few or no design conflicts addressed.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09C62E" w14:textId="13DA8421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discussion of usability vs. user experience. Some examples are provided, but analysis of conflicts is weak or superficial.</w:t>
            </w:r>
          </w:p>
        </w:tc>
        <w:tc>
          <w:tcPr>
            <w:tcW w:w="1885" w:type="dxa"/>
          </w:tcPr>
          <w:p w14:paraId="400477BA" w14:textId="410BA5AD" w:rsidR="001A46CB" w:rsidRPr="001A46CB" w:rsidRDefault="0072622F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1B2AE9" wp14:editId="2953E3DB">
                      <wp:simplePos x="0" y="0"/>
                      <wp:positionH relativeFrom="column">
                        <wp:posOffset>-679125</wp:posOffset>
                      </wp:positionH>
                      <wp:positionV relativeFrom="paragraph">
                        <wp:posOffset>12700</wp:posOffset>
                      </wp:positionV>
                      <wp:extent cx="1201479" cy="1884178"/>
                      <wp:effectExtent l="19050" t="19050" r="36830" b="40005"/>
                      <wp:wrapNone/>
                      <wp:docPr id="14813947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884178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399FEF" id="Oval 1" o:spid="_x0000_s1026" style="position:absolute;margin-left:-53.45pt;margin-top:1pt;width:94.6pt;height:148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Clear discussion of usability vs. user experience with relevant examples. Analysis of design conflicts is reasonable but lacks depth.</w:t>
            </w:r>
          </w:p>
        </w:tc>
        <w:tc>
          <w:tcPr>
            <w:tcW w:w="1895" w:type="dxa"/>
          </w:tcPr>
          <w:p w14:paraId="0671EA13" w14:textId="6EB12732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 xml:space="preserve">Thorough discussion of usability vs. user experience with well-chosen examples. Design conflicts are </w:t>
            </w:r>
            <w:r w:rsidR="006F3912" w:rsidRPr="001A46CB">
              <w:rPr>
                <w:rFonts w:ascii="Arial" w:hAnsi="Arial" w:cs="Arial"/>
                <w:lang w:val="en-GB"/>
              </w:rPr>
              <w:t>analysed</w:t>
            </w:r>
            <w:r w:rsidRPr="001A46CB">
              <w:rPr>
                <w:rFonts w:ascii="Arial" w:hAnsi="Arial" w:cs="Arial"/>
                <w:lang w:val="en-GB"/>
              </w:rPr>
              <w:t xml:space="preserve"> with thoughtful resolution.</w:t>
            </w:r>
          </w:p>
        </w:tc>
        <w:tc>
          <w:tcPr>
            <w:tcW w:w="1910" w:type="dxa"/>
          </w:tcPr>
          <w:p w14:paraId="5B2D83A9" w14:textId="60EB8786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discussion of usability vs. user experience with insightful examples. Conflicts are resolved with a strong understanding of design principles.</w:t>
            </w:r>
          </w:p>
        </w:tc>
        <w:tc>
          <w:tcPr>
            <w:tcW w:w="2052" w:type="dxa"/>
          </w:tcPr>
          <w:p w14:paraId="7C20E366" w14:textId="46BB12F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discussion of usability vs. user experience with advanced insights. Design conflicts are resolved creatively and effectively.</w:t>
            </w:r>
          </w:p>
        </w:tc>
      </w:tr>
      <w:tr w:rsidR="001A46CB" w:rsidRPr="001A46CB" w14:paraId="0BC60645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51CFC34" w14:textId="16985C3A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Presentation &amp; References (10%)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240448C9" w14:textId="6E16E91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5368FE17" w14:textId="7FFA321C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DE8A599" w14:textId="3BC52E60" w:rsidR="001A46CB" w:rsidRPr="001A46CB" w:rsidRDefault="0072622F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8D2E25" wp14:editId="5E8F8912">
                      <wp:simplePos x="0" y="0"/>
                      <wp:positionH relativeFrom="column">
                        <wp:posOffset>-49914</wp:posOffset>
                      </wp:positionH>
                      <wp:positionV relativeFrom="paragraph">
                        <wp:posOffset>13335</wp:posOffset>
                      </wp:positionV>
                      <wp:extent cx="1201479" cy="1575833"/>
                      <wp:effectExtent l="19050" t="19050" r="36830" b="43815"/>
                      <wp:wrapNone/>
                      <wp:docPr id="99002418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575833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24F38D" id="Oval 1" o:spid="_x0000_s1026" style="position:absolute;margin-left:-3.95pt;margin-top:1.05pt;width:94.6pt;height:124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85" w:type="dxa"/>
          </w:tcPr>
          <w:p w14:paraId="6125D857" w14:textId="09B33A03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95" w:type="dxa"/>
          </w:tcPr>
          <w:p w14:paraId="03E961E4" w14:textId="2473B5E6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910" w:type="dxa"/>
          </w:tcPr>
          <w:p w14:paraId="2B5D2AF7" w14:textId="0615F9D2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2052" w:type="dxa"/>
          </w:tcPr>
          <w:p w14:paraId="304615FB" w14:textId="141DA8C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5A99410F" w14:textId="77777777" w:rsidR="00696636" w:rsidRDefault="00696636">
      <w:pPr>
        <w:rPr>
          <w:rFonts w:ascii="Arial" w:hAnsi="Arial" w:cs="Arial"/>
          <w:lang w:val="en-GB"/>
        </w:rPr>
      </w:pPr>
    </w:p>
    <w:p w14:paraId="0EE4561D" w14:textId="5B6937C5" w:rsidR="004B4242" w:rsidRPr="004B4242" w:rsidRDefault="004B4242">
      <w:pPr>
        <w:rPr>
          <w:rFonts w:ascii="Arial" w:hAnsi="Arial" w:cs="Arial"/>
          <w:b/>
          <w:bCs/>
          <w:lang w:val="en-GB"/>
        </w:rPr>
      </w:pPr>
      <w:r w:rsidRPr="004B4242">
        <w:rPr>
          <w:rFonts w:ascii="Arial" w:hAnsi="Arial" w:cs="Arial"/>
          <w:b/>
          <w:bCs/>
          <w:lang w:val="en-GB"/>
        </w:rPr>
        <w:t>COMMENTS</w:t>
      </w:r>
    </w:p>
    <w:p w14:paraId="43CE8B8B" w14:textId="1ACB1D4B" w:rsidR="004B4242" w:rsidRPr="001A46CB" w:rsidRDefault="000F13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Always start the main body of the text on a new page after the table of contents. Remember not to use “I” in technical writing. </w:t>
      </w:r>
      <w:r w:rsidR="0072622F">
        <w:rPr>
          <w:rFonts w:ascii="Arial" w:hAnsi="Arial" w:cs="Arial"/>
          <w:lang w:val="en-GB"/>
        </w:rPr>
        <w:t xml:space="preserve">Very good use of the University colours for branding. </w:t>
      </w:r>
      <w:r w:rsidR="0014653A">
        <w:rPr>
          <w:rFonts w:ascii="Arial" w:hAnsi="Arial" w:cs="Arial"/>
          <w:lang w:val="en-GB"/>
        </w:rPr>
        <w:t xml:space="preserve">A good consideration of data collection – lots of options. </w:t>
      </w:r>
      <w:r w:rsidR="0072622F">
        <w:rPr>
          <w:rFonts w:ascii="Arial" w:hAnsi="Arial" w:cs="Arial"/>
          <w:lang w:val="en-GB"/>
        </w:rPr>
        <w:t>It would be better to summarise the feedback in the main text and put the actual feedback in an appendix. You should NEVER name the testers.</w:t>
      </w:r>
    </w:p>
    <w:sectPr w:rsidR="004B4242" w:rsidRPr="001A46CB" w:rsidSect="004B424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8886984">
    <w:abstractNumId w:val="8"/>
  </w:num>
  <w:num w:numId="2" w16cid:durableId="1552382544">
    <w:abstractNumId w:val="6"/>
  </w:num>
  <w:num w:numId="3" w16cid:durableId="910505808">
    <w:abstractNumId w:val="5"/>
  </w:num>
  <w:num w:numId="4" w16cid:durableId="961888410">
    <w:abstractNumId w:val="4"/>
  </w:num>
  <w:num w:numId="5" w16cid:durableId="1157963874">
    <w:abstractNumId w:val="7"/>
  </w:num>
  <w:num w:numId="6" w16cid:durableId="1421681299">
    <w:abstractNumId w:val="3"/>
  </w:num>
  <w:num w:numId="7" w16cid:durableId="150408120">
    <w:abstractNumId w:val="2"/>
  </w:num>
  <w:num w:numId="8" w16cid:durableId="330912110">
    <w:abstractNumId w:val="1"/>
  </w:num>
  <w:num w:numId="9" w16cid:durableId="9509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B7F"/>
    <w:rsid w:val="00034616"/>
    <w:rsid w:val="0006063C"/>
    <w:rsid w:val="000F13E2"/>
    <w:rsid w:val="0014653A"/>
    <w:rsid w:val="0015074B"/>
    <w:rsid w:val="001A46CB"/>
    <w:rsid w:val="0029639D"/>
    <w:rsid w:val="00326F90"/>
    <w:rsid w:val="003D0F78"/>
    <w:rsid w:val="004B4242"/>
    <w:rsid w:val="00696636"/>
    <w:rsid w:val="006F3912"/>
    <w:rsid w:val="0072622F"/>
    <w:rsid w:val="007B3BA3"/>
    <w:rsid w:val="007C2666"/>
    <w:rsid w:val="00892F09"/>
    <w:rsid w:val="00A15B7C"/>
    <w:rsid w:val="00A21E94"/>
    <w:rsid w:val="00AA1D8D"/>
    <w:rsid w:val="00B47730"/>
    <w:rsid w:val="00CB0664"/>
    <w:rsid w:val="00CB4CF8"/>
    <w:rsid w:val="00D826E8"/>
    <w:rsid w:val="00DA6473"/>
    <w:rsid w:val="00EE0E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70CD8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5</cp:revision>
  <dcterms:created xsi:type="dcterms:W3CDTF">2025-01-27T12:48:00Z</dcterms:created>
  <dcterms:modified xsi:type="dcterms:W3CDTF">2025-01-29T12:33:00Z</dcterms:modified>
  <cp:category/>
</cp:coreProperties>
</file>