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0E1FB" w14:textId="77777777" w:rsidR="00F51772" w:rsidRDefault="00F51772" w:rsidP="00F51772">
      <w:pPr>
        <w:spacing w:after="200" w:line="276" w:lineRule="auto"/>
        <w:jc w:val="center"/>
        <w:rPr>
          <w:rFonts w:ascii="Arial" w:eastAsia="Calibri" w:hAnsi="Arial" w:cs="Arial"/>
          <w:b/>
          <w:color w:val="auto"/>
          <w:sz w:val="28"/>
        </w:rPr>
      </w:pPr>
    </w:p>
    <w:p w14:paraId="0B8BEA6E" w14:textId="77777777" w:rsidR="00F51772" w:rsidRDefault="00F51772" w:rsidP="00F51772">
      <w:pPr>
        <w:spacing w:after="200" w:line="276" w:lineRule="auto"/>
        <w:jc w:val="center"/>
        <w:rPr>
          <w:rFonts w:ascii="Arial" w:eastAsia="Calibri" w:hAnsi="Arial" w:cs="Arial"/>
          <w:b/>
          <w:color w:val="auto"/>
          <w:sz w:val="28"/>
        </w:rPr>
      </w:pPr>
    </w:p>
    <w:p w14:paraId="7CFCED5D" w14:textId="77777777" w:rsidR="00F51772" w:rsidRDefault="00F51772" w:rsidP="00F51772">
      <w:pPr>
        <w:spacing w:after="200" w:line="276" w:lineRule="auto"/>
        <w:jc w:val="center"/>
        <w:rPr>
          <w:rFonts w:ascii="Arial" w:eastAsia="Calibri" w:hAnsi="Arial" w:cs="Arial"/>
          <w:b/>
          <w:color w:val="auto"/>
          <w:sz w:val="28"/>
        </w:rPr>
      </w:pPr>
    </w:p>
    <w:p w14:paraId="6C9FB665" w14:textId="77777777" w:rsidR="00F51772" w:rsidRDefault="00F51772" w:rsidP="00F51772">
      <w:pPr>
        <w:spacing w:after="200" w:line="276" w:lineRule="auto"/>
        <w:jc w:val="center"/>
        <w:rPr>
          <w:rFonts w:ascii="Arial" w:eastAsia="Calibri" w:hAnsi="Arial" w:cs="Arial"/>
          <w:b/>
          <w:color w:val="auto"/>
          <w:sz w:val="28"/>
        </w:rPr>
      </w:pPr>
    </w:p>
    <w:p w14:paraId="44423E41" w14:textId="77777777" w:rsidR="00F51772" w:rsidRDefault="00F51772" w:rsidP="00F51772">
      <w:pPr>
        <w:spacing w:after="200" w:line="276" w:lineRule="auto"/>
        <w:jc w:val="center"/>
        <w:rPr>
          <w:rFonts w:ascii="Arial" w:eastAsia="Calibri" w:hAnsi="Arial" w:cs="Arial"/>
          <w:b/>
          <w:color w:val="auto"/>
          <w:sz w:val="28"/>
        </w:rPr>
      </w:pPr>
    </w:p>
    <w:p w14:paraId="33143295" w14:textId="77777777" w:rsidR="00F51772" w:rsidRDefault="00F51772" w:rsidP="00F51772">
      <w:pPr>
        <w:spacing w:after="200" w:line="276" w:lineRule="auto"/>
        <w:jc w:val="center"/>
        <w:rPr>
          <w:rFonts w:ascii="Arial" w:eastAsia="Calibri" w:hAnsi="Arial" w:cs="Arial"/>
          <w:b/>
          <w:color w:val="auto"/>
          <w:sz w:val="28"/>
        </w:rPr>
      </w:pPr>
    </w:p>
    <w:p w14:paraId="565A8576" w14:textId="08645BD9" w:rsidR="00F51772" w:rsidRPr="00F51772" w:rsidRDefault="00F51772" w:rsidP="00F51772">
      <w:pPr>
        <w:spacing w:after="200" w:line="276" w:lineRule="auto"/>
        <w:jc w:val="center"/>
        <w:rPr>
          <w:rFonts w:ascii="Arial" w:eastAsia="Calibri" w:hAnsi="Arial" w:cs="Arial"/>
          <w:b/>
          <w:color w:val="auto"/>
          <w:sz w:val="44"/>
        </w:rPr>
      </w:pPr>
      <w:r w:rsidRPr="00F51772">
        <w:rPr>
          <w:rFonts w:ascii="Arial" w:eastAsia="Calibri" w:hAnsi="Arial" w:cs="Arial"/>
          <w:b/>
          <w:color w:val="auto"/>
          <w:sz w:val="44"/>
        </w:rPr>
        <w:t xml:space="preserve">BMHP5014 - Changemakers: Creativity and Value Creation  </w:t>
      </w:r>
    </w:p>
    <w:p w14:paraId="316F178B" w14:textId="5CD12344" w:rsidR="00F51772" w:rsidRPr="00F51772" w:rsidRDefault="00F51772" w:rsidP="00F51772">
      <w:pPr>
        <w:spacing w:after="200" w:line="276" w:lineRule="auto"/>
        <w:jc w:val="center"/>
        <w:rPr>
          <w:rFonts w:ascii="Arial" w:eastAsia="Calibri" w:hAnsi="Arial" w:cs="Arial"/>
          <w:b/>
          <w:color w:val="auto"/>
          <w:sz w:val="32"/>
        </w:rPr>
      </w:pPr>
      <w:r w:rsidRPr="00F51772">
        <w:rPr>
          <w:rFonts w:ascii="Arial" w:eastAsia="Calibri" w:hAnsi="Arial" w:cs="Arial"/>
          <w:b/>
          <w:color w:val="auto"/>
          <w:sz w:val="32"/>
        </w:rPr>
        <w:t xml:space="preserve">Title: </w:t>
      </w:r>
      <w:r w:rsidRPr="00F51772">
        <w:rPr>
          <w:rFonts w:ascii="Arial" w:eastAsia="Calibri" w:hAnsi="Arial" w:cs="Arial"/>
          <w:b/>
          <w:i/>
          <w:color w:val="auto"/>
          <w:sz w:val="32"/>
        </w:rPr>
        <w:t>An NHS-linked autism and SEND pathway navigator for children in England</w:t>
      </w:r>
    </w:p>
    <w:p w14:paraId="089536E9" w14:textId="77777777" w:rsidR="00F51772" w:rsidRDefault="00F51772" w:rsidP="00F51772">
      <w:pPr>
        <w:spacing w:after="200" w:line="276" w:lineRule="auto"/>
        <w:jc w:val="center"/>
        <w:rPr>
          <w:rFonts w:ascii="Arial" w:eastAsia="Calibri" w:hAnsi="Arial" w:cs="Arial"/>
          <w:b/>
          <w:color w:val="auto"/>
          <w:sz w:val="28"/>
        </w:rPr>
      </w:pPr>
    </w:p>
    <w:p w14:paraId="70C44DC4" w14:textId="77777777" w:rsidR="00F51772" w:rsidRDefault="00F51772" w:rsidP="00F51772">
      <w:pPr>
        <w:spacing w:after="200" w:line="276" w:lineRule="auto"/>
        <w:jc w:val="center"/>
        <w:rPr>
          <w:rFonts w:ascii="Arial" w:eastAsia="Calibri" w:hAnsi="Arial" w:cs="Arial"/>
          <w:b/>
          <w:color w:val="auto"/>
          <w:sz w:val="28"/>
        </w:rPr>
      </w:pPr>
    </w:p>
    <w:p w14:paraId="5290D3F2" w14:textId="44D66A99" w:rsidR="00F51772" w:rsidRDefault="00F51772" w:rsidP="00F51772">
      <w:pPr>
        <w:spacing w:after="200" w:line="276" w:lineRule="auto"/>
        <w:jc w:val="center"/>
        <w:rPr>
          <w:rFonts w:ascii="Arial" w:eastAsia="Calibri" w:hAnsi="Arial" w:cs="Arial"/>
          <w:b/>
          <w:color w:val="auto"/>
          <w:sz w:val="28"/>
        </w:rPr>
      </w:pPr>
      <w:r w:rsidRPr="00F51772">
        <w:rPr>
          <w:rFonts w:ascii="Arial" w:eastAsia="Calibri" w:hAnsi="Arial" w:cs="Arial"/>
          <w:b/>
          <w:color w:val="auto"/>
          <w:sz w:val="28"/>
        </w:rPr>
        <w:t xml:space="preserve">Student Name: </w:t>
      </w:r>
      <w:proofErr w:type="spellStart"/>
      <w:r w:rsidRPr="00F51772">
        <w:rPr>
          <w:rFonts w:ascii="Arial" w:eastAsia="Calibri" w:hAnsi="Arial" w:cs="Arial"/>
          <w:b/>
          <w:color w:val="auto"/>
          <w:sz w:val="28"/>
        </w:rPr>
        <w:t>Grecischin</w:t>
      </w:r>
      <w:proofErr w:type="spellEnd"/>
      <w:r w:rsidRPr="00F51772">
        <w:rPr>
          <w:rFonts w:ascii="Arial" w:eastAsia="Calibri" w:hAnsi="Arial" w:cs="Arial"/>
          <w:b/>
          <w:color w:val="auto"/>
          <w:sz w:val="28"/>
        </w:rPr>
        <w:t xml:space="preserve"> Dina</w:t>
      </w:r>
    </w:p>
    <w:p w14:paraId="5424F6F0" w14:textId="0967A78F" w:rsidR="00F51772" w:rsidRPr="00F51772" w:rsidRDefault="00F51772" w:rsidP="00F51772">
      <w:pPr>
        <w:spacing w:after="200" w:line="276" w:lineRule="auto"/>
        <w:jc w:val="center"/>
        <w:rPr>
          <w:rFonts w:ascii="Arial" w:eastAsia="Calibri" w:hAnsi="Arial" w:cs="Arial"/>
          <w:b/>
          <w:color w:val="auto"/>
          <w:sz w:val="28"/>
        </w:rPr>
      </w:pPr>
      <w:r>
        <w:rPr>
          <w:rFonts w:ascii="Arial" w:eastAsia="Calibri" w:hAnsi="Arial" w:cs="Arial"/>
          <w:b/>
          <w:color w:val="auto"/>
          <w:sz w:val="28"/>
        </w:rPr>
        <w:t>ID:</w:t>
      </w:r>
      <w:r w:rsidR="00C26D76">
        <w:rPr>
          <w:rFonts w:ascii="Arial" w:eastAsia="Calibri" w:hAnsi="Arial" w:cs="Arial"/>
          <w:b/>
          <w:color w:val="auto"/>
          <w:sz w:val="28"/>
        </w:rPr>
        <w:t>2429930</w:t>
      </w:r>
    </w:p>
    <w:p w14:paraId="31D7E9E4" w14:textId="77777777" w:rsidR="00F51772" w:rsidRPr="00F51772" w:rsidRDefault="00F51772">
      <w:pPr>
        <w:spacing w:after="200" w:line="276" w:lineRule="auto"/>
        <w:jc w:val="left"/>
        <w:rPr>
          <w:rFonts w:ascii="Arial" w:eastAsia="Calibri" w:hAnsi="Arial" w:cs="Arial"/>
          <w:b/>
          <w:color w:val="auto"/>
          <w:sz w:val="28"/>
        </w:rPr>
      </w:pPr>
      <w:r w:rsidRPr="00F51772">
        <w:rPr>
          <w:rFonts w:ascii="Arial" w:eastAsia="Calibri" w:hAnsi="Arial" w:cs="Arial"/>
          <w:b/>
          <w:color w:val="auto"/>
          <w:sz w:val="28"/>
        </w:rPr>
        <w:br w:type="page"/>
      </w:r>
    </w:p>
    <w:p w14:paraId="296DB1D7" w14:textId="77777777" w:rsidR="00DE6D44" w:rsidRPr="00677502" w:rsidRDefault="006D5B2D">
      <w:pPr>
        <w:pStyle w:val="Heading1"/>
        <w:rPr>
          <w:rFonts w:ascii="Arial" w:hAnsi="Arial" w:cs="Arial"/>
          <w:color w:val="auto"/>
        </w:rPr>
      </w:pPr>
      <w:r w:rsidRPr="00677502">
        <w:rPr>
          <w:rFonts w:ascii="Arial" w:hAnsi="Arial" w:cs="Arial"/>
          <w:color w:val="auto"/>
        </w:rPr>
        <w:lastRenderedPageBreak/>
        <w:t>THE ASK</w:t>
      </w:r>
    </w:p>
    <w:p w14:paraId="704C5341" w14:textId="77777777" w:rsidR="00DE6D44" w:rsidRPr="00677502" w:rsidRDefault="006D5B2D">
      <w:pPr>
        <w:pBdr>
          <w:left w:val="single" w:sz="24" w:space="12" w:color="15998F"/>
        </w:pBdr>
        <w:shd w:val="clear" w:color="auto" w:fill="EAF0F0"/>
        <w:spacing w:before="40" w:after="240" w:line="300" w:lineRule="auto"/>
        <w:ind w:left="317" w:right="202"/>
        <w:rPr>
          <w:rFonts w:ascii="Arial" w:hAnsi="Arial" w:cs="Arial"/>
          <w:color w:val="auto"/>
        </w:rPr>
      </w:pPr>
      <w:r w:rsidRPr="00677502">
        <w:rPr>
          <w:rFonts w:ascii="Arial" w:hAnsi="Arial" w:cs="Arial"/>
          <w:color w:val="auto"/>
        </w:rPr>
        <w:t xml:space="preserve">I am asking an Integrated Care Board to fund and evaluate a 12-month </w:t>
      </w:r>
      <w:proofErr w:type="spellStart"/>
      <w:r w:rsidRPr="00677502">
        <w:rPr>
          <w:rFonts w:ascii="Arial" w:hAnsi="Arial" w:cs="Arial"/>
          <w:color w:val="auto"/>
        </w:rPr>
        <w:t>NeuroBridge</w:t>
      </w:r>
      <w:proofErr w:type="spellEnd"/>
      <w:r w:rsidRPr="00677502">
        <w:rPr>
          <w:rFonts w:ascii="Arial" w:hAnsi="Arial" w:cs="Arial"/>
          <w:color w:val="auto"/>
        </w:rPr>
        <w:t xml:space="preserve"> pilot for children aged 5-17 awaiting an autism assessment. This needs-led service combines a named navigator with a secure, mobile-friendly portal. It will not diagnose, calculate diagnostic probability or replace professional judgement. It will make waiting safer, clearer and more useful.</w:t>
      </w:r>
    </w:p>
    <w:p w14:paraId="3B22CFC3" w14:textId="77777777" w:rsidR="00DE6D44" w:rsidRPr="00677502" w:rsidRDefault="006D5B2D">
      <w:pPr>
        <w:pStyle w:val="Heading1"/>
        <w:rPr>
          <w:rFonts w:ascii="Arial" w:hAnsi="Arial" w:cs="Arial"/>
          <w:color w:val="auto"/>
        </w:rPr>
      </w:pPr>
      <w:r w:rsidRPr="00677502">
        <w:rPr>
          <w:rFonts w:ascii="Arial" w:hAnsi="Arial" w:cs="Arial"/>
          <w:color w:val="auto"/>
        </w:rPr>
        <w:t>WHY ACTION IS NEEDED</w:t>
      </w:r>
    </w:p>
    <w:p w14:paraId="64F8A498" w14:textId="13651297" w:rsidR="002A5985" w:rsidRPr="00677502" w:rsidRDefault="002A5985" w:rsidP="002A5985">
      <w:pPr>
        <w:rPr>
          <w:rFonts w:ascii="Arial" w:hAnsi="Arial" w:cs="Arial"/>
          <w:color w:val="auto"/>
        </w:rPr>
      </w:pPr>
      <w:r w:rsidRPr="00677502">
        <w:rPr>
          <w:rFonts w:ascii="Arial" w:hAnsi="Arial" w:cs="Arial"/>
          <w:color w:val="auto"/>
        </w:rPr>
        <w:t xml:space="preserve">The pathway creates a serious gap between referral and assessment. By March 2026, there were 270,701 open suspected-autism referrals in mental health data in England and Wales. Among them, 89.7% had been operational at least 13 weeks (NHS England, 2026a). NICE anticipates that assessment should begin in three months (NICE, 2014). The data do not capture all the community </w:t>
      </w:r>
      <w:r w:rsidR="00677502" w:rsidRPr="00677502">
        <w:rPr>
          <w:rFonts w:ascii="Arial" w:hAnsi="Arial" w:cs="Arial"/>
          <w:color w:val="auto"/>
        </w:rPr>
        <w:t>pediatric</w:t>
      </w:r>
      <w:r w:rsidRPr="00677502">
        <w:rPr>
          <w:rFonts w:ascii="Arial" w:hAnsi="Arial" w:cs="Arial"/>
          <w:color w:val="auto"/>
        </w:rPr>
        <w:t xml:space="preserve"> activity and the quality of data is limited. They indicate pressure, rather than a total number of children waiting.</w:t>
      </w:r>
    </w:p>
    <w:p w14:paraId="48D30670" w14:textId="31CF3DAD" w:rsidR="00DE6D44" w:rsidRPr="00677502" w:rsidRDefault="002A5985" w:rsidP="002A5985">
      <w:pPr>
        <w:rPr>
          <w:rFonts w:ascii="Arial" w:hAnsi="Arial" w:cs="Arial"/>
          <w:color w:val="auto"/>
        </w:rPr>
      </w:pPr>
      <w:r w:rsidRPr="00677502">
        <w:rPr>
          <w:rFonts w:ascii="Arial" w:hAnsi="Arial" w:cs="Arial"/>
          <w:color w:val="auto"/>
        </w:rPr>
        <w:t>The human cost is more obvious. Children may be waiting years as needs continue to mount up in terms of health, education and family life (Children's Commissioner for England, 2024). Parents complain of being confused and upset and having poor communication (Legg and Tickle, 2019). Diagnosis is important, but should not be the basis of working support. A needs-led intervention is more equitable since the less affluent, time-starved, English or internet-deprived families might not be able to find a provision of private assistance or challenge their services.</w:t>
      </w:r>
    </w:p>
    <w:p w14:paraId="62AAC67C" w14:textId="77777777" w:rsidR="00DE6D44" w:rsidRPr="00677502" w:rsidRDefault="006D5B2D">
      <w:pPr>
        <w:pStyle w:val="Heading1"/>
        <w:rPr>
          <w:rFonts w:ascii="Arial" w:hAnsi="Arial" w:cs="Arial"/>
          <w:color w:val="auto"/>
        </w:rPr>
      </w:pPr>
      <w:r w:rsidRPr="00677502">
        <w:rPr>
          <w:rFonts w:ascii="Arial" w:hAnsi="Arial" w:cs="Arial"/>
          <w:color w:val="auto"/>
        </w:rPr>
        <w:t>THE PROPOSED EXPERIENCE</w:t>
      </w:r>
    </w:p>
    <w:p w14:paraId="65F49AAD" w14:textId="77777777" w:rsidR="002A5985" w:rsidRPr="00677502" w:rsidRDefault="002A5985" w:rsidP="002A5985">
      <w:pPr>
        <w:rPr>
          <w:rFonts w:ascii="Arial" w:hAnsi="Arial" w:cs="Arial"/>
          <w:color w:val="auto"/>
        </w:rPr>
      </w:pPr>
      <w:r w:rsidRPr="00677502">
        <w:rPr>
          <w:rFonts w:ascii="Arial" w:hAnsi="Arial" w:cs="Arial"/>
          <w:color w:val="auto"/>
        </w:rPr>
        <w:t>After referral acceptance, the family receives an invitation by text, letter or telephone. A navigator verifies language and communication, accessibility and digital requirements. A brief discussion reveals priorities, including sensory in relation to adjustments, sleep, school, anxiety, family stress and safety. it is not a screening test.</w:t>
      </w:r>
    </w:p>
    <w:p w14:paraId="73DEC785" w14:textId="77777777" w:rsidR="002A5985" w:rsidRPr="00677502" w:rsidRDefault="002A5985" w:rsidP="002A5985">
      <w:pPr>
        <w:rPr>
          <w:rFonts w:ascii="Arial" w:hAnsi="Arial" w:cs="Arial"/>
          <w:color w:val="auto"/>
        </w:rPr>
      </w:pPr>
      <w:r w:rsidRPr="00677502">
        <w:rPr>
          <w:rFonts w:ascii="Arial" w:hAnsi="Arial" w:cs="Arial"/>
          <w:color w:val="auto"/>
        </w:rPr>
        <w:t xml:space="preserve">The navigator and family develop a detailed strategy. Under consideration of permission to be reviewed, any pertinent sections may be provided to SENCO, GP or assessment team. There </w:t>
      </w:r>
      <w:proofErr w:type="gramStart"/>
      <w:r w:rsidRPr="00677502">
        <w:rPr>
          <w:rFonts w:ascii="Arial" w:hAnsi="Arial" w:cs="Arial"/>
          <w:color w:val="auto"/>
        </w:rPr>
        <w:t>are</w:t>
      </w:r>
      <w:proofErr w:type="gramEnd"/>
      <w:r w:rsidRPr="00677502">
        <w:rPr>
          <w:rFonts w:ascii="Arial" w:hAnsi="Arial" w:cs="Arial"/>
          <w:color w:val="auto"/>
        </w:rPr>
        <w:t xml:space="preserve"> referral stage, agreed actions and trusted resources in the portal. Human review is activated as a result of an agreed risk indicator worsening and monthly check-ins. This service can be provided by telephone, print or family-hub appointment. Urgent risk </w:t>
      </w:r>
      <w:proofErr w:type="spellStart"/>
      <w:r w:rsidRPr="00677502">
        <w:rPr>
          <w:rFonts w:ascii="Arial" w:hAnsi="Arial" w:cs="Arial"/>
          <w:color w:val="auto"/>
        </w:rPr>
        <w:t>utilises</w:t>
      </w:r>
      <w:proofErr w:type="spellEnd"/>
      <w:r w:rsidRPr="00677502">
        <w:rPr>
          <w:rFonts w:ascii="Arial" w:hAnsi="Arial" w:cs="Arial"/>
          <w:color w:val="auto"/>
        </w:rPr>
        <w:t xml:space="preserve"> a pre-existing safeguarding, GP, NHS 111 or emergency pathways.</w:t>
      </w:r>
    </w:p>
    <w:p w14:paraId="2FBFCB11" w14:textId="44993001" w:rsidR="00DE6D44" w:rsidRPr="00677502" w:rsidRDefault="002A5985" w:rsidP="002A5985">
      <w:pPr>
        <w:rPr>
          <w:rFonts w:ascii="Arial" w:hAnsi="Arial" w:cs="Arial"/>
          <w:color w:val="auto"/>
        </w:rPr>
      </w:pPr>
      <w:r w:rsidRPr="00677502">
        <w:rPr>
          <w:rFonts w:ascii="Arial" w:hAnsi="Arial" w:cs="Arial"/>
          <w:color w:val="auto"/>
        </w:rPr>
        <w:t xml:space="preserve">Duplication can be decreased with the help of integrated pathways and methodical information collection, still, it varies based on the local circumstances and workforce (Abrahamson et al., </w:t>
      </w:r>
      <w:r w:rsidRPr="00677502">
        <w:rPr>
          <w:rFonts w:ascii="Arial" w:hAnsi="Arial" w:cs="Arial"/>
          <w:color w:val="auto"/>
        </w:rPr>
        <w:lastRenderedPageBreak/>
        <w:t xml:space="preserve">2021). </w:t>
      </w:r>
      <w:proofErr w:type="spellStart"/>
      <w:r w:rsidRPr="00677502">
        <w:rPr>
          <w:rFonts w:ascii="Arial" w:hAnsi="Arial" w:cs="Arial"/>
          <w:color w:val="auto"/>
        </w:rPr>
        <w:t>NeuroBridge</w:t>
      </w:r>
      <w:proofErr w:type="spellEnd"/>
      <w:r w:rsidRPr="00677502">
        <w:rPr>
          <w:rFonts w:ascii="Arial" w:hAnsi="Arial" w:cs="Arial"/>
          <w:color w:val="auto"/>
        </w:rPr>
        <w:t xml:space="preserve"> is pathway-aiding in the direction of assessment. It does not assert that technology is going to address the backlog.</w:t>
      </w:r>
    </w:p>
    <w:p w14:paraId="6BDE2277" w14:textId="77777777" w:rsidR="00DE6D44" w:rsidRPr="00677502" w:rsidRDefault="006D5B2D">
      <w:pPr>
        <w:pStyle w:val="Heading1"/>
        <w:rPr>
          <w:rFonts w:ascii="Arial" w:hAnsi="Arial" w:cs="Arial"/>
          <w:color w:val="auto"/>
        </w:rPr>
      </w:pPr>
      <w:r w:rsidRPr="00677502">
        <w:rPr>
          <w:rFonts w:ascii="Arial" w:hAnsi="Arial" w:cs="Arial"/>
          <w:color w:val="auto"/>
        </w:rPr>
        <w:t>IMPACT AND THE COMMON GOOD</w:t>
      </w:r>
    </w:p>
    <w:p w14:paraId="624FBB87" w14:textId="77777777" w:rsidR="002A5985" w:rsidRPr="00677502" w:rsidRDefault="002A5985" w:rsidP="002A5985">
      <w:pPr>
        <w:rPr>
          <w:rFonts w:ascii="Arial" w:hAnsi="Arial" w:cs="Arial"/>
          <w:color w:val="auto"/>
        </w:rPr>
      </w:pPr>
      <w:r w:rsidRPr="00677502">
        <w:rPr>
          <w:rFonts w:ascii="Arial" w:hAnsi="Arial" w:cs="Arial"/>
          <w:color w:val="auto"/>
        </w:rPr>
        <w:t xml:space="preserve">Earlier adjustments may improve participation, emotional safety and daily functioning. A contact named contact provides families with a path that they can take to stem raising needs. The schools receive a plan according to need. Systematic updates are provided to clinicians. The pilot can diminish certain </w:t>
      </w:r>
      <w:proofErr w:type="gramStart"/>
      <w:r w:rsidRPr="00677502">
        <w:rPr>
          <w:rFonts w:ascii="Arial" w:hAnsi="Arial" w:cs="Arial"/>
          <w:color w:val="auto"/>
        </w:rPr>
        <w:t>escalation,</w:t>
      </w:r>
      <w:proofErr w:type="gramEnd"/>
      <w:r w:rsidRPr="00677502">
        <w:rPr>
          <w:rFonts w:ascii="Arial" w:hAnsi="Arial" w:cs="Arial"/>
          <w:color w:val="auto"/>
        </w:rPr>
        <w:t xml:space="preserve"> however assessment needs to experiment this instead of just presuming it.</w:t>
      </w:r>
    </w:p>
    <w:p w14:paraId="27DA2633" w14:textId="77777777" w:rsidR="002A5985" w:rsidRPr="00677502" w:rsidRDefault="002A5985" w:rsidP="002A5985">
      <w:pPr>
        <w:rPr>
          <w:rFonts w:ascii="Arial" w:hAnsi="Arial" w:cs="Arial"/>
          <w:color w:val="auto"/>
        </w:rPr>
      </w:pPr>
      <w:r w:rsidRPr="00677502">
        <w:rPr>
          <w:rFonts w:ascii="Arial" w:hAnsi="Arial" w:cs="Arial"/>
          <w:color w:val="auto"/>
        </w:rPr>
        <w:t>It too safeguards societal value: assistance may be provided when it is not a crisis and the diagnosis pathway maintains its clinical intent and professional culpability.</w:t>
      </w:r>
    </w:p>
    <w:p w14:paraId="40986DC9" w14:textId="76F84B8A" w:rsidR="00DE6D44" w:rsidRPr="00677502" w:rsidRDefault="002A5985" w:rsidP="002A5985">
      <w:pPr>
        <w:rPr>
          <w:rFonts w:ascii="Arial" w:hAnsi="Arial" w:cs="Arial"/>
          <w:color w:val="auto"/>
        </w:rPr>
      </w:pPr>
      <w:r w:rsidRPr="00677502">
        <w:rPr>
          <w:rFonts w:ascii="Arial" w:hAnsi="Arial" w:cs="Arial"/>
          <w:color w:val="auto"/>
        </w:rPr>
        <w:t xml:space="preserve">The proposal aligns with the SEND Code that emphasizes participation and collaborative planning in education, health and social care (Department for Education and Department of Health, 2015), and coordinating responsibilities in the Children and Families Act 2014 (Children and Families Act, 2014). NHS England proposes readily available, open, interdisciplinary and co-designed multidisciplinary autism pathways that are supported by pre-assessment (NHS England, 2023). These principles are put into practice by </w:t>
      </w:r>
      <w:proofErr w:type="spellStart"/>
      <w:r w:rsidRPr="00677502">
        <w:rPr>
          <w:rFonts w:ascii="Arial" w:hAnsi="Arial" w:cs="Arial"/>
          <w:color w:val="auto"/>
        </w:rPr>
        <w:t>NeuroBridge</w:t>
      </w:r>
      <w:proofErr w:type="spellEnd"/>
      <w:r w:rsidRPr="00677502">
        <w:rPr>
          <w:rFonts w:ascii="Arial" w:hAnsi="Arial" w:cs="Arial"/>
          <w:color w:val="auto"/>
        </w:rPr>
        <w:t>.</w:t>
      </w:r>
    </w:p>
    <w:p w14:paraId="32B8886B" w14:textId="77777777" w:rsidR="00DE6D44" w:rsidRPr="00677502" w:rsidRDefault="006D5B2D">
      <w:pPr>
        <w:pStyle w:val="Heading1"/>
        <w:rPr>
          <w:rFonts w:ascii="Arial" w:hAnsi="Arial" w:cs="Arial"/>
          <w:color w:val="auto"/>
        </w:rPr>
      </w:pPr>
      <w:r w:rsidRPr="00677502">
        <w:rPr>
          <w:rFonts w:ascii="Arial" w:hAnsi="Arial" w:cs="Arial"/>
          <w:color w:val="auto"/>
        </w:rPr>
        <w:t>DELIVERY AND PROFESSIONAL RESPONSIBILITY</w:t>
      </w:r>
    </w:p>
    <w:p w14:paraId="5CDCE067" w14:textId="77777777" w:rsidR="002A5985" w:rsidRPr="00677502" w:rsidRDefault="002A5985" w:rsidP="002A5985">
      <w:pPr>
        <w:rPr>
          <w:rFonts w:ascii="Arial" w:hAnsi="Arial" w:cs="Arial"/>
          <w:color w:val="auto"/>
        </w:rPr>
      </w:pPr>
      <w:r w:rsidRPr="00677502">
        <w:rPr>
          <w:rFonts w:ascii="Arial" w:hAnsi="Arial" w:cs="Arial"/>
          <w:color w:val="auto"/>
        </w:rPr>
        <w:t xml:space="preserve">The pilot will operate through one ICB and two local-authority areas. The platform is hosted by the ICB commissions which is an approved provider and the clinical lead is the owner of the care model. Nurses, allied health professionals, social prescribers and trained support staff members can navigate in distinct scopes. Pathways will be agreed upon by assessment teams, GPs, SENCOs, CAMHS, </w:t>
      </w:r>
      <w:proofErr w:type="spellStart"/>
      <w:r w:rsidRPr="00677502">
        <w:rPr>
          <w:rFonts w:ascii="Arial" w:hAnsi="Arial" w:cs="Arial"/>
          <w:color w:val="auto"/>
        </w:rPr>
        <w:t>paediatrics</w:t>
      </w:r>
      <w:proofErr w:type="spellEnd"/>
      <w:r w:rsidRPr="00677502">
        <w:rPr>
          <w:rFonts w:ascii="Arial" w:hAnsi="Arial" w:cs="Arial"/>
          <w:color w:val="auto"/>
        </w:rPr>
        <w:t xml:space="preserve">, social care, safeguarding, voluntary </w:t>
      </w:r>
      <w:proofErr w:type="spellStart"/>
      <w:r w:rsidRPr="00677502">
        <w:rPr>
          <w:rFonts w:ascii="Arial" w:hAnsi="Arial" w:cs="Arial"/>
          <w:color w:val="auto"/>
        </w:rPr>
        <w:t>organisations</w:t>
      </w:r>
      <w:proofErr w:type="spellEnd"/>
      <w:r w:rsidRPr="00677502">
        <w:rPr>
          <w:rFonts w:ascii="Arial" w:hAnsi="Arial" w:cs="Arial"/>
          <w:color w:val="auto"/>
        </w:rPr>
        <w:t xml:space="preserve"> and governance staff. Co-design partners will be paid children, families and neurodivergent adults.</w:t>
      </w:r>
    </w:p>
    <w:p w14:paraId="44EA6062" w14:textId="2099AE81" w:rsidR="00DE6D44" w:rsidRPr="00677502" w:rsidRDefault="002A5985" w:rsidP="002A5985">
      <w:pPr>
        <w:rPr>
          <w:rFonts w:ascii="Arial" w:hAnsi="Arial" w:cs="Arial"/>
          <w:color w:val="auto"/>
        </w:rPr>
      </w:pPr>
      <w:r w:rsidRPr="00677502">
        <w:rPr>
          <w:rFonts w:ascii="Arial" w:hAnsi="Arial" w:cs="Arial"/>
          <w:color w:val="auto"/>
        </w:rPr>
        <w:t>Months one and two entail pathway mapping and co-designing. The third and fourth months include prototyping, equality, privacy and clinical risk. The months five and six are integration and training months. Will be launched in a closed beta to a minimum of 150 families, followed by 500 with expansion possible with safety reviews.</w:t>
      </w:r>
    </w:p>
    <w:p w14:paraId="6E807B6C" w14:textId="77777777" w:rsidR="00DE6D44" w:rsidRPr="00677502" w:rsidRDefault="006D5B2D">
      <w:pPr>
        <w:pStyle w:val="Heading1"/>
        <w:rPr>
          <w:rFonts w:ascii="Arial" w:hAnsi="Arial" w:cs="Arial"/>
          <w:color w:val="auto"/>
        </w:rPr>
      </w:pPr>
      <w:r w:rsidRPr="00677502">
        <w:rPr>
          <w:rFonts w:ascii="Arial" w:hAnsi="Arial" w:cs="Arial"/>
          <w:color w:val="auto"/>
        </w:rPr>
        <w:t>SAFE TECHNOLOGY AND LEGAL COMPLIANCE</w:t>
      </w:r>
    </w:p>
    <w:p w14:paraId="670A0955" w14:textId="1E284C2C" w:rsidR="002A5985" w:rsidRPr="00677502" w:rsidRDefault="002A5985" w:rsidP="002A5985">
      <w:pPr>
        <w:rPr>
          <w:rFonts w:ascii="Arial" w:hAnsi="Arial" w:cs="Arial"/>
          <w:color w:val="auto"/>
        </w:rPr>
      </w:pPr>
      <w:r w:rsidRPr="00677502">
        <w:rPr>
          <w:rFonts w:ascii="Arial" w:hAnsi="Arial" w:cs="Arial"/>
          <w:color w:val="auto"/>
        </w:rPr>
        <w:t xml:space="preserve">The health information of children will be processed in the </w:t>
      </w:r>
      <w:proofErr w:type="spellStart"/>
      <w:r w:rsidRPr="00677502">
        <w:rPr>
          <w:rFonts w:ascii="Arial" w:hAnsi="Arial" w:cs="Arial"/>
          <w:color w:val="auto"/>
        </w:rPr>
        <w:t>NeuroBridge</w:t>
      </w:r>
      <w:proofErr w:type="spellEnd"/>
      <w:r w:rsidRPr="00677502">
        <w:rPr>
          <w:rFonts w:ascii="Arial" w:hAnsi="Arial" w:cs="Arial"/>
          <w:color w:val="auto"/>
        </w:rPr>
        <w:t xml:space="preserve">. It will rely on data </w:t>
      </w:r>
      <w:proofErr w:type="spellStart"/>
      <w:r w:rsidRPr="00677502">
        <w:rPr>
          <w:rFonts w:ascii="Arial" w:hAnsi="Arial" w:cs="Arial"/>
          <w:color w:val="auto"/>
        </w:rPr>
        <w:t>minimisation</w:t>
      </w:r>
      <w:proofErr w:type="spellEnd"/>
      <w:r w:rsidRPr="00677502">
        <w:rPr>
          <w:rFonts w:ascii="Arial" w:hAnsi="Arial" w:cs="Arial"/>
          <w:color w:val="auto"/>
        </w:rPr>
        <w:t xml:space="preserve">, role-based access control, encryption, audit logs, data retention limits, child-friendly privacy information and rights controls. Legal processing, the conditions of special categories and </w:t>
      </w:r>
      <w:r w:rsidRPr="00677502">
        <w:rPr>
          <w:rFonts w:ascii="Arial" w:hAnsi="Arial" w:cs="Arial"/>
          <w:color w:val="auto"/>
        </w:rPr>
        <w:lastRenderedPageBreak/>
        <w:t>data protection impact assessment and sharing agreements will be verified. The Information Commissioner Office emphasizes the best interests of children, the suitable lawful grounds and data protection by design (Information Commissioner's Office, 2026).</w:t>
      </w:r>
    </w:p>
    <w:p w14:paraId="28D20982" w14:textId="0714F187" w:rsidR="00DE6D44" w:rsidRPr="00677502" w:rsidRDefault="002A5985" w:rsidP="002A5985">
      <w:pPr>
        <w:rPr>
          <w:rFonts w:ascii="Arial" w:hAnsi="Arial" w:cs="Arial"/>
          <w:color w:val="auto"/>
        </w:rPr>
      </w:pPr>
      <w:r w:rsidRPr="00677502">
        <w:rPr>
          <w:rFonts w:ascii="Arial" w:hAnsi="Arial" w:cs="Arial"/>
          <w:color w:val="auto"/>
        </w:rPr>
        <w:t xml:space="preserve">Clinical safety is built design to deployment. The supplier applies DCB0129 and care </w:t>
      </w:r>
      <w:proofErr w:type="spellStart"/>
      <w:r w:rsidRPr="00677502">
        <w:rPr>
          <w:rFonts w:ascii="Arial" w:hAnsi="Arial" w:cs="Arial"/>
          <w:color w:val="auto"/>
        </w:rPr>
        <w:t>organisations</w:t>
      </w:r>
      <w:proofErr w:type="spellEnd"/>
      <w:r w:rsidRPr="00677502">
        <w:rPr>
          <w:rFonts w:ascii="Arial" w:hAnsi="Arial" w:cs="Arial"/>
          <w:color w:val="auto"/>
        </w:rPr>
        <w:t xml:space="preserve"> DCB0160. They need a clinical safety officer, a hazard log, safety case, and incident process and monitoring (NHS England, 2026b). Rules can alert a response to be reviewed by the staff, but cannot diagnose, eligibility or serve as a substantial decision. Before being launched, accessibility, cybersecurity and protection are tested.</w:t>
      </w:r>
    </w:p>
    <w:p w14:paraId="1CC38337" w14:textId="77777777" w:rsidR="00DE6D44" w:rsidRPr="00677502" w:rsidRDefault="006D5B2D">
      <w:pPr>
        <w:pStyle w:val="Heading1"/>
        <w:rPr>
          <w:rFonts w:ascii="Arial" w:hAnsi="Arial" w:cs="Arial"/>
          <w:color w:val="auto"/>
        </w:rPr>
      </w:pPr>
      <w:r w:rsidRPr="00677502">
        <w:rPr>
          <w:rFonts w:ascii="Arial" w:hAnsi="Arial" w:cs="Arial"/>
          <w:color w:val="auto"/>
        </w:rPr>
        <w:t>PUBLIC INVOLVEMENT, DISSEMINATION AND EVALUATION</w:t>
      </w:r>
    </w:p>
    <w:p w14:paraId="138D974C" w14:textId="77777777" w:rsidR="00DE6D44" w:rsidRPr="00677502" w:rsidRDefault="006D5B2D">
      <w:pPr>
        <w:rPr>
          <w:rFonts w:ascii="Arial" w:hAnsi="Arial" w:cs="Arial"/>
          <w:color w:val="auto"/>
        </w:rPr>
      </w:pPr>
      <w:r w:rsidRPr="00677502">
        <w:rPr>
          <w:rFonts w:ascii="Arial" w:hAnsi="Arial" w:cs="Arial"/>
          <w:color w:val="auto"/>
        </w:rPr>
        <w:t xml:space="preserve">Promotion begins at referral and continues through GPs, schools, Local Offer pages, NHS App messages, family hubs, libraries and autism </w:t>
      </w:r>
      <w:proofErr w:type="spellStart"/>
      <w:r w:rsidRPr="00677502">
        <w:rPr>
          <w:rFonts w:ascii="Arial" w:hAnsi="Arial" w:cs="Arial"/>
          <w:color w:val="auto"/>
        </w:rPr>
        <w:t>organisations</w:t>
      </w:r>
      <w:proofErr w:type="spellEnd"/>
      <w:r w:rsidRPr="00677502">
        <w:rPr>
          <w:rFonts w:ascii="Arial" w:hAnsi="Arial" w:cs="Arial"/>
          <w:color w:val="auto"/>
        </w:rPr>
        <w:t>. Parent champions and young advisers shape translated, easy-read, captioned, print and social-media material. Staff receive briefings, guides and webinars. Quarterly public reports show reach, experience, safety and inequality without identifying children.</w:t>
      </w:r>
    </w:p>
    <w:p w14:paraId="39F1E892" w14:textId="77777777" w:rsidR="00DE6D44" w:rsidRPr="00677502" w:rsidRDefault="006D5B2D">
      <w:pPr>
        <w:rPr>
          <w:rFonts w:ascii="Arial" w:hAnsi="Arial" w:cs="Arial"/>
          <w:color w:val="auto"/>
        </w:rPr>
      </w:pPr>
      <w:r w:rsidRPr="00677502">
        <w:rPr>
          <w:rFonts w:ascii="Arial" w:hAnsi="Arial" w:cs="Arial"/>
          <w:color w:val="auto"/>
        </w:rPr>
        <w:t>Evaluation compares baseline and three-, six- and twelve-month results. Measures include time to first support, plans within 30 days, family confidence, school participation, repeated contacts, safeguarding escalations, staff time, cost and uptake across ethnicity, deprivation, language, disability and digital access. Independent family feedback has equal weight with operational data. Scale-up requires safety, acceptability, equity and affordability.</w:t>
      </w:r>
    </w:p>
    <w:p w14:paraId="1073F817" w14:textId="77777777" w:rsidR="00DE6D44" w:rsidRPr="00677502" w:rsidRDefault="006D5B2D">
      <w:pPr>
        <w:pStyle w:val="Heading1"/>
        <w:rPr>
          <w:rFonts w:ascii="Arial" w:hAnsi="Arial" w:cs="Arial"/>
          <w:color w:val="auto"/>
        </w:rPr>
      </w:pPr>
      <w:r w:rsidRPr="00677502">
        <w:rPr>
          <w:rFonts w:ascii="Arial" w:hAnsi="Arial" w:cs="Arial"/>
          <w:color w:val="auto"/>
        </w:rPr>
        <w:t>CLOSING PITCH</w:t>
      </w:r>
    </w:p>
    <w:p w14:paraId="4C015608" w14:textId="77777777" w:rsidR="00DE6D44" w:rsidRPr="00677502" w:rsidRDefault="006D5B2D">
      <w:pPr>
        <w:rPr>
          <w:rFonts w:ascii="Arial" w:hAnsi="Arial" w:cs="Arial"/>
          <w:color w:val="auto"/>
        </w:rPr>
      </w:pPr>
      <w:proofErr w:type="spellStart"/>
      <w:r w:rsidRPr="00677502">
        <w:rPr>
          <w:rFonts w:ascii="Arial" w:hAnsi="Arial" w:cs="Arial"/>
          <w:color w:val="auto"/>
        </w:rPr>
        <w:t>NeuroBridge</w:t>
      </w:r>
      <w:proofErr w:type="spellEnd"/>
      <w:r w:rsidRPr="00677502">
        <w:rPr>
          <w:rFonts w:ascii="Arial" w:hAnsi="Arial" w:cs="Arial"/>
          <w:color w:val="auto"/>
        </w:rPr>
        <w:t xml:space="preserve"> does not promise faster diagnosis for every child. It promises that referral should not mean losing access to information, coordination and practical support. A governed pilot can test whether this bridge improves experience and reduces avoidable escalation. I ask the ICB to sponsor it, appoint family and youth partners, and publish results. The queue may remain. Unsupported waiting does not have to.</w:t>
      </w:r>
    </w:p>
    <w:p w14:paraId="000A75AD" w14:textId="631CDCB3" w:rsidR="00B72F8A" w:rsidRDefault="001B0EF5">
      <w:pPr>
        <w:pStyle w:val="Heading1"/>
        <w:pageBreakBefore/>
        <w:rPr>
          <w:rFonts w:ascii="Arial" w:hAnsi="Arial" w:cs="Arial"/>
          <w:color w:val="auto"/>
        </w:rPr>
      </w:pPr>
      <w:r>
        <w:rPr>
          <w:noProof/>
        </w:rPr>
        <w:lastRenderedPageBreak/>
        <mc:AlternateContent>
          <mc:Choice Requires="wps">
            <w:drawing>
              <wp:anchor distT="0" distB="0" distL="114300" distR="114300" simplePos="0" relativeHeight="251736064" behindDoc="0" locked="0" layoutInCell="1" allowOverlap="1" wp14:anchorId="29152424" wp14:editId="5B0F945E">
                <wp:simplePos x="0" y="0"/>
                <wp:positionH relativeFrom="column">
                  <wp:posOffset>3829050</wp:posOffset>
                </wp:positionH>
                <wp:positionV relativeFrom="paragraph">
                  <wp:posOffset>-717550</wp:posOffset>
                </wp:positionV>
                <wp:extent cx="2804795" cy="850900"/>
                <wp:effectExtent l="57150" t="19050" r="71755" b="101600"/>
                <wp:wrapNone/>
                <wp:docPr id="318854513" name="Rectangle 90"/>
                <wp:cNvGraphicFramePr/>
                <a:graphic xmlns:a="http://schemas.openxmlformats.org/drawingml/2006/main">
                  <a:graphicData uri="http://schemas.microsoft.com/office/word/2010/wordprocessingShape">
                    <wps:wsp>
                      <wps:cNvSpPr/>
                      <wps:spPr>
                        <a:xfrm>
                          <a:off x="0" y="0"/>
                          <a:ext cx="2804795" cy="850900"/>
                        </a:xfrm>
                        <a:prstGeom prst="rect">
                          <a:avLst/>
                        </a:prstGeom>
                        <a:solidFill>
                          <a:srgbClr val="E71224">
                            <a:alpha val="5000"/>
                          </a:srgbClr>
                        </a:solidFill>
                        <a:ln w="9000">
                          <a:solidFill>
                            <a:srgbClr val="E71224"/>
                          </a:solidFill>
                        </a:ln>
                      </wps:spPr>
                      <wps:style>
                        <a:lnRef idx="1">
                          <a:schemeClr val="accent1"/>
                        </a:lnRef>
                        <a:fillRef idx="3">
                          <a:schemeClr val="accent1"/>
                        </a:fillRef>
                        <a:effectRef idx="2">
                          <a:schemeClr val="accent1"/>
                        </a:effectRef>
                        <a:fontRef idx="minor">
                          <a:schemeClr val="lt1"/>
                        </a:fontRef>
                      </wps:style>
                      <wps:txbx>
                        <w:txbxContent>
                          <w:p w14:paraId="23220A46" w14:textId="77777777" w:rsidR="001B0EF5" w:rsidRPr="001B0EF5" w:rsidRDefault="001B0EF5" w:rsidP="001B0EF5">
                            <w:pPr>
                              <w:spacing w:after="0" w:line="252" w:lineRule="auto"/>
                              <w:jc w:val="center"/>
                              <w:rPr>
                                <w:rFonts w:ascii="Times New Roman" w:eastAsia="Times New Roman" w:hAnsi="Times New Roman" w:cs="Times New Roman"/>
                                <w:color w:val="auto"/>
                                <w:sz w:val="28"/>
                                <w:szCs w:val="28"/>
                                <w:lang w:val="en-GB" w:eastAsia="en-GB"/>
                              </w:rPr>
                            </w:pPr>
                            <w:r w:rsidRPr="001B0EF5">
                              <w:rPr>
                                <w:rFonts w:ascii="Arial" w:eastAsia="Arial" w:hAnsi="Arial" w:cs="Arial"/>
                                <w:b/>
                                <w:bCs/>
                                <w:color w:val="FFFFFF"/>
                                <w:kern w:val="24"/>
                                <w:sz w:val="28"/>
                                <w:szCs w:val="28"/>
                                <w:lang w:val="en-GB" w:eastAsia="en-GB"/>
                              </w:rPr>
                              <w:t>WAITING FOR ASSESSMENT</w:t>
                            </w:r>
                          </w:p>
                          <w:p w14:paraId="6BF0F4FF" w14:textId="77777777" w:rsidR="001B0EF5" w:rsidRPr="001B0EF5" w:rsidRDefault="001B0EF5" w:rsidP="001B0EF5">
                            <w:pPr>
                              <w:spacing w:after="0" w:line="252" w:lineRule="auto"/>
                              <w:jc w:val="center"/>
                              <w:rPr>
                                <w:rFonts w:ascii="Times New Roman" w:eastAsia="Times New Roman" w:hAnsi="Times New Roman" w:cs="Times New Roman"/>
                                <w:color w:val="auto"/>
                                <w:sz w:val="28"/>
                                <w:szCs w:val="28"/>
                                <w:lang w:val="en-GB" w:eastAsia="en-GB"/>
                              </w:rPr>
                            </w:pPr>
                            <w:r w:rsidRPr="001B0EF5">
                              <w:rPr>
                                <w:rFonts w:ascii="Arial" w:eastAsia="Arial" w:hAnsi="Arial" w:cs="Arial"/>
                                <w:b/>
                                <w:bCs/>
                                <w:color w:val="FFFFFF"/>
                                <w:kern w:val="24"/>
                                <w:sz w:val="28"/>
                                <w:szCs w:val="28"/>
                                <w:lang w:val="en-GB" w:eastAsia="en-GB"/>
                              </w:rPr>
                              <w:t>MUST NOT MEAN</w:t>
                            </w:r>
                          </w:p>
                          <w:p w14:paraId="10952DDE" w14:textId="15F3C51D" w:rsidR="001B0EF5" w:rsidRDefault="001B0EF5" w:rsidP="001B0EF5">
                            <w:pPr>
                              <w:jc w:val="center"/>
                            </w:pPr>
                            <w:r w:rsidRPr="001B0EF5">
                              <w:rPr>
                                <w:rFonts w:ascii="Arial" w:eastAsia="Arial" w:hAnsi="Arial" w:cs="Arial"/>
                                <w:b/>
                                <w:bCs/>
                                <w:color w:val="FFFFFF"/>
                                <w:kern w:val="24"/>
                                <w:sz w:val="28"/>
                                <w:szCs w:val="28"/>
                                <w:lang w:val="en-GB" w:eastAsia="en-GB"/>
                              </w:rPr>
                              <w:t>WAITING FOR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52424" id="Rectangle 90" o:spid="_x0000_s1026" style="position:absolute;left:0;text-align:left;margin-left:301.5pt;margin-top:-56.5pt;width:220.85pt;height:67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" fillcolor="#e71224" strokecolor="#e71224" strokeweight=".25mm">
                <v:fill opacity="3341f"/>
                <v:shadow on="t" color="black" opacity="22937f" origin=",.5" offset="0,.63889mm"/>
                <v:textbox>
                  <w:txbxContent>
                    <w:p w14:paraId="23220A46" w14:textId="77777777" w:rsidR="001B0EF5" w:rsidRPr="001B0EF5" w:rsidRDefault="001B0EF5" w:rsidP="001B0EF5">
                      <w:pPr>
                        <w:spacing w:after="0" w:line="252" w:lineRule="auto"/>
                        <w:jc w:val="center"/>
                        <w:rPr>
                          <w:rFonts w:ascii="Times New Roman" w:eastAsia="Times New Roman" w:hAnsi="Times New Roman" w:cs="Times New Roman"/>
                          <w:color w:val="auto"/>
                          <w:sz w:val="28"/>
                          <w:szCs w:val="28"/>
                          <w:lang w:val="en-GB" w:eastAsia="en-GB"/>
                        </w:rPr>
                      </w:pPr>
                      <w:r w:rsidRPr="001B0EF5">
                        <w:rPr>
                          <w:rFonts w:ascii="Arial" w:eastAsia="Arial" w:hAnsi="Arial" w:cs="Arial"/>
                          <w:b/>
                          <w:bCs/>
                          <w:color w:val="FFFFFF"/>
                          <w:kern w:val="24"/>
                          <w:sz w:val="28"/>
                          <w:szCs w:val="28"/>
                          <w:lang w:val="en-GB" w:eastAsia="en-GB"/>
                        </w:rPr>
                        <w:t>WAITING FOR ASSESSMENT</w:t>
                      </w:r>
                    </w:p>
                    <w:p w14:paraId="6BF0F4FF" w14:textId="77777777" w:rsidR="001B0EF5" w:rsidRPr="001B0EF5" w:rsidRDefault="001B0EF5" w:rsidP="001B0EF5">
                      <w:pPr>
                        <w:spacing w:after="0" w:line="252" w:lineRule="auto"/>
                        <w:jc w:val="center"/>
                        <w:rPr>
                          <w:rFonts w:ascii="Times New Roman" w:eastAsia="Times New Roman" w:hAnsi="Times New Roman" w:cs="Times New Roman"/>
                          <w:color w:val="auto"/>
                          <w:sz w:val="28"/>
                          <w:szCs w:val="28"/>
                          <w:lang w:val="en-GB" w:eastAsia="en-GB"/>
                        </w:rPr>
                      </w:pPr>
                      <w:r w:rsidRPr="001B0EF5">
                        <w:rPr>
                          <w:rFonts w:ascii="Arial" w:eastAsia="Arial" w:hAnsi="Arial" w:cs="Arial"/>
                          <w:b/>
                          <w:bCs/>
                          <w:color w:val="FFFFFF"/>
                          <w:kern w:val="24"/>
                          <w:sz w:val="28"/>
                          <w:szCs w:val="28"/>
                          <w:lang w:val="en-GB" w:eastAsia="en-GB"/>
                        </w:rPr>
                        <w:t>MUST NOT MEAN</w:t>
                      </w:r>
                    </w:p>
                    <w:p w14:paraId="10952DDE" w14:textId="15F3C51D" w:rsidR="001B0EF5" w:rsidRDefault="001B0EF5" w:rsidP="001B0EF5">
                      <w:pPr>
                        <w:jc w:val="center"/>
                      </w:pPr>
                      <w:r w:rsidRPr="001B0EF5">
                        <w:rPr>
                          <w:rFonts w:ascii="Arial" w:eastAsia="Arial" w:hAnsi="Arial" w:cs="Arial"/>
                          <w:b/>
                          <w:bCs/>
                          <w:color w:val="FFFFFF"/>
                          <w:kern w:val="24"/>
                          <w:sz w:val="28"/>
                          <w:szCs w:val="28"/>
                          <w:lang w:val="en-GB" w:eastAsia="en-GB"/>
                        </w:rPr>
                        <w:t>WAITING FOR HELP</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1FF5937" wp14:editId="093F9A6D">
                <wp:simplePos x="0" y="0"/>
                <wp:positionH relativeFrom="margin">
                  <wp:posOffset>-711200</wp:posOffset>
                </wp:positionH>
                <wp:positionV relativeFrom="paragraph">
                  <wp:posOffset>-838200</wp:posOffset>
                </wp:positionV>
                <wp:extent cx="7423150" cy="1054100"/>
                <wp:effectExtent l="0" t="0" r="6350" b="0"/>
                <wp:wrapNone/>
                <wp:docPr id="2023326473" name="Rectangle 14"/>
                <wp:cNvGraphicFramePr/>
                <a:graphic xmlns:a="http://schemas.openxmlformats.org/drawingml/2006/main">
                  <a:graphicData uri="http://schemas.microsoft.com/office/word/2010/wordprocessingShape">
                    <wps:wsp>
                      <wps:cNvSpPr/>
                      <wps:spPr>
                        <a:xfrm>
                          <a:off x="0" y="0"/>
                          <a:ext cx="7423150" cy="1054100"/>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4B9DE80" w14:textId="52ABA4F0" w:rsidR="00B72F8A" w:rsidRPr="00B72F8A" w:rsidRDefault="00B72F8A" w:rsidP="00B72F8A">
                            <w:pPr>
                              <w:jc w:val="left"/>
                              <w:rPr>
                                <w:b/>
                                <w:bCs/>
                                <w:sz w:val="56"/>
                                <w:szCs w:val="56"/>
                                <w:lang w:val="en-GB"/>
                              </w:rPr>
                            </w:pPr>
                            <w:proofErr w:type="spellStart"/>
                            <w:r w:rsidRPr="00B72F8A">
                              <w:rPr>
                                <w:b/>
                                <w:bCs/>
                                <w:sz w:val="56"/>
                                <w:szCs w:val="56"/>
                                <w:lang w:val="en-GB"/>
                              </w:rPr>
                              <w:t>NeuroBridge</w:t>
                            </w:r>
                            <w:proofErr w:type="spellEnd"/>
                          </w:p>
                          <w:p w14:paraId="622EE8A5" w14:textId="5955485F" w:rsidR="00B72F8A" w:rsidRPr="0096206B" w:rsidRDefault="00B72F8A" w:rsidP="00B72F8A">
                            <w:pPr>
                              <w:jc w:val="left"/>
                              <w:rPr>
                                <w:b/>
                                <w:bCs/>
                                <w:sz w:val="32"/>
                                <w:szCs w:val="32"/>
                                <w:lang w:val="en-GB"/>
                              </w:rPr>
                            </w:pPr>
                            <w:r w:rsidRPr="0096206B">
                              <w:rPr>
                                <w:b/>
                                <w:bCs/>
                                <w:sz w:val="32"/>
                                <w:szCs w:val="32"/>
                                <w:lang w:val="en-GB"/>
                              </w:rPr>
                              <w:t>SUPPORT WHILE FAMILIES WAIT</w:t>
                            </w:r>
                          </w:p>
                          <w:p w14:paraId="62E51560" w14:textId="7480D70A" w:rsidR="00B72F8A" w:rsidRPr="00B72F8A" w:rsidRDefault="00B72F8A" w:rsidP="00B72F8A">
                            <w:pPr>
                              <w:jc w:val="left"/>
                              <w:rPr>
                                <w:b/>
                                <w:bCs/>
                                <w:sz w:val="48"/>
                                <w:szCs w:val="48"/>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FF5937" id="Rectangle 14" o:spid="_x0000_s1027" style="position:absolute;left:0;text-align:left;margin-left:-56pt;margin-top:-66pt;width:584.5pt;height:8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" fillcolor="#7cca62 [3208]" stroked="f">
                <v:fill opacity="32896f"/>
                <v:textbox>
                  <w:txbxContent>
                    <w:p w14:paraId="54B9DE80" w14:textId="52ABA4F0" w:rsidR="00B72F8A" w:rsidRPr="00B72F8A" w:rsidRDefault="00B72F8A" w:rsidP="00B72F8A">
                      <w:pPr>
                        <w:jc w:val="left"/>
                        <w:rPr>
                          <w:b/>
                          <w:bCs/>
                          <w:sz w:val="56"/>
                          <w:szCs w:val="56"/>
                          <w:lang w:val="en-GB"/>
                        </w:rPr>
                      </w:pPr>
                      <w:proofErr w:type="spellStart"/>
                      <w:r w:rsidRPr="00B72F8A">
                        <w:rPr>
                          <w:b/>
                          <w:bCs/>
                          <w:sz w:val="56"/>
                          <w:szCs w:val="56"/>
                          <w:lang w:val="en-GB"/>
                        </w:rPr>
                        <w:t>NeuroBridge</w:t>
                      </w:r>
                      <w:proofErr w:type="spellEnd"/>
                    </w:p>
                    <w:p w14:paraId="622EE8A5" w14:textId="5955485F" w:rsidR="00B72F8A" w:rsidRPr="0096206B" w:rsidRDefault="00B72F8A" w:rsidP="00B72F8A">
                      <w:pPr>
                        <w:jc w:val="left"/>
                        <w:rPr>
                          <w:b/>
                          <w:bCs/>
                          <w:sz w:val="32"/>
                          <w:szCs w:val="32"/>
                          <w:lang w:val="en-GB"/>
                        </w:rPr>
                      </w:pPr>
                      <w:r w:rsidRPr="0096206B">
                        <w:rPr>
                          <w:b/>
                          <w:bCs/>
                          <w:sz w:val="32"/>
                          <w:szCs w:val="32"/>
                          <w:lang w:val="en-GB"/>
                        </w:rPr>
                        <w:t>SUPPORT WHILE FAMILIES WAIT</w:t>
                      </w:r>
                    </w:p>
                    <w:p w14:paraId="62E51560" w14:textId="7480D70A" w:rsidR="00B72F8A" w:rsidRPr="00B72F8A" w:rsidRDefault="00B72F8A" w:rsidP="00B72F8A">
                      <w:pPr>
                        <w:jc w:val="left"/>
                        <w:rPr>
                          <w:b/>
                          <w:bCs/>
                          <w:sz w:val="48"/>
                          <w:szCs w:val="48"/>
                          <w:lang w:val="en-GB"/>
                        </w:rPr>
                      </w:pPr>
                    </w:p>
                  </w:txbxContent>
                </v:textbox>
                <w10:wrap anchorx="margin"/>
              </v:rect>
            </w:pict>
          </mc:Fallback>
        </mc:AlternateContent>
      </w:r>
      <w:r w:rsidR="0096206B">
        <w:rPr>
          <w:noProof/>
        </w:rPr>
        <mc:AlternateContent>
          <mc:Choice Requires="wps">
            <w:drawing>
              <wp:anchor distT="0" distB="0" distL="114300" distR="114300" simplePos="0" relativeHeight="251664384" behindDoc="0" locked="0" layoutInCell="1" allowOverlap="1" wp14:anchorId="04E3382F" wp14:editId="6AFE68AD">
                <wp:simplePos x="0" y="0"/>
                <wp:positionH relativeFrom="column">
                  <wp:posOffset>-682009</wp:posOffset>
                </wp:positionH>
                <wp:positionV relativeFrom="paragraph">
                  <wp:posOffset>247385</wp:posOffset>
                </wp:positionV>
                <wp:extent cx="2700000" cy="319617"/>
                <wp:effectExtent l="57150" t="38100" r="81915" b="99695"/>
                <wp:wrapNone/>
                <wp:docPr id="1798255204" name="Rectangle 2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700000" cy="319617"/>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531E5863" w14:textId="74934A5E" w:rsidR="008F7D30" w:rsidRPr="008F7D30" w:rsidRDefault="008F7D30" w:rsidP="008F7D30">
                            <w:pPr>
                              <w:jc w:val="center"/>
                              <w:rPr>
                                <w:b/>
                                <w:bCs/>
                                <w:sz w:val="28"/>
                                <w:szCs w:val="28"/>
                                <w:lang w:val="en-GB"/>
                              </w:rPr>
                            </w:pPr>
                            <w:r w:rsidRPr="008F7D30">
                              <w:rPr>
                                <w:b/>
                                <w:bCs/>
                                <w:sz w:val="28"/>
                                <w:szCs w:val="28"/>
                                <w:lang w:val="en-GB"/>
                              </w:rPr>
                              <w:t>Innovation overview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E3382F" id="Rectangle 23" o:spid="_x0000_s1028" alt="&quot;&quot;" style="position:absolute;left:0;text-align:left;margin-left:-53.7pt;margin-top:19.5pt;width:212.6pt;height:25.1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" fillcolor="#7af4d3 [1623]" strokecolor="#0fc492 [3047]">
                <v:fill color2="#d7fcf1 [503]" rotate="t" angle="180" colors="0 #8fffda;22938f #b2ffe3;1 #e0fff4" focus="100%" type="gradient"/>
                <v:shadow on="t" color="black" opacity="24903f" origin=",.5" offset="0,.55556mm"/>
                <v:textbox>
                  <w:txbxContent>
                    <w:p w14:paraId="531E5863" w14:textId="74934A5E" w:rsidR="008F7D30" w:rsidRPr="008F7D30" w:rsidRDefault="008F7D30" w:rsidP="008F7D30">
                      <w:pPr>
                        <w:jc w:val="center"/>
                        <w:rPr>
                          <w:b/>
                          <w:bCs/>
                          <w:sz w:val="28"/>
                          <w:szCs w:val="28"/>
                          <w:lang w:val="en-GB"/>
                        </w:rPr>
                      </w:pPr>
                      <w:r w:rsidRPr="008F7D30">
                        <w:rPr>
                          <w:b/>
                          <w:bCs/>
                          <w:sz w:val="28"/>
                          <w:szCs w:val="28"/>
                          <w:lang w:val="en-GB"/>
                        </w:rPr>
                        <w:t>Innovation overview</w:t>
                      </w:r>
                    </w:p>
                  </w:txbxContent>
                </v:textbox>
              </v:rect>
            </w:pict>
          </mc:Fallback>
        </mc:AlternateContent>
      </w:r>
    </w:p>
    <w:p w14:paraId="448341F2" w14:textId="073B2ABE" w:rsidR="00B72F8A" w:rsidRPr="00B72F8A" w:rsidRDefault="00313ECC" w:rsidP="00B72F8A">
      <w:r>
        <w:rPr>
          <w:noProof/>
        </w:rPr>
        <mc:AlternateContent>
          <mc:Choice Requires="wps">
            <w:drawing>
              <wp:anchor distT="0" distB="0" distL="114300" distR="114300" simplePos="0" relativeHeight="251666432" behindDoc="0" locked="0" layoutInCell="1" allowOverlap="1" wp14:anchorId="4B2BC224" wp14:editId="7D172508">
                <wp:simplePos x="0" y="0"/>
                <wp:positionH relativeFrom="margin">
                  <wp:posOffset>-742950</wp:posOffset>
                </wp:positionH>
                <wp:positionV relativeFrom="paragraph">
                  <wp:posOffset>172720</wp:posOffset>
                </wp:positionV>
                <wp:extent cx="3746500" cy="1339850"/>
                <wp:effectExtent l="57150" t="38100" r="82550" b="88900"/>
                <wp:wrapNone/>
                <wp:docPr id="19" name="overview-body">
                  <a:extLst xmlns:a="http://schemas.openxmlformats.org/drawingml/2006/main">
                    <a:ext uri="{FF2B5EF4-FFF2-40B4-BE49-F238E27FC236}">
                      <a16:creationId xmlns:a16="http://schemas.microsoft.com/office/drawing/2014/main" id="{891A8E39-7153-430D-80A0-1D242873D1F8}"/>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746500" cy="133985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FA37E7A" w14:textId="4A5DAE98" w:rsidR="00AA3165" w:rsidRDefault="00AA3165" w:rsidP="00C754D2">
                            <w:pPr>
                              <w:spacing w:line="276" w:lineRule="auto"/>
                              <w:jc w:val="left"/>
                              <w:rPr>
                                <w:rFonts w:ascii="Arial" w:eastAsia="Arial" w:hAnsi="Arial" w:cs="Arial"/>
                                <w:kern w:val="24"/>
                                <w:sz w:val="16"/>
                                <w:szCs w:val="16"/>
                              </w:rPr>
                            </w:pPr>
                          </w:p>
                          <w:p w14:paraId="60185443" w14:textId="0E07553D" w:rsidR="008F7D30" w:rsidRPr="00C754D2" w:rsidRDefault="00AA3165" w:rsidP="00C754D2">
                            <w:pPr>
                              <w:spacing w:line="276" w:lineRule="auto"/>
                              <w:jc w:val="left"/>
                              <w:rPr>
                                <w:rFonts w:ascii="Arial" w:eastAsia="Arial" w:hAnsi="Arial" w:cs="Arial"/>
                                <w:kern w:val="24"/>
                                <w:sz w:val="16"/>
                                <w:szCs w:val="16"/>
                              </w:rPr>
                            </w:pPr>
                            <w:r>
                              <w:rPr>
                                <w:rFonts w:ascii="Arial" w:eastAsia="Arial" w:hAnsi="Arial" w:cs="Arial"/>
                                <w:kern w:val="24"/>
                                <w:sz w:val="16"/>
                                <w:szCs w:val="16"/>
                              </w:rPr>
                              <w:t>N</w:t>
                            </w:r>
                            <w:r w:rsidR="008F7D30" w:rsidRPr="00C754D2">
                              <w:rPr>
                                <w:rFonts w:ascii="Arial" w:eastAsia="Arial" w:hAnsi="Arial" w:cs="Arial"/>
                                <w:kern w:val="24"/>
                                <w:sz w:val="16"/>
                                <w:szCs w:val="16"/>
                              </w:rPr>
                              <w:t>euroBridge is a digital and human support service for children aged 5-17 after referral for an autism assessment. It does not diagnose or replace a clinician. It connects the family, school, GP and assessment team around one consent-based plan. A mobile-friendly portal shows the referral stage, records adjustments, offers trusted resources and prompts monthly wellbeing check-ins. A trained navigator provides telephone or community support when the portal is unsuitable. Waiting for assessment must not mean waiting for help.</w:t>
                            </w:r>
                          </w:p>
                        </w:txbxContent>
                      </wps:txbx>
                      <wps:bodyPr wrap="square" lIns="0" tIns="0" rIns="0" bIns="0" anchor="t">
                        <a:noAutofit/>
                      </wps:bodyPr>
                    </wps:wsp>
                  </a:graphicData>
                </a:graphic>
                <wp14:sizeRelH relativeFrom="margin">
                  <wp14:pctWidth>0</wp14:pctWidth>
                </wp14:sizeRelH>
                <wp14:sizeRelV relativeFrom="margin">
                  <wp14:pctHeight>0</wp14:pctHeight>
                </wp14:sizeRelV>
              </wp:anchor>
            </w:drawing>
          </mc:Choice>
          <mc:Fallback>
            <w:pict>
              <v:rect w14:anchorId="4B2BC224" id="overview-body" o:spid="_x0000_s1029" style="position:absolute;left:0;text-align:left;margin-left:-58.5pt;margin-top:13.6pt;width:295pt;height:105.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" fillcolor="#79f2f8 [1622]" strokecolor="#0ac4cd [3046]">
                <v:fill color2="#d6fbfd [502]" rotate="t" angle="180" colors="0 #8bffff;22938f #aeffff;1 #deffff" focus="100%" type="gradient"/>
                <v:shadow on="t" color="black" opacity="24903f" origin=",.5" offset="0,.55556mm"/>
                <v:path arrowok="t"/>
                <o:lock v:ext="edit" grouping="t"/>
                <v:textbox inset="0,0,0,0">
                  <w:txbxContent>
                    <w:p w14:paraId="7FA37E7A" w14:textId="4A5DAE98" w:rsidR="00AA3165" w:rsidRDefault="00AA3165" w:rsidP="00C754D2">
                      <w:pPr>
                        <w:spacing w:line="276" w:lineRule="auto"/>
                        <w:jc w:val="left"/>
                        <w:rPr>
                          <w:rFonts w:ascii="Arial" w:eastAsia="Arial" w:hAnsi="Arial" w:cs="Arial"/>
                          <w:kern w:val="24"/>
                          <w:sz w:val="16"/>
                          <w:szCs w:val="16"/>
                        </w:rPr>
                      </w:pPr>
                    </w:p>
                    <w:p w14:paraId="60185443" w14:textId="0E07553D" w:rsidR="008F7D30" w:rsidRPr="00C754D2" w:rsidRDefault="00AA3165" w:rsidP="00C754D2">
                      <w:pPr>
                        <w:spacing w:line="276" w:lineRule="auto"/>
                        <w:jc w:val="left"/>
                        <w:rPr>
                          <w:rFonts w:ascii="Arial" w:eastAsia="Arial" w:hAnsi="Arial" w:cs="Arial"/>
                          <w:kern w:val="24"/>
                          <w:sz w:val="16"/>
                          <w:szCs w:val="16"/>
                        </w:rPr>
                      </w:pPr>
                      <w:r>
                        <w:rPr>
                          <w:rFonts w:ascii="Arial" w:eastAsia="Arial" w:hAnsi="Arial" w:cs="Arial"/>
                          <w:kern w:val="24"/>
                          <w:sz w:val="16"/>
                          <w:szCs w:val="16"/>
                        </w:rPr>
                        <w:t>N</w:t>
                      </w:r>
                      <w:r w:rsidR="008F7D30" w:rsidRPr="00C754D2">
                        <w:rPr>
                          <w:rFonts w:ascii="Arial" w:eastAsia="Arial" w:hAnsi="Arial" w:cs="Arial"/>
                          <w:kern w:val="24"/>
                          <w:sz w:val="16"/>
                          <w:szCs w:val="16"/>
                        </w:rPr>
                        <w:t>euroBridge is a digital and human support service for children aged 5-17 after referral for an autism assessment. It does not diagnose or replace a clinician. It connects the family, school, GP and assessment team around one consent-based plan. A mobile-friendly portal shows the referral stage, records adjustments, offers trusted resources and prompts monthly wellbeing check-ins. A trained navigator provides telephone or community support when the portal is unsuitable. Waiting for assessment must not mean waiting for help.</w:t>
                      </w:r>
                    </w:p>
                  </w:txbxContent>
                </v:textbox>
                <w10:wrap anchorx="margin"/>
              </v:rect>
            </w:pict>
          </mc:Fallback>
        </mc:AlternateContent>
      </w:r>
      <w:r w:rsidR="00E767F0">
        <w:rPr>
          <w:noProof/>
        </w:rPr>
        <mc:AlternateContent>
          <mc:Choice Requires="wps">
            <w:drawing>
              <wp:anchor distT="0" distB="0" distL="114300" distR="114300" simplePos="0" relativeHeight="251708416" behindDoc="0" locked="0" layoutInCell="1" allowOverlap="1" wp14:anchorId="5A4002D9" wp14:editId="6374E14A">
                <wp:simplePos x="0" y="0"/>
                <wp:positionH relativeFrom="column">
                  <wp:posOffset>3328640</wp:posOffset>
                </wp:positionH>
                <wp:positionV relativeFrom="paragraph">
                  <wp:posOffset>16092</wp:posOffset>
                </wp:positionV>
                <wp:extent cx="76200" cy="304800"/>
                <wp:effectExtent l="0" t="0" r="0" b="0"/>
                <wp:wrapNone/>
                <wp:docPr id="29" name="how-accent">
                  <a:extLst xmlns:a="http://schemas.openxmlformats.org/drawingml/2006/main">
                    <a:ext uri="{FF2B5EF4-FFF2-40B4-BE49-F238E27FC236}">
                      <a16:creationId xmlns:a16="http://schemas.microsoft.com/office/drawing/2014/main" id="{B16CED49-6A16-443E-AFF9-EC267360E86F}"/>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304800"/>
                        </a:xfrm>
                        <a:prstGeom prst="rect">
                          <a:avLst/>
                        </a:prstGeom>
                        <a:solidFill>
                          <a:srgbClr val="15998F"/>
                        </a:solidFill>
                        <a:ln w="0">
                          <a:noFill/>
                          <a:prstDash val="solid"/>
                        </a:ln>
                      </wps:spPr>
                      <wps:bodyPr/>
                    </wps:wsp>
                  </a:graphicData>
                </a:graphic>
              </wp:anchor>
            </w:drawing>
          </mc:Choice>
          <mc:Fallback>
            <w:pict>
              <v:rect w14:anchorId="0BF2C256" id="how-accent" o:spid="_x0000_s1026" style="position:absolute;margin-left:262.1pt;margin-top:1.25pt;width:6pt;height:24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" fillcolor="#15998f" stroked="f" strokeweight="0">
                <o:lock v:ext="edit" grouping="t"/>
              </v:rect>
            </w:pict>
          </mc:Fallback>
        </mc:AlternateContent>
      </w:r>
      <w:r w:rsidR="00E767F0">
        <w:rPr>
          <w:noProof/>
        </w:rPr>
        <mc:AlternateContent>
          <mc:Choice Requires="wps">
            <w:drawing>
              <wp:anchor distT="0" distB="0" distL="114300" distR="114300" simplePos="0" relativeHeight="251706368" behindDoc="0" locked="0" layoutInCell="1" allowOverlap="1" wp14:anchorId="27F02694" wp14:editId="6C0A83B8">
                <wp:simplePos x="0" y="0"/>
                <wp:positionH relativeFrom="column">
                  <wp:posOffset>3451302</wp:posOffset>
                </wp:positionH>
                <wp:positionV relativeFrom="paragraph">
                  <wp:posOffset>124397</wp:posOffset>
                </wp:positionV>
                <wp:extent cx="2244090" cy="258337"/>
                <wp:effectExtent l="0" t="0" r="3810" b="8890"/>
                <wp:wrapNone/>
                <wp:docPr id="30" name="how-title">
                  <a:extLst xmlns:a="http://schemas.openxmlformats.org/drawingml/2006/main">
                    <a:ext uri="{FF2B5EF4-FFF2-40B4-BE49-F238E27FC236}">
                      <a16:creationId xmlns:a16="http://schemas.microsoft.com/office/drawing/2014/main" id="{547C2D4A-81D7-47DE-8054-E562DD3190D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244090" cy="258337"/>
                        </a:xfrm>
                        <a:prstGeom prst="rect">
                          <a:avLst/>
                        </a:prstGeom>
                        <a:noFill/>
                        <a:ln w="0">
                          <a:noFill/>
                          <a:prstDash val="solid"/>
                        </a:ln>
                      </wps:spPr>
                      <wps:txbx>
                        <w:txbxContent>
                          <w:p w14:paraId="36C79FC0" w14:textId="77777777" w:rsidR="00E767F0" w:rsidRPr="00E767F0" w:rsidRDefault="00E767F0" w:rsidP="00E767F0">
                            <w:pPr>
                              <w:rPr>
                                <w:rFonts w:ascii="Arial" w:eastAsia="Arial" w:hAnsi="Arial" w:cs="Arial"/>
                                <w:b/>
                                <w:bCs/>
                                <w:color w:val="123044"/>
                                <w:kern w:val="24"/>
                                <w:sz w:val="24"/>
                                <w:szCs w:val="24"/>
                              </w:rPr>
                            </w:pPr>
                            <w:r w:rsidRPr="00E767F0">
                              <w:rPr>
                                <w:rFonts w:ascii="Arial" w:eastAsia="Arial" w:hAnsi="Arial" w:cs="Arial"/>
                                <w:b/>
                                <w:bCs/>
                                <w:color w:val="123044"/>
                                <w:kern w:val="24"/>
                                <w:sz w:val="24"/>
                                <w:szCs w:val="24"/>
                              </w:rPr>
                              <w:t>HOW NEUROBRIDGE WORKS</w:t>
                            </w:r>
                          </w:p>
                        </w:txbxContent>
                      </wps:txbx>
                      <wps:bodyPr wrap="square" lIns="0" tIns="0" rIns="0" bIns="0" anchor="t">
                        <a:noAutofit/>
                      </wps:bodyPr>
                    </wps:wsp>
                  </a:graphicData>
                </a:graphic>
                <wp14:sizeRelH relativeFrom="margin">
                  <wp14:pctWidth>0</wp14:pctWidth>
                </wp14:sizeRelH>
                <wp14:sizeRelV relativeFrom="margin">
                  <wp14:pctHeight>0</wp14:pctHeight>
                </wp14:sizeRelV>
              </wp:anchor>
            </w:drawing>
          </mc:Choice>
          <mc:Fallback>
            <w:pict>
              <v:rect w14:anchorId="27F02694" id="how-title" o:spid="_x0000_s1030" style="position:absolute;left:0;text-align:left;margin-left:271.75pt;margin-top:9.8pt;width:176.7pt;height:20.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" filled="f" stroked="f" strokeweight="0">
                <o:lock v:ext="edit" grouping="t"/>
                <v:textbox inset="0,0,0,0">
                  <w:txbxContent>
                    <w:p w14:paraId="36C79FC0" w14:textId="77777777" w:rsidR="00E767F0" w:rsidRPr="00E767F0" w:rsidRDefault="00E767F0" w:rsidP="00E767F0">
                      <w:pPr>
                        <w:rPr>
                          <w:rFonts w:ascii="Arial" w:eastAsia="Arial" w:hAnsi="Arial" w:cs="Arial"/>
                          <w:b/>
                          <w:bCs/>
                          <w:color w:val="123044"/>
                          <w:kern w:val="24"/>
                          <w:sz w:val="24"/>
                          <w:szCs w:val="24"/>
                        </w:rPr>
                      </w:pPr>
                      <w:r w:rsidRPr="00E767F0">
                        <w:rPr>
                          <w:rFonts w:ascii="Arial" w:eastAsia="Arial" w:hAnsi="Arial" w:cs="Arial"/>
                          <w:b/>
                          <w:bCs/>
                          <w:color w:val="123044"/>
                          <w:kern w:val="24"/>
                          <w:sz w:val="24"/>
                          <w:szCs w:val="24"/>
                        </w:rPr>
                        <w:t>HOW NEUROBRIDGE WORKS</w:t>
                      </w:r>
                    </w:p>
                  </w:txbxContent>
                </v:textbox>
              </v:rect>
            </w:pict>
          </mc:Fallback>
        </mc:AlternateContent>
      </w:r>
    </w:p>
    <w:p w14:paraId="487FD0C2" w14:textId="18862154" w:rsidR="00B72F8A" w:rsidRPr="00B72F8A" w:rsidRDefault="001B0EF5" w:rsidP="00313ECC">
      <w:r>
        <w:rPr>
          <w:noProof/>
          <w:sz w:val="18"/>
          <w:szCs w:val="18"/>
        </w:rPr>
        <mc:AlternateContent>
          <mc:Choice Requires="wps">
            <w:drawing>
              <wp:anchor distT="0" distB="0" distL="114300" distR="114300" simplePos="0" relativeHeight="251731968" behindDoc="0" locked="0" layoutInCell="1" allowOverlap="1" wp14:anchorId="45AA0003" wp14:editId="3C1A3855">
                <wp:simplePos x="0" y="0"/>
                <wp:positionH relativeFrom="column">
                  <wp:posOffset>-831850</wp:posOffset>
                </wp:positionH>
                <wp:positionV relativeFrom="paragraph">
                  <wp:posOffset>6847840</wp:posOffset>
                </wp:positionV>
                <wp:extent cx="3860800" cy="1257300"/>
                <wp:effectExtent l="57150" t="38100" r="82550" b="95250"/>
                <wp:wrapNone/>
                <wp:docPr id="1322361755" name="Rectangle 86"/>
                <wp:cNvGraphicFramePr/>
                <a:graphic xmlns:a="http://schemas.openxmlformats.org/drawingml/2006/main">
                  <a:graphicData uri="http://schemas.microsoft.com/office/word/2010/wordprocessingShape">
                    <wps:wsp>
                      <wps:cNvSpPr/>
                      <wps:spPr>
                        <a:xfrm>
                          <a:off x="0" y="0"/>
                          <a:ext cx="3860800" cy="12573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2DEC245E" w14:textId="04F15606" w:rsidR="00AA3165" w:rsidRPr="00AA3165" w:rsidRDefault="00AA3165" w:rsidP="00AA3165">
                            <w:pPr>
                              <w:jc w:val="center"/>
                              <w:rPr>
                                <w:sz w:val="16"/>
                                <w:szCs w:val="16"/>
                              </w:rPr>
                            </w:pPr>
                            <w:r w:rsidRPr="00AA3165">
                              <w:rPr>
                                <w:sz w:val="16"/>
                                <w:szCs w:val="16"/>
                              </w:rPr>
                              <w:t xml:space="preserve">Families will hear through referral letters, NHS App messages, GPs, schools, Local Offer pages, family hubs and autism </w:t>
                            </w:r>
                            <w:proofErr w:type="spellStart"/>
                            <w:r w:rsidRPr="00AA3165">
                              <w:rPr>
                                <w:sz w:val="16"/>
                                <w:szCs w:val="16"/>
                              </w:rPr>
                              <w:t>organisations</w:t>
                            </w:r>
                            <w:proofErr w:type="spellEnd"/>
                            <w:r w:rsidRPr="00AA3165">
                              <w:rPr>
                                <w:sz w:val="16"/>
                                <w:szCs w:val="16"/>
                              </w:rPr>
                              <w:t>. Professionals receive webinars, referral guides, briefings and a dashboard. Public messages use translated, easy-read, captioned and print formats. Parent champions and young advisers test messages and share learning. Quarterly public reports show reach, safety</w:t>
                            </w:r>
                            <w:r w:rsidRPr="00AA3165">
                              <w:t xml:space="preserve">, </w:t>
                            </w:r>
                            <w:r w:rsidRPr="00AA3165">
                              <w:rPr>
                                <w:sz w:val="16"/>
                                <w:szCs w:val="16"/>
                              </w:rPr>
                              <w:t>experience and inequalities without identifying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0003" id="Rectangle 86" o:spid="_x0000_s1031" style="position:absolute;left:0;text-align:left;margin-left:-65.5pt;margin-top:539.2pt;width:304pt;height:99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" fillcolor="#79f2f8 [1622]" strokecolor="#0ac4cd [3046]">
                <v:fill color2="#d6fbfd [502]" rotate="t" angle="180" colors="0 #8bffff;22938f #aeffff;1 #deffff" focus="100%" type="gradient"/>
                <v:shadow on="t" color="black" opacity="24903f" origin=",.5" offset="0,.55556mm"/>
                <v:textbox>
                  <w:txbxContent>
                    <w:p w14:paraId="2DEC245E" w14:textId="04F15606" w:rsidR="00AA3165" w:rsidRPr="00AA3165" w:rsidRDefault="00AA3165" w:rsidP="00AA3165">
                      <w:pPr>
                        <w:jc w:val="center"/>
                        <w:rPr>
                          <w:sz w:val="16"/>
                          <w:szCs w:val="16"/>
                        </w:rPr>
                      </w:pPr>
                      <w:r w:rsidRPr="00AA3165">
                        <w:rPr>
                          <w:sz w:val="16"/>
                          <w:szCs w:val="16"/>
                        </w:rPr>
                        <w:t xml:space="preserve">Families will hear through referral letters, NHS App messages, GPs, schools, Local Offer pages, family hubs and autism </w:t>
                      </w:r>
                      <w:proofErr w:type="spellStart"/>
                      <w:r w:rsidRPr="00AA3165">
                        <w:rPr>
                          <w:sz w:val="16"/>
                          <w:szCs w:val="16"/>
                        </w:rPr>
                        <w:t>organisations</w:t>
                      </w:r>
                      <w:proofErr w:type="spellEnd"/>
                      <w:r w:rsidRPr="00AA3165">
                        <w:rPr>
                          <w:sz w:val="16"/>
                          <w:szCs w:val="16"/>
                        </w:rPr>
                        <w:t>. Professionals receive webinars, referral guides, briefings and a dashboard. Public messages use translated, easy-read, captioned and print formats. Parent champions and young advisers test messages and share learning. Quarterly public reports show reach, safety</w:t>
                      </w:r>
                      <w:r w:rsidRPr="00AA3165">
                        <w:t xml:space="preserve">, </w:t>
                      </w:r>
                      <w:r w:rsidRPr="00AA3165">
                        <w:rPr>
                          <w:sz w:val="16"/>
                          <w:szCs w:val="16"/>
                        </w:rPr>
                        <w:t>experience and inequalities without identifying children.</w:t>
                      </w:r>
                    </w:p>
                  </w:txbxContent>
                </v:textbox>
              </v:rect>
            </w:pict>
          </mc:Fallback>
        </mc:AlternateContent>
      </w:r>
      <w:r>
        <w:rPr>
          <w:noProof/>
          <w:sz w:val="18"/>
          <w:szCs w:val="18"/>
        </w:rPr>
        <mc:AlternateContent>
          <mc:Choice Requires="wps">
            <w:drawing>
              <wp:anchor distT="0" distB="0" distL="114300" distR="114300" simplePos="0" relativeHeight="251734016" behindDoc="0" locked="0" layoutInCell="1" allowOverlap="1" wp14:anchorId="7BE30696" wp14:editId="467330AC">
                <wp:simplePos x="0" y="0"/>
                <wp:positionH relativeFrom="column">
                  <wp:posOffset>3187700</wp:posOffset>
                </wp:positionH>
                <wp:positionV relativeFrom="paragraph">
                  <wp:posOffset>7355840</wp:posOffset>
                </wp:positionV>
                <wp:extent cx="3479800" cy="996950"/>
                <wp:effectExtent l="0" t="0" r="6350" b="0"/>
                <wp:wrapNone/>
                <wp:docPr id="1459100340" name="Rectangle 88"/>
                <wp:cNvGraphicFramePr/>
                <a:graphic xmlns:a="http://schemas.openxmlformats.org/drawingml/2006/main">
                  <a:graphicData uri="http://schemas.microsoft.com/office/word/2010/wordprocessingShape">
                    <wps:wsp>
                      <wps:cNvSpPr/>
                      <wps:spPr>
                        <a:xfrm>
                          <a:off x="0" y="0"/>
                          <a:ext cx="3479800" cy="99695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F609056" w14:textId="651EC4E7" w:rsidR="001B0EF5" w:rsidRPr="001B0EF5" w:rsidRDefault="001B0EF5" w:rsidP="001B0EF5">
                            <w:pPr>
                              <w:jc w:val="left"/>
                              <w:rPr>
                                <w:sz w:val="16"/>
                                <w:szCs w:val="16"/>
                              </w:rPr>
                            </w:pPr>
                            <w:r w:rsidRPr="001B0EF5">
                              <w:rPr>
                                <w:sz w:val="16"/>
                                <w:szCs w:val="16"/>
                              </w:rPr>
                              <w:t>NeuroBridge turns an unsupported queue into a visible pathway. Families gain a named person, practical help and control over information while clinical responsibility stays clear. The proposal asks an ICB to fund a co-designed 12-month pilot, recruit parent and youth partners, and publish outcomes. Assessment remains essential. Support should begin 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30696" id="Rectangle 88" o:spid="_x0000_s1032" style="position:absolute;left:0;text-align:left;margin-left:251pt;margin-top:579.2pt;width:274pt;height:7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" fillcolor="#0f6fc6 [3204]" stroked="f">
                <v:fill opacity="32896f"/>
                <v:textbox>
                  <w:txbxContent>
                    <w:p w14:paraId="1F609056" w14:textId="651EC4E7" w:rsidR="001B0EF5" w:rsidRPr="001B0EF5" w:rsidRDefault="001B0EF5" w:rsidP="001B0EF5">
                      <w:pPr>
                        <w:jc w:val="left"/>
                        <w:rPr>
                          <w:sz w:val="16"/>
                          <w:szCs w:val="16"/>
                        </w:rPr>
                      </w:pPr>
                      <w:r w:rsidRPr="001B0EF5">
                        <w:rPr>
                          <w:sz w:val="16"/>
                          <w:szCs w:val="16"/>
                        </w:rPr>
                        <w:t>NeuroBridge turns an unsupported queue into a visible pathway. Families gain a named person, practical help and control over information while clinical responsibility stays clear. The proposal asks an ICB to fund a co-designed 12-month pilot, recruit parent and youth partners, and publish outcomes. Assessment remains essential. Support should begin now.</w:t>
                      </w:r>
                    </w:p>
                  </w:txbxContent>
                </v:textbox>
              </v:rect>
            </w:pict>
          </mc:Fallback>
        </mc:AlternateContent>
      </w:r>
      <w:r>
        <w:rPr>
          <w:noProof/>
          <w:sz w:val="18"/>
          <w:szCs w:val="18"/>
        </w:rPr>
        <mc:AlternateContent>
          <mc:Choice Requires="wps">
            <w:drawing>
              <wp:anchor distT="0" distB="0" distL="114300" distR="114300" simplePos="0" relativeHeight="251727872" behindDoc="0" locked="0" layoutInCell="1" allowOverlap="1" wp14:anchorId="516C0CAB" wp14:editId="783C786B">
                <wp:simplePos x="0" y="0"/>
                <wp:positionH relativeFrom="column">
                  <wp:posOffset>3225800</wp:posOffset>
                </wp:positionH>
                <wp:positionV relativeFrom="paragraph">
                  <wp:posOffset>5241290</wp:posOffset>
                </wp:positionV>
                <wp:extent cx="3467100" cy="2006600"/>
                <wp:effectExtent l="57150" t="38100" r="76200" b="88900"/>
                <wp:wrapNone/>
                <wp:docPr id="594841153" name="Rectangle 82"/>
                <wp:cNvGraphicFramePr/>
                <a:graphic xmlns:a="http://schemas.openxmlformats.org/drawingml/2006/main">
                  <a:graphicData uri="http://schemas.microsoft.com/office/word/2010/wordprocessingShape">
                    <wps:wsp>
                      <wps:cNvSpPr/>
                      <wps:spPr>
                        <a:xfrm>
                          <a:off x="0" y="0"/>
                          <a:ext cx="3467100" cy="20066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533E7C2F" w14:textId="77777777" w:rsidR="00AA3165" w:rsidRPr="00AA3165" w:rsidRDefault="00AA3165" w:rsidP="00AA3165">
                            <w:pPr>
                              <w:jc w:val="left"/>
                              <w:rPr>
                                <w:sz w:val="16"/>
                                <w:szCs w:val="16"/>
                              </w:rPr>
                            </w:pPr>
                            <w:r w:rsidRPr="00AA3165">
                              <w:rPr>
                                <w:sz w:val="16"/>
                                <w:szCs w:val="16"/>
                              </w:rPr>
                              <w:t xml:space="preserve">NeuroBridge will follow UK GDPR and data-protection law. Children's best interests, clear privacy information, data </w:t>
                            </w:r>
                            <w:proofErr w:type="spellStart"/>
                            <w:r w:rsidRPr="00AA3165">
                              <w:rPr>
                                <w:sz w:val="16"/>
                                <w:szCs w:val="16"/>
                              </w:rPr>
                              <w:t>minimisation</w:t>
                            </w:r>
                            <w:proofErr w:type="spellEnd"/>
                            <w:r w:rsidRPr="00AA3165">
                              <w:rPr>
                                <w:sz w:val="16"/>
                                <w:szCs w:val="16"/>
                              </w:rPr>
                              <w:t>, lawful processing, retention limits and rights will be built in (Information Commissioner's Office, 2026). Health information is special-category data. A data protection impact assessment and sharing agreements will precede the pilot.</w:t>
                            </w:r>
                          </w:p>
                          <w:p w14:paraId="77CFE0BF" w14:textId="6601198F" w:rsidR="00AA3165" w:rsidRPr="00AA3165" w:rsidRDefault="00AA3165" w:rsidP="00AA3165">
                            <w:pPr>
                              <w:jc w:val="left"/>
                              <w:rPr>
                                <w:sz w:val="16"/>
                                <w:szCs w:val="16"/>
                              </w:rPr>
                            </w:pPr>
                            <w:r w:rsidRPr="00AA3165">
                              <w:rPr>
                                <w:sz w:val="16"/>
                                <w:szCs w:val="16"/>
                              </w:rPr>
                              <w:t xml:space="preserve">The supplier will apply DCB0129 and deploying </w:t>
                            </w:r>
                            <w:proofErr w:type="spellStart"/>
                            <w:r w:rsidRPr="00AA3165">
                              <w:rPr>
                                <w:sz w:val="16"/>
                                <w:szCs w:val="16"/>
                              </w:rPr>
                              <w:t>organisations</w:t>
                            </w:r>
                            <w:proofErr w:type="spellEnd"/>
                            <w:r w:rsidRPr="00AA3165">
                              <w:rPr>
                                <w:sz w:val="16"/>
                                <w:szCs w:val="16"/>
                              </w:rPr>
                              <w:t xml:space="preserve"> DCB0160, with a named clinical safety officer, safety case and live hazard log (NHS England, 2026b). NHS digital assurance, cybersecurity, accessibility and interoperability requirements also apply. Safeguarding, professional scopes, incident reporting and human escalation remain mandatory. Any future diagnostic feature would require separate regulatory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C0CAB" id="Rectangle 82" o:spid="_x0000_s1033" style="position:absolute;left:0;text-align:left;margin-left:254pt;margin-top:412.7pt;width:273pt;height:15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" fillcolor="#79f2f8 [1622]" strokecolor="#0ac4cd [3046]">
                <v:fill color2="#d6fbfd [502]" rotate="t" angle="180" colors="0 #8bffff;22938f #aeffff;1 #deffff" focus="100%" type="gradient"/>
                <v:shadow on="t" color="black" opacity="24903f" origin=",.5" offset="0,.55556mm"/>
                <v:textbox>
                  <w:txbxContent>
                    <w:p w14:paraId="533E7C2F" w14:textId="77777777" w:rsidR="00AA3165" w:rsidRPr="00AA3165" w:rsidRDefault="00AA3165" w:rsidP="00AA3165">
                      <w:pPr>
                        <w:jc w:val="left"/>
                        <w:rPr>
                          <w:sz w:val="16"/>
                          <w:szCs w:val="16"/>
                        </w:rPr>
                      </w:pPr>
                      <w:r w:rsidRPr="00AA3165">
                        <w:rPr>
                          <w:sz w:val="16"/>
                          <w:szCs w:val="16"/>
                        </w:rPr>
                        <w:t xml:space="preserve">NeuroBridge will follow UK GDPR and data-protection law. Children's best interests, clear privacy information, data </w:t>
                      </w:r>
                      <w:proofErr w:type="spellStart"/>
                      <w:r w:rsidRPr="00AA3165">
                        <w:rPr>
                          <w:sz w:val="16"/>
                          <w:szCs w:val="16"/>
                        </w:rPr>
                        <w:t>minimisation</w:t>
                      </w:r>
                      <w:proofErr w:type="spellEnd"/>
                      <w:r w:rsidRPr="00AA3165">
                        <w:rPr>
                          <w:sz w:val="16"/>
                          <w:szCs w:val="16"/>
                        </w:rPr>
                        <w:t>, lawful processing, retention limits and rights will be built in (Information Commissioner's Office, 2026). Health information is special-category data. A data protection impact assessment and sharing agreements will precede the pilot.</w:t>
                      </w:r>
                    </w:p>
                    <w:p w14:paraId="77CFE0BF" w14:textId="6601198F" w:rsidR="00AA3165" w:rsidRPr="00AA3165" w:rsidRDefault="00AA3165" w:rsidP="00AA3165">
                      <w:pPr>
                        <w:jc w:val="left"/>
                        <w:rPr>
                          <w:sz w:val="16"/>
                          <w:szCs w:val="16"/>
                        </w:rPr>
                      </w:pPr>
                      <w:r w:rsidRPr="00AA3165">
                        <w:rPr>
                          <w:sz w:val="16"/>
                          <w:szCs w:val="16"/>
                        </w:rPr>
                        <w:t xml:space="preserve">The supplier will apply DCB0129 and deploying </w:t>
                      </w:r>
                      <w:proofErr w:type="spellStart"/>
                      <w:r w:rsidRPr="00AA3165">
                        <w:rPr>
                          <w:sz w:val="16"/>
                          <w:szCs w:val="16"/>
                        </w:rPr>
                        <w:t>organisations</w:t>
                      </w:r>
                      <w:proofErr w:type="spellEnd"/>
                      <w:r w:rsidRPr="00AA3165">
                        <w:rPr>
                          <w:sz w:val="16"/>
                          <w:szCs w:val="16"/>
                        </w:rPr>
                        <w:t xml:space="preserve"> DCB0160, with a named clinical safety officer, safety case and live hazard log (NHS England, 2026b). NHS digital assurance, cybersecurity, accessibility and interoperability requirements also apply. Safeguarding, professional scopes, incident reporting and human escalation remain mandatory. Any future diagnostic feature would require separate regulatory assessment.</w:t>
                      </w:r>
                    </w:p>
                  </w:txbxContent>
                </v:textbox>
              </v:rect>
            </w:pict>
          </mc:Fallback>
        </mc:AlternateContent>
      </w:r>
      <w:r w:rsidR="00AA3165">
        <w:rPr>
          <w:noProof/>
          <w:sz w:val="18"/>
          <w:szCs w:val="18"/>
        </w:rPr>
        <mc:AlternateContent>
          <mc:Choice Requires="wps">
            <w:drawing>
              <wp:anchor distT="0" distB="0" distL="114300" distR="114300" simplePos="0" relativeHeight="251729920" behindDoc="0" locked="0" layoutInCell="1" allowOverlap="1" wp14:anchorId="4AC99D8E" wp14:editId="39724098">
                <wp:simplePos x="0" y="0"/>
                <wp:positionH relativeFrom="column">
                  <wp:posOffset>-546100</wp:posOffset>
                </wp:positionH>
                <wp:positionV relativeFrom="paragraph">
                  <wp:posOffset>6371590</wp:posOffset>
                </wp:positionV>
                <wp:extent cx="2222500" cy="360000"/>
                <wp:effectExtent l="57150" t="38100" r="82550" b="97790"/>
                <wp:wrapNone/>
                <wp:docPr id="1600478958" name="Rectangle 84"/>
                <wp:cNvGraphicFramePr/>
                <a:graphic xmlns:a="http://schemas.openxmlformats.org/drawingml/2006/main">
                  <a:graphicData uri="http://schemas.microsoft.com/office/word/2010/wordprocessingShape">
                    <wps:wsp>
                      <wps:cNvSpPr/>
                      <wps:spPr>
                        <a:xfrm>
                          <a:off x="0" y="0"/>
                          <a:ext cx="2222500" cy="36000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5EFA7F18" w14:textId="79EA2C41" w:rsidR="00AA3165" w:rsidRPr="00AA3165" w:rsidRDefault="00AA3165" w:rsidP="00AA3165">
                            <w:pPr>
                              <w:jc w:val="center"/>
                              <w:rPr>
                                <w:lang w:val="en-GB"/>
                              </w:rPr>
                            </w:pPr>
                            <w:r>
                              <w:rPr>
                                <w:lang w:val="en-GB"/>
                              </w:rPr>
                              <w:t>Dissemination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AC99D8E" id="Rectangle 84" o:spid="_x0000_s1034" style="position:absolute;left:0;text-align:left;margin-left:-43pt;margin-top:501.7pt;width:175pt;height:28.3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" fillcolor="#7af4d3 [1623]" strokecolor="#0fc492 [3047]">
                <v:fill color2="#d7fcf1 [503]" rotate="t" angle="180" colors="0 #8fffda;22938f #b2ffe3;1 #e0fff4" focus="100%" type="gradient"/>
                <v:shadow on="t" color="black" opacity="24903f" origin=",.5" offset="0,.55556mm"/>
                <v:textbox>
                  <w:txbxContent>
                    <w:p w14:paraId="5EFA7F18" w14:textId="79EA2C41" w:rsidR="00AA3165" w:rsidRPr="00AA3165" w:rsidRDefault="00AA3165" w:rsidP="00AA3165">
                      <w:pPr>
                        <w:jc w:val="center"/>
                        <w:rPr>
                          <w:lang w:val="en-GB"/>
                        </w:rPr>
                      </w:pPr>
                      <w:r>
                        <w:rPr>
                          <w:lang w:val="en-GB"/>
                        </w:rPr>
                        <w:t>Dissemination</w:t>
                      </w:r>
                    </w:p>
                  </w:txbxContent>
                </v:textbox>
              </v:rect>
            </w:pict>
          </mc:Fallback>
        </mc:AlternateContent>
      </w:r>
      <w:r w:rsidR="003D5C30">
        <w:rPr>
          <w:noProof/>
          <w:sz w:val="18"/>
          <w:szCs w:val="18"/>
        </w:rPr>
        <mc:AlternateContent>
          <mc:Choice Requires="wps">
            <w:drawing>
              <wp:anchor distT="0" distB="0" distL="114300" distR="114300" simplePos="0" relativeHeight="251725824" behindDoc="0" locked="0" layoutInCell="1" allowOverlap="1" wp14:anchorId="665D3E08" wp14:editId="3D6DAF69">
                <wp:simplePos x="0" y="0"/>
                <wp:positionH relativeFrom="column">
                  <wp:posOffset>3359150</wp:posOffset>
                </wp:positionH>
                <wp:positionV relativeFrom="paragraph">
                  <wp:posOffset>4815840</wp:posOffset>
                </wp:positionV>
                <wp:extent cx="2844800" cy="393700"/>
                <wp:effectExtent l="57150" t="38100" r="69850" b="101600"/>
                <wp:wrapNone/>
                <wp:docPr id="553189651" name="Rectangle 80"/>
                <wp:cNvGraphicFramePr/>
                <a:graphic xmlns:a="http://schemas.openxmlformats.org/drawingml/2006/main">
                  <a:graphicData uri="http://schemas.microsoft.com/office/word/2010/wordprocessingShape">
                    <wps:wsp>
                      <wps:cNvSpPr/>
                      <wps:spPr>
                        <a:xfrm>
                          <a:off x="0" y="0"/>
                          <a:ext cx="2844800" cy="39370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383E020E" w14:textId="5E4F7167" w:rsidR="003D5C30" w:rsidRPr="003D5C30" w:rsidRDefault="003D5C30" w:rsidP="003D5C30">
                            <w:pPr>
                              <w:jc w:val="center"/>
                              <w:rPr>
                                <w:lang w:val="en-GB"/>
                              </w:rPr>
                            </w:pPr>
                            <w:proofErr w:type="spellStart"/>
                            <w:r>
                              <w:rPr>
                                <w:lang w:val="en-GB"/>
                              </w:rPr>
                              <w:t>Development&amp;</w:t>
                            </w:r>
                            <w:r w:rsidR="00AA3165">
                              <w:rPr>
                                <w:lang w:val="en-GB"/>
                              </w:rPr>
                              <w:t>regulation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5D3E08" id="Rectangle 80" o:spid="_x0000_s1035" style="position:absolute;left:0;text-align:left;margin-left:264.5pt;margin-top:379.2pt;width:224pt;height:31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" fillcolor="#7af4d3 [1623]" strokecolor="#0fc492 [3047]">
                <v:fill color2="#d7fcf1 [503]" rotate="t" angle="180" colors="0 #8fffda;22938f #b2ffe3;1 #e0fff4" focus="100%" type="gradient"/>
                <v:shadow on="t" color="black" opacity="24903f" origin=",.5" offset="0,.55556mm"/>
                <v:textbox>
                  <w:txbxContent>
                    <w:p w14:paraId="383E020E" w14:textId="5E4F7167" w:rsidR="003D5C30" w:rsidRPr="003D5C30" w:rsidRDefault="003D5C30" w:rsidP="003D5C30">
                      <w:pPr>
                        <w:jc w:val="center"/>
                        <w:rPr>
                          <w:lang w:val="en-GB"/>
                        </w:rPr>
                      </w:pPr>
                      <w:proofErr w:type="spellStart"/>
                      <w:r>
                        <w:rPr>
                          <w:lang w:val="en-GB"/>
                        </w:rPr>
                        <w:t>Development&amp;</w:t>
                      </w:r>
                      <w:r w:rsidR="00AA3165">
                        <w:rPr>
                          <w:lang w:val="en-GB"/>
                        </w:rPr>
                        <w:t>regulation</w:t>
                      </w:r>
                      <w:proofErr w:type="spellEnd"/>
                    </w:p>
                  </w:txbxContent>
                </v:textbox>
              </v:rect>
            </w:pict>
          </mc:Fallback>
        </mc:AlternateContent>
      </w:r>
      <w:r w:rsidR="003D5C30" w:rsidRPr="00C754D2">
        <w:rPr>
          <w:noProof/>
          <w:sz w:val="18"/>
          <w:szCs w:val="18"/>
        </w:rPr>
        <mc:AlternateContent>
          <mc:Choice Requires="wps">
            <w:drawing>
              <wp:anchor distT="0" distB="0" distL="114300" distR="114300" simplePos="0" relativeHeight="251689984" behindDoc="0" locked="0" layoutInCell="1" allowOverlap="1" wp14:anchorId="569CD4CA" wp14:editId="0A844E6B">
                <wp:simplePos x="0" y="0"/>
                <wp:positionH relativeFrom="page">
                  <wp:align>left</wp:align>
                </wp:positionH>
                <wp:positionV relativeFrom="paragraph">
                  <wp:posOffset>3858260</wp:posOffset>
                </wp:positionV>
                <wp:extent cx="3727450" cy="2470150"/>
                <wp:effectExtent l="57150" t="38100" r="82550" b="101600"/>
                <wp:wrapNone/>
                <wp:docPr id="1276653226" name="Rectangle 48"/>
                <wp:cNvGraphicFramePr/>
                <a:graphic xmlns:a="http://schemas.openxmlformats.org/drawingml/2006/main">
                  <a:graphicData uri="http://schemas.microsoft.com/office/word/2010/wordprocessingShape">
                    <wps:wsp>
                      <wps:cNvSpPr/>
                      <wps:spPr>
                        <a:xfrm>
                          <a:off x="0" y="0"/>
                          <a:ext cx="3727450" cy="247015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626090F4" w14:textId="77777777" w:rsidR="00C754D2" w:rsidRPr="00C754D2" w:rsidRDefault="00C754D2" w:rsidP="00C754D2">
                            <w:pPr>
                              <w:jc w:val="center"/>
                              <w:rPr>
                                <w:sz w:val="18"/>
                                <w:szCs w:val="18"/>
                              </w:rPr>
                            </w:pPr>
                            <w:r w:rsidRPr="00C754D2">
                              <w:rPr>
                                <w:sz w:val="18"/>
                                <w:szCs w:val="18"/>
                              </w:rPr>
                              <w:t>Primary users are children aged 5-17 awaiting an NHS autism assessment, especially families facing poverty, language barriers, digital exclusion, school absence or complex needs. Parents gain one named contact. Schools receive an adjustment plan that does not depend on diagnosis. Professionals receive structured updates instead of repeated calls.</w:t>
                            </w:r>
                          </w:p>
                          <w:p w14:paraId="11EC4388" w14:textId="4C5F964B" w:rsidR="00C754D2" w:rsidRPr="00C754D2" w:rsidRDefault="00C754D2" w:rsidP="00C754D2">
                            <w:pPr>
                              <w:rPr>
                                <w:sz w:val="18"/>
                                <w:szCs w:val="18"/>
                              </w:rPr>
                            </w:pPr>
                            <w:r w:rsidRPr="00C754D2">
                              <w:rPr>
                                <w:sz w:val="18"/>
                                <w:szCs w:val="18"/>
                              </w:rPr>
                              <w:t>Expected benefits are earlier help, fewer avoidable crises, better family confidence, reduced duplication and fairer access. The common-good value is that support follows need, not the ability to pay privately or navigate a fragmented system. The SEND Code promotes participation and joint planning across education, health and social care (Department for Education and Department of Health, 2015). The Children and Families Act 2014 supports coordinated SEND duties (Children and Families Act,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9CD4CA" id="Rectangle 48" o:spid="_x0000_s1036" style="position:absolute;left:0;text-align:left;margin-left:0;margin-top:303.8pt;width:293.5pt;height:194.5pt;z-index:2516899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" fillcolor="#79f2f8 [1622]" strokecolor="#0ac4cd [3046]">
                <v:fill color2="#d6fbfd [502]" rotate="t" angle="180" colors="0 #8bffff;22938f #aeffff;1 #deffff" focus="100%" type="gradient"/>
                <v:shadow on="t" color="black" opacity="24903f" origin=",.5" offset="0,.55556mm"/>
                <v:textbox>
                  <w:txbxContent>
                    <w:p w14:paraId="626090F4" w14:textId="77777777" w:rsidR="00C754D2" w:rsidRPr="00C754D2" w:rsidRDefault="00C754D2" w:rsidP="00C754D2">
                      <w:pPr>
                        <w:jc w:val="center"/>
                        <w:rPr>
                          <w:sz w:val="18"/>
                          <w:szCs w:val="18"/>
                        </w:rPr>
                      </w:pPr>
                      <w:r w:rsidRPr="00C754D2">
                        <w:rPr>
                          <w:sz w:val="18"/>
                          <w:szCs w:val="18"/>
                        </w:rPr>
                        <w:t>Primary users are children aged 5-17 awaiting an NHS autism assessment, especially families facing poverty, language barriers, digital exclusion, school absence or complex needs. Parents gain one named contact. Schools receive an adjustment plan that does not depend on diagnosis. Professionals receive structured updates instead of repeated calls.</w:t>
                      </w:r>
                    </w:p>
                    <w:p w14:paraId="11EC4388" w14:textId="4C5F964B" w:rsidR="00C754D2" w:rsidRPr="00C754D2" w:rsidRDefault="00C754D2" w:rsidP="00C754D2">
                      <w:pPr>
                        <w:rPr>
                          <w:sz w:val="18"/>
                          <w:szCs w:val="18"/>
                        </w:rPr>
                      </w:pPr>
                      <w:r w:rsidRPr="00C754D2">
                        <w:rPr>
                          <w:sz w:val="18"/>
                          <w:szCs w:val="18"/>
                        </w:rPr>
                        <w:t>Expected benefits are earlier help, fewer avoidable crises, better family confidence, reduced duplication and fairer access. The common-good value is that support follows need, not the ability to pay privately or navigate a fragmented system. The SEND Code promotes participation and joint planning across education, health and social care (Department for Education and Department of Health, 2015). The Children and Families Act 2014 supports coordinated SEND duties (Children and Families Act, 2014).</w:t>
                      </w:r>
                    </w:p>
                  </w:txbxContent>
                </v:textbox>
                <w10:wrap anchorx="page"/>
              </v:rect>
            </w:pict>
          </mc:Fallback>
        </mc:AlternateContent>
      </w:r>
      <w:r w:rsidR="003D5C30">
        <w:rPr>
          <w:noProof/>
        </w:rPr>
        <mc:AlternateContent>
          <mc:Choice Requires="wps">
            <w:drawing>
              <wp:anchor distT="0" distB="0" distL="114300" distR="114300" simplePos="0" relativeHeight="251685888" behindDoc="0" locked="0" layoutInCell="1" allowOverlap="1" wp14:anchorId="6CAEB342" wp14:editId="1191AEF1">
                <wp:simplePos x="0" y="0"/>
                <wp:positionH relativeFrom="column">
                  <wp:posOffset>-717550</wp:posOffset>
                </wp:positionH>
                <wp:positionV relativeFrom="paragraph">
                  <wp:posOffset>3444240</wp:posOffset>
                </wp:positionV>
                <wp:extent cx="1979930" cy="393700"/>
                <wp:effectExtent l="57150" t="38100" r="77470" b="101600"/>
                <wp:wrapNone/>
                <wp:docPr id="2043791479" name="Rectangle 44"/>
                <wp:cNvGraphicFramePr/>
                <a:graphic xmlns:a="http://schemas.openxmlformats.org/drawingml/2006/main">
                  <a:graphicData uri="http://schemas.microsoft.com/office/word/2010/wordprocessingShape">
                    <wps:wsp>
                      <wps:cNvSpPr/>
                      <wps:spPr>
                        <a:xfrm>
                          <a:off x="0" y="0"/>
                          <a:ext cx="1979930" cy="39370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8B23D69" w14:textId="76B6B158" w:rsidR="0096206B" w:rsidRPr="003D5C30" w:rsidRDefault="0096206B" w:rsidP="0096206B">
                            <w:pPr>
                              <w:jc w:val="center"/>
                              <w:rPr>
                                <w:b/>
                                <w:bCs/>
                                <w:sz w:val="24"/>
                                <w:szCs w:val="24"/>
                                <w:lang w:val="en-GB"/>
                              </w:rPr>
                            </w:pPr>
                            <w:r w:rsidRPr="003D5C30">
                              <w:rPr>
                                <w:b/>
                                <w:bCs/>
                                <w:sz w:val="24"/>
                                <w:szCs w:val="24"/>
                                <w:lang w:val="en-GB"/>
                              </w:rPr>
                              <w:t>Target audience and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AEB342" id="Rectangle 44" o:spid="_x0000_s1037" style="position:absolute;left:0;text-align:left;margin-left:-56.5pt;margin-top:271.2pt;width:155.9pt;height:31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" fillcolor="#7af4d3 [1623]" strokecolor="#0fc492 [3047]">
                <v:fill color2="#d7fcf1 [503]" rotate="t" angle="180" colors="0 #8fffda;22938f #b2ffe3;1 #e0fff4" focus="100%" type="gradient"/>
                <v:shadow on="t" color="black" opacity="24903f" origin=",.5" offset="0,.55556mm"/>
                <v:textbox>
                  <w:txbxContent>
                    <w:p w14:paraId="48B23D69" w14:textId="76B6B158" w:rsidR="0096206B" w:rsidRPr="003D5C30" w:rsidRDefault="0096206B" w:rsidP="0096206B">
                      <w:pPr>
                        <w:jc w:val="center"/>
                        <w:rPr>
                          <w:b/>
                          <w:bCs/>
                          <w:sz w:val="24"/>
                          <w:szCs w:val="24"/>
                          <w:lang w:val="en-GB"/>
                        </w:rPr>
                      </w:pPr>
                      <w:r w:rsidRPr="003D5C30">
                        <w:rPr>
                          <w:b/>
                          <w:bCs/>
                          <w:sz w:val="24"/>
                          <w:szCs w:val="24"/>
                          <w:lang w:val="en-GB"/>
                        </w:rPr>
                        <w:t>Target audience and impact</w:t>
                      </w:r>
                    </w:p>
                  </w:txbxContent>
                </v:textbox>
              </v:rect>
            </w:pict>
          </mc:Fallback>
        </mc:AlternateContent>
      </w:r>
      <w:r w:rsidR="003D5C30">
        <w:rPr>
          <w:noProof/>
        </w:rPr>
        <mc:AlternateContent>
          <mc:Choice Requires="wps">
            <w:drawing>
              <wp:anchor distT="0" distB="0" distL="114300" distR="114300" simplePos="0" relativeHeight="251675648" behindDoc="0" locked="0" layoutInCell="1" allowOverlap="1" wp14:anchorId="71A7CF6A" wp14:editId="29193D53">
                <wp:simplePos x="0" y="0"/>
                <wp:positionH relativeFrom="column">
                  <wp:posOffset>-753745</wp:posOffset>
                </wp:positionH>
                <wp:positionV relativeFrom="paragraph">
                  <wp:posOffset>1570355</wp:posOffset>
                </wp:positionV>
                <wp:extent cx="3714750" cy="1828800"/>
                <wp:effectExtent l="57150" t="38100" r="76200" b="95250"/>
                <wp:wrapNone/>
                <wp:docPr id="1858834510" name="Rectangle 32"/>
                <wp:cNvGraphicFramePr/>
                <a:graphic xmlns:a="http://schemas.openxmlformats.org/drawingml/2006/main">
                  <a:graphicData uri="http://schemas.microsoft.com/office/word/2010/wordprocessingShape">
                    <wps:wsp>
                      <wps:cNvSpPr/>
                      <wps:spPr>
                        <a:xfrm>
                          <a:off x="0" y="0"/>
                          <a:ext cx="3714750" cy="18288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65501F36" w14:textId="0286B8A6" w:rsidR="004659D2" w:rsidRPr="004659D2" w:rsidRDefault="004659D2" w:rsidP="004659D2">
                            <w:pPr>
                              <w:rPr>
                                <w:sz w:val="18"/>
                                <w:szCs w:val="18"/>
                              </w:rPr>
                            </w:pPr>
                            <w:r w:rsidRPr="004659D2">
                              <w:rPr>
                                <w:sz w:val="18"/>
                                <w:szCs w:val="18"/>
                              </w:rPr>
                              <w:t>March</w:t>
                            </w:r>
                            <w:r w:rsidRPr="004659D2">
                              <w:rPr>
                                <w:sz w:val="18"/>
                                <w:szCs w:val="18"/>
                              </w:rPr>
                              <w:t xml:space="preserve"> </w:t>
                            </w:r>
                            <w:r w:rsidRPr="004659D2">
                              <w:rPr>
                                <w:sz w:val="18"/>
                                <w:szCs w:val="18"/>
                              </w:rPr>
                              <w:t>2026,</w:t>
                            </w:r>
                            <w:r w:rsidRPr="004659D2">
                              <w:rPr>
                                <w:sz w:val="18"/>
                                <w:szCs w:val="18"/>
                              </w:rPr>
                              <w:t xml:space="preserve"> </w:t>
                            </w:r>
                            <w:r w:rsidRPr="004659D2">
                              <w:rPr>
                                <w:sz w:val="18"/>
                                <w:szCs w:val="18"/>
                              </w:rPr>
                              <w:t xml:space="preserve">270,701 people had an open suspected-autism referral in reported NHS mental health data. Of these, 242,708, or 89.7%, had waited at least 13 weeks (NHS England, 2026a). NICE expects assessment to start within three months (NICE, 2014). The statistics exclude some community </w:t>
                            </w:r>
                            <w:proofErr w:type="spellStart"/>
                            <w:r w:rsidRPr="004659D2">
                              <w:rPr>
                                <w:sz w:val="18"/>
                                <w:szCs w:val="18"/>
                              </w:rPr>
                              <w:t>paediatric</w:t>
                            </w:r>
                            <w:proofErr w:type="spellEnd"/>
                            <w:r w:rsidRPr="004659D2">
                              <w:rPr>
                                <w:sz w:val="18"/>
                                <w:szCs w:val="18"/>
                              </w:rPr>
                              <w:t xml:space="preserve"> activity and have data-quality limits, but show severe pressure. Children can wait years while needs escalate across disconnected services (Children's Commissioner for England, 2024). Parents report uncertainty, emotional strain and poor information (Legg and Tickle, 2019). The gap is not only capacity. It is missing support before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7CF6A" id="Rectangle 32" o:spid="_x0000_s1038" style="position:absolute;left:0;text-align:left;margin-left:-59.35pt;margin-top:123.65pt;width:292.5pt;height:2in;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" fillcolor="#79f2f8 [1622]" strokecolor="#0ac4cd [3046]">
                <v:fill color2="#d6fbfd [502]" rotate="t" angle="180" colors="0 #8bffff;22938f #aeffff;1 #deffff" focus="100%" type="gradient"/>
                <v:shadow on="t" color="black" opacity="24903f" origin=",.5" offset="0,.55556mm"/>
                <v:textbox>
                  <w:txbxContent>
                    <w:p w14:paraId="65501F36" w14:textId="0286B8A6" w:rsidR="004659D2" w:rsidRPr="004659D2" w:rsidRDefault="004659D2" w:rsidP="004659D2">
                      <w:pPr>
                        <w:rPr>
                          <w:sz w:val="18"/>
                          <w:szCs w:val="18"/>
                        </w:rPr>
                      </w:pPr>
                      <w:r w:rsidRPr="004659D2">
                        <w:rPr>
                          <w:sz w:val="18"/>
                          <w:szCs w:val="18"/>
                        </w:rPr>
                        <w:t>March</w:t>
                      </w:r>
                      <w:r w:rsidRPr="004659D2">
                        <w:rPr>
                          <w:sz w:val="18"/>
                          <w:szCs w:val="18"/>
                        </w:rPr>
                        <w:t xml:space="preserve"> </w:t>
                      </w:r>
                      <w:r w:rsidRPr="004659D2">
                        <w:rPr>
                          <w:sz w:val="18"/>
                          <w:szCs w:val="18"/>
                        </w:rPr>
                        <w:t>2026,</w:t>
                      </w:r>
                      <w:r w:rsidRPr="004659D2">
                        <w:rPr>
                          <w:sz w:val="18"/>
                          <w:szCs w:val="18"/>
                        </w:rPr>
                        <w:t xml:space="preserve"> </w:t>
                      </w:r>
                      <w:r w:rsidRPr="004659D2">
                        <w:rPr>
                          <w:sz w:val="18"/>
                          <w:szCs w:val="18"/>
                        </w:rPr>
                        <w:t xml:space="preserve">270,701 people had an open suspected-autism referral in reported NHS mental health data. Of these, 242,708, or 89.7%, had waited at least 13 weeks (NHS England, 2026a). NICE expects assessment to start within three months (NICE, 2014). The statistics exclude some community </w:t>
                      </w:r>
                      <w:proofErr w:type="spellStart"/>
                      <w:r w:rsidRPr="004659D2">
                        <w:rPr>
                          <w:sz w:val="18"/>
                          <w:szCs w:val="18"/>
                        </w:rPr>
                        <w:t>paediatric</w:t>
                      </w:r>
                      <w:proofErr w:type="spellEnd"/>
                      <w:r w:rsidRPr="004659D2">
                        <w:rPr>
                          <w:sz w:val="18"/>
                          <w:szCs w:val="18"/>
                        </w:rPr>
                        <w:t xml:space="preserve"> activity and have data-quality limits, but show severe pressure. Children can wait years while needs escalate across disconnected services (Children's Commissioner for England, 2024). Parents report uncertainty, emotional strain and poor information (Legg and Tickle, 2019). The gap is not only capacity. It is missing support before assessment.</w:t>
                      </w:r>
                    </w:p>
                  </w:txbxContent>
                </v:textbox>
              </v:rect>
            </w:pict>
          </mc:Fallback>
        </mc:AlternateContent>
      </w:r>
      <w:r w:rsidR="003D5C30">
        <w:rPr>
          <w:noProof/>
          <w:sz w:val="18"/>
          <w:szCs w:val="18"/>
        </w:rPr>
        <mc:AlternateContent>
          <mc:Choice Requires="wps">
            <w:drawing>
              <wp:anchor distT="0" distB="0" distL="114300" distR="114300" simplePos="0" relativeHeight="251723776" behindDoc="0" locked="0" layoutInCell="1" allowOverlap="1" wp14:anchorId="6EA2207D" wp14:editId="46A7F8E9">
                <wp:simplePos x="0" y="0"/>
                <wp:positionH relativeFrom="page">
                  <wp:align>right</wp:align>
                </wp:positionH>
                <wp:positionV relativeFrom="paragraph">
                  <wp:posOffset>2421890</wp:posOffset>
                </wp:positionV>
                <wp:extent cx="3638550" cy="2311400"/>
                <wp:effectExtent l="57150" t="38100" r="76200" b="88900"/>
                <wp:wrapNone/>
                <wp:docPr id="641431146" name="Rectangle 78"/>
                <wp:cNvGraphicFramePr/>
                <a:graphic xmlns:a="http://schemas.openxmlformats.org/drawingml/2006/main">
                  <a:graphicData uri="http://schemas.microsoft.com/office/word/2010/wordprocessingShape">
                    <wps:wsp>
                      <wps:cNvSpPr/>
                      <wps:spPr>
                        <a:xfrm>
                          <a:off x="0" y="0"/>
                          <a:ext cx="3638550" cy="23114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1B82EE0D" w14:textId="77777777" w:rsidR="003D5C30" w:rsidRPr="003D5C30" w:rsidRDefault="003D5C30" w:rsidP="003D5C30">
                            <w:pPr>
                              <w:jc w:val="left"/>
                              <w:rPr>
                                <w:sz w:val="18"/>
                                <w:szCs w:val="18"/>
                              </w:rPr>
                            </w:pPr>
                            <w:r w:rsidRPr="003D5C30">
                              <w:rPr>
                                <w:sz w:val="18"/>
                                <w:szCs w:val="18"/>
                              </w:rPr>
                              <w:t xml:space="preserve">A 12-month pilot will run through one Integrated Care Board and two linked local-authority areas. Sites include assessment services, GP practices, schools and family hubs. The ICB commissions, a provider hosts the platform, and a clinical lead and clinical safety officer oversee safety. Nurses, allied health professionals, social prescribers and trained support workers may act as navigators. SENCOs, GPs, </w:t>
                            </w:r>
                            <w:proofErr w:type="spellStart"/>
                            <w:r w:rsidRPr="003D5C30">
                              <w:rPr>
                                <w:sz w:val="18"/>
                                <w:szCs w:val="18"/>
                              </w:rPr>
                              <w:t>paediatricians</w:t>
                            </w:r>
                            <w:proofErr w:type="spellEnd"/>
                            <w:r w:rsidRPr="003D5C30">
                              <w:rPr>
                                <w:sz w:val="18"/>
                                <w:szCs w:val="18"/>
                              </w:rPr>
                              <w:t>, CAMHS, social care, governance teams and families co-design workflows.</w:t>
                            </w:r>
                          </w:p>
                          <w:p w14:paraId="444E1F60" w14:textId="73201017" w:rsidR="003D5C30" w:rsidRPr="003D5C30" w:rsidRDefault="003D5C30" w:rsidP="003D5C30">
                            <w:pPr>
                              <w:rPr>
                                <w:sz w:val="16"/>
                                <w:szCs w:val="16"/>
                              </w:rPr>
                            </w:pPr>
                            <w:r w:rsidRPr="003D5C30">
                              <w:rPr>
                                <w:sz w:val="16"/>
                                <w:szCs w:val="16"/>
                              </w:rPr>
                              <w:t>Implementation starts with pathway mapping and paid co-design with children, families and neurodivergent adults. Staff receive safeguarding, neurodiversity-affirming practice, cultural humility, governance and escalation training. NHS England supports accessible, transparent, co-designed and multidisciplinary pathways with pre-assessment support (NHS England,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A2207D" id="Rectangle 78" o:spid="_x0000_s1039" style="position:absolute;left:0;text-align:left;margin-left:235.3pt;margin-top:190.7pt;width:286.5pt;height:182pt;z-index:2517237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" fillcolor="#79f2f8 [1622]" strokecolor="#0ac4cd [3046]">
                <v:fill color2="#d6fbfd [502]" rotate="t" angle="180" colors="0 #8bffff;22938f #aeffff;1 #deffff" focus="100%" type="gradient"/>
                <v:shadow on="t" color="black" opacity="24903f" origin=",.5" offset="0,.55556mm"/>
                <v:textbox>
                  <w:txbxContent>
                    <w:p w14:paraId="1B82EE0D" w14:textId="77777777" w:rsidR="003D5C30" w:rsidRPr="003D5C30" w:rsidRDefault="003D5C30" w:rsidP="003D5C30">
                      <w:pPr>
                        <w:jc w:val="left"/>
                        <w:rPr>
                          <w:sz w:val="18"/>
                          <w:szCs w:val="18"/>
                        </w:rPr>
                      </w:pPr>
                      <w:r w:rsidRPr="003D5C30">
                        <w:rPr>
                          <w:sz w:val="18"/>
                          <w:szCs w:val="18"/>
                        </w:rPr>
                        <w:t xml:space="preserve">A 12-month pilot will run through one Integrated Care Board and two linked local-authority areas. Sites include assessment services, GP practices, schools and family hubs. The ICB commissions, a provider hosts the platform, and a clinical lead and clinical safety officer oversee safety. Nurses, allied health professionals, social prescribers and trained support workers may act as navigators. SENCOs, GPs, </w:t>
                      </w:r>
                      <w:proofErr w:type="spellStart"/>
                      <w:r w:rsidRPr="003D5C30">
                        <w:rPr>
                          <w:sz w:val="18"/>
                          <w:szCs w:val="18"/>
                        </w:rPr>
                        <w:t>paediatricians</w:t>
                      </w:r>
                      <w:proofErr w:type="spellEnd"/>
                      <w:r w:rsidRPr="003D5C30">
                        <w:rPr>
                          <w:sz w:val="18"/>
                          <w:szCs w:val="18"/>
                        </w:rPr>
                        <w:t>, CAMHS, social care, governance teams and families co-design workflows.</w:t>
                      </w:r>
                    </w:p>
                    <w:p w14:paraId="444E1F60" w14:textId="73201017" w:rsidR="003D5C30" w:rsidRPr="003D5C30" w:rsidRDefault="003D5C30" w:rsidP="003D5C30">
                      <w:pPr>
                        <w:rPr>
                          <w:sz w:val="16"/>
                          <w:szCs w:val="16"/>
                        </w:rPr>
                      </w:pPr>
                      <w:r w:rsidRPr="003D5C30">
                        <w:rPr>
                          <w:sz w:val="16"/>
                          <w:szCs w:val="16"/>
                        </w:rPr>
                        <w:t>Implementation starts with pathway mapping and paid co-design with children, families and neurodivergent adults. Staff receive safeguarding, neurodiversity-affirming practice, cultural humility, governance and escalation training. NHS England supports accessible, transparent, co-designed and multidisciplinary pathways with pre-assessment support (NHS England, 2023).</w:t>
                      </w:r>
                    </w:p>
                  </w:txbxContent>
                </v:textbox>
                <w10:wrap anchorx="page"/>
              </v:rect>
            </w:pict>
          </mc:Fallback>
        </mc:AlternateContent>
      </w:r>
      <w:r w:rsidR="003D5C30">
        <w:rPr>
          <w:noProof/>
          <w:sz w:val="18"/>
          <w:szCs w:val="18"/>
        </w:rPr>
        <mc:AlternateContent>
          <mc:Choice Requires="wps">
            <w:drawing>
              <wp:anchor distT="0" distB="0" distL="114300" distR="114300" simplePos="0" relativeHeight="251721728" behindDoc="0" locked="0" layoutInCell="1" allowOverlap="1" wp14:anchorId="2D4229F4" wp14:editId="6A6E3FE6">
                <wp:simplePos x="0" y="0"/>
                <wp:positionH relativeFrom="column">
                  <wp:posOffset>3676650</wp:posOffset>
                </wp:positionH>
                <wp:positionV relativeFrom="paragraph">
                  <wp:posOffset>2034540</wp:posOffset>
                </wp:positionV>
                <wp:extent cx="2849245" cy="349250"/>
                <wp:effectExtent l="57150" t="38100" r="84455" b="88900"/>
                <wp:wrapNone/>
                <wp:docPr id="822685410" name="Rectangle 75"/>
                <wp:cNvGraphicFramePr/>
                <a:graphic xmlns:a="http://schemas.openxmlformats.org/drawingml/2006/main">
                  <a:graphicData uri="http://schemas.microsoft.com/office/word/2010/wordprocessingShape">
                    <wps:wsp>
                      <wps:cNvSpPr/>
                      <wps:spPr>
                        <a:xfrm>
                          <a:off x="0" y="0"/>
                          <a:ext cx="2849245" cy="34925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1C1E2978" w14:textId="1EA58409" w:rsidR="003D5C30" w:rsidRPr="003D5C30" w:rsidRDefault="003D5C30" w:rsidP="003D5C30">
                            <w:pPr>
                              <w:jc w:val="center"/>
                              <w:rPr>
                                <w:b/>
                                <w:bCs/>
                                <w:sz w:val="28"/>
                                <w:szCs w:val="28"/>
                                <w:lang w:val="en-GB"/>
                              </w:rPr>
                            </w:pPr>
                            <w:r w:rsidRPr="003D5C30">
                              <w:rPr>
                                <w:b/>
                                <w:bCs/>
                                <w:sz w:val="28"/>
                                <w:szCs w:val="28"/>
                                <w:lang w:val="en-GB"/>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4229F4" id="Rectangle 75" o:spid="_x0000_s1040" style="position:absolute;left:0;text-align:left;margin-left:289.5pt;margin-top:160.2pt;width:224.35pt;height:2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" fillcolor="#7af4d3 [1623]" strokecolor="#0fc492 [3047]">
                <v:fill color2="#d7fcf1 [503]" rotate="t" angle="180" colors="0 #8fffda;22938f #b2ffe3;1 #e0fff4" focus="100%" type="gradient"/>
                <v:shadow on="t" color="black" opacity="24903f" origin=",.5" offset="0,.55556mm"/>
                <v:textbox>
                  <w:txbxContent>
                    <w:p w14:paraId="1C1E2978" w14:textId="1EA58409" w:rsidR="003D5C30" w:rsidRPr="003D5C30" w:rsidRDefault="003D5C30" w:rsidP="003D5C30">
                      <w:pPr>
                        <w:jc w:val="center"/>
                        <w:rPr>
                          <w:b/>
                          <w:bCs/>
                          <w:sz w:val="28"/>
                          <w:szCs w:val="28"/>
                          <w:lang w:val="en-GB"/>
                        </w:rPr>
                      </w:pPr>
                      <w:r w:rsidRPr="003D5C30">
                        <w:rPr>
                          <w:b/>
                          <w:bCs/>
                          <w:sz w:val="28"/>
                          <w:szCs w:val="28"/>
                          <w:lang w:val="en-GB"/>
                        </w:rPr>
                        <w:t>Implementation</w:t>
                      </w:r>
                    </w:p>
                  </w:txbxContent>
                </v:textbox>
              </v:rect>
            </w:pict>
          </mc:Fallback>
        </mc:AlternateContent>
      </w:r>
      <w:r w:rsidR="00313ECC">
        <w:rPr>
          <w:noProof/>
        </w:rPr>
        <mc:AlternateContent>
          <mc:Choice Requires="wps">
            <w:drawing>
              <wp:anchor distT="0" distB="0" distL="114300" distR="114300" simplePos="0" relativeHeight="251670528" behindDoc="0" locked="0" layoutInCell="1" allowOverlap="1" wp14:anchorId="568D35C7" wp14:editId="4B17F39E">
                <wp:simplePos x="0" y="0"/>
                <wp:positionH relativeFrom="column">
                  <wp:posOffset>-722289</wp:posOffset>
                </wp:positionH>
                <wp:positionV relativeFrom="paragraph">
                  <wp:posOffset>1222309</wp:posOffset>
                </wp:positionV>
                <wp:extent cx="2012950" cy="330200"/>
                <wp:effectExtent l="57150" t="38100" r="82550" b="88900"/>
                <wp:wrapNone/>
                <wp:docPr id="1166046547" name="Rectangle 27"/>
                <wp:cNvGraphicFramePr/>
                <a:graphic xmlns:a="http://schemas.openxmlformats.org/drawingml/2006/main">
                  <a:graphicData uri="http://schemas.microsoft.com/office/word/2010/wordprocessingShape">
                    <wps:wsp>
                      <wps:cNvSpPr/>
                      <wps:spPr>
                        <a:xfrm>
                          <a:off x="0" y="0"/>
                          <a:ext cx="2012950" cy="33020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7FADAC0D" w14:textId="5C464D2C" w:rsidR="008F7D30" w:rsidRPr="004659D2" w:rsidRDefault="008F7D30" w:rsidP="008F7D30">
                            <w:pPr>
                              <w:jc w:val="center"/>
                              <w:rPr>
                                <w:b/>
                                <w:bCs/>
                                <w:sz w:val="28"/>
                                <w:szCs w:val="28"/>
                                <w:lang w:val="en-GB"/>
                              </w:rPr>
                            </w:pPr>
                            <w:r w:rsidRPr="004659D2">
                              <w:rPr>
                                <w:b/>
                                <w:bCs/>
                                <w:sz w:val="28"/>
                                <w:szCs w:val="28"/>
                                <w:lang w:val="en-GB"/>
                              </w:rPr>
                              <w:t>The is</w:t>
                            </w:r>
                            <w:r w:rsidR="004659D2">
                              <w:rPr>
                                <w:b/>
                                <w:bCs/>
                                <w:sz w:val="28"/>
                                <w:szCs w:val="28"/>
                                <w:lang w:val="en-GB"/>
                              </w:rPr>
                              <w:t>s</w:t>
                            </w:r>
                            <w:r w:rsidRPr="004659D2">
                              <w:rPr>
                                <w:b/>
                                <w:bCs/>
                                <w:sz w:val="28"/>
                                <w:szCs w:val="28"/>
                                <w:lang w:val="en-GB"/>
                              </w:rPr>
                              <w:t>u</w:t>
                            </w:r>
                            <w:r w:rsidR="0096206B">
                              <w:rPr>
                                <w:b/>
                                <w:bCs/>
                                <w:sz w:val="28"/>
                                <w:szCs w:val="28"/>
                                <w:lang w:val="en-GB"/>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8D35C7" id="Rectangle 27" o:spid="_x0000_s1041" style="position:absolute;left:0;text-align:left;margin-left:-56.85pt;margin-top:96.25pt;width:158.5pt;height:2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" fillcolor="#7af4d3 [1623]" strokecolor="#0fc492 [3047]">
                <v:fill color2="#d7fcf1 [503]" rotate="t" angle="180" colors="0 #8fffda;22938f #b2ffe3;1 #e0fff4" focus="100%" type="gradient"/>
                <v:shadow on="t" color="black" opacity="24903f" origin=",.5" offset="0,.55556mm"/>
                <v:textbox>
                  <w:txbxContent>
                    <w:p w14:paraId="7FADAC0D" w14:textId="5C464D2C" w:rsidR="008F7D30" w:rsidRPr="004659D2" w:rsidRDefault="008F7D30" w:rsidP="008F7D30">
                      <w:pPr>
                        <w:jc w:val="center"/>
                        <w:rPr>
                          <w:b/>
                          <w:bCs/>
                          <w:sz w:val="28"/>
                          <w:szCs w:val="28"/>
                          <w:lang w:val="en-GB"/>
                        </w:rPr>
                      </w:pPr>
                      <w:r w:rsidRPr="004659D2">
                        <w:rPr>
                          <w:b/>
                          <w:bCs/>
                          <w:sz w:val="28"/>
                          <w:szCs w:val="28"/>
                          <w:lang w:val="en-GB"/>
                        </w:rPr>
                        <w:t>The is</w:t>
                      </w:r>
                      <w:r w:rsidR="004659D2">
                        <w:rPr>
                          <w:b/>
                          <w:bCs/>
                          <w:sz w:val="28"/>
                          <w:szCs w:val="28"/>
                          <w:lang w:val="en-GB"/>
                        </w:rPr>
                        <w:t>s</w:t>
                      </w:r>
                      <w:r w:rsidRPr="004659D2">
                        <w:rPr>
                          <w:b/>
                          <w:bCs/>
                          <w:sz w:val="28"/>
                          <w:szCs w:val="28"/>
                          <w:lang w:val="en-GB"/>
                        </w:rPr>
                        <w:t>u</w:t>
                      </w:r>
                      <w:r w:rsidR="0096206B">
                        <w:rPr>
                          <w:b/>
                          <w:bCs/>
                          <w:sz w:val="28"/>
                          <w:szCs w:val="28"/>
                          <w:lang w:val="en-GB"/>
                        </w:rPr>
                        <w:t>e</w:t>
                      </w:r>
                    </w:p>
                  </w:txbxContent>
                </v:textbox>
              </v:rect>
            </w:pict>
          </mc:Fallback>
        </mc:AlternateContent>
      </w:r>
      <w:r w:rsidR="00313ECC">
        <w:rPr>
          <w:noProof/>
        </w:rPr>
        <mc:AlternateContent>
          <mc:Choice Requires="wps">
            <w:drawing>
              <wp:anchor distT="0" distB="0" distL="114300" distR="114300" simplePos="0" relativeHeight="251719680" behindDoc="0" locked="0" layoutInCell="1" allowOverlap="1" wp14:anchorId="682072AA" wp14:editId="6BA33649">
                <wp:simplePos x="0" y="0"/>
                <wp:positionH relativeFrom="column">
                  <wp:posOffset>3748869</wp:posOffset>
                </wp:positionH>
                <wp:positionV relativeFrom="paragraph">
                  <wp:posOffset>1588144</wp:posOffset>
                </wp:positionV>
                <wp:extent cx="2897202" cy="360000"/>
                <wp:effectExtent l="57150" t="19050" r="74930" b="97790"/>
                <wp:wrapNone/>
                <wp:docPr id="835878774" name="Rectangle 72"/>
                <wp:cNvGraphicFramePr/>
                <a:graphic xmlns:a="http://schemas.openxmlformats.org/drawingml/2006/main">
                  <a:graphicData uri="http://schemas.microsoft.com/office/word/2010/wordprocessingShape">
                    <wps:wsp>
                      <wps:cNvSpPr/>
                      <wps:spPr>
                        <a:xfrm>
                          <a:off x="0" y="0"/>
                          <a:ext cx="2897202" cy="360000"/>
                        </a:xfrm>
                        <a:prstGeom prst="rect">
                          <a:avLst/>
                        </a:prstGeom>
                        <a:solidFill>
                          <a:srgbClr val="E71224">
                            <a:alpha val="5000"/>
                          </a:srgbClr>
                        </a:solidFill>
                        <a:ln w="9000">
                          <a:solidFill>
                            <a:srgbClr val="E71224"/>
                          </a:solidFill>
                        </a:ln>
                      </wps:spPr>
                      <wps:style>
                        <a:lnRef idx="1">
                          <a:schemeClr val="accent1"/>
                        </a:lnRef>
                        <a:fillRef idx="3">
                          <a:schemeClr val="accent1"/>
                        </a:fillRef>
                        <a:effectRef idx="2">
                          <a:schemeClr val="accent1"/>
                        </a:effectRef>
                        <a:fontRef idx="minor">
                          <a:schemeClr val="lt1"/>
                        </a:fontRef>
                      </wps:style>
                      <wps:txbx>
                        <w:txbxContent>
                          <w:p w14:paraId="66C9ED58" w14:textId="5635C58F" w:rsidR="00313ECC" w:rsidRPr="00313ECC" w:rsidRDefault="00313ECC" w:rsidP="00313ECC">
                            <w:pPr>
                              <w:jc w:val="center"/>
                              <w:rPr>
                                <w:lang w:val="en-GB"/>
                              </w:rPr>
                            </w:pPr>
                            <w:r>
                              <w:rPr>
                                <w:lang w:val="en-GB"/>
                              </w:rPr>
                              <w:t>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2072AA" id="Rectangle 72" o:spid="_x0000_s1042" style="position:absolute;left:0;text-align:left;margin-left:295.2pt;margin-top:125.05pt;width:228.15pt;height:28.3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" fillcolor="#e71224" strokecolor="#e71224" strokeweight=".25mm">
                <v:fill opacity="3341f"/>
                <v:shadow on="t" color="black" opacity="22937f" origin=",.5" offset="0,.63889mm"/>
                <v:textbox>
                  <w:txbxContent>
                    <w:p w14:paraId="66C9ED58" w14:textId="5635C58F" w:rsidR="00313ECC" w:rsidRPr="00313ECC" w:rsidRDefault="00313ECC" w:rsidP="00313ECC">
                      <w:pPr>
                        <w:jc w:val="center"/>
                        <w:rPr>
                          <w:lang w:val="en-GB"/>
                        </w:rPr>
                      </w:pPr>
                      <w:r>
                        <w:rPr>
                          <w:lang w:val="en-GB"/>
                        </w:rPr>
                        <w:t>Review</w:t>
                      </w:r>
                    </w:p>
                  </w:txbxContent>
                </v:textbox>
              </v:rect>
            </w:pict>
          </mc:Fallback>
        </mc:AlternateContent>
      </w:r>
      <w:r w:rsidR="00313ECC">
        <w:rPr>
          <w:noProof/>
        </w:rPr>
        <mc:AlternateContent>
          <mc:Choice Requires="wps">
            <w:drawing>
              <wp:anchor distT="0" distB="0" distL="114300" distR="114300" simplePos="0" relativeHeight="251717632" behindDoc="0" locked="0" layoutInCell="1" allowOverlap="1" wp14:anchorId="40F1F7CF" wp14:editId="25CB30EB">
                <wp:simplePos x="0" y="0"/>
                <wp:positionH relativeFrom="column">
                  <wp:posOffset>3742046</wp:posOffset>
                </wp:positionH>
                <wp:positionV relativeFrom="paragraph">
                  <wp:posOffset>1165064</wp:posOffset>
                </wp:positionV>
                <wp:extent cx="2917834" cy="342616"/>
                <wp:effectExtent l="57150" t="19050" r="73025" b="95885"/>
                <wp:wrapNone/>
                <wp:docPr id="1923323225" name="Rectangle 70"/>
                <wp:cNvGraphicFramePr/>
                <a:graphic xmlns:a="http://schemas.openxmlformats.org/drawingml/2006/main">
                  <a:graphicData uri="http://schemas.microsoft.com/office/word/2010/wordprocessingShape">
                    <wps:wsp>
                      <wps:cNvSpPr/>
                      <wps:spPr>
                        <a:xfrm>
                          <a:off x="0" y="0"/>
                          <a:ext cx="2917834" cy="342616"/>
                        </a:xfrm>
                        <a:prstGeom prst="rect">
                          <a:avLst/>
                        </a:prstGeom>
                        <a:solidFill>
                          <a:srgbClr val="E71224">
                            <a:alpha val="5000"/>
                          </a:srgbClr>
                        </a:solidFill>
                        <a:ln w="9000">
                          <a:solidFill>
                            <a:srgbClr val="E71224"/>
                          </a:solidFill>
                        </a:ln>
                      </wps:spPr>
                      <wps:style>
                        <a:lnRef idx="1">
                          <a:schemeClr val="accent1"/>
                        </a:lnRef>
                        <a:fillRef idx="3">
                          <a:schemeClr val="accent1"/>
                        </a:fillRef>
                        <a:effectRef idx="2">
                          <a:schemeClr val="accent1"/>
                        </a:effectRef>
                        <a:fontRef idx="minor">
                          <a:schemeClr val="lt1"/>
                        </a:fontRef>
                      </wps:style>
                      <wps:txbx>
                        <w:txbxContent>
                          <w:p w14:paraId="6A06E6A5" w14:textId="4C6EECEE" w:rsidR="00313ECC" w:rsidRPr="00313ECC" w:rsidRDefault="00313ECC" w:rsidP="00313ECC">
                            <w:pPr>
                              <w:jc w:val="center"/>
                              <w:rPr>
                                <w:lang w:val="en-GB"/>
                              </w:rPr>
                            </w:pPr>
                            <w:r>
                              <w:rPr>
                                <w:lang w:val="en-GB"/>
                              </w:rPr>
                              <w:t>Coordinate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F1F7CF" id="Rectangle 70" o:spid="_x0000_s1043" style="position:absolute;left:0;text-align:left;margin-left:294.65pt;margin-top:91.75pt;width:229.75pt;height:27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" fillcolor="#e71224" strokecolor="#e71224" strokeweight=".25mm">
                <v:fill opacity="3341f"/>
                <v:shadow on="t" color="black" opacity="22937f" origin=",.5" offset="0,.63889mm"/>
                <v:textbox>
                  <w:txbxContent>
                    <w:p w14:paraId="6A06E6A5" w14:textId="4C6EECEE" w:rsidR="00313ECC" w:rsidRPr="00313ECC" w:rsidRDefault="00313ECC" w:rsidP="00313ECC">
                      <w:pPr>
                        <w:jc w:val="center"/>
                        <w:rPr>
                          <w:lang w:val="en-GB"/>
                        </w:rPr>
                      </w:pPr>
                      <w:r>
                        <w:rPr>
                          <w:lang w:val="en-GB"/>
                        </w:rPr>
                        <w:t>Coordinate</w:t>
                      </w:r>
                    </w:p>
                  </w:txbxContent>
                </v:textbox>
              </v:rect>
            </w:pict>
          </mc:Fallback>
        </mc:AlternateContent>
      </w:r>
      <w:r w:rsidR="00313ECC">
        <w:rPr>
          <w:noProof/>
        </w:rPr>
        <mc:AlternateContent>
          <mc:Choice Requires="wps">
            <w:drawing>
              <wp:anchor distT="0" distB="0" distL="114300" distR="114300" simplePos="0" relativeHeight="251710464" behindDoc="0" locked="0" layoutInCell="1" allowOverlap="1" wp14:anchorId="233D192F" wp14:editId="5A66A147">
                <wp:simplePos x="0" y="0"/>
                <wp:positionH relativeFrom="column">
                  <wp:posOffset>3714750</wp:posOffset>
                </wp:positionH>
                <wp:positionV relativeFrom="paragraph">
                  <wp:posOffset>18652</wp:posOffset>
                </wp:positionV>
                <wp:extent cx="2890766" cy="301625"/>
                <wp:effectExtent l="57150" t="19050" r="81280" b="98425"/>
                <wp:wrapNone/>
                <wp:docPr id="757596132" name="Rectangle 63"/>
                <wp:cNvGraphicFramePr/>
                <a:graphic xmlns:a="http://schemas.openxmlformats.org/drawingml/2006/main">
                  <a:graphicData uri="http://schemas.microsoft.com/office/word/2010/wordprocessingShape">
                    <wps:wsp>
                      <wps:cNvSpPr/>
                      <wps:spPr>
                        <a:xfrm>
                          <a:off x="0" y="0"/>
                          <a:ext cx="2890766" cy="301625"/>
                        </a:xfrm>
                        <a:prstGeom prst="rect">
                          <a:avLst/>
                        </a:prstGeom>
                        <a:solidFill>
                          <a:srgbClr val="E71224">
                            <a:alpha val="5000"/>
                          </a:srgbClr>
                        </a:solidFill>
                        <a:ln w="9000">
                          <a:solidFill>
                            <a:srgbClr val="E71224"/>
                          </a:solidFill>
                        </a:ln>
                      </wps:spPr>
                      <wps:style>
                        <a:lnRef idx="1">
                          <a:schemeClr val="accent1"/>
                        </a:lnRef>
                        <a:fillRef idx="3">
                          <a:schemeClr val="accent1"/>
                        </a:fillRef>
                        <a:effectRef idx="2">
                          <a:schemeClr val="accent1"/>
                        </a:effectRef>
                        <a:fontRef idx="minor">
                          <a:schemeClr val="lt1"/>
                        </a:fontRef>
                      </wps:style>
                      <wps:txbx>
                        <w:txbxContent>
                          <w:p w14:paraId="2050E4CF" w14:textId="36F2D91C" w:rsidR="00313ECC" w:rsidRPr="00313ECC" w:rsidRDefault="00313ECC" w:rsidP="00313ECC">
                            <w:pPr>
                              <w:jc w:val="center"/>
                              <w:rPr>
                                <w:lang w:val="en-GB"/>
                              </w:rPr>
                            </w:pPr>
                            <w:r>
                              <w:rPr>
                                <w:lang w:val="en-GB"/>
                              </w:rPr>
                              <w:t>Connect: The service invites the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3D192F" id="Rectangle 63" o:spid="_x0000_s1044" style="position:absolute;left:0;text-align:left;margin-left:292.5pt;margin-top:1.45pt;width:227.6pt;height:23.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" fillcolor="#e71224" strokecolor="#e71224" strokeweight=".25mm">
                <v:fill opacity="3341f"/>
                <v:shadow on="t" color="black" opacity="22937f" origin=",.5" offset="0,.63889mm"/>
                <v:textbox>
                  <w:txbxContent>
                    <w:p w14:paraId="2050E4CF" w14:textId="36F2D91C" w:rsidR="00313ECC" w:rsidRPr="00313ECC" w:rsidRDefault="00313ECC" w:rsidP="00313ECC">
                      <w:pPr>
                        <w:jc w:val="center"/>
                        <w:rPr>
                          <w:lang w:val="en-GB"/>
                        </w:rPr>
                      </w:pPr>
                      <w:r>
                        <w:rPr>
                          <w:lang w:val="en-GB"/>
                        </w:rPr>
                        <w:t>Connect: The service invites the family</w:t>
                      </w:r>
                    </w:p>
                  </w:txbxContent>
                </v:textbox>
              </v:rect>
            </w:pict>
          </mc:Fallback>
        </mc:AlternateContent>
      </w:r>
      <w:r w:rsidR="00313ECC">
        <w:rPr>
          <w:noProof/>
        </w:rPr>
        <mc:AlternateContent>
          <mc:Choice Requires="wps">
            <w:drawing>
              <wp:anchor distT="0" distB="0" distL="114300" distR="114300" simplePos="0" relativeHeight="251713536" behindDoc="0" locked="0" layoutInCell="1" allowOverlap="1" wp14:anchorId="1DB92E4C" wp14:editId="6AED96DF">
                <wp:simplePos x="0" y="0"/>
                <wp:positionH relativeFrom="column">
                  <wp:posOffset>3707926</wp:posOffset>
                </wp:positionH>
                <wp:positionV relativeFrom="paragraph">
                  <wp:posOffset>414437</wp:posOffset>
                </wp:positionV>
                <wp:extent cx="2938534" cy="301625"/>
                <wp:effectExtent l="57150" t="19050" r="71755" b="98425"/>
                <wp:wrapNone/>
                <wp:docPr id="2103505438" name="Rectangle 66"/>
                <wp:cNvGraphicFramePr/>
                <a:graphic xmlns:a="http://schemas.openxmlformats.org/drawingml/2006/main">
                  <a:graphicData uri="http://schemas.microsoft.com/office/word/2010/wordprocessingShape">
                    <wps:wsp>
                      <wps:cNvSpPr/>
                      <wps:spPr>
                        <a:xfrm>
                          <a:off x="0" y="0"/>
                          <a:ext cx="2938534" cy="301625"/>
                        </a:xfrm>
                        <a:prstGeom prst="rect">
                          <a:avLst/>
                        </a:prstGeom>
                        <a:solidFill>
                          <a:srgbClr val="E71224">
                            <a:alpha val="5000"/>
                          </a:srgbClr>
                        </a:solidFill>
                        <a:ln w="9000">
                          <a:solidFill>
                            <a:srgbClr val="E71224"/>
                          </a:solidFill>
                        </a:ln>
                      </wps:spPr>
                      <wps:style>
                        <a:lnRef idx="1">
                          <a:schemeClr val="accent1"/>
                        </a:lnRef>
                        <a:fillRef idx="3">
                          <a:schemeClr val="accent1"/>
                        </a:fillRef>
                        <a:effectRef idx="2">
                          <a:schemeClr val="accent1"/>
                        </a:effectRef>
                        <a:fontRef idx="minor">
                          <a:schemeClr val="lt1"/>
                        </a:fontRef>
                      </wps:style>
                      <wps:txbx>
                        <w:txbxContent>
                          <w:p w14:paraId="4A3EEBEC" w14:textId="5503B53C" w:rsidR="00313ECC" w:rsidRPr="00313ECC" w:rsidRDefault="00313ECC" w:rsidP="00313ECC">
                            <w:pPr>
                              <w:jc w:val="center"/>
                              <w:rPr>
                                <w:lang w:val="en-GB"/>
                              </w:rPr>
                            </w:pPr>
                            <w:r>
                              <w:rPr>
                                <w:lang w:val="en-GB"/>
                              </w:rPr>
                              <w:t>Understand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B92E4C" id="Rectangle 66" o:spid="_x0000_s1045" style="position:absolute;left:0;text-align:left;margin-left:291.95pt;margin-top:32.65pt;width:231.4pt;height:23.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" fillcolor="#e71224" strokecolor="#e71224" strokeweight=".25mm">
                <v:fill opacity="3341f"/>
                <v:shadow on="t" color="black" opacity="22937f" origin=",.5" offset="0,.63889mm"/>
                <v:textbox>
                  <w:txbxContent>
                    <w:p w14:paraId="4A3EEBEC" w14:textId="5503B53C" w:rsidR="00313ECC" w:rsidRPr="00313ECC" w:rsidRDefault="00313ECC" w:rsidP="00313ECC">
                      <w:pPr>
                        <w:jc w:val="center"/>
                        <w:rPr>
                          <w:lang w:val="en-GB"/>
                        </w:rPr>
                      </w:pPr>
                      <w:r>
                        <w:rPr>
                          <w:lang w:val="en-GB"/>
                        </w:rPr>
                        <w:t>Understand</w:t>
                      </w:r>
                    </w:p>
                  </w:txbxContent>
                </v:textbox>
              </v:rect>
            </w:pict>
          </mc:Fallback>
        </mc:AlternateContent>
      </w:r>
      <w:r w:rsidR="00313ECC">
        <w:rPr>
          <w:noProof/>
        </w:rPr>
        <mc:AlternateContent>
          <mc:Choice Requires="wps">
            <w:drawing>
              <wp:anchor distT="0" distB="0" distL="114300" distR="114300" simplePos="0" relativeHeight="251715584" behindDoc="0" locked="0" layoutInCell="1" allowOverlap="1" wp14:anchorId="6BFD2212" wp14:editId="12DF5D42">
                <wp:simplePos x="0" y="0"/>
                <wp:positionH relativeFrom="column">
                  <wp:posOffset>3714749</wp:posOffset>
                </wp:positionH>
                <wp:positionV relativeFrom="paragraph">
                  <wp:posOffset>803398</wp:posOffset>
                </wp:positionV>
                <wp:extent cx="2945357" cy="274178"/>
                <wp:effectExtent l="57150" t="19050" r="83820" b="88265"/>
                <wp:wrapNone/>
                <wp:docPr id="602138872" name="Rectangle 68"/>
                <wp:cNvGraphicFramePr/>
                <a:graphic xmlns:a="http://schemas.openxmlformats.org/drawingml/2006/main">
                  <a:graphicData uri="http://schemas.microsoft.com/office/word/2010/wordprocessingShape">
                    <wps:wsp>
                      <wps:cNvSpPr/>
                      <wps:spPr>
                        <a:xfrm>
                          <a:off x="0" y="0"/>
                          <a:ext cx="2945357" cy="274178"/>
                        </a:xfrm>
                        <a:prstGeom prst="rect">
                          <a:avLst/>
                        </a:prstGeom>
                        <a:solidFill>
                          <a:srgbClr val="E71224">
                            <a:alpha val="5000"/>
                          </a:srgbClr>
                        </a:solidFill>
                        <a:ln w="9000">
                          <a:solidFill>
                            <a:srgbClr val="E71224"/>
                          </a:solidFill>
                        </a:ln>
                      </wps:spPr>
                      <wps:style>
                        <a:lnRef idx="1">
                          <a:schemeClr val="accent1"/>
                        </a:lnRef>
                        <a:fillRef idx="3">
                          <a:schemeClr val="accent1"/>
                        </a:fillRef>
                        <a:effectRef idx="2">
                          <a:schemeClr val="accent1"/>
                        </a:effectRef>
                        <a:fontRef idx="minor">
                          <a:schemeClr val="lt1"/>
                        </a:fontRef>
                      </wps:style>
                      <wps:txbx>
                        <w:txbxContent>
                          <w:p w14:paraId="0D7D16C6" w14:textId="386FAE91" w:rsidR="00313ECC" w:rsidRPr="00313ECC" w:rsidRDefault="00313ECC" w:rsidP="00313ECC">
                            <w:pPr>
                              <w:jc w:val="center"/>
                              <w:rPr>
                                <w:lang w:val="en-GB"/>
                              </w:rPr>
                            </w:pPr>
                            <w:r>
                              <w:rPr>
                                <w:lang w:val="en-GB"/>
                              </w:rPr>
                              <w:t xml:space="preserve">Act: the family chooses trusted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FD2212" id="Rectangle 68" o:spid="_x0000_s1046" style="position:absolute;left:0;text-align:left;margin-left:292.5pt;margin-top:63.25pt;width:231.9pt;height:21.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" fillcolor="#e71224" strokecolor="#e71224" strokeweight=".25mm">
                <v:fill opacity="3341f"/>
                <v:shadow on="t" color="black" opacity="22937f" origin=",.5" offset="0,.63889mm"/>
                <v:textbox>
                  <w:txbxContent>
                    <w:p w14:paraId="0D7D16C6" w14:textId="386FAE91" w:rsidR="00313ECC" w:rsidRPr="00313ECC" w:rsidRDefault="00313ECC" w:rsidP="00313ECC">
                      <w:pPr>
                        <w:jc w:val="center"/>
                        <w:rPr>
                          <w:lang w:val="en-GB"/>
                        </w:rPr>
                      </w:pPr>
                      <w:r>
                        <w:rPr>
                          <w:lang w:val="en-GB"/>
                        </w:rPr>
                        <w:t xml:space="preserve">Act: the family chooses trusted resources </w:t>
                      </w:r>
                    </w:p>
                  </w:txbxContent>
                </v:textbox>
              </v:rect>
            </w:pict>
          </mc:Fallback>
        </mc:AlternateContent>
      </w:r>
      <w:r w:rsidR="00E767F0">
        <w:rPr>
          <w:noProof/>
        </w:rPr>
        <mc:AlternateContent>
          <mc:Choice Requires="wps">
            <w:drawing>
              <wp:anchor distT="0" distB="0" distL="114300" distR="114300" simplePos="0" relativeHeight="251704320" behindDoc="0" locked="0" layoutInCell="1" allowOverlap="1" wp14:anchorId="51727EA2" wp14:editId="42BD04BD">
                <wp:simplePos x="0" y="0"/>
                <wp:positionH relativeFrom="column">
                  <wp:posOffset>3248167</wp:posOffset>
                </wp:positionH>
                <wp:positionV relativeFrom="paragraph">
                  <wp:posOffset>1603214</wp:posOffset>
                </wp:positionV>
                <wp:extent cx="299531" cy="300251"/>
                <wp:effectExtent l="0" t="0" r="5715" b="5080"/>
                <wp:wrapNone/>
                <wp:docPr id="44" name="step-5-circle">
                  <a:extLst xmlns:a="http://schemas.openxmlformats.org/drawingml/2006/main">
                    <a:ext uri="{FF2B5EF4-FFF2-40B4-BE49-F238E27FC236}">
                      <a16:creationId xmlns:a16="http://schemas.microsoft.com/office/drawing/2014/main" id="{23C9D271-D97E-4799-8A87-D13A887CD4A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99531" cy="300251"/>
                        </a:xfrm>
                        <a:prstGeom prst="ellipse">
                          <a:avLst/>
                        </a:prstGeom>
                        <a:solidFill>
                          <a:srgbClr val="E9655A"/>
                        </a:solidFill>
                        <a:ln w="0">
                          <a:noFill/>
                          <a:prstDash val="solid"/>
                        </a:ln>
                      </wps:spPr>
                      <wps:txbx>
                        <w:txbxContent>
                          <w:p w14:paraId="39AF0BC8" w14:textId="77777777" w:rsidR="00E767F0" w:rsidRDefault="00E767F0" w:rsidP="00E767F0">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5</w:t>
                            </w:r>
                          </w:p>
                        </w:txbxContent>
                      </wps:txbx>
                      <wps:bodyPr wrap="square" lIns="0" tIns="0" rIns="0" bIns="0" anchor="ctr">
                        <a:noAutofit/>
                      </wps:bodyPr>
                    </wps:wsp>
                  </a:graphicData>
                </a:graphic>
                <wp14:sizeRelH relativeFrom="margin">
                  <wp14:pctWidth>0</wp14:pctWidth>
                </wp14:sizeRelH>
                <wp14:sizeRelV relativeFrom="margin">
                  <wp14:pctHeight>0</wp14:pctHeight>
                </wp14:sizeRelV>
              </wp:anchor>
            </w:drawing>
          </mc:Choice>
          <mc:Fallback>
            <w:pict>
              <v:oval w14:anchorId="51727EA2" id="step-5-circle" o:spid="_x0000_s1047" style="position:absolute;left:0;text-align:left;margin-left:255.75pt;margin-top:126.25pt;width:23.6pt;height:23.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" fillcolor="#e9655a" stroked="f" strokeweight="0">
                <o:lock v:ext="edit" grouping="t"/>
                <v:textbox inset="0,0,0,0">
                  <w:txbxContent>
                    <w:p w14:paraId="39AF0BC8" w14:textId="77777777" w:rsidR="00E767F0" w:rsidRDefault="00E767F0" w:rsidP="00E767F0">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5</w:t>
                      </w:r>
                    </w:p>
                  </w:txbxContent>
                </v:textbox>
              </v:oval>
            </w:pict>
          </mc:Fallback>
        </mc:AlternateContent>
      </w:r>
      <w:r w:rsidR="00E767F0">
        <w:rPr>
          <w:noProof/>
        </w:rPr>
        <mc:AlternateContent>
          <mc:Choice Requires="wps">
            <w:drawing>
              <wp:anchor distT="0" distB="0" distL="114300" distR="114300" simplePos="0" relativeHeight="251702272" behindDoc="0" locked="0" layoutInCell="1" allowOverlap="1" wp14:anchorId="33B1312A" wp14:editId="31A11E5E">
                <wp:simplePos x="0" y="0"/>
                <wp:positionH relativeFrom="column">
                  <wp:posOffset>3268639</wp:posOffset>
                </wp:positionH>
                <wp:positionV relativeFrom="paragraph">
                  <wp:posOffset>1166486</wp:posOffset>
                </wp:positionV>
                <wp:extent cx="274159" cy="361665"/>
                <wp:effectExtent l="0" t="0" r="0" b="635"/>
                <wp:wrapNone/>
                <wp:docPr id="41" name="step-4-circle">
                  <a:extLst xmlns:a="http://schemas.openxmlformats.org/drawingml/2006/main">
                    <a:ext uri="{FF2B5EF4-FFF2-40B4-BE49-F238E27FC236}">
                      <a16:creationId xmlns:a16="http://schemas.microsoft.com/office/drawing/2014/main" id="{E64C4451-6A19-44C1-A234-56C9CC18D42C}"/>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74159" cy="361665"/>
                        </a:xfrm>
                        <a:prstGeom prst="ellipse">
                          <a:avLst/>
                        </a:prstGeom>
                        <a:solidFill>
                          <a:srgbClr val="15998F"/>
                        </a:solidFill>
                        <a:ln w="0">
                          <a:noFill/>
                          <a:prstDash val="solid"/>
                        </a:ln>
                      </wps:spPr>
                      <wps:txbx>
                        <w:txbxContent>
                          <w:p w14:paraId="2C8D8F04" w14:textId="77777777" w:rsidR="00E767F0" w:rsidRDefault="00E767F0" w:rsidP="00E767F0">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4</w:t>
                            </w:r>
                          </w:p>
                          <w:p w14:paraId="77F0B7F7" w14:textId="77777777" w:rsidR="00E767F0" w:rsidRDefault="00E767F0"/>
                        </w:txbxContent>
                      </wps:txbx>
                      <wps:bodyPr wrap="square" lIns="0" tIns="0" rIns="0" bIns="0" anchor="ctr">
                        <a:noAutofit/>
                      </wps:bodyPr>
                    </wps:wsp>
                  </a:graphicData>
                </a:graphic>
                <wp14:sizeRelH relativeFrom="margin">
                  <wp14:pctWidth>0</wp14:pctWidth>
                </wp14:sizeRelH>
                <wp14:sizeRelV relativeFrom="margin">
                  <wp14:pctHeight>0</wp14:pctHeight>
                </wp14:sizeRelV>
              </wp:anchor>
            </w:drawing>
          </mc:Choice>
          <mc:Fallback>
            <w:pict>
              <v:oval w14:anchorId="33B1312A" id="step-4-circle" o:spid="_x0000_s1048" style="position:absolute;left:0;text-align:left;margin-left:257.35pt;margin-top:91.85pt;width:21.6pt;height:2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" fillcolor="#15998f" stroked="f" strokeweight="0">
                <o:lock v:ext="edit" grouping="t"/>
                <v:textbox inset="0,0,0,0">
                  <w:txbxContent>
                    <w:p w14:paraId="2C8D8F04" w14:textId="77777777" w:rsidR="00E767F0" w:rsidRDefault="00E767F0" w:rsidP="00E767F0">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4</w:t>
                      </w:r>
                    </w:p>
                    <w:p w14:paraId="77F0B7F7" w14:textId="77777777" w:rsidR="00E767F0" w:rsidRDefault="00E767F0"/>
                  </w:txbxContent>
                </v:textbox>
              </v:oval>
            </w:pict>
          </mc:Fallback>
        </mc:AlternateContent>
      </w:r>
      <w:r w:rsidR="00E767F0">
        <w:rPr>
          <w:noProof/>
        </w:rPr>
        <mc:AlternateContent>
          <mc:Choice Requires="wps">
            <w:drawing>
              <wp:anchor distT="0" distB="0" distL="114300" distR="114300" simplePos="0" relativeHeight="251698176" behindDoc="0" locked="0" layoutInCell="1" allowOverlap="1" wp14:anchorId="2EFC7540" wp14:editId="491A3FD7">
                <wp:simplePos x="0" y="0"/>
                <wp:positionH relativeFrom="column">
                  <wp:posOffset>3268639</wp:posOffset>
                </wp:positionH>
                <wp:positionV relativeFrom="paragraph">
                  <wp:posOffset>736581</wp:posOffset>
                </wp:positionV>
                <wp:extent cx="286603" cy="341194"/>
                <wp:effectExtent l="0" t="0" r="0" b="1905"/>
                <wp:wrapNone/>
                <wp:docPr id="38" name="step-3-circle">
                  <a:extLst xmlns:a="http://schemas.openxmlformats.org/drawingml/2006/main">
                    <a:ext uri="{FF2B5EF4-FFF2-40B4-BE49-F238E27FC236}">
                      <a16:creationId xmlns:a16="http://schemas.microsoft.com/office/drawing/2014/main" id="{77FF0D33-76EF-4B9E-807C-49389020578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86603" cy="341194"/>
                        </a:xfrm>
                        <a:prstGeom prst="ellipse">
                          <a:avLst/>
                        </a:prstGeom>
                        <a:solidFill>
                          <a:srgbClr val="E8B94C"/>
                        </a:solidFill>
                        <a:ln w="0">
                          <a:noFill/>
                          <a:prstDash val="solid"/>
                        </a:ln>
                      </wps:spPr>
                      <wps:txbx>
                        <w:txbxContent>
                          <w:p w14:paraId="04CF073D" w14:textId="77777777" w:rsidR="00C754D2" w:rsidRDefault="00C754D2" w:rsidP="00C754D2">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3</w:t>
                            </w:r>
                          </w:p>
                        </w:txbxContent>
                      </wps:txbx>
                      <wps:bodyPr wrap="square" lIns="0" tIns="0" rIns="0" bIns="0" anchor="ctr">
                        <a:noAutofit/>
                      </wps:bodyPr>
                    </wps:wsp>
                  </a:graphicData>
                </a:graphic>
                <wp14:sizeRelH relativeFrom="margin">
                  <wp14:pctWidth>0</wp14:pctWidth>
                </wp14:sizeRelH>
                <wp14:sizeRelV relativeFrom="margin">
                  <wp14:pctHeight>0</wp14:pctHeight>
                </wp14:sizeRelV>
              </wp:anchor>
            </w:drawing>
          </mc:Choice>
          <mc:Fallback>
            <w:pict>
              <v:oval w14:anchorId="2EFC7540" id="step-3-circle" o:spid="_x0000_s1049" style="position:absolute;left:0;text-align:left;margin-left:257.35pt;margin-top:58pt;width:22.55pt;height:26.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" fillcolor="#e8b94c" stroked="f" strokeweight="0">
                <o:lock v:ext="edit" grouping="t"/>
                <v:textbox inset="0,0,0,0">
                  <w:txbxContent>
                    <w:p w14:paraId="04CF073D" w14:textId="77777777" w:rsidR="00C754D2" w:rsidRDefault="00C754D2" w:rsidP="00C754D2">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3</w:t>
                      </w:r>
                    </w:p>
                  </w:txbxContent>
                </v:textbox>
              </v:oval>
            </w:pict>
          </mc:Fallback>
        </mc:AlternateContent>
      </w:r>
      <w:r w:rsidR="00E767F0">
        <w:rPr>
          <w:noProof/>
        </w:rPr>
        <mc:AlternateContent>
          <mc:Choice Requires="wps">
            <w:drawing>
              <wp:anchor distT="0" distB="0" distL="114300" distR="114300" simplePos="0" relativeHeight="251694080" behindDoc="0" locked="0" layoutInCell="1" allowOverlap="1" wp14:anchorId="715F1A6F" wp14:editId="024A8AD4">
                <wp:simplePos x="0" y="0"/>
                <wp:positionH relativeFrom="column">
                  <wp:posOffset>3289110</wp:posOffset>
                </wp:positionH>
                <wp:positionV relativeFrom="paragraph">
                  <wp:posOffset>6425</wp:posOffset>
                </wp:positionV>
                <wp:extent cx="245660" cy="321869"/>
                <wp:effectExtent l="0" t="0" r="2540" b="2540"/>
                <wp:wrapNone/>
                <wp:docPr id="32" name="step-1-circle">
                  <a:extLst xmlns:a="http://schemas.openxmlformats.org/drawingml/2006/main">
                    <a:ext uri="{FF2B5EF4-FFF2-40B4-BE49-F238E27FC236}">
                      <a16:creationId xmlns:a16="http://schemas.microsoft.com/office/drawing/2014/main" id="{AE7AE047-5D1C-4526-9077-6D7448F6CBF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45660" cy="321869"/>
                        </a:xfrm>
                        <a:prstGeom prst="ellipse">
                          <a:avLst/>
                        </a:prstGeom>
                        <a:solidFill>
                          <a:srgbClr val="15998F"/>
                        </a:solidFill>
                        <a:ln w="0">
                          <a:noFill/>
                          <a:prstDash val="solid"/>
                        </a:ln>
                      </wps:spPr>
                      <wps:txbx>
                        <w:txbxContent>
                          <w:p w14:paraId="4F058192" w14:textId="77777777" w:rsidR="00C754D2" w:rsidRDefault="00C754D2" w:rsidP="00C754D2">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1</w:t>
                            </w:r>
                          </w:p>
                          <w:p w14:paraId="006206F1" w14:textId="77777777" w:rsidR="00C754D2" w:rsidRDefault="00C754D2"/>
                        </w:txbxContent>
                      </wps:txbx>
                      <wps:bodyPr wrap="square" lIns="0" tIns="0" rIns="0" bIns="0" anchor="ctr">
                        <a:noAutofit/>
                      </wps:bodyPr>
                    </wps:wsp>
                  </a:graphicData>
                </a:graphic>
                <wp14:sizeRelH relativeFrom="margin">
                  <wp14:pctWidth>0</wp14:pctWidth>
                </wp14:sizeRelH>
                <wp14:sizeRelV relativeFrom="margin">
                  <wp14:pctHeight>0</wp14:pctHeight>
                </wp14:sizeRelV>
              </wp:anchor>
            </w:drawing>
          </mc:Choice>
          <mc:Fallback>
            <w:pict>
              <v:oval w14:anchorId="715F1A6F" id="step-1-circle" o:spid="_x0000_s1050" style="position:absolute;left:0;text-align:left;margin-left:259pt;margin-top:.5pt;width:19.35pt;height:25.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" fillcolor="#15998f" stroked="f" strokeweight="0">
                <o:lock v:ext="edit" grouping="t"/>
                <v:textbox inset="0,0,0,0">
                  <w:txbxContent>
                    <w:p w14:paraId="4F058192" w14:textId="77777777" w:rsidR="00C754D2" w:rsidRDefault="00C754D2" w:rsidP="00C754D2">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1</w:t>
                      </w:r>
                    </w:p>
                    <w:p w14:paraId="006206F1" w14:textId="77777777" w:rsidR="00C754D2" w:rsidRDefault="00C754D2"/>
                  </w:txbxContent>
                </v:textbox>
              </v:oval>
            </w:pict>
          </mc:Fallback>
        </mc:AlternateContent>
      </w:r>
      <w:r w:rsidR="00E767F0">
        <w:rPr>
          <w:noProof/>
        </w:rPr>
        <mc:AlternateContent>
          <mc:Choice Requires="wps">
            <w:drawing>
              <wp:anchor distT="0" distB="0" distL="114300" distR="114300" simplePos="0" relativeHeight="251696128" behindDoc="0" locked="0" layoutInCell="1" allowOverlap="1" wp14:anchorId="5DE6A81D" wp14:editId="65EBB055">
                <wp:simplePos x="0" y="0"/>
                <wp:positionH relativeFrom="column">
                  <wp:posOffset>3234518</wp:posOffset>
                </wp:positionH>
                <wp:positionV relativeFrom="paragraph">
                  <wp:posOffset>374915</wp:posOffset>
                </wp:positionV>
                <wp:extent cx="293427" cy="286603"/>
                <wp:effectExtent l="0" t="0" r="0" b="0"/>
                <wp:wrapNone/>
                <wp:docPr id="35" name="step-2-circle">
                  <a:extLst xmlns:a="http://schemas.openxmlformats.org/drawingml/2006/main">
                    <a:ext uri="{FF2B5EF4-FFF2-40B4-BE49-F238E27FC236}">
                      <a16:creationId xmlns:a16="http://schemas.microsoft.com/office/drawing/2014/main" id="{399F8526-CBED-4F98-9767-CC0C4ADFADAF}"/>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93427" cy="286603"/>
                        </a:xfrm>
                        <a:prstGeom prst="ellipse">
                          <a:avLst/>
                        </a:prstGeom>
                        <a:solidFill>
                          <a:srgbClr val="15998F"/>
                        </a:solidFill>
                        <a:ln w="0">
                          <a:noFill/>
                          <a:prstDash val="solid"/>
                        </a:ln>
                      </wps:spPr>
                      <wps:txbx>
                        <w:txbxContent>
                          <w:p w14:paraId="25651A61" w14:textId="77777777" w:rsidR="00C754D2" w:rsidRDefault="00C754D2" w:rsidP="00C754D2">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2</w:t>
                            </w:r>
                          </w:p>
                        </w:txbxContent>
                      </wps:txbx>
                      <wps:bodyPr wrap="square" lIns="0" tIns="0" rIns="0" bIns="0" anchor="ctr">
                        <a:noAutofit/>
                      </wps:bodyPr>
                    </wps:wsp>
                  </a:graphicData>
                </a:graphic>
                <wp14:sizeRelH relativeFrom="margin">
                  <wp14:pctWidth>0</wp14:pctWidth>
                </wp14:sizeRelH>
                <wp14:sizeRelV relativeFrom="margin">
                  <wp14:pctHeight>0</wp14:pctHeight>
                </wp14:sizeRelV>
              </wp:anchor>
            </w:drawing>
          </mc:Choice>
          <mc:Fallback>
            <w:pict>
              <v:oval w14:anchorId="5DE6A81D" id="step-2-circle" o:spid="_x0000_s1051" style="position:absolute;left:0;text-align:left;margin-left:254.7pt;margin-top:29.5pt;width:23.1pt;height:22.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" fillcolor="#15998f" stroked="f" strokeweight="0">
                <o:lock v:ext="edit" grouping="t"/>
                <v:textbox inset="0,0,0,0">
                  <w:txbxContent>
                    <w:p w14:paraId="25651A61" w14:textId="77777777" w:rsidR="00C754D2" w:rsidRDefault="00C754D2" w:rsidP="00C754D2">
                      <w:pPr>
                        <w:jc w:val="center"/>
                        <w:rPr>
                          <w:rFonts w:ascii="Arial" w:eastAsia="Arial" w:hAnsi="Arial" w:cs="Arial"/>
                          <w:b/>
                          <w:bCs/>
                          <w:color w:val="FFFFFF"/>
                          <w:kern w:val="24"/>
                          <w:sz w:val="36"/>
                          <w:szCs w:val="36"/>
                        </w:rPr>
                      </w:pPr>
                      <w:r>
                        <w:rPr>
                          <w:rFonts w:ascii="Arial" w:eastAsia="Arial" w:hAnsi="Arial" w:cs="Arial"/>
                          <w:b/>
                          <w:bCs/>
                          <w:color w:val="FFFFFF"/>
                          <w:kern w:val="24"/>
                          <w:sz w:val="36"/>
                          <w:szCs w:val="36"/>
                        </w:rPr>
                        <w:t>2</w:t>
                      </w:r>
                    </w:p>
                  </w:txbxContent>
                </v:textbox>
              </v:oval>
            </w:pict>
          </mc:Fallback>
        </mc:AlternateContent>
      </w:r>
      <w:r w:rsidR="00C754D2">
        <w:rPr>
          <w:noProof/>
          <w:sz w:val="18"/>
          <w:szCs w:val="18"/>
        </w:rPr>
        <mc:AlternateContent>
          <mc:Choice Requires="wpi">
            <w:drawing>
              <wp:anchor distT="0" distB="0" distL="114300" distR="114300" simplePos="0" relativeHeight="251700224" behindDoc="0" locked="0" layoutInCell="1" allowOverlap="1" wp14:anchorId="7B324AC2" wp14:editId="1FC53C0E">
                <wp:simplePos x="0" y="0"/>
                <wp:positionH relativeFrom="column">
                  <wp:posOffset>608965</wp:posOffset>
                </wp:positionH>
                <wp:positionV relativeFrom="paragraph">
                  <wp:posOffset>5266055</wp:posOffset>
                </wp:positionV>
                <wp:extent cx="360" cy="360"/>
                <wp:effectExtent l="38100" t="38100" r="38100" b="38100"/>
                <wp:wrapNone/>
                <wp:docPr id="283882439" name="Ink 52"/>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C501D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2" o:spid="_x0000_s1026" type="#_x0000_t75" style="position:absolute;margin-left:47.6pt;margin-top:414.3pt;width:.75pt;height:.7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">
                <v:imagedata r:id="rId9" o:title=""/>
              </v:shape>
            </w:pict>
          </mc:Fallback>
        </mc:AlternateContent>
      </w:r>
      <w:r w:rsidR="0096206B">
        <w:rPr>
          <w:noProof/>
        </w:rPr>
        <mc:AlternateContent>
          <mc:Choice Requires="wpi">
            <w:drawing>
              <wp:anchor distT="0" distB="0" distL="114300" distR="114300" simplePos="0" relativeHeight="251687936" behindDoc="0" locked="0" layoutInCell="1" allowOverlap="1" wp14:anchorId="31172B33" wp14:editId="32A58FD5">
                <wp:simplePos x="0" y="0"/>
                <wp:positionH relativeFrom="column">
                  <wp:posOffset>1809710</wp:posOffset>
                </wp:positionH>
                <wp:positionV relativeFrom="paragraph">
                  <wp:posOffset>3729760</wp:posOffset>
                </wp:positionV>
                <wp:extent cx="360" cy="360"/>
                <wp:effectExtent l="38100" t="38100" r="38100" b="38100"/>
                <wp:wrapNone/>
                <wp:docPr id="1477393" name="Ink 46"/>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666FA979" id="Ink 46" o:spid="_x0000_s1026" type="#_x0000_t75" style="position:absolute;margin-left:142.15pt;margin-top:293.35pt;width:.75pt;height:.7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">
                <v:imagedata r:id="rId9" o:title=""/>
              </v:shape>
            </w:pict>
          </mc:Fallback>
        </mc:AlternateContent>
      </w:r>
      <w:r w:rsidR="0096206B">
        <w:rPr>
          <w:noProof/>
        </w:rPr>
        <mc:AlternateContent>
          <mc:Choice Requires="wpi">
            <w:drawing>
              <wp:anchor distT="0" distB="0" distL="114300" distR="114300" simplePos="0" relativeHeight="251686912" behindDoc="0" locked="0" layoutInCell="1" allowOverlap="1" wp14:anchorId="6A1B7BF3" wp14:editId="53AE39AD">
                <wp:simplePos x="0" y="0"/>
                <wp:positionH relativeFrom="column">
                  <wp:posOffset>1815830</wp:posOffset>
                </wp:positionH>
                <wp:positionV relativeFrom="paragraph">
                  <wp:posOffset>5063290</wp:posOffset>
                </wp:positionV>
                <wp:extent cx="360" cy="360"/>
                <wp:effectExtent l="38100" t="38100" r="38100" b="38100"/>
                <wp:wrapNone/>
                <wp:docPr id="1080174217" name="Ink 4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5455C282" id="Ink 45" o:spid="_x0000_s1026" type="#_x0000_t75" style="position:absolute;margin-left:142.5pt;margin-top:398.2pt;width:1.05pt;height:1.0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">
                <v:imagedata r:id="rId12" o:title=""/>
              </v:shape>
            </w:pict>
          </mc:Fallback>
        </mc:AlternateContent>
      </w:r>
      <w:r w:rsidR="00B72F8A">
        <w:rPr>
          <w:noProof/>
        </w:rPr>
        <mc:AlternateContent>
          <mc:Choice Requires="wpi">
            <w:drawing>
              <wp:anchor distT="0" distB="0" distL="114300" distR="114300" simplePos="0" relativeHeight="251662336" behindDoc="0" locked="0" layoutInCell="1" allowOverlap="1" wp14:anchorId="585AC0A0" wp14:editId="2055E122">
                <wp:simplePos x="0" y="0"/>
                <wp:positionH relativeFrom="column">
                  <wp:posOffset>-1445120</wp:posOffset>
                </wp:positionH>
                <wp:positionV relativeFrom="paragraph">
                  <wp:posOffset>1398692</wp:posOffset>
                </wp:positionV>
                <wp:extent cx="360" cy="360"/>
                <wp:effectExtent l="38100" t="38100" r="38100" b="38100"/>
                <wp:wrapNone/>
                <wp:docPr id="1979482492" name="Ink 15"/>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88039C7" id="Ink 15" o:spid="_x0000_s1026" type="#_x0000_t75" style="position:absolute;margin-left:-114.3pt;margin-top:109.6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">
                <v:imagedata r:id="rId12" o:title=""/>
              </v:shape>
            </w:pict>
          </mc:Fallback>
        </mc:AlternateContent>
      </w:r>
    </w:p>
    <w:p w14:paraId="6A4E5C47" w14:textId="69E7E35E" w:rsidR="00DE6D44" w:rsidRPr="00677502" w:rsidRDefault="00DB07AC">
      <w:pPr>
        <w:pStyle w:val="Heading1"/>
        <w:pageBreakBefore/>
        <w:rPr>
          <w:rFonts w:ascii="Arial" w:hAnsi="Arial" w:cs="Arial"/>
          <w:color w:val="auto"/>
        </w:rPr>
      </w:pPr>
      <w:r>
        <w:rPr>
          <w:rFonts w:ascii="Arial" w:hAnsi="Arial" w:cs="Arial"/>
          <w:noProof/>
          <w:color w:val="auto"/>
        </w:rPr>
        <w:lastRenderedPageBreak/>
        <w:drawing>
          <wp:anchor distT="0" distB="0" distL="114300" distR="114300" simplePos="0" relativeHeight="251658240" behindDoc="0" locked="0" layoutInCell="1" allowOverlap="1" wp14:anchorId="583663CC" wp14:editId="7EA0B822">
            <wp:simplePos x="0" y="0"/>
            <wp:positionH relativeFrom="page">
              <wp:posOffset>-7401560</wp:posOffset>
            </wp:positionH>
            <wp:positionV relativeFrom="page">
              <wp:posOffset>-2534285</wp:posOffset>
            </wp:positionV>
            <wp:extent cx="7401560" cy="11260455"/>
            <wp:effectExtent l="152400" t="114300" r="142240" b="169545"/>
            <wp:wrapThrough wrapText="bothSides">
              <wp:wrapPolygon edited="0">
                <wp:start x="-334" y="-219"/>
                <wp:lineTo x="-445" y="439"/>
                <wp:lineTo x="-445" y="21596"/>
                <wp:lineTo x="-222" y="21889"/>
                <wp:lineTo x="21793" y="21889"/>
                <wp:lineTo x="21960" y="21523"/>
                <wp:lineTo x="21960" y="439"/>
                <wp:lineTo x="21848" y="-110"/>
                <wp:lineTo x="21848" y="-219"/>
                <wp:lineTo x="-334" y="-219"/>
              </wp:wrapPolygon>
            </wp:wrapThrough>
            <wp:docPr id="21366443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44307" name="Picture 2136644307"/>
                    <pic:cNvPicPr/>
                  </pic:nvPicPr>
                  <pic:blipFill>
                    <a:blip r:embed="rId14"/>
                    <a:stretch>
                      <a:fillRect/>
                    </a:stretch>
                  </pic:blipFill>
                  <pic:spPr>
                    <a:xfrm>
                      <a:off x="0" y="0"/>
                      <a:ext cx="7401560" cy="112604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6D5B2D" w:rsidRPr="00677502">
        <w:rPr>
          <w:rFonts w:ascii="Arial" w:hAnsi="Arial" w:cs="Arial"/>
          <w:color w:val="auto"/>
        </w:rPr>
        <w:t>REFERENCES</w:t>
      </w:r>
    </w:p>
    <w:p w14:paraId="665A0A40" w14:textId="77777777" w:rsidR="00DE6D44" w:rsidRPr="00677502" w:rsidRDefault="006D5B2D">
      <w:pPr>
        <w:pStyle w:val="ReferenceEntry"/>
        <w:rPr>
          <w:rFonts w:ascii="Arial" w:hAnsi="Arial" w:cs="Arial"/>
          <w:color w:val="auto"/>
        </w:rPr>
      </w:pPr>
      <w:r w:rsidRPr="00677502">
        <w:rPr>
          <w:rFonts w:ascii="Arial" w:hAnsi="Arial" w:cs="Arial"/>
          <w:color w:val="auto"/>
        </w:rPr>
        <w:t xml:space="preserve">Abrahamson, V., Zhang, W., Wilson, P.M., Farr, W., Reddy, V., Parr, J., Peckham, A. and Male, I. (2021). Realist evaluation of Autism </w:t>
      </w:r>
      <w:proofErr w:type="spellStart"/>
      <w:r w:rsidRPr="00677502">
        <w:rPr>
          <w:rFonts w:ascii="Arial" w:hAnsi="Arial" w:cs="Arial"/>
          <w:color w:val="auto"/>
        </w:rPr>
        <w:t>ServiCe</w:t>
      </w:r>
      <w:proofErr w:type="spellEnd"/>
      <w:r w:rsidRPr="00677502">
        <w:rPr>
          <w:rFonts w:ascii="Arial" w:hAnsi="Arial" w:cs="Arial"/>
          <w:color w:val="auto"/>
        </w:rPr>
        <w:t xml:space="preserve"> Delivery (RE-</w:t>
      </w:r>
      <w:proofErr w:type="spellStart"/>
      <w:r w:rsidRPr="00677502">
        <w:rPr>
          <w:rFonts w:ascii="Arial" w:hAnsi="Arial" w:cs="Arial"/>
          <w:color w:val="auto"/>
        </w:rPr>
        <w:t>ASCeD</w:t>
      </w:r>
      <w:proofErr w:type="spellEnd"/>
      <w:r w:rsidRPr="00677502">
        <w:rPr>
          <w:rFonts w:ascii="Arial" w:hAnsi="Arial" w:cs="Arial"/>
          <w:color w:val="auto"/>
        </w:rPr>
        <w:t>): which diagnostic pathways work best, for whom and in what context? Findings from a rapid realist review. BMJ Open, 11(12), e051241. Available at: https://doi.org/10.1136/bmjopen-2021-051241 (Accessed: 5 August 2026).</w:t>
      </w:r>
    </w:p>
    <w:p w14:paraId="274838C8" w14:textId="77777777" w:rsidR="00DE6D44" w:rsidRPr="00677502" w:rsidRDefault="006D5B2D">
      <w:pPr>
        <w:pStyle w:val="ReferenceEntry"/>
        <w:rPr>
          <w:rFonts w:ascii="Arial" w:hAnsi="Arial" w:cs="Arial"/>
          <w:color w:val="auto"/>
        </w:rPr>
      </w:pPr>
      <w:r w:rsidRPr="00677502">
        <w:rPr>
          <w:rFonts w:ascii="Arial" w:hAnsi="Arial" w:cs="Arial"/>
          <w:color w:val="auto"/>
        </w:rPr>
        <w:t>Children and Families Act 2014, c.6. London: The Stationery Office. Available at: https://www.legislation.gov.uk/ukpga/2014/6/contents (Accessed: 5 August 2026).</w:t>
      </w:r>
    </w:p>
    <w:p w14:paraId="18B709FB" w14:textId="77777777" w:rsidR="00DE6D44" w:rsidRPr="00677502" w:rsidRDefault="006D5B2D">
      <w:pPr>
        <w:pStyle w:val="ReferenceEntry"/>
        <w:rPr>
          <w:rFonts w:ascii="Arial" w:hAnsi="Arial" w:cs="Arial"/>
          <w:color w:val="auto"/>
        </w:rPr>
      </w:pPr>
      <w:r w:rsidRPr="00677502">
        <w:rPr>
          <w:rFonts w:ascii="Arial" w:hAnsi="Arial" w:cs="Arial"/>
          <w:color w:val="auto"/>
        </w:rPr>
        <w:t>Children's Commissioner for England (2024). Waiting times for assessment and support for autism, ADHD and other neurodevelopmental conditions. London: Children's Commissioner for England. Available at: https://www.childrenscommissioner.gov.uk/resource/waiting-times-for-assessment-and-support-for-autism-adhd-and-other-neurodevelopmental-conditions/ (Accessed: 5 August 2026).</w:t>
      </w:r>
    </w:p>
    <w:p w14:paraId="410693F0" w14:textId="77777777" w:rsidR="00DE6D44" w:rsidRPr="00677502" w:rsidRDefault="006D5B2D">
      <w:pPr>
        <w:pStyle w:val="ReferenceEntry"/>
        <w:rPr>
          <w:rFonts w:ascii="Arial" w:hAnsi="Arial" w:cs="Arial"/>
          <w:color w:val="auto"/>
        </w:rPr>
      </w:pPr>
      <w:r w:rsidRPr="00677502">
        <w:rPr>
          <w:rFonts w:ascii="Arial" w:hAnsi="Arial" w:cs="Arial"/>
          <w:color w:val="auto"/>
        </w:rPr>
        <w:t>Department for Education and Department of Health (2015). Special educational needs and disability code of practice: 0 to 25 years. London: Department for Education. Available at: https://www.gov.uk/government/publications/send-code-of-practice-0-to-25 (Accessed: 5 August 2026).</w:t>
      </w:r>
    </w:p>
    <w:p w14:paraId="3466290B" w14:textId="77777777" w:rsidR="00DE6D44" w:rsidRPr="00677502" w:rsidRDefault="006D5B2D">
      <w:pPr>
        <w:pStyle w:val="ReferenceEntry"/>
        <w:rPr>
          <w:rFonts w:ascii="Arial" w:hAnsi="Arial" w:cs="Arial"/>
          <w:color w:val="auto"/>
        </w:rPr>
      </w:pPr>
      <w:r w:rsidRPr="00677502">
        <w:rPr>
          <w:rFonts w:ascii="Arial" w:hAnsi="Arial" w:cs="Arial"/>
          <w:color w:val="auto"/>
        </w:rPr>
        <w:t>Information Commissioner's Office (2026). Children and the UK GDPR. Wilmslow: ICO. Available at: https://ico.org.uk/for-organisations/uk-gdpr-guidance-and-resources/childrens-information/children-and-the-uk-gdpr/ (Accessed: 5 August 2026).</w:t>
      </w:r>
    </w:p>
    <w:p w14:paraId="4E415014" w14:textId="77777777" w:rsidR="00DE6D44" w:rsidRPr="00677502" w:rsidRDefault="006D5B2D">
      <w:pPr>
        <w:pStyle w:val="ReferenceEntry"/>
        <w:rPr>
          <w:rFonts w:ascii="Arial" w:hAnsi="Arial" w:cs="Arial"/>
          <w:color w:val="auto"/>
        </w:rPr>
      </w:pPr>
      <w:r w:rsidRPr="00677502">
        <w:rPr>
          <w:rFonts w:ascii="Arial" w:hAnsi="Arial" w:cs="Arial"/>
          <w:color w:val="auto"/>
        </w:rPr>
        <w:t>Legg, H. and Tickle, A. (2019). UK parents' experiences of their child receiving a diagnosis of autism spectrum disorder: A systematic review of the qualitative evidence. Autism, 23(8), pp. 1897-1910. Available at: https://doi.org/10.1177/1362361319841488 (Accessed: 5 August 2026).</w:t>
      </w:r>
    </w:p>
    <w:p w14:paraId="3AA9FB3D" w14:textId="77777777" w:rsidR="00DE6D44" w:rsidRPr="00677502" w:rsidRDefault="006D5B2D">
      <w:pPr>
        <w:pStyle w:val="ReferenceEntry"/>
        <w:rPr>
          <w:rFonts w:ascii="Arial" w:hAnsi="Arial" w:cs="Arial"/>
          <w:color w:val="auto"/>
        </w:rPr>
      </w:pPr>
      <w:r w:rsidRPr="00677502">
        <w:rPr>
          <w:rFonts w:ascii="Arial" w:hAnsi="Arial" w:cs="Arial"/>
          <w:color w:val="auto"/>
        </w:rPr>
        <w:t>NHS England (2023). National framework and operational guidance for autism assessment services. London: NHS England. Available at: https://www.england.nhs.uk/publication/autism-diagnosis-and-operational-guidance/ (Accessed: 5 August 2026).</w:t>
      </w:r>
    </w:p>
    <w:p w14:paraId="2618232F" w14:textId="77777777" w:rsidR="00DE6D44" w:rsidRPr="00677502" w:rsidRDefault="006D5B2D">
      <w:pPr>
        <w:pStyle w:val="ReferenceEntry"/>
        <w:rPr>
          <w:rFonts w:ascii="Arial" w:hAnsi="Arial" w:cs="Arial"/>
          <w:color w:val="auto"/>
        </w:rPr>
      </w:pPr>
      <w:r w:rsidRPr="00677502">
        <w:rPr>
          <w:rFonts w:ascii="Arial" w:hAnsi="Arial" w:cs="Arial"/>
          <w:color w:val="auto"/>
        </w:rPr>
        <w:t>NHS England (2026a). Autism Statistics, April 2025 to March 2026. Leeds: NHS England. Available at: https://digital.nhs.uk/data-and-information/publications/statistical/autism-statistics/april-2025-to-march-2026 (Accessed: 5 August 2026).</w:t>
      </w:r>
    </w:p>
    <w:p w14:paraId="070A9B9E" w14:textId="77777777" w:rsidR="00DE6D44" w:rsidRPr="00677502" w:rsidRDefault="006D5B2D">
      <w:pPr>
        <w:pStyle w:val="ReferenceEntry"/>
        <w:rPr>
          <w:rFonts w:ascii="Arial" w:hAnsi="Arial" w:cs="Arial"/>
          <w:color w:val="auto"/>
        </w:rPr>
      </w:pPr>
      <w:r w:rsidRPr="00677502">
        <w:rPr>
          <w:rFonts w:ascii="Arial" w:hAnsi="Arial" w:cs="Arial"/>
          <w:color w:val="auto"/>
        </w:rPr>
        <w:t>NHS England (2026b). National review of clinical risk management standards DCB0129 and DCB0160: supporting information. London: NHS England. Available at: https://www.england.nhs.uk/long-read/national-review-of-clinical-risk-management-standardsdcb0129-and-dcb0160-supporting-information/ (Accessed: 5 August 2026).</w:t>
      </w:r>
    </w:p>
    <w:p w14:paraId="3D00B233" w14:textId="77777777" w:rsidR="00DE6D44" w:rsidRPr="00677502" w:rsidRDefault="006D5B2D">
      <w:pPr>
        <w:pStyle w:val="ReferenceEntry"/>
        <w:rPr>
          <w:rFonts w:ascii="Arial" w:hAnsi="Arial" w:cs="Arial"/>
          <w:color w:val="auto"/>
        </w:rPr>
      </w:pPr>
      <w:r w:rsidRPr="00677502">
        <w:rPr>
          <w:rFonts w:ascii="Arial" w:hAnsi="Arial" w:cs="Arial"/>
          <w:color w:val="auto"/>
        </w:rPr>
        <w:t>National Institute for Health and Care Excellence (2014). Autism: Quality standard QS51. Quality statement 1: Diagnostic assessment by an autism team. London: NICE. Available at: https://www.nice.org.uk/guidance/qs51/chapter/quality-statement-1-diagnostic-assessment-by-an-autism-team (Accessed: 5 August 2026).</w:t>
      </w:r>
    </w:p>
    <w:p w14:paraId="5EC11209" w14:textId="25EA30C3" w:rsidR="00DE6D44" w:rsidRPr="00677502" w:rsidRDefault="001B0EF5" w:rsidP="001B0EF5">
      <w:pPr>
        <w:tabs>
          <w:tab w:val="left" w:pos="450"/>
          <w:tab w:val="center" w:pos="4680"/>
        </w:tabs>
        <w:spacing w:before="240" w:after="0"/>
        <w:jc w:val="left"/>
        <w:rPr>
          <w:rFonts w:ascii="Arial" w:hAnsi="Arial" w:cs="Arial"/>
          <w:color w:val="auto"/>
        </w:rPr>
      </w:pPr>
      <w:r>
        <w:rPr>
          <w:rFonts w:ascii="Arial" w:hAnsi="Arial" w:cs="Arial"/>
          <w:color w:val="auto"/>
        </w:rPr>
        <w:tab/>
      </w:r>
      <w:r>
        <w:rPr>
          <w:rFonts w:ascii="Arial" w:hAnsi="Arial" w:cs="Arial"/>
          <w:color w:val="auto"/>
        </w:rPr>
        <w:tab/>
      </w:r>
      <w:r w:rsidR="0096206B">
        <w:rPr>
          <w:rFonts w:ascii="Arial" w:hAnsi="Arial" w:cs="Arial"/>
          <w:noProof/>
          <w:color w:val="auto"/>
        </w:rPr>
        <mc:AlternateContent>
          <mc:Choice Requires="wps">
            <w:drawing>
              <wp:anchor distT="0" distB="0" distL="114300" distR="114300" simplePos="0" relativeHeight="251683840" behindDoc="0" locked="0" layoutInCell="1" allowOverlap="1" wp14:anchorId="3083FFB7" wp14:editId="273BD51F">
                <wp:simplePos x="0" y="0"/>
                <wp:positionH relativeFrom="column">
                  <wp:posOffset>8508960</wp:posOffset>
                </wp:positionH>
                <wp:positionV relativeFrom="paragraph">
                  <wp:posOffset>1228335</wp:posOffset>
                </wp:positionV>
                <wp:extent cx="360000" cy="1080000"/>
                <wp:effectExtent l="57150" t="19050" r="78740" b="101600"/>
                <wp:wrapNone/>
                <wp:docPr id="1992303762" name="Rectangle 40"/>
                <wp:cNvGraphicFramePr/>
                <a:graphic xmlns:a="http://schemas.openxmlformats.org/drawingml/2006/main">
                  <a:graphicData uri="http://schemas.microsoft.com/office/word/2010/wordprocessingShape">
                    <wps:wsp>
                      <wps:cNvSpPr/>
                      <wps:spPr>
                        <a:xfrm>
                          <a:off x="0" y="0"/>
                          <a:ext cx="360000" cy="1080000"/>
                        </a:xfrm>
                        <a:prstGeom prst="rect">
                          <a:avLst/>
                        </a:prstGeom>
                        <a:solidFill>
                          <a:srgbClr val="E71224">
                            <a:alpha val="5000"/>
                          </a:srgbClr>
                        </a:solidFill>
                        <a:ln w="12600">
                          <a:solidFill>
                            <a:srgbClr val="E71224"/>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F36014" id="Rectangle 40" o:spid="_x0000_s1026" style="position:absolute;margin-left:670pt;margin-top:96.7pt;width:28.35pt;height:85.0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" fillcolor="#e71224" strokecolor="#e71224" strokeweight=".35mm">
                <v:fill opacity="3341f"/>
                <v:shadow on="t" color="black" opacity="22937f" origin=",.5" offset="0,.63889mm"/>
              </v:rect>
            </w:pict>
          </mc:Fallback>
        </mc:AlternateContent>
      </w:r>
    </w:p>
    <w:sectPr w:rsidR="00DE6D44" w:rsidRPr="00677502" w:rsidSect="00034616">
      <w:footerReference w:type="default" r:id="rId15"/>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E5348" w14:textId="77777777" w:rsidR="00445CE4" w:rsidRDefault="00445CE4">
      <w:pPr>
        <w:spacing w:after="0" w:line="240" w:lineRule="auto"/>
      </w:pPr>
      <w:r>
        <w:separator/>
      </w:r>
    </w:p>
  </w:endnote>
  <w:endnote w:type="continuationSeparator" w:id="0">
    <w:p w14:paraId="1130A95E" w14:textId="77777777" w:rsidR="00445CE4" w:rsidRDefault="00445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8C6A5" w14:textId="1F6DF341" w:rsidR="00DE6D44" w:rsidRDefault="006D5B2D">
    <w:pPr>
      <w:pStyle w:val="Footer"/>
      <w:jc w:val="right"/>
    </w:pPr>
    <w:r>
      <w:rPr>
        <w:rFonts w:eastAsia="Calibri"/>
        <w:color w:val="5B6D76"/>
        <w:sz w:val="18"/>
      </w:rPr>
      <w:t xml:space="preserve">Page </w:t>
    </w:r>
    <w:r>
      <w:fldChar w:fldCharType="begin"/>
    </w:r>
    <w:r>
      <w:instrText>PAGE</w:instrText>
    </w:r>
    <w:r>
      <w:fldChar w:fldCharType="separate"/>
    </w:r>
    <w:r w:rsidR="00967703">
      <w:rPr>
        <w:noProof/>
      </w:rPr>
      <w:t>1</w:t>
    </w:r>
    <w:r>
      <w:rPr>
        <w:color w:val="5B6D76"/>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6754C" w14:textId="77777777" w:rsidR="00445CE4" w:rsidRDefault="00445CE4">
      <w:pPr>
        <w:spacing w:after="0" w:line="240" w:lineRule="auto"/>
      </w:pPr>
      <w:r>
        <w:separator/>
      </w:r>
    </w:p>
  </w:footnote>
  <w:footnote w:type="continuationSeparator" w:id="0">
    <w:p w14:paraId="2B2A2747" w14:textId="77777777" w:rsidR="00445CE4" w:rsidRDefault="00445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95739445">
    <w:abstractNumId w:val="8"/>
  </w:num>
  <w:num w:numId="2" w16cid:durableId="901991004">
    <w:abstractNumId w:val="6"/>
  </w:num>
  <w:num w:numId="3" w16cid:durableId="1062944373">
    <w:abstractNumId w:val="5"/>
  </w:num>
  <w:num w:numId="4" w16cid:durableId="1019896282">
    <w:abstractNumId w:val="4"/>
  </w:num>
  <w:num w:numId="5" w16cid:durableId="1689142769">
    <w:abstractNumId w:val="7"/>
  </w:num>
  <w:num w:numId="6" w16cid:durableId="173032409">
    <w:abstractNumId w:val="3"/>
  </w:num>
  <w:num w:numId="7" w16cid:durableId="1413820016">
    <w:abstractNumId w:val="2"/>
  </w:num>
  <w:num w:numId="8" w16cid:durableId="1196697028">
    <w:abstractNumId w:val="1"/>
  </w:num>
  <w:num w:numId="9" w16cid:durableId="313990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47611"/>
    <w:rsid w:val="0006063C"/>
    <w:rsid w:val="000F5ED1"/>
    <w:rsid w:val="0015074B"/>
    <w:rsid w:val="001B0EF5"/>
    <w:rsid w:val="0029639D"/>
    <w:rsid w:val="002A1CFF"/>
    <w:rsid w:val="002A5985"/>
    <w:rsid w:val="00313ECC"/>
    <w:rsid w:val="00326F90"/>
    <w:rsid w:val="00381BB2"/>
    <w:rsid w:val="003D5C30"/>
    <w:rsid w:val="00445CE4"/>
    <w:rsid w:val="00447518"/>
    <w:rsid w:val="004659D2"/>
    <w:rsid w:val="00677502"/>
    <w:rsid w:val="006D5B2D"/>
    <w:rsid w:val="00851E81"/>
    <w:rsid w:val="008F7D30"/>
    <w:rsid w:val="0096206B"/>
    <w:rsid w:val="00967703"/>
    <w:rsid w:val="00AA1D8D"/>
    <w:rsid w:val="00AA3165"/>
    <w:rsid w:val="00AD6523"/>
    <w:rsid w:val="00B47730"/>
    <w:rsid w:val="00B72F8A"/>
    <w:rsid w:val="00C26D76"/>
    <w:rsid w:val="00C754D2"/>
    <w:rsid w:val="00CB0664"/>
    <w:rsid w:val="00DB07AC"/>
    <w:rsid w:val="00DE6D44"/>
    <w:rsid w:val="00E767F0"/>
    <w:rsid w:val="00F5177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9B89BE5"/>
  <w14:defaultImageDpi w14:val="300"/>
  <w15:docId w15:val="{A7067E8D-18EE-4799-9170-B5C40E9FC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772"/>
    <w:pPr>
      <w:spacing w:after="160" w:line="320" w:lineRule="auto"/>
      <w:jc w:val="both"/>
    </w:pPr>
    <w:rPr>
      <w:rFonts w:ascii="Calibri" w:hAnsi="Calibri"/>
      <w:color w:val="17313F"/>
    </w:rPr>
  </w:style>
  <w:style w:type="paragraph" w:styleId="Heading1">
    <w:name w:val="heading 1"/>
    <w:basedOn w:val="Normal"/>
    <w:next w:val="Normal"/>
    <w:link w:val="Heading1Char"/>
    <w:uiPriority w:val="9"/>
    <w:qFormat/>
    <w:rsid w:val="00FC693F"/>
    <w:pPr>
      <w:keepNext/>
      <w:keepLines/>
      <w:spacing w:before="360" w:after="200" w:line="240" w:lineRule="auto"/>
      <w:outlineLvl w:val="0"/>
    </w:pPr>
    <w:rPr>
      <w:rFonts w:asciiTheme="majorHAnsi" w:eastAsiaTheme="majorEastAsia" w:hAnsiTheme="majorHAnsi" w:cstheme="majorBidi"/>
      <w:b/>
      <w:bCs/>
      <w:color w:val="123044"/>
      <w:sz w:val="32"/>
      <w:szCs w:val="28"/>
    </w:rPr>
  </w:style>
  <w:style w:type="paragraph" w:styleId="Heading2">
    <w:name w:val="heading 2"/>
    <w:basedOn w:val="Normal"/>
    <w:next w:val="Normal"/>
    <w:link w:val="Heading2Char"/>
    <w:uiPriority w:val="9"/>
    <w:unhideWhenUsed/>
    <w:qFormat/>
    <w:rsid w:val="00FC693F"/>
    <w:pPr>
      <w:keepNext/>
      <w:keepLines/>
      <w:spacing w:before="240" w:after="120" w:line="240" w:lineRule="auto"/>
      <w:outlineLvl w:val="1"/>
    </w:pPr>
    <w:rPr>
      <w:rFonts w:asciiTheme="majorHAnsi" w:eastAsiaTheme="majorEastAsia" w:hAnsiTheme="majorHAnsi" w:cstheme="majorBidi"/>
      <w:b/>
      <w:bCs/>
      <w:color w:val="15998F"/>
      <w:sz w:val="26"/>
      <w:szCs w:val="26"/>
    </w:rPr>
  </w:style>
  <w:style w:type="paragraph" w:styleId="Heading3">
    <w:name w:val="heading 3"/>
    <w:basedOn w:val="Normal"/>
    <w:next w:val="Normal"/>
    <w:link w:val="Heading3Char"/>
    <w:uiPriority w:val="9"/>
    <w:unhideWhenUsed/>
    <w:qFormat/>
    <w:rsid w:val="00FC693F"/>
    <w:pPr>
      <w:keepNext/>
      <w:keepLines/>
      <w:spacing w:before="160" w:after="80" w:line="240" w:lineRule="auto"/>
      <w:outlineLvl w:val="2"/>
    </w:pPr>
    <w:rPr>
      <w:rFonts w:asciiTheme="majorHAnsi" w:eastAsiaTheme="majorEastAsia" w:hAnsiTheme="majorHAnsi" w:cstheme="majorBidi"/>
      <w:b/>
      <w:bCs/>
      <w:color w:val="123044"/>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0F6FC6"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073662"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073662"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0F6FC6"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B5294"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0F6FC6"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0F6FC6" w:themeColor="accent1"/>
    </w:rPr>
  </w:style>
  <w:style w:type="paragraph" w:styleId="Title">
    <w:name w:val="Title"/>
    <w:basedOn w:val="Normal"/>
    <w:next w:val="Normal"/>
    <w:link w:val="TitleChar"/>
    <w:uiPriority w:val="10"/>
    <w:qFormat/>
    <w:rsid w:val="00FC693F"/>
    <w:pPr>
      <w:pBdr>
        <w:bottom w:val="single" w:sz="8" w:space="4" w:color="0F6FC6" w:themeColor="accent1"/>
      </w:pBdr>
      <w:spacing w:after="300" w:line="240" w:lineRule="auto"/>
      <w:contextualSpacing/>
    </w:pPr>
    <w:rPr>
      <w:rFonts w:asciiTheme="majorHAnsi" w:eastAsiaTheme="majorEastAsia" w:hAnsiTheme="majorHAnsi" w:cstheme="majorBidi"/>
      <w:color w:val="112F51"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12F51"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0F6FC6"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0F6FC6"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0F6FC6"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073662"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073662"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0F6FC6"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0F6FC6"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0F6FC6" w:themeColor="accent1"/>
      </w:pBdr>
      <w:spacing w:before="200" w:after="280"/>
      <w:ind w:left="936" w:right="936"/>
    </w:pPr>
    <w:rPr>
      <w:b/>
      <w:bCs/>
      <w:i/>
      <w:iCs/>
      <w:color w:val="0F6FC6" w:themeColor="accent1"/>
    </w:rPr>
  </w:style>
  <w:style w:type="character" w:customStyle="1" w:styleId="IntenseQuoteChar">
    <w:name w:val="Intense Quote Char"/>
    <w:basedOn w:val="DefaultParagraphFont"/>
    <w:link w:val="IntenseQuote"/>
    <w:uiPriority w:val="30"/>
    <w:rsid w:val="00FC693F"/>
    <w:rPr>
      <w:b/>
      <w:bCs/>
      <w:i/>
      <w:iCs/>
      <w:color w:val="0F6FC6"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0F6FC6" w:themeColor="accent1"/>
    </w:rPr>
  </w:style>
  <w:style w:type="character" w:styleId="SubtleReference">
    <w:name w:val="Subtle Reference"/>
    <w:basedOn w:val="DefaultParagraphFont"/>
    <w:uiPriority w:val="31"/>
    <w:qFormat/>
    <w:rsid w:val="00FC693F"/>
    <w:rPr>
      <w:smallCaps/>
      <w:color w:val="009DD9" w:themeColor="accent2"/>
      <w:u w:val="single"/>
    </w:rPr>
  </w:style>
  <w:style w:type="character" w:styleId="IntenseReference">
    <w:name w:val="Intense Reference"/>
    <w:basedOn w:val="DefaultParagraphFont"/>
    <w:uiPriority w:val="32"/>
    <w:qFormat/>
    <w:rsid w:val="00FC693F"/>
    <w:rPr>
      <w:b/>
      <w:bCs/>
      <w:smallCaps/>
      <w:color w:val="009DD9"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0B5294" w:themeColor="accent1" w:themeShade="BF"/>
    </w:rPr>
    <w:tblPr>
      <w:tblStyleRowBandSize w:val="1"/>
      <w:tblStyleColBandSize w:val="1"/>
      <w:tblBorders>
        <w:top w:val="single" w:sz="8" w:space="0" w:color="0F6FC6" w:themeColor="accent1"/>
        <w:bottom w:val="single" w:sz="8" w:space="0" w:color="0F6FC6" w:themeColor="accent1"/>
      </w:tblBorders>
    </w:tblPr>
    <w:tblStylePr w:type="firstRow">
      <w:pPr>
        <w:spacing w:before="0" w:after="0" w:line="240" w:lineRule="auto"/>
      </w:pPr>
      <w:rPr>
        <w:b/>
        <w:bCs/>
      </w:rPr>
      <w:tblPr/>
      <w:tcPr>
        <w:tcBorders>
          <w:top w:val="single" w:sz="8" w:space="0" w:color="0F6FC6" w:themeColor="accent1"/>
          <w:left w:val="nil"/>
          <w:bottom w:val="single" w:sz="8" w:space="0" w:color="0F6FC6" w:themeColor="accent1"/>
          <w:right w:val="nil"/>
          <w:insideH w:val="nil"/>
          <w:insideV w:val="nil"/>
        </w:tcBorders>
      </w:tcPr>
    </w:tblStylePr>
    <w:tblStylePr w:type="lastRow">
      <w:pPr>
        <w:spacing w:before="0" w:after="0" w:line="240" w:lineRule="auto"/>
      </w:pPr>
      <w:rPr>
        <w:b/>
        <w:bCs/>
      </w:rPr>
      <w:tblPr/>
      <w:tcPr>
        <w:tcBorders>
          <w:top w:val="single" w:sz="8" w:space="0" w:color="0F6FC6" w:themeColor="accent1"/>
          <w:left w:val="nil"/>
          <w:bottom w:val="single" w:sz="8" w:space="0" w:color="0F6FC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BF9" w:themeFill="accent1" w:themeFillTint="3F"/>
      </w:tcPr>
    </w:tblStylePr>
    <w:tblStylePr w:type="band1Horz">
      <w:tblPr/>
      <w:tcPr>
        <w:tcBorders>
          <w:left w:val="nil"/>
          <w:right w:val="nil"/>
          <w:insideH w:val="nil"/>
          <w:insideV w:val="nil"/>
        </w:tcBorders>
        <w:shd w:val="clear" w:color="auto" w:fill="BADBF9" w:themeFill="accent1" w:themeFillTint="3F"/>
      </w:tcPr>
    </w:tblStylePr>
  </w:style>
  <w:style w:type="table" w:styleId="LightShading-Accent2">
    <w:name w:val="Light Shading Accent 2"/>
    <w:basedOn w:val="TableNormal"/>
    <w:uiPriority w:val="60"/>
    <w:rsid w:val="00FC693F"/>
    <w:pPr>
      <w:spacing w:after="0" w:line="240" w:lineRule="auto"/>
    </w:pPr>
    <w:rPr>
      <w:color w:val="0075A2" w:themeColor="accent2" w:themeShade="BF"/>
    </w:rPr>
    <w:tblPr>
      <w:tblStyleRowBandSize w:val="1"/>
      <w:tblStyleColBandSize w:val="1"/>
      <w:tblBorders>
        <w:top w:val="single" w:sz="8" w:space="0" w:color="009DD9" w:themeColor="accent2"/>
        <w:bottom w:val="single" w:sz="8" w:space="0" w:color="009DD9" w:themeColor="accent2"/>
      </w:tblBorders>
    </w:tblPr>
    <w:tblStylePr w:type="firstRow">
      <w:pPr>
        <w:spacing w:before="0" w:after="0" w:line="240" w:lineRule="auto"/>
      </w:pPr>
      <w:rPr>
        <w:b/>
        <w:bCs/>
      </w:rPr>
      <w:tblPr/>
      <w:tcPr>
        <w:tcBorders>
          <w:top w:val="single" w:sz="8" w:space="0" w:color="009DD9" w:themeColor="accent2"/>
          <w:left w:val="nil"/>
          <w:bottom w:val="single" w:sz="8" w:space="0" w:color="009DD9" w:themeColor="accent2"/>
          <w:right w:val="nil"/>
          <w:insideH w:val="nil"/>
          <w:insideV w:val="nil"/>
        </w:tcBorders>
      </w:tcPr>
    </w:tblStylePr>
    <w:tblStylePr w:type="lastRow">
      <w:pPr>
        <w:spacing w:before="0" w:after="0" w:line="240" w:lineRule="auto"/>
      </w:pPr>
      <w:rPr>
        <w:b/>
        <w:bCs/>
      </w:rPr>
      <w:tblPr/>
      <w:tcPr>
        <w:tcBorders>
          <w:top w:val="single" w:sz="8" w:space="0" w:color="009DD9" w:themeColor="accent2"/>
          <w:left w:val="nil"/>
          <w:bottom w:val="single" w:sz="8" w:space="0" w:color="009DD9"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6EAFF" w:themeFill="accent2" w:themeFillTint="3F"/>
      </w:tcPr>
    </w:tblStylePr>
    <w:tblStylePr w:type="band1Horz">
      <w:tblPr/>
      <w:tcPr>
        <w:tcBorders>
          <w:left w:val="nil"/>
          <w:right w:val="nil"/>
          <w:insideH w:val="nil"/>
          <w:insideV w:val="nil"/>
        </w:tcBorders>
        <w:shd w:val="clear" w:color="auto" w:fill="B6EAFF" w:themeFill="accent2" w:themeFillTint="3F"/>
      </w:tcPr>
    </w:tblStylePr>
  </w:style>
  <w:style w:type="table" w:styleId="LightShading-Accent3">
    <w:name w:val="Light Shading Accent 3"/>
    <w:basedOn w:val="TableNormal"/>
    <w:uiPriority w:val="60"/>
    <w:rsid w:val="00FC693F"/>
    <w:pPr>
      <w:spacing w:after="0" w:line="240" w:lineRule="auto"/>
    </w:pPr>
    <w:rPr>
      <w:color w:val="089BA2" w:themeColor="accent3" w:themeShade="BF"/>
    </w:rPr>
    <w:tblPr>
      <w:tblStyleRowBandSize w:val="1"/>
      <w:tblStyleColBandSize w:val="1"/>
      <w:tblBorders>
        <w:top w:val="single" w:sz="8" w:space="0" w:color="0BD0D9" w:themeColor="accent3"/>
        <w:bottom w:val="single" w:sz="8" w:space="0" w:color="0BD0D9" w:themeColor="accent3"/>
      </w:tblBorders>
    </w:tblPr>
    <w:tblStylePr w:type="firstRow">
      <w:pPr>
        <w:spacing w:before="0" w:after="0" w:line="240" w:lineRule="auto"/>
      </w:pPr>
      <w:rPr>
        <w:b/>
        <w:bCs/>
      </w:rPr>
      <w:tblPr/>
      <w:tcPr>
        <w:tcBorders>
          <w:top w:val="single" w:sz="8" w:space="0" w:color="0BD0D9" w:themeColor="accent3"/>
          <w:left w:val="nil"/>
          <w:bottom w:val="single" w:sz="8" w:space="0" w:color="0BD0D9" w:themeColor="accent3"/>
          <w:right w:val="nil"/>
          <w:insideH w:val="nil"/>
          <w:insideV w:val="nil"/>
        </w:tcBorders>
      </w:tcPr>
    </w:tblStylePr>
    <w:tblStylePr w:type="lastRow">
      <w:pPr>
        <w:spacing w:before="0" w:after="0" w:line="240" w:lineRule="auto"/>
      </w:pPr>
      <w:rPr>
        <w:b/>
        <w:bCs/>
      </w:rPr>
      <w:tblPr/>
      <w:tcPr>
        <w:tcBorders>
          <w:top w:val="single" w:sz="8" w:space="0" w:color="0BD0D9" w:themeColor="accent3"/>
          <w:left w:val="nil"/>
          <w:bottom w:val="single" w:sz="8" w:space="0" w:color="0BD0D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CF8FB" w:themeFill="accent3" w:themeFillTint="3F"/>
      </w:tcPr>
    </w:tblStylePr>
    <w:tblStylePr w:type="band1Horz">
      <w:tblPr/>
      <w:tcPr>
        <w:tcBorders>
          <w:left w:val="nil"/>
          <w:right w:val="nil"/>
          <w:insideH w:val="nil"/>
          <w:insideV w:val="nil"/>
        </w:tcBorders>
        <w:shd w:val="clear" w:color="auto" w:fill="BCF8FB" w:themeFill="accent3" w:themeFillTint="3F"/>
      </w:tcPr>
    </w:tblStylePr>
  </w:style>
  <w:style w:type="table" w:styleId="LightShading-Accent4">
    <w:name w:val="Light Shading Accent 4"/>
    <w:basedOn w:val="TableNormal"/>
    <w:uiPriority w:val="60"/>
    <w:rsid w:val="00FC693F"/>
    <w:pPr>
      <w:spacing w:after="0" w:line="240" w:lineRule="auto"/>
    </w:pPr>
    <w:rPr>
      <w:color w:val="0C9A73" w:themeColor="accent4" w:themeShade="BF"/>
    </w:rPr>
    <w:tblPr>
      <w:tblStyleRowBandSize w:val="1"/>
      <w:tblStyleColBandSize w:val="1"/>
      <w:tblBorders>
        <w:top w:val="single" w:sz="8" w:space="0" w:color="10CF9B" w:themeColor="accent4"/>
        <w:bottom w:val="single" w:sz="8" w:space="0" w:color="10CF9B" w:themeColor="accent4"/>
      </w:tblBorders>
    </w:tblPr>
    <w:tblStylePr w:type="firstRow">
      <w:pPr>
        <w:spacing w:before="0" w:after="0" w:line="240" w:lineRule="auto"/>
      </w:pPr>
      <w:rPr>
        <w:b/>
        <w:bCs/>
      </w:rPr>
      <w:tblPr/>
      <w:tcPr>
        <w:tcBorders>
          <w:top w:val="single" w:sz="8" w:space="0" w:color="10CF9B" w:themeColor="accent4"/>
          <w:left w:val="nil"/>
          <w:bottom w:val="single" w:sz="8" w:space="0" w:color="10CF9B" w:themeColor="accent4"/>
          <w:right w:val="nil"/>
          <w:insideH w:val="nil"/>
          <w:insideV w:val="nil"/>
        </w:tcBorders>
      </w:tcPr>
    </w:tblStylePr>
    <w:tblStylePr w:type="lastRow">
      <w:pPr>
        <w:spacing w:before="0" w:after="0" w:line="240" w:lineRule="auto"/>
      </w:pPr>
      <w:rPr>
        <w:b/>
        <w:bCs/>
      </w:rPr>
      <w:tblPr/>
      <w:tcPr>
        <w:tcBorders>
          <w:top w:val="single" w:sz="8" w:space="0" w:color="10CF9B" w:themeColor="accent4"/>
          <w:left w:val="nil"/>
          <w:bottom w:val="single" w:sz="8" w:space="0" w:color="10CF9B"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FAE9" w:themeFill="accent4" w:themeFillTint="3F"/>
      </w:tcPr>
    </w:tblStylePr>
    <w:tblStylePr w:type="band1Horz">
      <w:tblPr/>
      <w:tcPr>
        <w:tcBorders>
          <w:left w:val="nil"/>
          <w:right w:val="nil"/>
          <w:insideH w:val="nil"/>
          <w:insideV w:val="nil"/>
        </w:tcBorders>
        <w:shd w:val="clear" w:color="auto" w:fill="BDFAE9" w:themeFill="accent4" w:themeFillTint="3F"/>
      </w:tcPr>
    </w:tblStylePr>
  </w:style>
  <w:style w:type="table" w:styleId="LightShading-Accent5">
    <w:name w:val="Light Shading Accent 5"/>
    <w:basedOn w:val="TableNormal"/>
    <w:uiPriority w:val="60"/>
    <w:rsid w:val="00FC693F"/>
    <w:pPr>
      <w:spacing w:after="0" w:line="240" w:lineRule="auto"/>
    </w:pPr>
    <w:rPr>
      <w:color w:val="54A738" w:themeColor="accent5" w:themeShade="BF"/>
    </w:rPr>
    <w:tblPr>
      <w:tblStyleRowBandSize w:val="1"/>
      <w:tblStyleColBandSize w:val="1"/>
      <w:tblBorders>
        <w:top w:val="single" w:sz="8" w:space="0" w:color="7CCA62" w:themeColor="accent5"/>
        <w:bottom w:val="single" w:sz="8" w:space="0" w:color="7CCA62" w:themeColor="accent5"/>
      </w:tblBorders>
    </w:tblPr>
    <w:tblStylePr w:type="firstRow">
      <w:pPr>
        <w:spacing w:before="0" w:after="0" w:line="240" w:lineRule="auto"/>
      </w:pPr>
      <w:rPr>
        <w:b/>
        <w:bCs/>
      </w:rPr>
      <w:tblPr/>
      <w:tcPr>
        <w:tcBorders>
          <w:top w:val="single" w:sz="8" w:space="0" w:color="7CCA62" w:themeColor="accent5"/>
          <w:left w:val="nil"/>
          <w:bottom w:val="single" w:sz="8" w:space="0" w:color="7CCA62" w:themeColor="accent5"/>
          <w:right w:val="nil"/>
          <w:insideH w:val="nil"/>
          <w:insideV w:val="nil"/>
        </w:tcBorders>
      </w:tcPr>
    </w:tblStylePr>
    <w:tblStylePr w:type="lastRow">
      <w:pPr>
        <w:spacing w:before="0" w:after="0" w:line="240" w:lineRule="auto"/>
      </w:pPr>
      <w:rPr>
        <w:b/>
        <w:bCs/>
      </w:rPr>
      <w:tblPr/>
      <w:tcPr>
        <w:tcBorders>
          <w:top w:val="single" w:sz="8" w:space="0" w:color="7CCA62" w:themeColor="accent5"/>
          <w:left w:val="nil"/>
          <w:bottom w:val="single" w:sz="8" w:space="0" w:color="7CCA6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EF2D8" w:themeFill="accent5" w:themeFillTint="3F"/>
      </w:tcPr>
    </w:tblStylePr>
    <w:tblStylePr w:type="band1Horz">
      <w:tblPr/>
      <w:tcPr>
        <w:tcBorders>
          <w:left w:val="nil"/>
          <w:right w:val="nil"/>
          <w:insideH w:val="nil"/>
          <w:insideV w:val="nil"/>
        </w:tcBorders>
        <w:shd w:val="clear" w:color="auto" w:fill="DEF2D8" w:themeFill="accent5" w:themeFillTint="3F"/>
      </w:tcPr>
    </w:tblStylePr>
  </w:style>
  <w:style w:type="table" w:styleId="LightShading-Accent6">
    <w:name w:val="Light Shading Accent 6"/>
    <w:basedOn w:val="TableNormal"/>
    <w:uiPriority w:val="60"/>
    <w:rsid w:val="00FC693F"/>
    <w:pPr>
      <w:spacing w:after="0" w:line="240" w:lineRule="auto"/>
    </w:pPr>
    <w:rPr>
      <w:color w:val="7D9532" w:themeColor="accent6" w:themeShade="BF"/>
    </w:rPr>
    <w:tblPr>
      <w:tblStyleRowBandSize w:val="1"/>
      <w:tblStyleColBandSize w:val="1"/>
      <w:tblBorders>
        <w:top w:val="single" w:sz="8" w:space="0" w:color="A5C249" w:themeColor="accent6"/>
        <w:bottom w:val="single" w:sz="8" w:space="0" w:color="A5C249" w:themeColor="accent6"/>
      </w:tblBorders>
    </w:tblPr>
    <w:tblStylePr w:type="firstRow">
      <w:pPr>
        <w:spacing w:before="0" w:after="0" w:line="240" w:lineRule="auto"/>
      </w:pPr>
      <w:rPr>
        <w:b/>
        <w:bCs/>
      </w:rPr>
      <w:tblPr/>
      <w:tcPr>
        <w:tcBorders>
          <w:top w:val="single" w:sz="8" w:space="0" w:color="A5C249" w:themeColor="accent6"/>
          <w:left w:val="nil"/>
          <w:bottom w:val="single" w:sz="8" w:space="0" w:color="A5C249" w:themeColor="accent6"/>
          <w:right w:val="nil"/>
          <w:insideH w:val="nil"/>
          <w:insideV w:val="nil"/>
        </w:tcBorders>
      </w:tcPr>
    </w:tblStylePr>
    <w:tblStylePr w:type="lastRow">
      <w:pPr>
        <w:spacing w:before="0" w:after="0" w:line="240" w:lineRule="auto"/>
      </w:pPr>
      <w:rPr>
        <w:b/>
        <w:bCs/>
      </w:rPr>
      <w:tblPr/>
      <w:tcPr>
        <w:tcBorders>
          <w:top w:val="single" w:sz="8" w:space="0" w:color="A5C249" w:themeColor="accent6"/>
          <w:left w:val="nil"/>
          <w:bottom w:val="single" w:sz="8" w:space="0" w:color="A5C249"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F0D1" w:themeFill="accent6" w:themeFillTint="3F"/>
      </w:tcPr>
    </w:tblStylePr>
    <w:tblStylePr w:type="band1Horz">
      <w:tblPr/>
      <w:tcPr>
        <w:tcBorders>
          <w:left w:val="nil"/>
          <w:right w:val="nil"/>
          <w:insideH w:val="nil"/>
          <w:insideV w:val="nil"/>
        </w:tcBorders>
        <w:shd w:val="clear" w:color="auto" w:fill="E8F0D1"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0F6FC6" w:themeColor="accent1"/>
        <w:left w:val="single" w:sz="8" w:space="0" w:color="0F6FC6" w:themeColor="accent1"/>
        <w:bottom w:val="single" w:sz="8" w:space="0" w:color="0F6FC6" w:themeColor="accent1"/>
        <w:right w:val="single" w:sz="8" w:space="0" w:color="0F6FC6" w:themeColor="accent1"/>
      </w:tblBorders>
    </w:tblPr>
    <w:tblStylePr w:type="firstRow">
      <w:pPr>
        <w:spacing w:before="0" w:after="0" w:line="240" w:lineRule="auto"/>
      </w:pPr>
      <w:rPr>
        <w:b/>
        <w:bCs/>
        <w:color w:val="FFFFFF" w:themeColor="background1"/>
      </w:rPr>
      <w:tblPr/>
      <w:tcPr>
        <w:shd w:val="clear" w:color="auto" w:fill="0F6FC6" w:themeFill="accent1"/>
      </w:tcPr>
    </w:tblStylePr>
    <w:tblStylePr w:type="lastRow">
      <w:pPr>
        <w:spacing w:before="0" w:after="0" w:line="240" w:lineRule="auto"/>
      </w:pPr>
      <w:rPr>
        <w:b/>
        <w:bCs/>
      </w:rPr>
      <w:tblPr/>
      <w:tcPr>
        <w:tcBorders>
          <w:top w:val="double" w:sz="6" w:space="0" w:color="0F6FC6" w:themeColor="accent1"/>
          <w:left w:val="single" w:sz="8" w:space="0" w:color="0F6FC6" w:themeColor="accent1"/>
          <w:bottom w:val="single" w:sz="8" w:space="0" w:color="0F6FC6" w:themeColor="accent1"/>
          <w:right w:val="single" w:sz="8" w:space="0" w:color="0F6FC6" w:themeColor="accent1"/>
        </w:tcBorders>
      </w:tcPr>
    </w:tblStylePr>
    <w:tblStylePr w:type="firstCol">
      <w:rPr>
        <w:b/>
        <w:bCs/>
      </w:rPr>
    </w:tblStylePr>
    <w:tblStylePr w:type="lastCol">
      <w:rPr>
        <w:b/>
        <w:bCs/>
      </w:rPr>
    </w:tblStylePr>
    <w:tblStylePr w:type="band1Vert">
      <w:tblPr/>
      <w:tcPr>
        <w:tcBorders>
          <w:top w:val="single" w:sz="8" w:space="0" w:color="0F6FC6" w:themeColor="accent1"/>
          <w:left w:val="single" w:sz="8" w:space="0" w:color="0F6FC6" w:themeColor="accent1"/>
          <w:bottom w:val="single" w:sz="8" w:space="0" w:color="0F6FC6" w:themeColor="accent1"/>
          <w:right w:val="single" w:sz="8" w:space="0" w:color="0F6FC6" w:themeColor="accent1"/>
        </w:tcBorders>
      </w:tcPr>
    </w:tblStylePr>
    <w:tblStylePr w:type="band1Horz">
      <w:tblPr/>
      <w:tcPr>
        <w:tcBorders>
          <w:top w:val="single" w:sz="8" w:space="0" w:color="0F6FC6" w:themeColor="accent1"/>
          <w:left w:val="single" w:sz="8" w:space="0" w:color="0F6FC6" w:themeColor="accent1"/>
          <w:bottom w:val="single" w:sz="8" w:space="0" w:color="0F6FC6" w:themeColor="accent1"/>
          <w:right w:val="single" w:sz="8" w:space="0" w:color="0F6FC6"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009DD9" w:themeColor="accent2"/>
        <w:left w:val="single" w:sz="8" w:space="0" w:color="009DD9" w:themeColor="accent2"/>
        <w:bottom w:val="single" w:sz="8" w:space="0" w:color="009DD9" w:themeColor="accent2"/>
        <w:right w:val="single" w:sz="8" w:space="0" w:color="009DD9" w:themeColor="accent2"/>
      </w:tblBorders>
    </w:tblPr>
    <w:tblStylePr w:type="firstRow">
      <w:pPr>
        <w:spacing w:before="0" w:after="0" w:line="240" w:lineRule="auto"/>
      </w:pPr>
      <w:rPr>
        <w:b/>
        <w:bCs/>
        <w:color w:val="FFFFFF" w:themeColor="background1"/>
      </w:rPr>
      <w:tblPr/>
      <w:tcPr>
        <w:shd w:val="clear" w:color="auto" w:fill="009DD9" w:themeFill="accent2"/>
      </w:tcPr>
    </w:tblStylePr>
    <w:tblStylePr w:type="lastRow">
      <w:pPr>
        <w:spacing w:before="0" w:after="0" w:line="240" w:lineRule="auto"/>
      </w:pPr>
      <w:rPr>
        <w:b/>
        <w:bCs/>
      </w:rPr>
      <w:tblPr/>
      <w:tcPr>
        <w:tcBorders>
          <w:top w:val="double" w:sz="6" w:space="0" w:color="009DD9" w:themeColor="accent2"/>
          <w:left w:val="single" w:sz="8" w:space="0" w:color="009DD9" w:themeColor="accent2"/>
          <w:bottom w:val="single" w:sz="8" w:space="0" w:color="009DD9" w:themeColor="accent2"/>
          <w:right w:val="single" w:sz="8" w:space="0" w:color="009DD9" w:themeColor="accent2"/>
        </w:tcBorders>
      </w:tcPr>
    </w:tblStylePr>
    <w:tblStylePr w:type="firstCol">
      <w:rPr>
        <w:b/>
        <w:bCs/>
      </w:rPr>
    </w:tblStylePr>
    <w:tblStylePr w:type="lastCol">
      <w:rPr>
        <w:b/>
        <w:bCs/>
      </w:rPr>
    </w:tblStylePr>
    <w:tblStylePr w:type="band1Vert">
      <w:tblPr/>
      <w:tcPr>
        <w:tcBorders>
          <w:top w:val="single" w:sz="8" w:space="0" w:color="009DD9" w:themeColor="accent2"/>
          <w:left w:val="single" w:sz="8" w:space="0" w:color="009DD9" w:themeColor="accent2"/>
          <w:bottom w:val="single" w:sz="8" w:space="0" w:color="009DD9" w:themeColor="accent2"/>
          <w:right w:val="single" w:sz="8" w:space="0" w:color="009DD9" w:themeColor="accent2"/>
        </w:tcBorders>
      </w:tcPr>
    </w:tblStylePr>
    <w:tblStylePr w:type="band1Horz">
      <w:tblPr/>
      <w:tcPr>
        <w:tcBorders>
          <w:top w:val="single" w:sz="8" w:space="0" w:color="009DD9" w:themeColor="accent2"/>
          <w:left w:val="single" w:sz="8" w:space="0" w:color="009DD9" w:themeColor="accent2"/>
          <w:bottom w:val="single" w:sz="8" w:space="0" w:color="009DD9" w:themeColor="accent2"/>
          <w:right w:val="single" w:sz="8" w:space="0" w:color="009DD9"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0BD0D9" w:themeColor="accent3"/>
        <w:left w:val="single" w:sz="8" w:space="0" w:color="0BD0D9" w:themeColor="accent3"/>
        <w:bottom w:val="single" w:sz="8" w:space="0" w:color="0BD0D9" w:themeColor="accent3"/>
        <w:right w:val="single" w:sz="8" w:space="0" w:color="0BD0D9" w:themeColor="accent3"/>
      </w:tblBorders>
    </w:tblPr>
    <w:tblStylePr w:type="firstRow">
      <w:pPr>
        <w:spacing w:before="0" w:after="0" w:line="240" w:lineRule="auto"/>
      </w:pPr>
      <w:rPr>
        <w:b/>
        <w:bCs/>
        <w:color w:val="FFFFFF" w:themeColor="background1"/>
      </w:rPr>
      <w:tblPr/>
      <w:tcPr>
        <w:shd w:val="clear" w:color="auto" w:fill="0BD0D9" w:themeFill="accent3"/>
      </w:tcPr>
    </w:tblStylePr>
    <w:tblStylePr w:type="lastRow">
      <w:pPr>
        <w:spacing w:before="0" w:after="0" w:line="240" w:lineRule="auto"/>
      </w:pPr>
      <w:rPr>
        <w:b/>
        <w:bCs/>
      </w:rPr>
      <w:tblPr/>
      <w:tcPr>
        <w:tcBorders>
          <w:top w:val="double" w:sz="6" w:space="0" w:color="0BD0D9" w:themeColor="accent3"/>
          <w:left w:val="single" w:sz="8" w:space="0" w:color="0BD0D9" w:themeColor="accent3"/>
          <w:bottom w:val="single" w:sz="8" w:space="0" w:color="0BD0D9" w:themeColor="accent3"/>
          <w:right w:val="single" w:sz="8" w:space="0" w:color="0BD0D9" w:themeColor="accent3"/>
        </w:tcBorders>
      </w:tcPr>
    </w:tblStylePr>
    <w:tblStylePr w:type="firstCol">
      <w:rPr>
        <w:b/>
        <w:bCs/>
      </w:rPr>
    </w:tblStylePr>
    <w:tblStylePr w:type="lastCol">
      <w:rPr>
        <w:b/>
        <w:bCs/>
      </w:rPr>
    </w:tblStylePr>
    <w:tblStylePr w:type="band1Vert">
      <w:tblPr/>
      <w:tcPr>
        <w:tcBorders>
          <w:top w:val="single" w:sz="8" w:space="0" w:color="0BD0D9" w:themeColor="accent3"/>
          <w:left w:val="single" w:sz="8" w:space="0" w:color="0BD0D9" w:themeColor="accent3"/>
          <w:bottom w:val="single" w:sz="8" w:space="0" w:color="0BD0D9" w:themeColor="accent3"/>
          <w:right w:val="single" w:sz="8" w:space="0" w:color="0BD0D9" w:themeColor="accent3"/>
        </w:tcBorders>
      </w:tcPr>
    </w:tblStylePr>
    <w:tblStylePr w:type="band1Horz">
      <w:tblPr/>
      <w:tcPr>
        <w:tcBorders>
          <w:top w:val="single" w:sz="8" w:space="0" w:color="0BD0D9" w:themeColor="accent3"/>
          <w:left w:val="single" w:sz="8" w:space="0" w:color="0BD0D9" w:themeColor="accent3"/>
          <w:bottom w:val="single" w:sz="8" w:space="0" w:color="0BD0D9" w:themeColor="accent3"/>
          <w:right w:val="single" w:sz="8" w:space="0" w:color="0BD0D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10CF9B" w:themeColor="accent4"/>
        <w:left w:val="single" w:sz="8" w:space="0" w:color="10CF9B" w:themeColor="accent4"/>
        <w:bottom w:val="single" w:sz="8" w:space="0" w:color="10CF9B" w:themeColor="accent4"/>
        <w:right w:val="single" w:sz="8" w:space="0" w:color="10CF9B" w:themeColor="accent4"/>
      </w:tblBorders>
    </w:tblPr>
    <w:tblStylePr w:type="firstRow">
      <w:pPr>
        <w:spacing w:before="0" w:after="0" w:line="240" w:lineRule="auto"/>
      </w:pPr>
      <w:rPr>
        <w:b/>
        <w:bCs/>
        <w:color w:val="FFFFFF" w:themeColor="background1"/>
      </w:rPr>
      <w:tblPr/>
      <w:tcPr>
        <w:shd w:val="clear" w:color="auto" w:fill="10CF9B" w:themeFill="accent4"/>
      </w:tcPr>
    </w:tblStylePr>
    <w:tblStylePr w:type="lastRow">
      <w:pPr>
        <w:spacing w:before="0" w:after="0" w:line="240" w:lineRule="auto"/>
      </w:pPr>
      <w:rPr>
        <w:b/>
        <w:bCs/>
      </w:rPr>
      <w:tblPr/>
      <w:tcPr>
        <w:tcBorders>
          <w:top w:val="double" w:sz="6" w:space="0" w:color="10CF9B" w:themeColor="accent4"/>
          <w:left w:val="single" w:sz="8" w:space="0" w:color="10CF9B" w:themeColor="accent4"/>
          <w:bottom w:val="single" w:sz="8" w:space="0" w:color="10CF9B" w:themeColor="accent4"/>
          <w:right w:val="single" w:sz="8" w:space="0" w:color="10CF9B" w:themeColor="accent4"/>
        </w:tcBorders>
      </w:tcPr>
    </w:tblStylePr>
    <w:tblStylePr w:type="firstCol">
      <w:rPr>
        <w:b/>
        <w:bCs/>
      </w:rPr>
    </w:tblStylePr>
    <w:tblStylePr w:type="lastCol">
      <w:rPr>
        <w:b/>
        <w:bCs/>
      </w:rPr>
    </w:tblStylePr>
    <w:tblStylePr w:type="band1Vert">
      <w:tblPr/>
      <w:tcPr>
        <w:tcBorders>
          <w:top w:val="single" w:sz="8" w:space="0" w:color="10CF9B" w:themeColor="accent4"/>
          <w:left w:val="single" w:sz="8" w:space="0" w:color="10CF9B" w:themeColor="accent4"/>
          <w:bottom w:val="single" w:sz="8" w:space="0" w:color="10CF9B" w:themeColor="accent4"/>
          <w:right w:val="single" w:sz="8" w:space="0" w:color="10CF9B" w:themeColor="accent4"/>
        </w:tcBorders>
      </w:tcPr>
    </w:tblStylePr>
    <w:tblStylePr w:type="band1Horz">
      <w:tblPr/>
      <w:tcPr>
        <w:tcBorders>
          <w:top w:val="single" w:sz="8" w:space="0" w:color="10CF9B" w:themeColor="accent4"/>
          <w:left w:val="single" w:sz="8" w:space="0" w:color="10CF9B" w:themeColor="accent4"/>
          <w:bottom w:val="single" w:sz="8" w:space="0" w:color="10CF9B" w:themeColor="accent4"/>
          <w:right w:val="single" w:sz="8" w:space="0" w:color="10CF9B"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7CCA62" w:themeColor="accent5"/>
        <w:left w:val="single" w:sz="8" w:space="0" w:color="7CCA62" w:themeColor="accent5"/>
        <w:bottom w:val="single" w:sz="8" w:space="0" w:color="7CCA62" w:themeColor="accent5"/>
        <w:right w:val="single" w:sz="8" w:space="0" w:color="7CCA62" w:themeColor="accent5"/>
      </w:tblBorders>
    </w:tblPr>
    <w:tblStylePr w:type="firstRow">
      <w:pPr>
        <w:spacing w:before="0" w:after="0" w:line="240" w:lineRule="auto"/>
      </w:pPr>
      <w:rPr>
        <w:b/>
        <w:bCs/>
        <w:color w:val="FFFFFF" w:themeColor="background1"/>
      </w:rPr>
      <w:tblPr/>
      <w:tcPr>
        <w:shd w:val="clear" w:color="auto" w:fill="7CCA62" w:themeFill="accent5"/>
      </w:tcPr>
    </w:tblStylePr>
    <w:tblStylePr w:type="lastRow">
      <w:pPr>
        <w:spacing w:before="0" w:after="0" w:line="240" w:lineRule="auto"/>
      </w:pPr>
      <w:rPr>
        <w:b/>
        <w:bCs/>
      </w:rPr>
      <w:tblPr/>
      <w:tcPr>
        <w:tcBorders>
          <w:top w:val="double" w:sz="6" w:space="0" w:color="7CCA62" w:themeColor="accent5"/>
          <w:left w:val="single" w:sz="8" w:space="0" w:color="7CCA62" w:themeColor="accent5"/>
          <w:bottom w:val="single" w:sz="8" w:space="0" w:color="7CCA62" w:themeColor="accent5"/>
          <w:right w:val="single" w:sz="8" w:space="0" w:color="7CCA62" w:themeColor="accent5"/>
        </w:tcBorders>
      </w:tcPr>
    </w:tblStylePr>
    <w:tblStylePr w:type="firstCol">
      <w:rPr>
        <w:b/>
        <w:bCs/>
      </w:rPr>
    </w:tblStylePr>
    <w:tblStylePr w:type="lastCol">
      <w:rPr>
        <w:b/>
        <w:bCs/>
      </w:rPr>
    </w:tblStylePr>
    <w:tblStylePr w:type="band1Vert">
      <w:tblPr/>
      <w:tcPr>
        <w:tcBorders>
          <w:top w:val="single" w:sz="8" w:space="0" w:color="7CCA62" w:themeColor="accent5"/>
          <w:left w:val="single" w:sz="8" w:space="0" w:color="7CCA62" w:themeColor="accent5"/>
          <w:bottom w:val="single" w:sz="8" w:space="0" w:color="7CCA62" w:themeColor="accent5"/>
          <w:right w:val="single" w:sz="8" w:space="0" w:color="7CCA62" w:themeColor="accent5"/>
        </w:tcBorders>
      </w:tcPr>
    </w:tblStylePr>
    <w:tblStylePr w:type="band1Horz">
      <w:tblPr/>
      <w:tcPr>
        <w:tcBorders>
          <w:top w:val="single" w:sz="8" w:space="0" w:color="7CCA62" w:themeColor="accent5"/>
          <w:left w:val="single" w:sz="8" w:space="0" w:color="7CCA62" w:themeColor="accent5"/>
          <w:bottom w:val="single" w:sz="8" w:space="0" w:color="7CCA62" w:themeColor="accent5"/>
          <w:right w:val="single" w:sz="8" w:space="0" w:color="7CCA62"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A5C249" w:themeColor="accent6"/>
        <w:left w:val="single" w:sz="8" w:space="0" w:color="A5C249" w:themeColor="accent6"/>
        <w:bottom w:val="single" w:sz="8" w:space="0" w:color="A5C249" w:themeColor="accent6"/>
        <w:right w:val="single" w:sz="8" w:space="0" w:color="A5C249" w:themeColor="accent6"/>
      </w:tblBorders>
    </w:tblPr>
    <w:tblStylePr w:type="firstRow">
      <w:pPr>
        <w:spacing w:before="0" w:after="0" w:line="240" w:lineRule="auto"/>
      </w:pPr>
      <w:rPr>
        <w:b/>
        <w:bCs/>
        <w:color w:val="FFFFFF" w:themeColor="background1"/>
      </w:rPr>
      <w:tblPr/>
      <w:tcPr>
        <w:shd w:val="clear" w:color="auto" w:fill="A5C249" w:themeFill="accent6"/>
      </w:tcPr>
    </w:tblStylePr>
    <w:tblStylePr w:type="lastRow">
      <w:pPr>
        <w:spacing w:before="0" w:after="0" w:line="240" w:lineRule="auto"/>
      </w:pPr>
      <w:rPr>
        <w:b/>
        <w:bCs/>
      </w:rPr>
      <w:tblPr/>
      <w:tcPr>
        <w:tcBorders>
          <w:top w:val="double" w:sz="6" w:space="0" w:color="A5C249" w:themeColor="accent6"/>
          <w:left w:val="single" w:sz="8" w:space="0" w:color="A5C249" w:themeColor="accent6"/>
          <w:bottom w:val="single" w:sz="8" w:space="0" w:color="A5C249" w:themeColor="accent6"/>
          <w:right w:val="single" w:sz="8" w:space="0" w:color="A5C249" w:themeColor="accent6"/>
        </w:tcBorders>
      </w:tcPr>
    </w:tblStylePr>
    <w:tblStylePr w:type="firstCol">
      <w:rPr>
        <w:b/>
        <w:bCs/>
      </w:rPr>
    </w:tblStylePr>
    <w:tblStylePr w:type="lastCol">
      <w:rPr>
        <w:b/>
        <w:bCs/>
      </w:rPr>
    </w:tblStylePr>
    <w:tblStylePr w:type="band1Vert">
      <w:tblPr/>
      <w:tcPr>
        <w:tcBorders>
          <w:top w:val="single" w:sz="8" w:space="0" w:color="A5C249" w:themeColor="accent6"/>
          <w:left w:val="single" w:sz="8" w:space="0" w:color="A5C249" w:themeColor="accent6"/>
          <w:bottom w:val="single" w:sz="8" w:space="0" w:color="A5C249" w:themeColor="accent6"/>
          <w:right w:val="single" w:sz="8" w:space="0" w:color="A5C249" w:themeColor="accent6"/>
        </w:tcBorders>
      </w:tcPr>
    </w:tblStylePr>
    <w:tblStylePr w:type="band1Horz">
      <w:tblPr/>
      <w:tcPr>
        <w:tcBorders>
          <w:top w:val="single" w:sz="8" w:space="0" w:color="A5C249" w:themeColor="accent6"/>
          <w:left w:val="single" w:sz="8" w:space="0" w:color="A5C249" w:themeColor="accent6"/>
          <w:bottom w:val="single" w:sz="8" w:space="0" w:color="A5C249" w:themeColor="accent6"/>
          <w:right w:val="single" w:sz="8" w:space="0" w:color="A5C249"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0F6FC6" w:themeColor="accent1"/>
        <w:left w:val="single" w:sz="8" w:space="0" w:color="0F6FC6" w:themeColor="accent1"/>
        <w:bottom w:val="single" w:sz="8" w:space="0" w:color="0F6FC6" w:themeColor="accent1"/>
        <w:right w:val="single" w:sz="8" w:space="0" w:color="0F6FC6" w:themeColor="accent1"/>
        <w:insideH w:val="single" w:sz="8" w:space="0" w:color="0F6FC6" w:themeColor="accent1"/>
        <w:insideV w:val="single" w:sz="8" w:space="0" w:color="0F6FC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6FC6" w:themeColor="accent1"/>
          <w:left w:val="single" w:sz="8" w:space="0" w:color="0F6FC6" w:themeColor="accent1"/>
          <w:bottom w:val="single" w:sz="18" w:space="0" w:color="0F6FC6" w:themeColor="accent1"/>
          <w:right w:val="single" w:sz="8" w:space="0" w:color="0F6FC6" w:themeColor="accent1"/>
          <w:insideH w:val="nil"/>
          <w:insideV w:val="single" w:sz="8" w:space="0" w:color="0F6FC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6FC6" w:themeColor="accent1"/>
          <w:left w:val="single" w:sz="8" w:space="0" w:color="0F6FC6" w:themeColor="accent1"/>
          <w:bottom w:val="single" w:sz="8" w:space="0" w:color="0F6FC6" w:themeColor="accent1"/>
          <w:right w:val="single" w:sz="8" w:space="0" w:color="0F6FC6" w:themeColor="accent1"/>
          <w:insideH w:val="nil"/>
          <w:insideV w:val="single" w:sz="8" w:space="0" w:color="0F6FC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6FC6" w:themeColor="accent1"/>
          <w:left w:val="single" w:sz="8" w:space="0" w:color="0F6FC6" w:themeColor="accent1"/>
          <w:bottom w:val="single" w:sz="8" w:space="0" w:color="0F6FC6" w:themeColor="accent1"/>
          <w:right w:val="single" w:sz="8" w:space="0" w:color="0F6FC6" w:themeColor="accent1"/>
        </w:tcBorders>
      </w:tcPr>
    </w:tblStylePr>
    <w:tblStylePr w:type="band1Vert">
      <w:tblPr/>
      <w:tcPr>
        <w:tcBorders>
          <w:top w:val="single" w:sz="8" w:space="0" w:color="0F6FC6" w:themeColor="accent1"/>
          <w:left w:val="single" w:sz="8" w:space="0" w:color="0F6FC6" w:themeColor="accent1"/>
          <w:bottom w:val="single" w:sz="8" w:space="0" w:color="0F6FC6" w:themeColor="accent1"/>
          <w:right w:val="single" w:sz="8" w:space="0" w:color="0F6FC6" w:themeColor="accent1"/>
        </w:tcBorders>
        <w:shd w:val="clear" w:color="auto" w:fill="BADBF9" w:themeFill="accent1" w:themeFillTint="3F"/>
      </w:tcPr>
    </w:tblStylePr>
    <w:tblStylePr w:type="band1Horz">
      <w:tblPr/>
      <w:tcPr>
        <w:tcBorders>
          <w:top w:val="single" w:sz="8" w:space="0" w:color="0F6FC6" w:themeColor="accent1"/>
          <w:left w:val="single" w:sz="8" w:space="0" w:color="0F6FC6" w:themeColor="accent1"/>
          <w:bottom w:val="single" w:sz="8" w:space="0" w:color="0F6FC6" w:themeColor="accent1"/>
          <w:right w:val="single" w:sz="8" w:space="0" w:color="0F6FC6" w:themeColor="accent1"/>
          <w:insideV w:val="single" w:sz="8" w:space="0" w:color="0F6FC6" w:themeColor="accent1"/>
        </w:tcBorders>
        <w:shd w:val="clear" w:color="auto" w:fill="BADBF9" w:themeFill="accent1" w:themeFillTint="3F"/>
      </w:tcPr>
    </w:tblStylePr>
    <w:tblStylePr w:type="band2Horz">
      <w:tblPr/>
      <w:tcPr>
        <w:tcBorders>
          <w:top w:val="single" w:sz="8" w:space="0" w:color="0F6FC6" w:themeColor="accent1"/>
          <w:left w:val="single" w:sz="8" w:space="0" w:color="0F6FC6" w:themeColor="accent1"/>
          <w:bottom w:val="single" w:sz="8" w:space="0" w:color="0F6FC6" w:themeColor="accent1"/>
          <w:right w:val="single" w:sz="8" w:space="0" w:color="0F6FC6" w:themeColor="accent1"/>
          <w:insideV w:val="single" w:sz="8" w:space="0" w:color="0F6FC6"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009DD9" w:themeColor="accent2"/>
        <w:left w:val="single" w:sz="8" w:space="0" w:color="009DD9" w:themeColor="accent2"/>
        <w:bottom w:val="single" w:sz="8" w:space="0" w:color="009DD9" w:themeColor="accent2"/>
        <w:right w:val="single" w:sz="8" w:space="0" w:color="009DD9" w:themeColor="accent2"/>
        <w:insideH w:val="single" w:sz="8" w:space="0" w:color="009DD9" w:themeColor="accent2"/>
        <w:insideV w:val="single" w:sz="8" w:space="0" w:color="009DD9"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9DD9" w:themeColor="accent2"/>
          <w:left w:val="single" w:sz="8" w:space="0" w:color="009DD9" w:themeColor="accent2"/>
          <w:bottom w:val="single" w:sz="18" w:space="0" w:color="009DD9" w:themeColor="accent2"/>
          <w:right w:val="single" w:sz="8" w:space="0" w:color="009DD9" w:themeColor="accent2"/>
          <w:insideH w:val="nil"/>
          <w:insideV w:val="single" w:sz="8" w:space="0" w:color="009DD9"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9DD9" w:themeColor="accent2"/>
          <w:left w:val="single" w:sz="8" w:space="0" w:color="009DD9" w:themeColor="accent2"/>
          <w:bottom w:val="single" w:sz="8" w:space="0" w:color="009DD9" w:themeColor="accent2"/>
          <w:right w:val="single" w:sz="8" w:space="0" w:color="009DD9" w:themeColor="accent2"/>
          <w:insideH w:val="nil"/>
          <w:insideV w:val="single" w:sz="8" w:space="0" w:color="009DD9"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9DD9" w:themeColor="accent2"/>
          <w:left w:val="single" w:sz="8" w:space="0" w:color="009DD9" w:themeColor="accent2"/>
          <w:bottom w:val="single" w:sz="8" w:space="0" w:color="009DD9" w:themeColor="accent2"/>
          <w:right w:val="single" w:sz="8" w:space="0" w:color="009DD9" w:themeColor="accent2"/>
        </w:tcBorders>
      </w:tcPr>
    </w:tblStylePr>
    <w:tblStylePr w:type="band1Vert">
      <w:tblPr/>
      <w:tcPr>
        <w:tcBorders>
          <w:top w:val="single" w:sz="8" w:space="0" w:color="009DD9" w:themeColor="accent2"/>
          <w:left w:val="single" w:sz="8" w:space="0" w:color="009DD9" w:themeColor="accent2"/>
          <w:bottom w:val="single" w:sz="8" w:space="0" w:color="009DD9" w:themeColor="accent2"/>
          <w:right w:val="single" w:sz="8" w:space="0" w:color="009DD9" w:themeColor="accent2"/>
        </w:tcBorders>
        <w:shd w:val="clear" w:color="auto" w:fill="B6EAFF" w:themeFill="accent2" w:themeFillTint="3F"/>
      </w:tcPr>
    </w:tblStylePr>
    <w:tblStylePr w:type="band1Horz">
      <w:tblPr/>
      <w:tcPr>
        <w:tcBorders>
          <w:top w:val="single" w:sz="8" w:space="0" w:color="009DD9" w:themeColor="accent2"/>
          <w:left w:val="single" w:sz="8" w:space="0" w:color="009DD9" w:themeColor="accent2"/>
          <w:bottom w:val="single" w:sz="8" w:space="0" w:color="009DD9" w:themeColor="accent2"/>
          <w:right w:val="single" w:sz="8" w:space="0" w:color="009DD9" w:themeColor="accent2"/>
          <w:insideV w:val="single" w:sz="8" w:space="0" w:color="009DD9" w:themeColor="accent2"/>
        </w:tcBorders>
        <w:shd w:val="clear" w:color="auto" w:fill="B6EAFF" w:themeFill="accent2" w:themeFillTint="3F"/>
      </w:tcPr>
    </w:tblStylePr>
    <w:tblStylePr w:type="band2Horz">
      <w:tblPr/>
      <w:tcPr>
        <w:tcBorders>
          <w:top w:val="single" w:sz="8" w:space="0" w:color="009DD9" w:themeColor="accent2"/>
          <w:left w:val="single" w:sz="8" w:space="0" w:color="009DD9" w:themeColor="accent2"/>
          <w:bottom w:val="single" w:sz="8" w:space="0" w:color="009DD9" w:themeColor="accent2"/>
          <w:right w:val="single" w:sz="8" w:space="0" w:color="009DD9" w:themeColor="accent2"/>
          <w:insideV w:val="single" w:sz="8" w:space="0" w:color="009DD9"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0BD0D9" w:themeColor="accent3"/>
        <w:left w:val="single" w:sz="8" w:space="0" w:color="0BD0D9" w:themeColor="accent3"/>
        <w:bottom w:val="single" w:sz="8" w:space="0" w:color="0BD0D9" w:themeColor="accent3"/>
        <w:right w:val="single" w:sz="8" w:space="0" w:color="0BD0D9" w:themeColor="accent3"/>
        <w:insideH w:val="single" w:sz="8" w:space="0" w:color="0BD0D9" w:themeColor="accent3"/>
        <w:insideV w:val="single" w:sz="8" w:space="0" w:color="0BD0D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BD0D9" w:themeColor="accent3"/>
          <w:left w:val="single" w:sz="8" w:space="0" w:color="0BD0D9" w:themeColor="accent3"/>
          <w:bottom w:val="single" w:sz="18" w:space="0" w:color="0BD0D9" w:themeColor="accent3"/>
          <w:right w:val="single" w:sz="8" w:space="0" w:color="0BD0D9" w:themeColor="accent3"/>
          <w:insideH w:val="nil"/>
          <w:insideV w:val="single" w:sz="8" w:space="0" w:color="0BD0D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BD0D9" w:themeColor="accent3"/>
          <w:left w:val="single" w:sz="8" w:space="0" w:color="0BD0D9" w:themeColor="accent3"/>
          <w:bottom w:val="single" w:sz="8" w:space="0" w:color="0BD0D9" w:themeColor="accent3"/>
          <w:right w:val="single" w:sz="8" w:space="0" w:color="0BD0D9" w:themeColor="accent3"/>
          <w:insideH w:val="nil"/>
          <w:insideV w:val="single" w:sz="8" w:space="0" w:color="0BD0D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BD0D9" w:themeColor="accent3"/>
          <w:left w:val="single" w:sz="8" w:space="0" w:color="0BD0D9" w:themeColor="accent3"/>
          <w:bottom w:val="single" w:sz="8" w:space="0" w:color="0BD0D9" w:themeColor="accent3"/>
          <w:right w:val="single" w:sz="8" w:space="0" w:color="0BD0D9" w:themeColor="accent3"/>
        </w:tcBorders>
      </w:tcPr>
    </w:tblStylePr>
    <w:tblStylePr w:type="band1Vert">
      <w:tblPr/>
      <w:tcPr>
        <w:tcBorders>
          <w:top w:val="single" w:sz="8" w:space="0" w:color="0BD0D9" w:themeColor="accent3"/>
          <w:left w:val="single" w:sz="8" w:space="0" w:color="0BD0D9" w:themeColor="accent3"/>
          <w:bottom w:val="single" w:sz="8" w:space="0" w:color="0BD0D9" w:themeColor="accent3"/>
          <w:right w:val="single" w:sz="8" w:space="0" w:color="0BD0D9" w:themeColor="accent3"/>
        </w:tcBorders>
        <w:shd w:val="clear" w:color="auto" w:fill="BCF8FB" w:themeFill="accent3" w:themeFillTint="3F"/>
      </w:tcPr>
    </w:tblStylePr>
    <w:tblStylePr w:type="band1Horz">
      <w:tblPr/>
      <w:tcPr>
        <w:tcBorders>
          <w:top w:val="single" w:sz="8" w:space="0" w:color="0BD0D9" w:themeColor="accent3"/>
          <w:left w:val="single" w:sz="8" w:space="0" w:color="0BD0D9" w:themeColor="accent3"/>
          <w:bottom w:val="single" w:sz="8" w:space="0" w:color="0BD0D9" w:themeColor="accent3"/>
          <w:right w:val="single" w:sz="8" w:space="0" w:color="0BD0D9" w:themeColor="accent3"/>
          <w:insideV w:val="single" w:sz="8" w:space="0" w:color="0BD0D9" w:themeColor="accent3"/>
        </w:tcBorders>
        <w:shd w:val="clear" w:color="auto" w:fill="BCF8FB" w:themeFill="accent3" w:themeFillTint="3F"/>
      </w:tcPr>
    </w:tblStylePr>
    <w:tblStylePr w:type="band2Horz">
      <w:tblPr/>
      <w:tcPr>
        <w:tcBorders>
          <w:top w:val="single" w:sz="8" w:space="0" w:color="0BD0D9" w:themeColor="accent3"/>
          <w:left w:val="single" w:sz="8" w:space="0" w:color="0BD0D9" w:themeColor="accent3"/>
          <w:bottom w:val="single" w:sz="8" w:space="0" w:color="0BD0D9" w:themeColor="accent3"/>
          <w:right w:val="single" w:sz="8" w:space="0" w:color="0BD0D9" w:themeColor="accent3"/>
          <w:insideV w:val="single" w:sz="8" w:space="0" w:color="0BD0D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10CF9B" w:themeColor="accent4"/>
        <w:left w:val="single" w:sz="8" w:space="0" w:color="10CF9B" w:themeColor="accent4"/>
        <w:bottom w:val="single" w:sz="8" w:space="0" w:color="10CF9B" w:themeColor="accent4"/>
        <w:right w:val="single" w:sz="8" w:space="0" w:color="10CF9B" w:themeColor="accent4"/>
        <w:insideH w:val="single" w:sz="8" w:space="0" w:color="10CF9B" w:themeColor="accent4"/>
        <w:insideV w:val="single" w:sz="8" w:space="0" w:color="10CF9B"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0CF9B" w:themeColor="accent4"/>
          <w:left w:val="single" w:sz="8" w:space="0" w:color="10CF9B" w:themeColor="accent4"/>
          <w:bottom w:val="single" w:sz="18" w:space="0" w:color="10CF9B" w:themeColor="accent4"/>
          <w:right w:val="single" w:sz="8" w:space="0" w:color="10CF9B" w:themeColor="accent4"/>
          <w:insideH w:val="nil"/>
          <w:insideV w:val="single" w:sz="8" w:space="0" w:color="10CF9B"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0CF9B" w:themeColor="accent4"/>
          <w:left w:val="single" w:sz="8" w:space="0" w:color="10CF9B" w:themeColor="accent4"/>
          <w:bottom w:val="single" w:sz="8" w:space="0" w:color="10CF9B" w:themeColor="accent4"/>
          <w:right w:val="single" w:sz="8" w:space="0" w:color="10CF9B" w:themeColor="accent4"/>
          <w:insideH w:val="nil"/>
          <w:insideV w:val="single" w:sz="8" w:space="0" w:color="10CF9B"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0CF9B" w:themeColor="accent4"/>
          <w:left w:val="single" w:sz="8" w:space="0" w:color="10CF9B" w:themeColor="accent4"/>
          <w:bottom w:val="single" w:sz="8" w:space="0" w:color="10CF9B" w:themeColor="accent4"/>
          <w:right w:val="single" w:sz="8" w:space="0" w:color="10CF9B" w:themeColor="accent4"/>
        </w:tcBorders>
      </w:tcPr>
    </w:tblStylePr>
    <w:tblStylePr w:type="band1Vert">
      <w:tblPr/>
      <w:tcPr>
        <w:tcBorders>
          <w:top w:val="single" w:sz="8" w:space="0" w:color="10CF9B" w:themeColor="accent4"/>
          <w:left w:val="single" w:sz="8" w:space="0" w:color="10CF9B" w:themeColor="accent4"/>
          <w:bottom w:val="single" w:sz="8" w:space="0" w:color="10CF9B" w:themeColor="accent4"/>
          <w:right w:val="single" w:sz="8" w:space="0" w:color="10CF9B" w:themeColor="accent4"/>
        </w:tcBorders>
        <w:shd w:val="clear" w:color="auto" w:fill="BDFAE9" w:themeFill="accent4" w:themeFillTint="3F"/>
      </w:tcPr>
    </w:tblStylePr>
    <w:tblStylePr w:type="band1Horz">
      <w:tblPr/>
      <w:tcPr>
        <w:tcBorders>
          <w:top w:val="single" w:sz="8" w:space="0" w:color="10CF9B" w:themeColor="accent4"/>
          <w:left w:val="single" w:sz="8" w:space="0" w:color="10CF9B" w:themeColor="accent4"/>
          <w:bottom w:val="single" w:sz="8" w:space="0" w:color="10CF9B" w:themeColor="accent4"/>
          <w:right w:val="single" w:sz="8" w:space="0" w:color="10CF9B" w:themeColor="accent4"/>
          <w:insideV w:val="single" w:sz="8" w:space="0" w:color="10CF9B" w:themeColor="accent4"/>
        </w:tcBorders>
        <w:shd w:val="clear" w:color="auto" w:fill="BDFAE9" w:themeFill="accent4" w:themeFillTint="3F"/>
      </w:tcPr>
    </w:tblStylePr>
    <w:tblStylePr w:type="band2Horz">
      <w:tblPr/>
      <w:tcPr>
        <w:tcBorders>
          <w:top w:val="single" w:sz="8" w:space="0" w:color="10CF9B" w:themeColor="accent4"/>
          <w:left w:val="single" w:sz="8" w:space="0" w:color="10CF9B" w:themeColor="accent4"/>
          <w:bottom w:val="single" w:sz="8" w:space="0" w:color="10CF9B" w:themeColor="accent4"/>
          <w:right w:val="single" w:sz="8" w:space="0" w:color="10CF9B" w:themeColor="accent4"/>
          <w:insideV w:val="single" w:sz="8" w:space="0" w:color="10CF9B"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7CCA62" w:themeColor="accent5"/>
        <w:left w:val="single" w:sz="8" w:space="0" w:color="7CCA62" w:themeColor="accent5"/>
        <w:bottom w:val="single" w:sz="8" w:space="0" w:color="7CCA62" w:themeColor="accent5"/>
        <w:right w:val="single" w:sz="8" w:space="0" w:color="7CCA62" w:themeColor="accent5"/>
        <w:insideH w:val="single" w:sz="8" w:space="0" w:color="7CCA62" w:themeColor="accent5"/>
        <w:insideV w:val="single" w:sz="8" w:space="0" w:color="7CCA62"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CCA62" w:themeColor="accent5"/>
          <w:left w:val="single" w:sz="8" w:space="0" w:color="7CCA62" w:themeColor="accent5"/>
          <w:bottom w:val="single" w:sz="18" w:space="0" w:color="7CCA62" w:themeColor="accent5"/>
          <w:right w:val="single" w:sz="8" w:space="0" w:color="7CCA62" w:themeColor="accent5"/>
          <w:insideH w:val="nil"/>
          <w:insideV w:val="single" w:sz="8" w:space="0" w:color="7CCA62"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CCA62" w:themeColor="accent5"/>
          <w:left w:val="single" w:sz="8" w:space="0" w:color="7CCA62" w:themeColor="accent5"/>
          <w:bottom w:val="single" w:sz="8" w:space="0" w:color="7CCA62" w:themeColor="accent5"/>
          <w:right w:val="single" w:sz="8" w:space="0" w:color="7CCA62" w:themeColor="accent5"/>
          <w:insideH w:val="nil"/>
          <w:insideV w:val="single" w:sz="8" w:space="0" w:color="7CCA62"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CCA62" w:themeColor="accent5"/>
          <w:left w:val="single" w:sz="8" w:space="0" w:color="7CCA62" w:themeColor="accent5"/>
          <w:bottom w:val="single" w:sz="8" w:space="0" w:color="7CCA62" w:themeColor="accent5"/>
          <w:right w:val="single" w:sz="8" w:space="0" w:color="7CCA62" w:themeColor="accent5"/>
        </w:tcBorders>
      </w:tcPr>
    </w:tblStylePr>
    <w:tblStylePr w:type="band1Vert">
      <w:tblPr/>
      <w:tcPr>
        <w:tcBorders>
          <w:top w:val="single" w:sz="8" w:space="0" w:color="7CCA62" w:themeColor="accent5"/>
          <w:left w:val="single" w:sz="8" w:space="0" w:color="7CCA62" w:themeColor="accent5"/>
          <w:bottom w:val="single" w:sz="8" w:space="0" w:color="7CCA62" w:themeColor="accent5"/>
          <w:right w:val="single" w:sz="8" w:space="0" w:color="7CCA62" w:themeColor="accent5"/>
        </w:tcBorders>
        <w:shd w:val="clear" w:color="auto" w:fill="DEF2D8" w:themeFill="accent5" w:themeFillTint="3F"/>
      </w:tcPr>
    </w:tblStylePr>
    <w:tblStylePr w:type="band1Horz">
      <w:tblPr/>
      <w:tcPr>
        <w:tcBorders>
          <w:top w:val="single" w:sz="8" w:space="0" w:color="7CCA62" w:themeColor="accent5"/>
          <w:left w:val="single" w:sz="8" w:space="0" w:color="7CCA62" w:themeColor="accent5"/>
          <w:bottom w:val="single" w:sz="8" w:space="0" w:color="7CCA62" w:themeColor="accent5"/>
          <w:right w:val="single" w:sz="8" w:space="0" w:color="7CCA62" w:themeColor="accent5"/>
          <w:insideV w:val="single" w:sz="8" w:space="0" w:color="7CCA62" w:themeColor="accent5"/>
        </w:tcBorders>
        <w:shd w:val="clear" w:color="auto" w:fill="DEF2D8" w:themeFill="accent5" w:themeFillTint="3F"/>
      </w:tcPr>
    </w:tblStylePr>
    <w:tblStylePr w:type="band2Horz">
      <w:tblPr/>
      <w:tcPr>
        <w:tcBorders>
          <w:top w:val="single" w:sz="8" w:space="0" w:color="7CCA62" w:themeColor="accent5"/>
          <w:left w:val="single" w:sz="8" w:space="0" w:color="7CCA62" w:themeColor="accent5"/>
          <w:bottom w:val="single" w:sz="8" w:space="0" w:color="7CCA62" w:themeColor="accent5"/>
          <w:right w:val="single" w:sz="8" w:space="0" w:color="7CCA62" w:themeColor="accent5"/>
          <w:insideV w:val="single" w:sz="8" w:space="0" w:color="7CCA62"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A5C249" w:themeColor="accent6"/>
        <w:left w:val="single" w:sz="8" w:space="0" w:color="A5C249" w:themeColor="accent6"/>
        <w:bottom w:val="single" w:sz="8" w:space="0" w:color="A5C249" w:themeColor="accent6"/>
        <w:right w:val="single" w:sz="8" w:space="0" w:color="A5C249" w:themeColor="accent6"/>
        <w:insideH w:val="single" w:sz="8" w:space="0" w:color="A5C249" w:themeColor="accent6"/>
        <w:insideV w:val="single" w:sz="8" w:space="0" w:color="A5C249"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C249" w:themeColor="accent6"/>
          <w:left w:val="single" w:sz="8" w:space="0" w:color="A5C249" w:themeColor="accent6"/>
          <w:bottom w:val="single" w:sz="18" w:space="0" w:color="A5C249" w:themeColor="accent6"/>
          <w:right w:val="single" w:sz="8" w:space="0" w:color="A5C249" w:themeColor="accent6"/>
          <w:insideH w:val="nil"/>
          <w:insideV w:val="single" w:sz="8" w:space="0" w:color="A5C249"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C249" w:themeColor="accent6"/>
          <w:left w:val="single" w:sz="8" w:space="0" w:color="A5C249" w:themeColor="accent6"/>
          <w:bottom w:val="single" w:sz="8" w:space="0" w:color="A5C249" w:themeColor="accent6"/>
          <w:right w:val="single" w:sz="8" w:space="0" w:color="A5C249" w:themeColor="accent6"/>
          <w:insideH w:val="nil"/>
          <w:insideV w:val="single" w:sz="8" w:space="0" w:color="A5C249"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C249" w:themeColor="accent6"/>
          <w:left w:val="single" w:sz="8" w:space="0" w:color="A5C249" w:themeColor="accent6"/>
          <w:bottom w:val="single" w:sz="8" w:space="0" w:color="A5C249" w:themeColor="accent6"/>
          <w:right w:val="single" w:sz="8" w:space="0" w:color="A5C249" w:themeColor="accent6"/>
        </w:tcBorders>
      </w:tcPr>
    </w:tblStylePr>
    <w:tblStylePr w:type="band1Vert">
      <w:tblPr/>
      <w:tcPr>
        <w:tcBorders>
          <w:top w:val="single" w:sz="8" w:space="0" w:color="A5C249" w:themeColor="accent6"/>
          <w:left w:val="single" w:sz="8" w:space="0" w:color="A5C249" w:themeColor="accent6"/>
          <w:bottom w:val="single" w:sz="8" w:space="0" w:color="A5C249" w:themeColor="accent6"/>
          <w:right w:val="single" w:sz="8" w:space="0" w:color="A5C249" w:themeColor="accent6"/>
        </w:tcBorders>
        <w:shd w:val="clear" w:color="auto" w:fill="E8F0D1" w:themeFill="accent6" w:themeFillTint="3F"/>
      </w:tcPr>
    </w:tblStylePr>
    <w:tblStylePr w:type="band1Horz">
      <w:tblPr/>
      <w:tcPr>
        <w:tcBorders>
          <w:top w:val="single" w:sz="8" w:space="0" w:color="A5C249" w:themeColor="accent6"/>
          <w:left w:val="single" w:sz="8" w:space="0" w:color="A5C249" w:themeColor="accent6"/>
          <w:bottom w:val="single" w:sz="8" w:space="0" w:color="A5C249" w:themeColor="accent6"/>
          <w:right w:val="single" w:sz="8" w:space="0" w:color="A5C249" w:themeColor="accent6"/>
          <w:insideV w:val="single" w:sz="8" w:space="0" w:color="A5C249" w:themeColor="accent6"/>
        </w:tcBorders>
        <w:shd w:val="clear" w:color="auto" w:fill="E8F0D1" w:themeFill="accent6" w:themeFillTint="3F"/>
      </w:tcPr>
    </w:tblStylePr>
    <w:tblStylePr w:type="band2Horz">
      <w:tblPr/>
      <w:tcPr>
        <w:tcBorders>
          <w:top w:val="single" w:sz="8" w:space="0" w:color="A5C249" w:themeColor="accent6"/>
          <w:left w:val="single" w:sz="8" w:space="0" w:color="A5C249" w:themeColor="accent6"/>
          <w:bottom w:val="single" w:sz="8" w:space="0" w:color="A5C249" w:themeColor="accent6"/>
          <w:right w:val="single" w:sz="8" w:space="0" w:color="A5C249" w:themeColor="accent6"/>
          <w:insideV w:val="single" w:sz="8" w:space="0" w:color="A5C249"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single" w:sz="8" w:space="0" w:color="3093EF" w:themeColor="accent1" w:themeTint="BF"/>
      </w:tblBorders>
    </w:tblPr>
    <w:tblStylePr w:type="firstRow">
      <w:pPr>
        <w:spacing w:before="0" w:after="0" w:line="240" w:lineRule="auto"/>
      </w:pPr>
      <w:rPr>
        <w:b/>
        <w:bCs/>
        <w:color w:val="FFFFFF" w:themeColor="background1"/>
      </w:rPr>
      <w:tblPr/>
      <w:tcPr>
        <w:tcBorders>
          <w:top w:val="single" w:sz="8"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nil"/>
          <w:insideV w:val="nil"/>
        </w:tcBorders>
        <w:shd w:val="clear" w:color="auto" w:fill="0F6FC6" w:themeFill="accent1"/>
      </w:tcPr>
    </w:tblStylePr>
    <w:tblStylePr w:type="lastRow">
      <w:pPr>
        <w:spacing w:before="0" w:after="0" w:line="240" w:lineRule="auto"/>
      </w:pPr>
      <w:rPr>
        <w:b/>
        <w:bCs/>
      </w:rPr>
      <w:tblPr/>
      <w:tcPr>
        <w:tcBorders>
          <w:top w:val="double" w:sz="6"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ADBF9" w:themeFill="accent1" w:themeFillTint="3F"/>
      </w:tcPr>
    </w:tblStylePr>
    <w:tblStylePr w:type="band1Horz">
      <w:tblPr/>
      <w:tcPr>
        <w:tcBorders>
          <w:insideH w:val="nil"/>
          <w:insideV w:val="nil"/>
        </w:tcBorders>
        <w:shd w:val="clear" w:color="auto" w:fill="BADBF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single" w:sz="8" w:space="0" w:color="23C1FF" w:themeColor="accent2" w:themeTint="BF"/>
      </w:tblBorders>
    </w:tblPr>
    <w:tblStylePr w:type="firstRow">
      <w:pPr>
        <w:spacing w:before="0" w:after="0" w:line="240" w:lineRule="auto"/>
      </w:pPr>
      <w:rPr>
        <w:b/>
        <w:bCs/>
        <w:color w:val="FFFFFF" w:themeColor="background1"/>
      </w:rPr>
      <w:tblPr/>
      <w:tcPr>
        <w:tcBorders>
          <w:top w:val="single" w:sz="8"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nil"/>
          <w:insideV w:val="nil"/>
        </w:tcBorders>
        <w:shd w:val="clear" w:color="auto" w:fill="009DD9" w:themeFill="accent2"/>
      </w:tcPr>
    </w:tblStylePr>
    <w:tblStylePr w:type="lastRow">
      <w:pPr>
        <w:spacing w:before="0" w:after="0" w:line="240" w:lineRule="auto"/>
      </w:pPr>
      <w:rPr>
        <w:b/>
        <w:bCs/>
      </w:rPr>
      <w:tblPr/>
      <w:tcPr>
        <w:tcBorders>
          <w:top w:val="double" w:sz="6"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6EAFF" w:themeFill="accent2" w:themeFillTint="3F"/>
      </w:tcPr>
    </w:tblStylePr>
    <w:tblStylePr w:type="band1Horz">
      <w:tblPr/>
      <w:tcPr>
        <w:tcBorders>
          <w:insideH w:val="nil"/>
          <w:insideV w:val="nil"/>
        </w:tcBorders>
        <w:shd w:val="clear" w:color="auto" w:fill="B6EA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35EBF4" w:themeColor="accent3" w:themeTint="BF"/>
        <w:left w:val="single" w:sz="8" w:space="0" w:color="35EBF4" w:themeColor="accent3" w:themeTint="BF"/>
        <w:bottom w:val="single" w:sz="8" w:space="0" w:color="35EBF4" w:themeColor="accent3" w:themeTint="BF"/>
        <w:right w:val="single" w:sz="8" w:space="0" w:color="35EBF4" w:themeColor="accent3" w:themeTint="BF"/>
        <w:insideH w:val="single" w:sz="8" w:space="0" w:color="35EBF4" w:themeColor="accent3" w:themeTint="BF"/>
      </w:tblBorders>
    </w:tblPr>
    <w:tblStylePr w:type="firstRow">
      <w:pPr>
        <w:spacing w:before="0" w:after="0" w:line="240" w:lineRule="auto"/>
      </w:pPr>
      <w:rPr>
        <w:b/>
        <w:bCs/>
        <w:color w:val="FFFFFF" w:themeColor="background1"/>
      </w:rPr>
      <w:tblPr/>
      <w:tcPr>
        <w:tcBorders>
          <w:top w:val="single" w:sz="8" w:space="0" w:color="35EBF4" w:themeColor="accent3" w:themeTint="BF"/>
          <w:left w:val="single" w:sz="8" w:space="0" w:color="35EBF4" w:themeColor="accent3" w:themeTint="BF"/>
          <w:bottom w:val="single" w:sz="8" w:space="0" w:color="35EBF4" w:themeColor="accent3" w:themeTint="BF"/>
          <w:right w:val="single" w:sz="8" w:space="0" w:color="35EBF4" w:themeColor="accent3" w:themeTint="BF"/>
          <w:insideH w:val="nil"/>
          <w:insideV w:val="nil"/>
        </w:tcBorders>
        <w:shd w:val="clear" w:color="auto" w:fill="0BD0D9" w:themeFill="accent3"/>
      </w:tcPr>
    </w:tblStylePr>
    <w:tblStylePr w:type="lastRow">
      <w:pPr>
        <w:spacing w:before="0" w:after="0" w:line="240" w:lineRule="auto"/>
      </w:pPr>
      <w:rPr>
        <w:b/>
        <w:bCs/>
      </w:rPr>
      <w:tblPr/>
      <w:tcPr>
        <w:tcBorders>
          <w:top w:val="double" w:sz="6" w:space="0" w:color="35EBF4" w:themeColor="accent3" w:themeTint="BF"/>
          <w:left w:val="single" w:sz="8" w:space="0" w:color="35EBF4" w:themeColor="accent3" w:themeTint="BF"/>
          <w:bottom w:val="single" w:sz="8" w:space="0" w:color="35EBF4" w:themeColor="accent3" w:themeTint="BF"/>
          <w:right w:val="single" w:sz="8" w:space="0" w:color="35EBF4" w:themeColor="accent3" w:themeTint="BF"/>
          <w:insideH w:val="nil"/>
          <w:insideV w:val="nil"/>
        </w:tcBorders>
      </w:tcPr>
    </w:tblStylePr>
    <w:tblStylePr w:type="firstCol">
      <w:rPr>
        <w:b/>
        <w:bCs/>
      </w:rPr>
    </w:tblStylePr>
    <w:tblStylePr w:type="lastCol">
      <w:rPr>
        <w:b/>
        <w:bCs/>
      </w:rPr>
    </w:tblStylePr>
    <w:tblStylePr w:type="band1Vert">
      <w:tblPr/>
      <w:tcPr>
        <w:shd w:val="clear" w:color="auto" w:fill="BCF8FB" w:themeFill="accent3" w:themeFillTint="3F"/>
      </w:tcPr>
    </w:tblStylePr>
    <w:tblStylePr w:type="band1Horz">
      <w:tblPr/>
      <w:tcPr>
        <w:tcBorders>
          <w:insideH w:val="nil"/>
          <w:insideV w:val="nil"/>
        </w:tcBorders>
        <w:shd w:val="clear" w:color="auto" w:fill="BCF8FB"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37EFBD" w:themeColor="accent4" w:themeTint="BF"/>
        <w:left w:val="single" w:sz="8" w:space="0" w:color="37EFBD" w:themeColor="accent4" w:themeTint="BF"/>
        <w:bottom w:val="single" w:sz="8" w:space="0" w:color="37EFBD" w:themeColor="accent4" w:themeTint="BF"/>
        <w:right w:val="single" w:sz="8" w:space="0" w:color="37EFBD" w:themeColor="accent4" w:themeTint="BF"/>
        <w:insideH w:val="single" w:sz="8" w:space="0" w:color="37EFBD" w:themeColor="accent4" w:themeTint="BF"/>
      </w:tblBorders>
    </w:tblPr>
    <w:tblStylePr w:type="firstRow">
      <w:pPr>
        <w:spacing w:before="0" w:after="0" w:line="240" w:lineRule="auto"/>
      </w:pPr>
      <w:rPr>
        <w:b/>
        <w:bCs/>
        <w:color w:val="FFFFFF" w:themeColor="background1"/>
      </w:rPr>
      <w:tblPr/>
      <w:tcPr>
        <w:tcBorders>
          <w:top w:val="single" w:sz="8" w:space="0" w:color="37EFBD" w:themeColor="accent4" w:themeTint="BF"/>
          <w:left w:val="single" w:sz="8" w:space="0" w:color="37EFBD" w:themeColor="accent4" w:themeTint="BF"/>
          <w:bottom w:val="single" w:sz="8" w:space="0" w:color="37EFBD" w:themeColor="accent4" w:themeTint="BF"/>
          <w:right w:val="single" w:sz="8" w:space="0" w:color="37EFBD" w:themeColor="accent4" w:themeTint="BF"/>
          <w:insideH w:val="nil"/>
          <w:insideV w:val="nil"/>
        </w:tcBorders>
        <w:shd w:val="clear" w:color="auto" w:fill="10CF9B" w:themeFill="accent4"/>
      </w:tcPr>
    </w:tblStylePr>
    <w:tblStylePr w:type="lastRow">
      <w:pPr>
        <w:spacing w:before="0" w:after="0" w:line="240" w:lineRule="auto"/>
      </w:pPr>
      <w:rPr>
        <w:b/>
        <w:bCs/>
      </w:rPr>
      <w:tblPr/>
      <w:tcPr>
        <w:tcBorders>
          <w:top w:val="double" w:sz="6" w:space="0" w:color="37EFBD" w:themeColor="accent4" w:themeTint="BF"/>
          <w:left w:val="single" w:sz="8" w:space="0" w:color="37EFBD" w:themeColor="accent4" w:themeTint="BF"/>
          <w:bottom w:val="single" w:sz="8" w:space="0" w:color="37EFBD" w:themeColor="accent4" w:themeTint="BF"/>
          <w:right w:val="single" w:sz="8" w:space="0" w:color="37EFBD"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FAE9" w:themeFill="accent4" w:themeFillTint="3F"/>
      </w:tcPr>
    </w:tblStylePr>
    <w:tblStylePr w:type="band1Horz">
      <w:tblPr/>
      <w:tcPr>
        <w:tcBorders>
          <w:insideH w:val="nil"/>
          <w:insideV w:val="nil"/>
        </w:tcBorders>
        <w:shd w:val="clear" w:color="auto" w:fill="BDFAE9"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single" w:sz="8" w:space="0" w:color="9CD789" w:themeColor="accent5" w:themeTint="BF"/>
      </w:tblBorders>
    </w:tblPr>
    <w:tblStylePr w:type="firstRow">
      <w:pPr>
        <w:spacing w:before="0" w:after="0" w:line="240" w:lineRule="auto"/>
      </w:pPr>
      <w:rPr>
        <w:b/>
        <w:bCs/>
        <w:color w:val="FFFFFF" w:themeColor="background1"/>
      </w:rPr>
      <w:tblPr/>
      <w:tcPr>
        <w:tc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nil"/>
          <w:insideV w:val="nil"/>
        </w:tcBorders>
        <w:shd w:val="clear" w:color="auto" w:fill="7CCA62" w:themeFill="accent5"/>
      </w:tcPr>
    </w:tblStylePr>
    <w:tblStylePr w:type="lastRow">
      <w:pPr>
        <w:spacing w:before="0" w:after="0" w:line="240" w:lineRule="auto"/>
      </w:pPr>
      <w:rPr>
        <w:b/>
        <w:bCs/>
      </w:rPr>
      <w:tblPr/>
      <w:tcPr>
        <w:tcBorders>
          <w:top w:val="double" w:sz="6"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nil"/>
          <w:insideV w:val="nil"/>
        </w:tcBorders>
      </w:tcPr>
    </w:tblStylePr>
    <w:tblStylePr w:type="firstCol">
      <w:rPr>
        <w:b/>
        <w:bCs/>
      </w:rPr>
    </w:tblStylePr>
    <w:tblStylePr w:type="lastCol">
      <w:rPr>
        <w:b/>
        <w:bCs/>
      </w:rPr>
    </w:tblStylePr>
    <w:tblStylePr w:type="band1Vert">
      <w:tblPr/>
      <w:tcPr>
        <w:shd w:val="clear" w:color="auto" w:fill="DEF2D8" w:themeFill="accent5" w:themeFillTint="3F"/>
      </w:tcPr>
    </w:tblStylePr>
    <w:tblStylePr w:type="band1Horz">
      <w:tblPr/>
      <w:tcPr>
        <w:tcBorders>
          <w:insideH w:val="nil"/>
          <w:insideV w:val="nil"/>
        </w:tcBorders>
        <w:shd w:val="clear" w:color="auto" w:fill="DEF2D8"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BD176" w:themeColor="accent6" w:themeTint="BF"/>
        <w:left w:val="single" w:sz="8" w:space="0" w:color="BBD176" w:themeColor="accent6" w:themeTint="BF"/>
        <w:bottom w:val="single" w:sz="8" w:space="0" w:color="BBD176" w:themeColor="accent6" w:themeTint="BF"/>
        <w:right w:val="single" w:sz="8" w:space="0" w:color="BBD176" w:themeColor="accent6" w:themeTint="BF"/>
        <w:insideH w:val="single" w:sz="8" w:space="0" w:color="BBD176" w:themeColor="accent6" w:themeTint="BF"/>
      </w:tblBorders>
    </w:tblPr>
    <w:tblStylePr w:type="firstRow">
      <w:pPr>
        <w:spacing w:before="0" w:after="0" w:line="240" w:lineRule="auto"/>
      </w:pPr>
      <w:rPr>
        <w:b/>
        <w:bCs/>
        <w:color w:val="FFFFFF" w:themeColor="background1"/>
      </w:rPr>
      <w:tblPr/>
      <w:tcPr>
        <w:tcBorders>
          <w:top w:val="single" w:sz="8" w:space="0" w:color="BBD176" w:themeColor="accent6" w:themeTint="BF"/>
          <w:left w:val="single" w:sz="8" w:space="0" w:color="BBD176" w:themeColor="accent6" w:themeTint="BF"/>
          <w:bottom w:val="single" w:sz="8" w:space="0" w:color="BBD176" w:themeColor="accent6" w:themeTint="BF"/>
          <w:right w:val="single" w:sz="8" w:space="0" w:color="BBD176" w:themeColor="accent6" w:themeTint="BF"/>
          <w:insideH w:val="nil"/>
          <w:insideV w:val="nil"/>
        </w:tcBorders>
        <w:shd w:val="clear" w:color="auto" w:fill="A5C249" w:themeFill="accent6"/>
      </w:tcPr>
    </w:tblStylePr>
    <w:tblStylePr w:type="lastRow">
      <w:pPr>
        <w:spacing w:before="0" w:after="0" w:line="240" w:lineRule="auto"/>
      </w:pPr>
      <w:rPr>
        <w:b/>
        <w:bCs/>
      </w:rPr>
      <w:tblPr/>
      <w:tcPr>
        <w:tcBorders>
          <w:top w:val="double" w:sz="6" w:space="0" w:color="BBD176" w:themeColor="accent6" w:themeTint="BF"/>
          <w:left w:val="single" w:sz="8" w:space="0" w:color="BBD176" w:themeColor="accent6" w:themeTint="BF"/>
          <w:bottom w:val="single" w:sz="8" w:space="0" w:color="BBD176" w:themeColor="accent6" w:themeTint="BF"/>
          <w:right w:val="single" w:sz="8" w:space="0" w:color="BBD176" w:themeColor="accent6" w:themeTint="BF"/>
          <w:insideH w:val="nil"/>
          <w:insideV w:val="nil"/>
        </w:tcBorders>
      </w:tcPr>
    </w:tblStylePr>
    <w:tblStylePr w:type="firstCol">
      <w:rPr>
        <w:b/>
        <w:bCs/>
      </w:rPr>
    </w:tblStylePr>
    <w:tblStylePr w:type="lastCol">
      <w:rPr>
        <w:b/>
        <w:bCs/>
      </w:rPr>
    </w:tblStylePr>
    <w:tblStylePr w:type="band1Vert">
      <w:tblPr/>
      <w:tcPr>
        <w:shd w:val="clear" w:color="auto" w:fill="E8F0D1" w:themeFill="accent6" w:themeFillTint="3F"/>
      </w:tcPr>
    </w:tblStylePr>
    <w:tblStylePr w:type="band1Horz">
      <w:tblPr/>
      <w:tcPr>
        <w:tcBorders>
          <w:insideH w:val="nil"/>
          <w:insideV w:val="nil"/>
        </w:tcBorders>
        <w:shd w:val="clear" w:color="auto" w:fill="E8F0D1"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6FC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6FC6" w:themeFill="accent1"/>
      </w:tcPr>
    </w:tblStylePr>
    <w:tblStylePr w:type="lastCol">
      <w:rPr>
        <w:b/>
        <w:bCs/>
        <w:color w:val="FFFFFF" w:themeColor="background1"/>
      </w:rPr>
      <w:tblPr/>
      <w:tcPr>
        <w:tcBorders>
          <w:left w:val="nil"/>
          <w:right w:val="nil"/>
          <w:insideH w:val="nil"/>
          <w:insideV w:val="nil"/>
        </w:tcBorders>
        <w:shd w:val="clear" w:color="auto" w:fill="0F6FC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9DD9"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9DD9" w:themeFill="accent2"/>
      </w:tcPr>
    </w:tblStylePr>
    <w:tblStylePr w:type="lastCol">
      <w:rPr>
        <w:b/>
        <w:bCs/>
        <w:color w:val="FFFFFF" w:themeColor="background1"/>
      </w:rPr>
      <w:tblPr/>
      <w:tcPr>
        <w:tcBorders>
          <w:left w:val="nil"/>
          <w:right w:val="nil"/>
          <w:insideH w:val="nil"/>
          <w:insideV w:val="nil"/>
        </w:tcBorders>
        <w:shd w:val="clear" w:color="auto" w:fill="009DD9"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BD0D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BD0D9" w:themeFill="accent3"/>
      </w:tcPr>
    </w:tblStylePr>
    <w:tblStylePr w:type="lastCol">
      <w:rPr>
        <w:b/>
        <w:bCs/>
        <w:color w:val="FFFFFF" w:themeColor="background1"/>
      </w:rPr>
      <w:tblPr/>
      <w:tcPr>
        <w:tcBorders>
          <w:left w:val="nil"/>
          <w:right w:val="nil"/>
          <w:insideH w:val="nil"/>
          <w:insideV w:val="nil"/>
        </w:tcBorders>
        <w:shd w:val="clear" w:color="auto" w:fill="0BD0D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0CF9B"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0CF9B" w:themeFill="accent4"/>
      </w:tcPr>
    </w:tblStylePr>
    <w:tblStylePr w:type="lastCol">
      <w:rPr>
        <w:b/>
        <w:bCs/>
        <w:color w:val="FFFFFF" w:themeColor="background1"/>
      </w:rPr>
      <w:tblPr/>
      <w:tcPr>
        <w:tcBorders>
          <w:left w:val="nil"/>
          <w:right w:val="nil"/>
          <w:insideH w:val="nil"/>
          <w:insideV w:val="nil"/>
        </w:tcBorders>
        <w:shd w:val="clear" w:color="auto" w:fill="10CF9B"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CCA6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CCA62" w:themeFill="accent5"/>
      </w:tcPr>
    </w:tblStylePr>
    <w:tblStylePr w:type="lastCol">
      <w:rPr>
        <w:b/>
        <w:bCs/>
        <w:color w:val="FFFFFF" w:themeColor="background1"/>
      </w:rPr>
      <w:tblPr/>
      <w:tcPr>
        <w:tcBorders>
          <w:left w:val="nil"/>
          <w:right w:val="nil"/>
          <w:insideH w:val="nil"/>
          <w:insideV w:val="nil"/>
        </w:tcBorders>
        <w:shd w:val="clear" w:color="auto" w:fill="7CCA6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C249"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C249" w:themeFill="accent6"/>
      </w:tcPr>
    </w:tblStylePr>
    <w:tblStylePr w:type="lastCol">
      <w:rPr>
        <w:b/>
        <w:bCs/>
        <w:color w:val="FFFFFF" w:themeColor="background1"/>
      </w:rPr>
      <w:tblPr/>
      <w:tcPr>
        <w:tcBorders>
          <w:left w:val="nil"/>
          <w:right w:val="nil"/>
          <w:insideH w:val="nil"/>
          <w:insideV w:val="nil"/>
        </w:tcBorders>
        <w:shd w:val="clear" w:color="auto" w:fill="A5C249"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7406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0F6FC6" w:themeColor="accent1"/>
        <w:bottom w:val="single" w:sz="8" w:space="0" w:color="0F6FC6" w:themeColor="accent1"/>
      </w:tblBorders>
    </w:tblPr>
    <w:tblStylePr w:type="firstRow">
      <w:rPr>
        <w:rFonts w:asciiTheme="majorHAnsi" w:eastAsiaTheme="majorEastAsia" w:hAnsiTheme="majorHAnsi" w:cstheme="majorBidi"/>
      </w:rPr>
      <w:tblPr/>
      <w:tcPr>
        <w:tcBorders>
          <w:top w:val="nil"/>
          <w:bottom w:val="single" w:sz="8" w:space="0" w:color="0F6FC6" w:themeColor="accent1"/>
        </w:tcBorders>
      </w:tcPr>
    </w:tblStylePr>
    <w:tblStylePr w:type="lastRow">
      <w:rPr>
        <w:b/>
        <w:bCs/>
        <w:color w:val="17406D" w:themeColor="text2"/>
      </w:rPr>
      <w:tblPr/>
      <w:tcPr>
        <w:tcBorders>
          <w:top w:val="single" w:sz="8" w:space="0" w:color="0F6FC6" w:themeColor="accent1"/>
          <w:bottom w:val="single" w:sz="8" w:space="0" w:color="0F6FC6" w:themeColor="accent1"/>
        </w:tcBorders>
      </w:tcPr>
    </w:tblStylePr>
    <w:tblStylePr w:type="firstCol">
      <w:rPr>
        <w:b/>
        <w:bCs/>
      </w:rPr>
    </w:tblStylePr>
    <w:tblStylePr w:type="lastCol">
      <w:rPr>
        <w:b/>
        <w:bCs/>
      </w:rPr>
      <w:tblPr/>
      <w:tcPr>
        <w:tcBorders>
          <w:top w:val="single" w:sz="8" w:space="0" w:color="0F6FC6" w:themeColor="accent1"/>
          <w:bottom w:val="single" w:sz="8" w:space="0" w:color="0F6FC6" w:themeColor="accent1"/>
        </w:tcBorders>
      </w:tcPr>
    </w:tblStylePr>
    <w:tblStylePr w:type="band1Vert">
      <w:tblPr/>
      <w:tcPr>
        <w:shd w:val="clear" w:color="auto" w:fill="BADBF9" w:themeFill="accent1" w:themeFillTint="3F"/>
      </w:tcPr>
    </w:tblStylePr>
    <w:tblStylePr w:type="band1Horz">
      <w:tblPr/>
      <w:tcPr>
        <w:shd w:val="clear" w:color="auto" w:fill="BADBF9"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009DD9" w:themeColor="accent2"/>
        <w:bottom w:val="single" w:sz="8" w:space="0" w:color="009DD9" w:themeColor="accent2"/>
      </w:tblBorders>
    </w:tblPr>
    <w:tblStylePr w:type="firstRow">
      <w:rPr>
        <w:rFonts w:asciiTheme="majorHAnsi" w:eastAsiaTheme="majorEastAsia" w:hAnsiTheme="majorHAnsi" w:cstheme="majorBidi"/>
      </w:rPr>
      <w:tblPr/>
      <w:tcPr>
        <w:tcBorders>
          <w:top w:val="nil"/>
          <w:bottom w:val="single" w:sz="8" w:space="0" w:color="009DD9" w:themeColor="accent2"/>
        </w:tcBorders>
      </w:tcPr>
    </w:tblStylePr>
    <w:tblStylePr w:type="lastRow">
      <w:rPr>
        <w:b/>
        <w:bCs/>
        <w:color w:val="17406D" w:themeColor="text2"/>
      </w:rPr>
      <w:tblPr/>
      <w:tcPr>
        <w:tcBorders>
          <w:top w:val="single" w:sz="8" w:space="0" w:color="009DD9" w:themeColor="accent2"/>
          <w:bottom w:val="single" w:sz="8" w:space="0" w:color="009DD9" w:themeColor="accent2"/>
        </w:tcBorders>
      </w:tcPr>
    </w:tblStylePr>
    <w:tblStylePr w:type="firstCol">
      <w:rPr>
        <w:b/>
        <w:bCs/>
      </w:rPr>
    </w:tblStylePr>
    <w:tblStylePr w:type="lastCol">
      <w:rPr>
        <w:b/>
        <w:bCs/>
      </w:rPr>
      <w:tblPr/>
      <w:tcPr>
        <w:tcBorders>
          <w:top w:val="single" w:sz="8" w:space="0" w:color="009DD9" w:themeColor="accent2"/>
          <w:bottom w:val="single" w:sz="8" w:space="0" w:color="009DD9" w:themeColor="accent2"/>
        </w:tcBorders>
      </w:tcPr>
    </w:tblStylePr>
    <w:tblStylePr w:type="band1Vert">
      <w:tblPr/>
      <w:tcPr>
        <w:shd w:val="clear" w:color="auto" w:fill="B6EAFF" w:themeFill="accent2" w:themeFillTint="3F"/>
      </w:tcPr>
    </w:tblStylePr>
    <w:tblStylePr w:type="band1Horz">
      <w:tblPr/>
      <w:tcPr>
        <w:shd w:val="clear" w:color="auto" w:fill="B6EAFF"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0BD0D9" w:themeColor="accent3"/>
        <w:bottom w:val="single" w:sz="8" w:space="0" w:color="0BD0D9" w:themeColor="accent3"/>
      </w:tblBorders>
    </w:tblPr>
    <w:tblStylePr w:type="firstRow">
      <w:rPr>
        <w:rFonts w:asciiTheme="majorHAnsi" w:eastAsiaTheme="majorEastAsia" w:hAnsiTheme="majorHAnsi" w:cstheme="majorBidi"/>
      </w:rPr>
      <w:tblPr/>
      <w:tcPr>
        <w:tcBorders>
          <w:top w:val="nil"/>
          <w:bottom w:val="single" w:sz="8" w:space="0" w:color="0BD0D9" w:themeColor="accent3"/>
        </w:tcBorders>
      </w:tcPr>
    </w:tblStylePr>
    <w:tblStylePr w:type="lastRow">
      <w:rPr>
        <w:b/>
        <w:bCs/>
        <w:color w:val="17406D" w:themeColor="text2"/>
      </w:rPr>
      <w:tblPr/>
      <w:tcPr>
        <w:tcBorders>
          <w:top w:val="single" w:sz="8" w:space="0" w:color="0BD0D9" w:themeColor="accent3"/>
          <w:bottom w:val="single" w:sz="8" w:space="0" w:color="0BD0D9" w:themeColor="accent3"/>
        </w:tcBorders>
      </w:tcPr>
    </w:tblStylePr>
    <w:tblStylePr w:type="firstCol">
      <w:rPr>
        <w:b/>
        <w:bCs/>
      </w:rPr>
    </w:tblStylePr>
    <w:tblStylePr w:type="lastCol">
      <w:rPr>
        <w:b/>
        <w:bCs/>
      </w:rPr>
      <w:tblPr/>
      <w:tcPr>
        <w:tcBorders>
          <w:top w:val="single" w:sz="8" w:space="0" w:color="0BD0D9" w:themeColor="accent3"/>
          <w:bottom w:val="single" w:sz="8" w:space="0" w:color="0BD0D9" w:themeColor="accent3"/>
        </w:tcBorders>
      </w:tcPr>
    </w:tblStylePr>
    <w:tblStylePr w:type="band1Vert">
      <w:tblPr/>
      <w:tcPr>
        <w:shd w:val="clear" w:color="auto" w:fill="BCF8FB" w:themeFill="accent3" w:themeFillTint="3F"/>
      </w:tcPr>
    </w:tblStylePr>
    <w:tblStylePr w:type="band1Horz">
      <w:tblPr/>
      <w:tcPr>
        <w:shd w:val="clear" w:color="auto" w:fill="BCF8FB"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10CF9B" w:themeColor="accent4"/>
        <w:bottom w:val="single" w:sz="8" w:space="0" w:color="10CF9B" w:themeColor="accent4"/>
      </w:tblBorders>
    </w:tblPr>
    <w:tblStylePr w:type="firstRow">
      <w:rPr>
        <w:rFonts w:asciiTheme="majorHAnsi" w:eastAsiaTheme="majorEastAsia" w:hAnsiTheme="majorHAnsi" w:cstheme="majorBidi"/>
      </w:rPr>
      <w:tblPr/>
      <w:tcPr>
        <w:tcBorders>
          <w:top w:val="nil"/>
          <w:bottom w:val="single" w:sz="8" w:space="0" w:color="10CF9B" w:themeColor="accent4"/>
        </w:tcBorders>
      </w:tcPr>
    </w:tblStylePr>
    <w:tblStylePr w:type="lastRow">
      <w:rPr>
        <w:b/>
        <w:bCs/>
        <w:color w:val="17406D" w:themeColor="text2"/>
      </w:rPr>
      <w:tblPr/>
      <w:tcPr>
        <w:tcBorders>
          <w:top w:val="single" w:sz="8" w:space="0" w:color="10CF9B" w:themeColor="accent4"/>
          <w:bottom w:val="single" w:sz="8" w:space="0" w:color="10CF9B" w:themeColor="accent4"/>
        </w:tcBorders>
      </w:tcPr>
    </w:tblStylePr>
    <w:tblStylePr w:type="firstCol">
      <w:rPr>
        <w:b/>
        <w:bCs/>
      </w:rPr>
    </w:tblStylePr>
    <w:tblStylePr w:type="lastCol">
      <w:rPr>
        <w:b/>
        <w:bCs/>
      </w:rPr>
      <w:tblPr/>
      <w:tcPr>
        <w:tcBorders>
          <w:top w:val="single" w:sz="8" w:space="0" w:color="10CF9B" w:themeColor="accent4"/>
          <w:bottom w:val="single" w:sz="8" w:space="0" w:color="10CF9B" w:themeColor="accent4"/>
        </w:tcBorders>
      </w:tcPr>
    </w:tblStylePr>
    <w:tblStylePr w:type="band1Vert">
      <w:tblPr/>
      <w:tcPr>
        <w:shd w:val="clear" w:color="auto" w:fill="BDFAE9" w:themeFill="accent4" w:themeFillTint="3F"/>
      </w:tcPr>
    </w:tblStylePr>
    <w:tblStylePr w:type="band1Horz">
      <w:tblPr/>
      <w:tcPr>
        <w:shd w:val="clear" w:color="auto" w:fill="BDFAE9"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7CCA62" w:themeColor="accent5"/>
        <w:bottom w:val="single" w:sz="8" w:space="0" w:color="7CCA62" w:themeColor="accent5"/>
      </w:tblBorders>
    </w:tblPr>
    <w:tblStylePr w:type="firstRow">
      <w:rPr>
        <w:rFonts w:asciiTheme="majorHAnsi" w:eastAsiaTheme="majorEastAsia" w:hAnsiTheme="majorHAnsi" w:cstheme="majorBidi"/>
      </w:rPr>
      <w:tblPr/>
      <w:tcPr>
        <w:tcBorders>
          <w:top w:val="nil"/>
          <w:bottom w:val="single" w:sz="8" w:space="0" w:color="7CCA62" w:themeColor="accent5"/>
        </w:tcBorders>
      </w:tcPr>
    </w:tblStylePr>
    <w:tblStylePr w:type="lastRow">
      <w:rPr>
        <w:b/>
        <w:bCs/>
        <w:color w:val="17406D" w:themeColor="text2"/>
      </w:rPr>
      <w:tblPr/>
      <w:tcPr>
        <w:tcBorders>
          <w:top w:val="single" w:sz="8" w:space="0" w:color="7CCA62" w:themeColor="accent5"/>
          <w:bottom w:val="single" w:sz="8" w:space="0" w:color="7CCA62" w:themeColor="accent5"/>
        </w:tcBorders>
      </w:tcPr>
    </w:tblStylePr>
    <w:tblStylePr w:type="firstCol">
      <w:rPr>
        <w:b/>
        <w:bCs/>
      </w:rPr>
    </w:tblStylePr>
    <w:tblStylePr w:type="lastCol">
      <w:rPr>
        <w:b/>
        <w:bCs/>
      </w:rPr>
      <w:tblPr/>
      <w:tcPr>
        <w:tcBorders>
          <w:top w:val="single" w:sz="8" w:space="0" w:color="7CCA62" w:themeColor="accent5"/>
          <w:bottom w:val="single" w:sz="8" w:space="0" w:color="7CCA62" w:themeColor="accent5"/>
        </w:tcBorders>
      </w:tcPr>
    </w:tblStylePr>
    <w:tblStylePr w:type="band1Vert">
      <w:tblPr/>
      <w:tcPr>
        <w:shd w:val="clear" w:color="auto" w:fill="DEF2D8" w:themeFill="accent5" w:themeFillTint="3F"/>
      </w:tcPr>
    </w:tblStylePr>
    <w:tblStylePr w:type="band1Horz">
      <w:tblPr/>
      <w:tcPr>
        <w:shd w:val="clear" w:color="auto" w:fill="DEF2D8"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A5C249" w:themeColor="accent6"/>
        <w:bottom w:val="single" w:sz="8" w:space="0" w:color="A5C249" w:themeColor="accent6"/>
      </w:tblBorders>
    </w:tblPr>
    <w:tblStylePr w:type="firstRow">
      <w:rPr>
        <w:rFonts w:asciiTheme="majorHAnsi" w:eastAsiaTheme="majorEastAsia" w:hAnsiTheme="majorHAnsi" w:cstheme="majorBidi"/>
      </w:rPr>
      <w:tblPr/>
      <w:tcPr>
        <w:tcBorders>
          <w:top w:val="nil"/>
          <w:bottom w:val="single" w:sz="8" w:space="0" w:color="A5C249" w:themeColor="accent6"/>
        </w:tcBorders>
      </w:tcPr>
    </w:tblStylePr>
    <w:tblStylePr w:type="lastRow">
      <w:rPr>
        <w:b/>
        <w:bCs/>
        <w:color w:val="17406D" w:themeColor="text2"/>
      </w:rPr>
      <w:tblPr/>
      <w:tcPr>
        <w:tcBorders>
          <w:top w:val="single" w:sz="8" w:space="0" w:color="A5C249" w:themeColor="accent6"/>
          <w:bottom w:val="single" w:sz="8" w:space="0" w:color="A5C249" w:themeColor="accent6"/>
        </w:tcBorders>
      </w:tcPr>
    </w:tblStylePr>
    <w:tblStylePr w:type="firstCol">
      <w:rPr>
        <w:b/>
        <w:bCs/>
      </w:rPr>
    </w:tblStylePr>
    <w:tblStylePr w:type="lastCol">
      <w:rPr>
        <w:b/>
        <w:bCs/>
      </w:rPr>
      <w:tblPr/>
      <w:tcPr>
        <w:tcBorders>
          <w:top w:val="single" w:sz="8" w:space="0" w:color="A5C249" w:themeColor="accent6"/>
          <w:bottom w:val="single" w:sz="8" w:space="0" w:color="A5C249" w:themeColor="accent6"/>
        </w:tcBorders>
      </w:tcPr>
    </w:tblStylePr>
    <w:tblStylePr w:type="band1Vert">
      <w:tblPr/>
      <w:tcPr>
        <w:shd w:val="clear" w:color="auto" w:fill="E8F0D1" w:themeFill="accent6" w:themeFillTint="3F"/>
      </w:tcPr>
    </w:tblStylePr>
    <w:tblStylePr w:type="band1Horz">
      <w:tblPr/>
      <w:tcPr>
        <w:shd w:val="clear" w:color="auto" w:fill="E8F0D1"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6FC6" w:themeColor="accent1"/>
        <w:left w:val="single" w:sz="8" w:space="0" w:color="0F6FC6" w:themeColor="accent1"/>
        <w:bottom w:val="single" w:sz="8" w:space="0" w:color="0F6FC6" w:themeColor="accent1"/>
        <w:right w:val="single" w:sz="8" w:space="0" w:color="0F6FC6" w:themeColor="accent1"/>
      </w:tblBorders>
    </w:tblPr>
    <w:tblStylePr w:type="firstRow">
      <w:rPr>
        <w:sz w:val="24"/>
        <w:szCs w:val="24"/>
      </w:rPr>
      <w:tblPr/>
      <w:tcPr>
        <w:tcBorders>
          <w:top w:val="nil"/>
          <w:left w:val="nil"/>
          <w:bottom w:val="single" w:sz="24" w:space="0" w:color="0F6FC6" w:themeColor="accent1"/>
          <w:right w:val="nil"/>
          <w:insideH w:val="nil"/>
          <w:insideV w:val="nil"/>
        </w:tcBorders>
        <w:shd w:val="clear" w:color="auto" w:fill="FFFFFF" w:themeFill="background1"/>
      </w:tcPr>
    </w:tblStylePr>
    <w:tblStylePr w:type="lastRow">
      <w:tblPr/>
      <w:tcPr>
        <w:tcBorders>
          <w:top w:val="single" w:sz="8" w:space="0" w:color="0F6FC6"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6FC6" w:themeColor="accent1"/>
          <w:insideH w:val="nil"/>
          <w:insideV w:val="nil"/>
        </w:tcBorders>
        <w:shd w:val="clear" w:color="auto" w:fill="FFFFFF" w:themeFill="background1"/>
      </w:tcPr>
    </w:tblStylePr>
    <w:tblStylePr w:type="lastCol">
      <w:tblPr/>
      <w:tcPr>
        <w:tcBorders>
          <w:top w:val="nil"/>
          <w:left w:val="single" w:sz="8" w:space="0" w:color="0F6FC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ADBF9" w:themeFill="accent1" w:themeFillTint="3F"/>
      </w:tcPr>
    </w:tblStylePr>
    <w:tblStylePr w:type="band1Horz">
      <w:tblPr/>
      <w:tcPr>
        <w:tcBorders>
          <w:top w:val="nil"/>
          <w:bottom w:val="nil"/>
          <w:insideH w:val="nil"/>
          <w:insideV w:val="nil"/>
        </w:tcBorders>
        <w:shd w:val="clear" w:color="auto" w:fill="BADBF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9DD9" w:themeColor="accent2"/>
        <w:left w:val="single" w:sz="8" w:space="0" w:color="009DD9" w:themeColor="accent2"/>
        <w:bottom w:val="single" w:sz="8" w:space="0" w:color="009DD9" w:themeColor="accent2"/>
        <w:right w:val="single" w:sz="8" w:space="0" w:color="009DD9" w:themeColor="accent2"/>
      </w:tblBorders>
    </w:tblPr>
    <w:tblStylePr w:type="firstRow">
      <w:rPr>
        <w:sz w:val="24"/>
        <w:szCs w:val="24"/>
      </w:rPr>
      <w:tblPr/>
      <w:tcPr>
        <w:tcBorders>
          <w:top w:val="nil"/>
          <w:left w:val="nil"/>
          <w:bottom w:val="single" w:sz="24" w:space="0" w:color="009DD9" w:themeColor="accent2"/>
          <w:right w:val="nil"/>
          <w:insideH w:val="nil"/>
          <w:insideV w:val="nil"/>
        </w:tcBorders>
        <w:shd w:val="clear" w:color="auto" w:fill="FFFFFF" w:themeFill="background1"/>
      </w:tcPr>
    </w:tblStylePr>
    <w:tblStylePr w:type="lastRow">
      <w:tblPr/>
      <w:tcPr>
        <w:tcBorders>
          <w:top w:val="single" w:sz="8" w:space="0" w:color="009DD9"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9DD9" w:themeColor="accent2"/>
          <w:insideH w:val="nil"/>
          <w:insideV w:val="nil"/>
        </w:tcBorders>
        <w:shd w:val="clear" w:color="auto" w:fill="FFFFFF" w:themeFill="background1"/>
      </w:tcPr>
    </w:tblStylePr>
    <w:tblStylePr w:type="lastCol">
      <w:tblPr/>
      <w:tcPr>
        <w:tcBorders>
          <w:top w:val="nil"/>
          <w:left w:val="single" w:sz="8" w:space="0" w:color="009DD9"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6EAFF" w:themeFill="accent2" w:themeFillTint="3F"/>
      </w:tcPr>
    </w:tblStylePr>
    <w:tblStylePr w:type="band1Horz">
      <w:tblPr/>
      <w:tcPr>
        <w:tcBorders>
          <w:top w:val="nil"/>
          <w:bottom w:val="nil"/>
          <w:insideH w:val="nil"/>
          <w:insideV w:val="nil"/>
        </w:tcBorders>
        <w:shd w:val="clear" w:color="auto" w:fill="B6EA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BD0D9" w:themeColor="accent3"/>
        <w:left w:val="single" w:sz="8" w:space="0" w:color="0BD0D9" w:themeColor="accent3"/>
        <w:bottom w:val="single" w:sz="8" w:space="0" w:color="0BD0D9" w:themeColor="accent3"/>
        <w:right w:val="single" w:sz="8" w:space="0" w:color="0BD0D9" w:themeColor="accent3"/>
      </w:tblBorders>
    </w:tblPr>
    <w:tblStylePr w:type="firstRow">
      <w:rPr>
        <w:sz w:val="24"/>
        <w:szCs w:val="24"/>
      </w:rPr>
      <w:tblPr/>
      <w:tcPr>
        <w:tcBorders>
          <w:top w:val="nil"/>
          <w:left w:val="nil"/>
          <w:bottom w:val="single" w:sz="24" w:space="0" w:color="0BD0D9" w:themeColor="accent3"/>
          <w:right w:val="nil"/>
          <w:insideH w:val="nil"/>
          <w:insideV w:val="nil"/>
        </w:tcBorders>
        <w:shd w:val="clear" w:color="auto" w:fill="FFFFFF" w:themeFill="background1"/>
      </w:tcPr>
    </w:tblStylePr>
    <w:tblStylePr w:type="lastRow">
      <w:tblPr/>
      <w:tcPr>
        <w:tcBorders>
          <w:top w:val="single" w:sz="8" w:space="0" w:color="0BD0D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BD0D9" w:themeColor="accent3"/>
          <w:insideH w:val="nil"/>
          <w:insideV w:val="nil"/>
        </w:tcBorders>
        <w:shd w:val="clear" w:color="auto" w:fill="FFFFFF" w:themeFill="background1"/>
      </w:tcPr>
    </w:tblStylePr>
    <w:tblStylePr w:type="lastCol">
      <w:tblPr/>
      <w:tcPr>
        <w:tcBorders>
          <w:top w:val="nil"/>
          <w:left w:val="single" w:sz="8" w:space="0" w:color="0BD0D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CF8FB" w:themeFill="accent3" w:themeFillTint="3F"/>
      </w:tcPr>
    </w:tblStylePr>
    <w:tblStylePr w:type="band1Horz">
      <w:tblPr/>
      <w:tcPr>
        <w:tcBorders>
          <w:top w:val="nil"/>
          <w:bottom w:val="nil"/>
          <w:insideH w:val="nil"/>
          <w:insideV w:val="nil"/>
        </w:tcBorders>
        <w:shd w:val="clear" w:color="auto" w:fill="BCF8FB"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0CF9B" w:themeColor="accent4"/>
        <w:left w:val="single" w:sz="8" w:space="0" w:color="10CF9B" w:themeColor="accent4"/>
        <w:bottom w:val="single" w:sz="8" w:space="0" w:color="10CF9B" w:themeColor="accent4"/>
        <w:right w:val="single" w:sz="8" w:space="0" w:color="10CF9B" w:themeColor="accent4"/>
      </w:tblBorders>
    </w:tblPr>
    <w:tblStylePr w:type="firstRow">
      <w:rPr>
        <w:sz w:val="24"/>
        <w:szCs w:val="24"/>
      </w:rPr>
      <w:tblPr/>
      <w:tcPr>
        <w:tcBorders>
          <w:top w:val="nil"/>
          <w:left w:val="nil"/>
          <w:bottom w:val="single" w:sz="24" w:space="0" w:color="10CF9B" w:themeColor="accent4"/>
          <w:right w:val="nil"/>
          <w:insideH w:val="nil"/>
          <w:insideV w:val="nil"/>
        </w:tcBorders>
        <w:shd w:val="clear" w:color="auto" w:fill="FFFFFF" w:themeFill="background1"/>
      </w:tcPr>
    </w:tblStylePr>
    <w:tblStylePr w:type="lastRow">
      <w:tblPr/>
      <w:tcPr>
        <w:tcBorders>
          <w:top w:val="single" w:sz="8" w:space="0" w:color="10CF9B"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0CF9B" w:themeColor="accent4"/>
          <w:insideH w:val="nil"/>
          <w:insideV w:val="nil"/>
        </w:tcBorders>
        <w:shd w:val="clear" w:color="auto" w:fill="FFFFFF" w:themeFill="background1"/>
      </w:tcPr>
    </w:tblStylePr>
    <w:tblStylePr w:type="lastCol">
      <w:tblPr/>
      <w:tcPr>
        <w:tcBorders>
          <w:top w:val="nil"/>
          <w:left w:val="single" w:sz="8" w:space="0" w:color="10CF9B"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FAE9" w:themeFill="accent4" w:themeFillTint="3F"/>
      </w:tcPr>
    </w:tblStylePr>
    <w:tblStylePr w:type="band1Horz">
      <w:tblPr/>
      <w:tcPr>
        <w:tcBorders>
          <w:top w:val="nil"/>
          <w:bottom w:val="nil"/>
          <w:insideH w:val="nil"/>
          <w:insideV w:val="nil"/>
        </w:tcBorders>
        <w:shd w:val="clear" w:color="auto" w:fill="BDFAE9"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CCA62" w:themeColor="accent5"/>
        <w:left w:val="single" w:sz="8" w:space="0" w:color="7CCA62" w:themeColor="accent5"/>
        <w:bottom w:val="single" w:sz="8" w:space="0" w:color="7CCA62" w:themeColor="accent5"/>
        <w:right w:val="single" w:sz="8" w:space="0" w:color="7CCA62" w:themeColor="accent5"/>
      </w:tblBorders>
    </w:tblPr>
    <w:tblStylePr w:type="firstRow">
      <w:rPr>
        <w:sz w:val="24"/>
        <w:szCs w:val="24"/>
      </w:rPr>
      <w:tblPr/>
      <w:tcPr>
        <w:tcBorders>
          <w:top w:val="nil"/>
          <w:left w:val="nil"/>
          <w:bottom w:val="single" w:sz="24" w:space="0" w:color="7CCA62" w:themeColor="accent5"/>
          <w:right w:val="nil"/>
          <w:insideH w:val="nil"/>
          <w:insideV w:val="nil"/>
        </w:tcBorders>
        <w:shd w:val="clear" w:color="auto" w:fill="FFFFFF" w:themeFill="background1"/>
      </w:tcPr>
    </w:tblStylePr>
    <w:tblStylePr w:type="lastRow">
      <w:tblPr/>
      <w:tcPr>
        <w:tcBorders>
          <w:top w:val="single" w:sz="8" w:space="0" w:color="7CCA62"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CCA62" w:themeColor="accent5"/>
          <w:insideH w:val="nil"/>
          <w:insideV w:val="nil"/>
        </w:tcBorders>
        <w:shd w:val="clear" w:color="auto" w:fill="FFFFFF" w:themeFill="background1"/>
      </w:tcPr>
    </w:tblStylePr>
    <w:tblStylePr w:type="lastCol">
      <w:tblPr/>
      <w:tcPr>
        <w:tcBorders>
          <w:top w:val="nil"/>
          <w:left w:val="single" w:sz="8" w:space="0" w:color="7CCA62"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EF2D8" w:themeFill="accent5" w:themeFillTint="3F"/>
      </w:tcPr>
    </w:tblStylePr>
    <w:tblStylePr w:type="band1Horz">
      <w:tblPr/>
      <w:tcPr>
        <w:tcBorders>
          <w:top w:val="nil"/>
          <w:bottom w:val="nil"/>
          <w:insideH w:val="nil"/>
          <w:insideV w:val="nil"/>
        </w:tcBorders>
        <w:shd w:val="clear" w:color="auto" w:fill="DEF2D8"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C249" w:themeColor="accent6"/>
        <w:left w:val="single" w:sz="8" w:space="0" w:color="A5C249" w:themeColor="accent6"/>
        <w:bottom w:val="single" w:sz="8" w:space="0" w:color="A5C249" w:themeColor="accent6"/>
        <w:right w:val="single" w:sz="8" w:space="0" w:color="A5C249" w:themeColor="accent6"/>
      </w:tblBorders>
    </w:tblPr>
    <w:tblStylePr w:type="firstRow">
      <w:rPr>
        <w:sz w:val="24"/>
        <w:szCs w:val="24"/>
      </w:rPr>
      <w:tblPr/>
      <w:tcPr>
        <w:tcBorders>
          <w:top w:val="nil"/>
          <w:left w:val="nil"/>
          <w:bottom w:val="single" w:sz="24" w:space="0" w:color="A5C249" w:themeColor="accent6"/>
          <w:right w:val="nil"/>
          <w:insideH w:val="nil"/>
          <w:insideV w:val="nil"/>
        </w:tcBorders>
        <w:shd w:val="clear" w:color="auto" w:fill="FFFFFF" w:themeFill="background1"/>
      </w:tcPr>
    </w:tblStylePr>
    <w:tblStylePr w:type="lastRow">
      <w:tblPr/>
      <w:tcPr>
        <w:tcBorders>
          <w:top w:val="single" w:sz="8" w:space="0" w:color="A5C249"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C249" w:themeColor="accent6"/>
          <w:insideH w:val="nil"/>
          <w:insideV w:val="nil"/>
        </w:tcBorders>
        <w:shd w:val="clear" w:color="auto" w:fill="FFFFFF" w:themeFill="background1"/>
      </w:tcPr>
    </w:tblStylePr>
    <w:tblStylePr w:type="lastCol">
      <w:tblPr/>
      <w:tcPr>
        <w:tcBorders>
          <w:top w:val="nil"/>
          <w:left w:val="single" w:sz="8" w:space="0" w:color="A5C249"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F0D1" w:themeFill="accent6" w:themeFillTint="3F"/>
      </w:tcPr>
    </w:tblStylePr>
    <w:tblStylePr w:type="band1Horz">
      <w:tblPr/>
      <w:tcPr>
        <w:tcBorders>
          <w:top w:val="nil"/>
          <w:bottom w:val="nil"/>
          <w:insideH w:val="nil"/>
          <w:insideV w:val="nil"/>
        </w:tcBorders>
        <w:shd w:val="clear" w:color="auto" w:fill="E8F0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single" w:sz="8" w:space="0" w:color="3093EF" w:themeColor="accent1" w:themeTint="BF"/>
        <w:insideV w:val="single" w:sz="8" w:space="0" w:color="3093EF" w:themeColor="accent1" w:themeTint="BF"/>
      </w:tblBorders>
    </w:tblPr>
    <w:tcPr>
      <w:shd w:val="clear" w:color="auto" w:fill="BADBF9" w:themeFill="accent1" w:themeFillTint="3F"/>
    </w:tcPr>
    <w:tblStylePr w:type="firstRow">
      <w:rPr>
        <w:b/>
        <w:bCs/>
      </w:rPr>
    </w:tblStylePr>
    <w:tblStylePr w:type="lastRow">
      <w:rPr>
        <w:b/>
        <w:bCs/>
      </w:rPr>
      <w:tblPr/>
      <w:tcPr>
        <w:tcBorders>
          <w:top w:val="single" w:sz="18" w:space="0" w:color="3093EF" w:themeColor="accent1" w:themeTint="BF"/>
        </w:tcBorders>
      </w:tcPr>
    </w:tblStylePr>
    <w:tblStylePr w:type="firstCol">
      <w:rPr>
        <w:b/>
        <w:bCs/>
      </w:rPr>
    </w:tblStylePr>
    <w:tblStylePr w:type="lastCol">
      <w:rPr>
        <w:b/>
        <w:bCs/>
      </w:rPr>
    </w:tblStylePr>
    <w:tblStylePr w:type="band1Vert">
      <w:tblPr/>
      <w:tcPr>
        <w:shd w:val="clear" w:color="auto" w:fill="75B7F4" w:themeFill="accent1" w:themeFillTint="7F"/>
      </w:tcPr>
    </w:tblStylePr>
    <w:tblStylePr w:type="band1Horz">
      <w:tblPr/>
      <w:tcPr>
        <w:shd w:val="clear" w:color="auto" w:fill="75B7F4"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single" w:sz="8" w:space="0" w:color="23C1FF" w:themeColor="accent2" w:themeTint="BF"/>
        <w:insideV w:val="single" w:sz="8" w:space="0" w:color="23C1FF" w:themeColor="accent2" w:themeTint="BF"/>
      </w:tblBorders>
    </w:tblPr>
    <w:tcPr>
      <w:shd w:val="clear" w:color="auto" w:fill="B6EAFF" w:themeFill="accent2" w:themeFillTint="3F"/>
    </w:tcPr>
    <w:tblStylePr w:type="firstRow">
      <w:rPr>
        <w:b/>
        <w:bCs/>
      </w:rPr>
    </w:tblStylePr>
    <w:tblStylePr w:type="lastRow">
      <w:rPr>
        <w:b/>
        <w:bCs/>
      </w:rPr>
      <w:tblPr/>
      <w:tcPr>
        <w:tcBorders>
          <w:top w:val="single" w:sz="18" w:space="0" w:color="23C1FF" w:themeColor="accent2" w:themeTint="BF"/>
        </w:tcBorders>
      </w:tcPr>
    </w:tblStylePr>
    <w:tblStylePr w:type="firstCol">
      <w:rPr>
        <w:b/>
        <w:bCs/>
      </w:rPr>
    </w:tblStylePr>
    <w:tblStylePr w:type="lastCol">
      <w:rPr>
        <w:b/>
        <w:bCs/>
      </w:rPr>
    </w:tblStylePr>
    <w:tblStylePr w:type="band1Vert">
      <w:tblPr/>
      <w:tcPr>
        <w:shd w:val="clear" w:color="auto" w:fill="6DD6FF" w:themeFill="accent2" w:themeFillTint="7F"/>
      </w:tcPr>
    </w:tblStylePr>
    <w:tblStylePr w:type="band1Horz">
      <w:tblPr/>
      <w:tcPr>
        <w:shd w:val="clear" w:color="auto" w:fill="6DD6FF"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35EBF4" w:themeColor="accent3" w:themeTint="BF"/>
        <w:left w:val="single" w:sz="8" w:space="0" w:color="35EBF4" w:themeColor="accent3" w:themeTint="BF"/>
        <w:bottom w:val="single" w:sz="8" w:space="0" w:color="35EBF4" w:themeColor="accent3" w:themeTint="BF"/>
        <w:right w:val="single" w:sz="8" w:space="0" w:color="35EBF4" w:themeColor="accent3" w:themeTint="BF"/>
        <w:insideH w:val="single" w:sz="8" w:space="0" w:color="35EBF4" w:themeColor="accent3" w:themeTint="BF"/>
        <w:insideV w:val="single" w:sz="8" w:space="0" w:color="35EBF4" w:themeColor="accent3" w:themeTint="BF"/>
      </w:tblBorders>
    </w:tblPr>
    <w:tcPr>
      <w:shd w:val="clear" w:color="auto" w:fill="BCF8FB" w:themeFill="accent3" w:themeFillTint="3F"/>
    </w:tcPr>
    <w:tblStylePr w:type="firstRow">
      <w:rPr>
        <w:b/>
        <w:bCs/>
      </w:rPr>
    </w:tblStylePr>
    <w:tblStylePr w:type="lastRow">
      <w:rPr>
        <w:b/>
        <w:bCs/>
      </w:rPr>
      <w:tblPr/>
      <w:tcPr>
        <w:tcBorders>
          <w:top w:val="single" w:sz="18" w:space="0" w:color="35EBF4" w:themeColor="accent3" w:themeTint="BF"/>
        </w:tcBorders>
      </w:tcPr>
    </w:tblStylePr>
    <w:tblStylePr w:type="firstCol">
      <w:rPr>
        <w:b/>
        <w:bCs/>
      </w:rPr>
    </w:tblStylePr>
    <w:tblStylePr w:type="lastCol">
      <w:rPr>
        <w:b/>
        <w:bCs/>
      </w:rPr>
    </w:tblStylePr>
    <w:tblStylePr w:type="band1Vert">
      <w:tblPr/>
      <w:tcPr>
        <w:shd w:val="clear" w:color="auto" w:fill="79F2F8" w:themeFill="accent3" w:themeFillTint="7F"/>
      </w:tcPr>
    </w:tblStylePr>
    <w:tblStylePr w:type="band1Horz">
      <w:tblPr/>
      <w:tcPr>
        <w:shd w:val="clear" w:color="auto" w:fill="79F2F8"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37EFBD" w:themeColor="accent4" w:themeTint="BF"/>
        <w:left w:val="single" w:sz="8" w:space="0" w:color="37EFBD" w:themeColor="accent4" w:themeTint="BF"/>
        <w:bottom w:val="single" w:sz="8" w:space="0" w:color="37EFBD" w:themeColor="accent4" w:themeTint="BF"/>
        <w:right w:val="single" w:sz="8" w:space="0" w:color="37EFBD" w:themeColor="accent4" w:themeTint="BF"/>
        <w:insideH w:val="single" w:sz="8" w:space="0" w:color="37EFBD" w:themeColor="accent4" w:themeTint="BF"/>
        <w:insideV w:val="single" w:sz="8" w:space="0" w:color="37EFBD" w:themeColor="accent4" w:themeTint="BF"/>
      </w:tblBorders>
    </w:tblPr>
    <w:tcPr>
      <w:shd w:val="clear" w:color="auto" w:fill="BDFAE9" w:themeFill="accent4" w:themeFillTint="3F"/>
    </w:tcPr>
    <w:tblStylePr w:type="firstRow">
      <w:rPr>
        <w:b/>
        <w:bCs/>
      </w:rPr>
    </w:tblStylePr>
    <w:tblStylePr w:type="lastRow">
      <w:rPr>
        <w:b/>
        <w:bCs/>
      </w:rPr>
      <w:tblPr/>
      <w:tcPr>
        <w:tcBorders>
          <w:top w:val="single" w:sz="18" w:space="0" w:color="37EFBD" w:themeColor="accent4" w:themeTint="BF"/>
        </w:tcBorders>
      </w:tcPr>
    </w:tblStylePr>
    <w:tblStylePr w:type="firstCol">
      <w:rPr>
        <w:b/>
        <w:bCs/>
      </w:rPr>
    </w:tblStylePr>
    <w:tblStylePr w:type="lastCol">
      <w:rPr>
        <w:b/>
        <w:bCs/>
      </w:rPr>
    </w:tblStylePr>
    <w:tblStylePr w:type="band1Vert">
      <w:tblPr/>
      <w:tcPr>
        <w:shd w:val="clear" w:color="auto" w:fill="7AF4D3" w:themeFill="accent4" w:themeFillTint="7F"/>
      </w:tcPr>
    </w:tblStylePr>
    <w:tblStylePr w:type="band1Horz">
      <w:tblPr/>
      <w:tcPr>
        <w:shd w:val="clear" w:color="auto" w:fill="7AF4D3"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single" w:sz="8" w:space="0" w:color="9CD789" w:themeColor="accent5" w:themeTint="BF"/>
        <w:insideV w:val="single" w:sz="8" w:space="0" w:color="9CD789" w:themeColor="accent5" w:themeTint="BF"/>
      </w:tblBorders>
    </w:tblPr>
    <w:tcPr>
      <w:shd w:val="clear" w:color="auto" w:fill="DEF2D8" w:themeFill="accent5" w:themeFillTint="3F"/>
    </w:tcPr>
    <w:tblStylePr w:type="firstRow">
      <w:rPr>
        <w:b/>
        <w:bCs/>
      </w:rPr>
    </w:tblStylePr>
    <w:tblStylePr w:type="lastRow">
      <w:rPr>
        <w:b/>
        <w:bCs/>
      </w:rPr>
      <w:tblPr/>
      <w:tcPr>
        <w:tcBorders>
          <w:top w:val="single" w:sz="18" w:space="0" w:color="9CD789" w:themeColor="accent5" w:themeTint="BF"/>
        </w:tcBorders>
      </w:tcPr>
    </w:tblStylePr>
    <w:tblStylePr w:type="firstCol">
      <w:rPr>
        <w:b/>
        <w:bCs/>
      </w:rPr>
    </w:tblStylePr>
    <w:tblStylePr w:type="lastCol">
      <w:rPr>
        <w:b/>
        <w:bCs/>
      </w:rPr>
    </w:tblStylePr>
    <w:tblStylePr w:type="band1Vert">
      <w:tblPr/>
      <w:tcPr>
        <w:shd w:val="clear" w:color="auto" w:fill="BDE4B0" w:themeFill="accent5" w:themeFillTint="7F"/>
      </w:tcPr>
    </w:tblStylePr>
    <w:tblStylePr w:type="band1Horz">
      <w:tblPr/>
      <w:tcPr>
        <w:shd w:val="clear" w:color="auto" w:fill="BDE4B0"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BD176" w:themeColor="accent6" w:themeTint="BF"/>
        <w:left w:val="single" w:sz="8" w:space="0" w:color="BBD176" w:themeColor="accent6" w:themeTint="BF"/>
        <w:bottom w:val="single" w:sz="8" w:space="0" w:color="BBD176" w:themeColor="accent6" w:themeTint="BF"/>
        <w:right w:val="single" w:sz="8" w:space="0" w:color="BBD176" w:themeColor="accent6" w:themeTint="BF"/>
        <w:insideH w:val="single" w:sz="8" w:space="0" w:color="BBD176" w:themeColor="accent6" w:themeTint="BF"/>
        <w:insideV w:val="single" w:sz="8" w:space="0" w:color="BBD176" w:themeColor="accent6" w:themeTint="BF"/>
      </w:tblBorders>
    </w:tblPr>
    <w:tcPr>
      <w:shd w:val="clear" w:color="auto" w:fill="E8F0D1" w:themeFill="accent6" w:themeFillTint="3F"/>
    </w:tcPr>
    <w:tblStylePr w:type="firstRow">
      <w:rPr>
        <w:b/>
        <w:bCs/>
      </w:rPr>
    </w:tblStylePr>
    <w:tblStylePr w:type="lastRow">
      <w:rPr>
        <w:b/>
        <w:bCs/>
      </w:rPr>
      <w:tblPr/>
      <w:tcPr>
        <w:tcBorders>
          <w:top w:val="single" w:sz="18" w:space="0" w:color="BBD176" w:themeColor="accent6" w:themeTint="BF"/>
        </w:tcBorders>
      </w:tcPr>
    </w:tblStylePr>
    <w:tblStylePr w:type="firstCol">
      <w:rPr>
        <w:b/>
        <w:bCs/>
      </w:rPr>
    </w:tblStylePr>
    <w:tblStylePr w:type="lastCol">
      <w:rPr>
        <w:b/>
        <w:bCs/>
      </w:rPr>
    </w:tblStylePr>
    <w:tblStylePr w:type="band1Vert">
      <w:tblPr/>
      <w:tcPr>
        <w:shd w:val="clear" w:color="auto" w:fill="D1E0A4" w:themeFill="accent6" w:themeFillTint="7F"/>
      </w:tcPr>
    </w:tblStylePr>
    <w:tblStylePr w:type="band1Horz">
      <w:tblPr/>
      <w:tcPr>
        <w:shd w:val="clear" w:color="auto" w:fill="D1E0A4"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6FC6" w:themeColor="accent1"/>
        <w:left w:val="single" w:sz="8" w:space="0" w:color="0F6FC6" w:themeColor="accent1"/>
        <w:bottom w:val="single" w:sz="8" w:space="0" w:color="0F6FC6" w:themeColor="accent1"/>
        <w:right w:val="single" w:sz="8" w:space="0" w:color="0F6FC6" w:themeColor="accent1"/>
        <w:insideH w:val="single" w:sz="8" w:space="0" w:color="0F6FC6" w:themeColor="accent1"/>
        <w:insideV w:val="single" w:sz="8" w:space="0" w:color="0F6FC6" w:themeColor="accent1"/>
      </w:tblBorders>
    </w:tblPr>
    <w:tcPr>
      <w:shd w:val="clear" w:color="auto" w:fill="BADBF9" w:themeFill="accent1" w:themeFillTint="3F"/>
    </w:tcPr>
    <w:tblStylePr w:type="firstRow">
      <w:rPr>
        <w:b/>
        <w:bCs/>
        <w:color w:val="000000" w:themeColor="text1"/>
      </w:rPr>
      <w:tblPr/>
      <w:tcPr>
        <w:shd w:val="clear" w:color="auto" w:fill="E3F0F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7E2FA" w:themeFill="accent1" w:themeFillTint="33"/>
      </w:tcPr>
    </w:tblStylePr>
    <w:tblStylePr w:type="band1Vert">
      <w:tblPr/>
      <w:tcPr>
        <w:shd w:val="clear" w:color="auto" w:fill="75B7F4" w:themeFill="accent1" w:themeFillTint="7F"/>
      </w:tcPr>
    </w:tblStylePr>
    <w:tblStylePr w:type="band1Horz">
      <w:tblPr/>
      <w:tcPr>
        <w:tcBorders>
          <w:insideH w:val="single" w:sz="6" w:space="0" w:color="0F6FC6" w:themeColor="accent1"/>
          <w:insideV w:val="single" w:sz="6" w:space="0" w:color="0F6FC6" w:themeColor="accent1"/>
        </w:tcBorders>
        <w:shd w:val="clear" w:color="auto" w:fill="75B7F4"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9DD9" w:themeColor="accent2"/>
        <w:left w:val="single" w:sz="8" w:space="0" w:color="009DD9" w:themeColor="accent2"/>
        <w:bottom w:val="single" w:sz="8" w:space="0" w:color="009DD9" w:themeColor="accent2"/>
        <w:right w:val="single" w:sz="8" w:space="0" w:color="009DD9" w:themeColor="accent2"/>
        <w:insideH w:val="single" w:sz="8" w:space="0" w:color="009DD9" w:themeColor="accent2"/>
        <w:insideV w:val="single" w:sz="8" w:space="0" w:color="009DD9" w:themeColor="accent2"/>
      </w:tblBorders>
    </w:tblPr>
    <w:tcPr>
      <w:shd w:val="clear" w:color="auto" w:fill="B6EAFF" w:themeFill="accent2" w:themeFillTint="3F"/>
    </w:tcPr>
    <w:tblStylePr w:type="firstRow">
      <w:rPr>
        <w:b/>
        <w:bCs/>
        <w:color w:val="000000" w:themeColor="text1"/>
      </w:rPr>
      <w:tblPr/>
      <w:tcPr>
        <w:shd w:val="clear" w:color="auto" w:fill="E2F6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4EEFF" w:themeFill="accent2" w:themeFillTint="33"/>
      </w:tcPr>
    </w:tblStylePr>
    <w:tblStylePr w:type="band1Vert">
      <w:tblPr/>
      <w:tcPr>
        <w:shd w:val="clear" w:color="auto" w:fill="6DD6FF" w:themeFill="accent2" w:themeFillTint="7F"/>
      </w:tcPr>
    </w:tblStylePr>
    <w:tblStylePr w:type="band1Horz">
      <w:tblPr/>
      <w:tcPr>
        <w:tcBorders>
          <w:insideH w:val="single" w:sz="6" w:space="0" w:color="009DD9" w:themeColor="accent2"/>
          <w:insideV w:val="single" w:sz="6" w:space="0" w:color="009DD9" w:themeColor="accent2"/>
        </w:tcBorders>
        <w:shd w:val="clear" w:color="auto" w:fill="6DD6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BD0D9" w:themeColor="accent3"/>
        <w:left w:val="single" w:sz="8" w:space="0" w:color="0BD0D9" w:themeColor="accent3"/>
        <w:bottom w:val="single" w:sz="8" w:space="0" w:color="0BD0D9" w:themeColor="accent3"/>
        <w:right w:val="single" w:sz="8" w:space="0" w:color="0BD0D9" w:themeColor="accent3"/>
        <w:insideH w:val="single" w:sz="8" w:space="0" w:color="0BD0D9" w:themeColor="accent3"/>
        <w:insideV w:val="single" w:sz="8" w:space="0" w:color="0BD0D9" w:themeColor="accent3"/>
      </w:tblBorders>
    </w:tblPr>
    <w:tcPr>
      <w:shd w:val="clear" w:color="auto" w:fill="BCF8FB" w:themeFill="accent3" w:themeFillTint="3F"/>
    </w:tcPr>
    <w:tblStylePr w:type="firstRow">
      <w:rPr>
        <w:b/>
        <w:bCs/>
        <w:color w:val="000000" w:themeColor="text1"/>
      </w:rPr>
      <w:tblPr/>
      <w:tcPr>
        <w:shd w:val="clear" w:color="auto" w:fill="E4FCFD"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9F9FC" w:themeFill="accent3" w:themeFillTint="33"/>
      </w:tcPr>
    </w:tblStylePr>
    <w:tblStylePr w:type="band1Vert">
      <w:tblPr/>
      <w:tcPr>
        <w:shd w:val="clear" w:color="auto" w:fill="79F2F8" w:themeFill="accent3" w:themeFillTint="7F"/>
      </w:tcPr>
    </w:tblStylePr>
    <w:tblStylePr w:type="band1Horz">
      <w:tblPr/>
      <w:tcPr>
        <w:tcBorders>
          <w:insideH w:val="single" w:sz="6" w:space="0" w:color="0BD0D9" w:themeColor="accent3"/>
          <w:insideV w:val="single" w:sz="6" w:space="0" w:color="0BD0D9" w:themeColor="accent3"/>
        </w:tcBorders>
        <w:shd w:val="clear" w:color="auto" w:fill="79F2F8"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0CF9B" w:themeColor="accent4"/>
        <w:left w:val="single" w:sz="8" w:space="0" w:color="10CF9B" w:themeColor="accent4"/>
        <w:bottom w:val="single" w:sz="8" w:space="0" w:color="10CF9B" w:themeColor="accent4"/>
        <w:right w:val="single" w:sz="8" w:space="0" w:color="10CF9B" w:themeColor="accent4"/>
        <w:insideH w:val="single" w:sz="8" w:space="0" w:color="10CF9B" w:themeColor="accent4"/>
        <w:insideV w:val="single" w:sz="8" w:space="0" w:color="10CF9B" w:themeColor="accent4"/>
      </w:tblBorders>
    </w:tblPr>
    <w:tcPr>
      <w:shd w:val="clear" w:color="auto" w:fill="BDFAE9" w:themeFill="accent4" w:themeFillTint="3F"/>
    </w:tcPr>
    <w:tblStylePr w:type="firstRow">
      <w:rPr>
        <w:b/>
        <w:bCs/>
        <w:color w:val="000000" w:themeColor="text1"/>
      </w:rPr>
      <w:tblPr/>
      <w:tcPr>
        <w:shd w:val="clear" w:color="auto" w:fill="E4FD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9FBED" w:themeFill="accent4" w:themeFillTint="33"/>
      </w:tcPr>
    </w:tblStylePr>
    <w:tblStylePr w:type="band1Vert">
      <w:tblPr/>
      <w:tcPr>
        <w:shd w:val="clear" w:color="auto" w:fill="7AF4D3" w:themeFill="accent4" w:themeFillTint="7F"/>
      </w:tcPr>
    </w:tblStylePr>
    <w:tblStylePr w:type="band1Horz">
      <w:tblPr/>
      <w:tcPr>
        <w:tcBorders>
          <w:insideH w:val="single" w:sz="6" w:space="0" w:color="10CF9B" w:themeColor="accent4"/>
          <w:insideV w:val="single" w:sz="6" w:space="0" w:color="10CF9B" w:themeColor="accent4"/>
        </w:tcBorders>
        <w:shd w:val="clear" w:color="auto" w:fill="7AF4D3"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CCA62" w:themeColor="accent5"/>
        <w:left w:val="single" w:sz="8" w:space="0" w:color="7CCA62" w:themeColor="accent5"/>
        <w:bottom w:val="single" w:sz="8" w:space="0" w:color="7CCA62" w:themeColor="accent5"/>
        <w:right w:val="single" w:sz="8" w:space="0" w:color="7CCA62" w:themeColor="accent5"/>
        <w:insideH w:val="single" w:sz="8" w:space="0" w:color="7CCA62" w:themeColor="accent5"/>
        <w:insideV w:val="single" w:sz="8" w:space="0" w:color="7CCA62" w:themeColor="accent5"/>
      </w:tblBorders>
    </w:tblPr>
    <w:tcPr>
      <w:shd w:val="clear" w:color="auto" w:fill="DEF2D8" w:themeFill="accent5" w:themeFillTint="3F"/>
    </w:tcPr>
    <w:tblStylePr w:type="firstRow">
      <w:rPr>
        <w:b/>
        <w:bCs/>
        <w:color w:val="000000" w:themeColor="text1"/>
      </w:rPr>
      <w:tblPr/>
      <w:tcPr>
        <w:shd w:val="clear" w:color="auto" w:fill="F2F9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F4DF" w:themeFill="accent5" w:themeFillTint="33"/>
      </w:tcPr>
    </w:tblStylePr>
    <w:tblStylePr w:type="band1Vert">
      <w:tblPr/>
      <w:tcPr>
        <w:shd w:val="clear" w:color="auto" w:fill="BDE4B0" w:themeFill="accent5" w:themeFillTint="7F"/>
      </w:tcPr>
    </w:tblStylePr>
    <w:tblStylePr w:type="band1Horz">
      <w:tblPr/>
      <w:tcPr>
        <w:tcBorders>
          <w:insideH w:val="single" w:sz="6" w:space="0" w:color="7CCA62" w:themeColor="accent5"/>
          <w:insideV w:val="single" w:sz="6" w:space="0" w:color="7CCA62" w:themeColor="accent5"/>
        </w:tcBorders>
        <w:shd w:val="clear" w:color="auto" w:fill="BDE4B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C249" w:themeColor="accent6"/>
        <w:left w:val="single" w:sz="8" w:space="0" w:color="A5C249" w:themeColor="accent6"/>
        <w:bottom w:val="single" w:sz="8" w:space="0" w:color="A5C249" w:themeColor="accent6"/>
        <w:right w:val="single" w:sz="8" w:space="0" w:color="A5C249" w:themeColor="accent6"/>
        <w:insideH w:val="single" w:sz="8" w:space="0" w:color="A5C249" w:themeColor="accent6"/>
        <w:insideV w:val="single" w:sz="8" w:space="0" w:color="A5C249" w:themeColor="accent6"/>
      </w:tblBorders>
    </w:tblPr>
    <w:tcPr>
      <w:shd w:val="clear" w:color="auto" w:fill="E8F0D1" w:themeFill="accent6" w:themeFillTint="3F"/>
    </w:tcPr>
    <w:tblStylePr w:type="firstRow">
      <w:rPr>
        <w:b/>
        <w:bCs/>
        <w:color w:val="000000" w:themeColor="text1"/>
      </w:rPr>
      <w:tblPr/>
      <w:tcPr>
        <w:shd w:val="clear" w:color="auto" w:fill="F6F9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F2DA" w:themeFill="accent6" w:themeFillTint="33"/>
      </w:tcPr>
    </w:tblStylePr>
    <w:tblStylePr w:type="band1Vert">
      <w:tblPr/>
      <w:tcPr>
        <w:shd w:val="clear" w:color="auto" w:fill="D1E0A4" w:themeFill="accent6" w:themeFillTint="7F"/>
      </w:tcPr>
    </w:tblStylePr>
    <w:tblStylePr w:type="band1Horz">
      <w:tblPr/>
      <w:tcPr>
        <w:tcBorders>
          <w:insideH w:val="single" w:sz="6" w:space="0" w:color="A5C249" w:themeColor="accent6"/>
          <w:insideV w:val="single" w:sz="6" w:space="0" w:color="A5C249" w:themeColor="accent6"/>
        </w:tcBorders>
        <w:shd w:val="clear" w:color="auto" w:fill="D1E0A4"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ADBF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6FC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6FC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6FC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6FC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5B7F4"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5B7F4"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6EA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9DD9"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9DD9"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9DD9"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9DD9"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DD6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DD6FF"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CF8FB"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BD0D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BD0D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BD0D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BD0D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9F2F8"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9F2F8"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FAE9"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0CF9B"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0CF9B"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0CF9B"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0CF9B"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AF4D3"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AF4D3"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EF2D8"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CCA6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CCA6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CCA6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CCA6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DE4B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DE4B0"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F0D1"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C249"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C249"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C249"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C249"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1E0A4"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1E0A4"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0F6FC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3662"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B5294"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B5294" w:themeFill="accent1" w:themeFillShade="BF"/>
      </w:tcPr>
    </w:tblStylePr>
    <w:tblStylePr w:type="band1Vert">
      <w:tblPr/>
      <w:tcPr>
        <w:tcBorders>
          <w:top w:val="nil"/>
          <w:left w:val="nil"/>
          <w:bottom w:val="nil"/>
          <w:right w:val="nil"/>
          <w:insideH w:val="nil"/>
          <w:insideV w:val="nil"/>
        </w:tcBorders>
        <w:shd w:val="clear" w:color="auto" w:fill="0B5294" w:themeFill="accent1" w:themeFillShade="BF"/>
      </w:tcPr>
    </w:tblStylePr>
    <w:tblStylePr w:type="band1Horz">
      <w:tblPr/>
      <w:tcPr>
        <w:tcBorders>
          <w:top w:val="nil"/>
          <w:left w:val="nil"/>
          <w:bottom w:val="nil"/>
          <w:right w:val="nil"/>
          <w:insideH w:val="nil"/>
          <w:insideV w:val="nil"/>
        </w:tcBorders>
        <w:shd w:val="clear" w:color="auto" w:fill="0B5294"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009DD9"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4D6C"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75A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75A2" w:themeFill="accent2" w:themeFillShade="BF"/>
      </w:tcPr>
    </w:tblStylePr>
    <w:tblStylePr w:type="band1Vert">
      <w:tblPr/>
      <w:tcPr>
        <w:tcBorders>
          <w:top w:val="nil"/>
          <w:left w:val="nil"/>
          <w:bottom w:val="nil"/>
          <w:right w:val="nil"/>
          <w:insideH w:val="nil"/>
          <w:insideV w:val="nil"/>
        </w:tcBorders>
        <w:shd w:val="clear" w:color="auto" w:fill="0075A2" w:themeFill="accent2" w:themeFillShade="BF"/>
      </w:tcPr>
    </w:tblStylePr>
    <w:tblStylePr w:type="band1Horz">
      <w:tblPr/>
      <w:tcPr>
        <w:tcBorders>
          <w:top w:val="nil"/>
          <w:left w:val="nil"/>
          <w:bottom w:val="nil"/>
          <w:right w:val="nil"/>
          <w:insideH w:val="nil"/>
          <w:insideV w:val="nil"/>
        </w:tcBorders>
        <w:shd w:val="clear" w:color="auto" w:fill="0075A2"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0BD0D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5676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89BA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89BA2" w:themeFill="accent3" w:themeFillShade="BF"/>
      </w:tcPr>
    </w:tblStylePr>
    <w:tblStylePr w:type="band1Vert">
      <w:tblPr/>
      <w:tcPr>
        <w:tcBorders>
          <w:top w:val="nil"/>
          <w:left w:val="nil"/>
          <w:bottom w:val="nil"/>
          <w:right w:val="nil"/>
          <w:insideH w:val="nil"/>
          <w:insideV w:val="nil"/>
        </w:tcBorders>
        <w:shd w:val="clear" w:color="auto" w:fill="089BA2" w:themeFill="accent3" w:themeFillShade="BF"/>
      </w:tcPr>
    </w:tblStylePr>
    <w:tblStylePr w:type="band1Horz">
      <w:tblPr/>
      <w:tcPr>
        <w:tcBorders>
          <w:top w:val="nil"/>
          <w:left w:val="nil"/>
          <w:bottom w:val="nil"/>
          <w:right w:val="nil"/>
          <w:insideH w:val="nil"/>
          <w:insideV w:val="nil"/>
        </w:tcBorders>
        <w:shd w:val="clear" w:color="auto" w:fill="089BA2"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10CF9B"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8674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C9A73"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C9A73" w:themeFill="accent4" w:themeFillShade="BF"/>
      </w:tcPr>
    </w:tblStylePr>
    <w:tblStylePr w:type="band1Vert">
      <w:tblPr/>
      <w:tcPr>
        <w:tcBorders>
          <w:top w:val="nil"/>
          <w:left w:val="nil"/>
          <w:bottom w:val="nil"/>
          <w:right w:val="nil"/>
          <w:insideH w:val="nil"/>
          <w:insideV w:val="nil"/>
        </w:tcBorders>
        <w:shd w:val="clear" w:color="auto" w:fill="0C9A73" w:themeFill="accent4" w:themeFillShade="BF"/>
      </w:tcPr>
    </w:tblStylePr>
    <w:tblStylePr w:type="band1Horz">
      <w:tblPr/>
      <w:tcPr>
        <w:tcBorders>
          <w:top w:val="nil"/>
          <w:left w:val="nil"/>
          <w:bottom w:val="nil"/>
          <w:right w:val="nil"/>
          <w:insideH w:val="nil"/>
          <w:insideV w:val="nil"/>
        </w:tcBorders>
        <w:shd w:val="clear" w:color="auto" w:fill="0C9A73"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7CCA6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86F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4A7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4A738" w:themeFill="accent5" w:themeFillShade="BF"/>
      </w:tcPr>
    </w:tblStylePr>
    <w:tblStylePr w:type="band1Vert">
      <w:tblPr/>
      <w:tcPr>
        <w:tcBorders>
          <w:top w:val="nil"/>
          <w:left w:val="nil"/>
          <w:bottom w:val="nil"/>
          <w:right w:val="nil"/>
          <w:insideH w:val="nil"/>
          <w:insideV w:val="nil"/>
        </w:tcBorders>
        <w:shd w:val="clear" w:color="auto" w:fill="54A738" w:themeFill="accent5" w:themeFillShade="BF"/>
      </w:tcPr>
    </w:tblStylePr>
    <w:tblStylePr w:type="band1Horz">
      <w:tblPr/>
      <w:tcPr>
        <w:tcBorders>
          <w:top w:val="nil"/>
          <w:left w:val="nil"/>
          <w:bottom w:val="nil"/>
          <w:right w:val="nil"/>
          <w:insideH w:val="nil"/>
          <w:insideV w:val="nil"/>
        </w:tcBorders>
        <w:shd w:val="clear" w:color="auto" w:fill="54A738"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A5C249"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36321"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D953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D9532" w:themeFill="accent6" w:themeFillShade="BF"/>
      </w:tcPr>
    </w:tblStylePr>
    <w:tblStylePr w:type="band1Vert">
      <w:tblPr/>
      <w:tcPr>
        <w:tcBorders>
          <w:top w:val="nil"/>
          <w:left w:val="nil"/>
          <w:bottom w:val="nil"/>
          <w:right w:val="nil"/>
          <w:insideH w:val="nil"/>
          <w:insideV w:val="nil"/>
        </w:tcBorders>
        <w:shd w:val="clear" w:color="auto" w:fill="7D9532" w:themeFill="accent6" w:themeFillShade="BF"/>
      </w:tcPr>
    </w:tblStylePr>
    <w:tblStylePr w:type="band1Horz">
      <w:tblPr/>
      <w:tcPr>
        <w:tcBorders>
          <w:top w:val="nil"/>
          <w:left w:val="nil"/>
          <w:bottom w:val="nil"/>
          <w:right w:val="nil"/>
          <w:insideH w:val="nil"/>
          <w:insideV w:val="nil"/>
        </w:tcBorders>
        <w:shd w:val="clear" w:color="auto" w:fill="7D9532"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009DD9"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9DD9"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009DD9" w:themeColor="accent2"/>
        <w:left w:val="single" w:sz="4" w:space="0" w:color="0F6FC6" w:themeColor="accent1"/>
        <w:bottom w:val="single" w:sz="4" w:space="0" w:color="0F6FC6" w:themeColor="accent1"/>
        <w:right w:val="single" w:sz="4" w:space="0" w:color="0F6FC6" w:themeColor="accent1"/>
        <w:insideH w:val="single" w:sz="4" w:space="0" w:color="FFFFFF" w:themeColor="background1"/>
        <w:insideV w:val="single" w:sz="4" w:space="0" w:color="FFFFFF" w:themeColor="background1"/>
      </w:tblBorders>
    </w:tblPr>
    <w:tcPr>
      <w:shd w:val="clear" w:color="auto" w:fill="E3F0FD" w:themeFill="accent1" w:themeFillTint="19"/>
    </w:tcPr>
    <w:tblStylePr w:type="firstRow">
      <w:rPr>
        <w:b/>
        <w:bCs/>
      </w:rPr>
      <w:tblPr/>
      <w:tcPr>
        <w:tcBorders>
          <w:top w:val="nil"/>
          <w:left w:val="nil"/>
          <w:bottom w:val="single" w:sz="24" w:space="0" w:color="009DD9"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4276" w:themeFill="accent1" w:themeFillShade="99"/>
      </w:tcPr>
    </w:tblStylePr>
    <w:tblStylePr w:type="firstCol">
      <w:rPr>
        <w:color w:val="FFFFFF" w:themeColor="background1"/>
      </w:rPr>
      <w:tblPr/>
      <w:tcPr>
        <w:tcBorders>
          <w:top w:val="nil"/>
          <w:left w:val="nil"/>
          <w:bottom w:val="nil"/>
          <w:right w:val="nil"/>
          <w:insideH w:val="single" w:sz="4" w:space="0" w:color="094276" w:themeColor="accent1" w:themeShade="99"/>
          <w:insideV w:val="nil"/>
        </w:tcBorders>
        <w:shd w:val="clear" w:color="auto" w:fill="09427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94276" w:themeFill="accent1" w:themeFillShade="99"/>
      </w:tcPr>
    </w:tblStylePr>
    <w:tblStylePr w:type="band1Vert">
      <w:tblPr/>
      <w:tcPr>
        <w:shd w:val="clear" w:color="auto" w:fill="90C5F6" w:themeFill="accent1" w:themeFillTint="66"/>
      </w:tcPr>
    </w:tblStylePr>
    <w:tblStylePr w:type="band1Horz">
      <w:tblPr/>
      <w:tcPr>
        <w:shd w:val="clear" w:color="auto" w:fill="75B7F4"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009DD9" w:themeColor="accent2"/>
        <w:left w:val="single" w:sz="4" w:space="0" w:color="009DD9" w:themeColor="accent2"/>
        <w:bottom w:val="single" w:sz="4" w:space="0" w:color="009DD9" w:themeColor="accent2"/>
        <w:right w:val="single" w:sz="4" w:space="0" w:color="009DD9" w:themeColor="accent2"/>
        <w:insideH w:val="single" w:sz="4" w:space="0" w:color="FFFFFF" w:themeColor="background1"/>
        <w:insideV w:val="single" w:sz="4" w:space="0" w:color="FFFFFF" w:themeColor="background1"/>
      </w:tblBorders>
    </w:tblPr>
    <w:tcPr>
      <w:shd w:val="clear" w:color="auto" w:fill="E2F6FF" w:themeFill="accent2" w:themeFillTint="19"/>
    </w:tcPr>
    <w:tblStylePr w:type="firstRow">
      <w:rPr>
        <w:b/>
        <w:bCs/>
      </w:rPr>
      <w:tblPr/>
      <w:tcPr>
        <w:tcBorders>
          <w:top w:val="nil"/>
          <w:left w:val="nil"/>
          <w:bottom w:val="single" w:sz="24" w:space="0" w:color="009DD9"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5D82" w:themeFill="accent2" w:themeFillShade="99"/>
      </w:tcPr>
    </w:tblStylePr>
    <w:tblStylePr w:type="firstCol">
      <w:rPr>
        <w:color w:val="FFFFFF" w:themeColor="background1"/>
      </w:rPr>
      <w:tblPr/>
      <w:tcPr>
        <w:tcBorders>
          <w:top w:val="nil"/>
          <w:left w:val="nil"/>
          <w:bottom w:val="nil"/>
          <w:right w:val="nil"/>
          <w:insideH w:val="single" w:sz="4" w:space="0" w:color="005D82" w:themeColor="accent2" w:themeShade="99"/>
          <w:insideV w:val="nil"/>
        </w:tcBorders>
        <w:shd w:val="clear" w:color="auto" w:fill="005D82"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5D82" w:themeFill="accent2" w:themeFillShade="99"/>
      </w:tcPr>
    </w:tblStylePr>
    <w:tblStylePr w:type="band1Vert">
      <w:tblPr/>
      <w:tcPr>
        <w:shd w:val="clear" w:color="auto" w:fill="89DEFF" w:themeFill="accent2" w:themeFillTint="66"/>
      </w:tcPr>
    </w:tblStylePr>
    <w:tblStylePr w:type="band1Horz">
      <w:tblPr/>
      <w:tcPr>
        <w:shd w:val="clear" w:color="auto" w:fill="6DD6FF"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10CF9B" w:themeColor="accent4"/>
        <w:left w:val="single" w:sz="4" w:space="0" w:color="0BD0D9" w:themeColor="accent3"/>
        <w:bottom w:val="single" w:sz="4" w:space="0" w:color="0BD0D9" w:themeColor="accent3"/>
        <w:right w:val="single" w:sz="4" w:space="0" w:color="0BD0D9" w:themeColor="accent3"/>
        <w:insideH w:val="single" w:sz="4" w:space="0" w:color="FFFFFF" w:themeColor="background1"/>
        <w:insideV w:val="single" w:sz="4" w:space="0" w:color="FFFFFF" w:themeColor="background1"/>
      </w:tblBorders>
    </w:tblPr>
    <w:tcPr>
      <w:shd w:val="clear" w:color="auto" w:fill="E4FCFD" w:themeFill="accent3" w:themeFillTint="19"/>
    </w:tcPr>
    <w:tblStylePr w:type="firstRow">
      <w:rPr>
        <w:b/>
        <w:bCs/>
      </w:rPr>
      <w:tblPr/>
      <w:tcPr>
        <w:tcBorders>
          <w:top w:val="nil"/>
          <w:left w:val="nil"/>
          <w:bottom w:val="single" w:sz="24" w:space="0" w:color="10CF9B"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67C82" w:themeFill="accent3" w:themeFillShade="99"/>
      </w:tcPr>
    </w:tblStylePr>
    <w:tblStylePr w:type="firstCol">
      <w:rPr>
        <w:color w:val="FFFFFF" w:themeColor="background1"/>
      </w:rPr>
      <w:tblPr/>
      <w:tcPr>
        <w:tcBorders>
          <w:top w:val="nil"/>
          <w:left w:val="nil"/>
          <w:bottom w:val="nil"/>
          <w:right w:val="nil"/>
          <w:insideH w:val="single" w:sz="4" w:space="0" w:color="067C82" w:themeColor="accent3" w:themeShade="99"/>
          <w:insideV w:val="nil"/>
        </w:tcBorders>
        <w:shd w:val="clear" w:color="auto" w:fill="067C82"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67C82" w:themeFill="accent3" w:themeFillShade="99"/>
      </w:tcPr>
    </w:tblStylePr>
    <w:tblStylePr w:type="band1Vert">
      <w:tblPr/>
      <w:tcPr>
        <w:shd w:val="clear" w:color="auto" w:fill="93F4F9" w:themeFill="accent3" w:themeFillTint="66"/>
      </w:tcPr>
    </w:tblStylePr>
    <w:tblStylePr w:type="band1Horz">
      <w:tblPr/>
      <w:tcPr>
        <w:shd w:val="clear" w:color="auto" w:fill="79F2F8"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0BD0D9" w:themeColor="accent3"/>
        <w:left w:val="single" w:sz="4" w:space="0" w:color="10CF9B" w:themeColor="accent4"/>
        <w:bottom w:val="single" w:sz="4" w:space="0" w:color="10CF9B" w:themeColor="accent4"/>
        <w:right w:val="single" w:sz="4" w:space="0" w:color="10CF9B" w:themeColor="accent4"/>
        <w:insideH w:val="single" w:sz="4" w:space="0" w:color="FFFFFF" w:themeColor="background1"/>
        <w:insideV w:val="single" w:sz="4" w:space="0" w:color="FFFFFF" w:themeColor="background1"/>
      </w:tblBorders>
    </w:tblPr>
    <w:tcPr>
      <w:shd w:val="clear" w:color="auto" w:fill="E4FDF6" w:themeFill="accent4" w:themeFillTint="19"/>
    </w:tcPr>
    <w:tblStylePr w:type="firstRow">
      <w:rPr>
        <w:b/>
        <w:bCs/>
      </w:rPr>
      <w:tblPr/>
      <w:tcPr>
        <w:tcBorders>
          <w:top w:val="nil"/>
          <w:left w:val="nil"/>
          <w:bottom w:val="single" w:sz="24" w:space="0" w:color="0BD0D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7C5C" w:themeFill="accent4" w:themeFillShade="99"/>
      </w:tcPr>
    </w:tblStylePr>
    <w:tblStylePr w:type="firstCol">
      <w:rPr>
        <w:color w:val="FFFFFF" w:themeColor="background1"/>
      </w:rPr>
      <w:tblPr/>
      <w:tcPr>
        <w:tcBorders>
          <w:top w:val="nil"/>
          <w:left w:val="nil"/>
          <w:bottom w:val="nil"/>
          <w:right w:val="nil"/>
          <w:insideH w:val="single" w:sz="4" w:space="0" w:color="097C5C" w:themeColor="accent4" w:themeShade="99"/>
          <w:insideV w:val="nil"/>
        </w:tcBorders>
        <w:shd w:val="clear" w:color="auto" w:fill="097C5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7C5C" w:themeFill="accent4" w:themeFillShade="99"/>
      </w:tcPr>
    </w:tblStylePr>
    <w:tblStylePr w:type="band1Vert">
      <w:tblPr/>
      <w:tcPr>
        <w:shd w:val="clear" w:color="auto" w:fill="94F6DB" w:themeFill="accent4" w:themeFillTint="66"/>
      </w:tcPr>
    </w:tblStylePr>
    <w:tblStylePr w:type="band1Horz">
      <w:tblPr/>
      <w:tcPr>
        <w:shd w:val="clear" w:color="auto" w:fill="7AF4D3"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A5C249" w:themeColor="accent6"/>
        <w:left w:val="single" w:sz="4" w:space="0" w:color="7CCA62" w:themeColor="accent5"/>
        <w:bottom w:val="single" w:sz="4" w:space="0" w:color="7CCA62" w:themeColor="accent5"/>
        <w:right w:val="single" w:sz="4" w:space="0" w:color="7CCA62" w:themeColor="accent5"/>
        <w:insideH w:val="single" w:sz="4" w:space="0" w:color="FFFFFF" w:themeColor="background1"/>
        <w:insideV w:val="single" w:sz="4" w:space="0" w:color="FFFFFF" w:themeColor="background1"/>
      </w:tblBorders>
    </w:tblPr>
    <w:tcPr>
      <w:shd w:val="clear" w:color="auto" w:fill="F2F9EF" w:themeFill="accent5" w:themeFillTint="19"/>
    </w:tcPr>
    <w:tblStylePr w:type="firstRow">
      <w:rPr>
        <w:b/>
        <w:bCs/>
      </w:rPr>
      <w:tblPr/>
      <w:tcPr>
        <w:tcBorders>
          <w:top w:val="nil"/>
          <w:left w:val="nil"/>
          <w:bottom w:val="single" w:sz="24" w:space="0" w:color="A5C249"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862D" w:themeFill="accent5" w:themeFillShade="99"/>
      </w:tcPr>
    </w:tblStylePr>
    <w:tblStylePr w:type="firstCol">
      <w:rPr>
        <w:color w:val="FFFFFF" w:themeColor="background1"/>
      </w:rPr>
      <w:tblPr/>
      <w:tcPr>
        <w:tcBorders>
          <w:top w:val="nil"/>
          <w:left w:val="nil"/>
          <w:bottom w:val="nil"/>
          <w:right w:val="nil"/>
          <w:insideH w:val="single" w:sz="4" w:space="0" w:color="43862D" w:themeColor="accent5" w:themeShade="99"/>
          <w:insideV w:val="nil"/>
        </w:tcBorders>
        <w:shd w:val="clear" w:color="auto" w:fill="4386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3862D" w:themeFill="accent5" w:themeFillShade="99"/>
      </w:tcPr>
    </w:tblStylePr>
    <w:tblStylePr w:type="band1Vert">
      <w:tblPr/>
      <w:tcPr>
        <w:shd w:val="clear" w:color="auto" w:fill="CAE9C0" w:themeFill="accent5" w:themeFillTint="66"/>
      </w:tcPr>
    </w:tblStylePr>
    <w:tblStylePr w:type="band1Horz">
      <w:tblPr/>
      <w:tcPr>
        <w:shd w:val="clear" w:color="auto" w:fill="BDE4B0"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7CCA62" w:themeColor="accent5"/>
        <w:left w:val="single" w:sz="4" w:space="0" w:color="A5C249" w:themeColor="accent6"/>
        <w:bottom w:val="single" w:sz="4" w:space="0" w:color="A5C249" w:themeColor="accent6"/>
        <w:right w:val="single" w:sz="4" w:space="0" w:color="A5C249" w:themeColor="accent6"/>
        <w:insideH w:val="single" w:sz="4" w:space="0" w:color="FFFFFF" w:themeColor="background1"/>
        <w:insideV w:val="single" w:sz="4" w:space="0" w:color="FFFFFF" w:themeColor="background1"/>
      </w:tblBorders>
    </w:tblPr>
    <w:tcPr>
      <w:shd w:val="clear" w:color="auto" w:fill="F6F9ED" w:themeFill="accent6" w:themeFillTint="19"/>
    </w:tcPr>
    <w:tblStylePr w:type="firstRow">
      <w:rPr>
        <w:b/>
        <w:bCs/>
      </w:rPr>
      <w:tblPr/>
      <w:tcPr>
        <w:tcBorders>
          <w:top w:val="nil"/>
          <w:left w:val="nil"/>
          <w:bottom w:val="single" w:sz="24" w:space="0" w:color="7CCA62"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47728" w:themeFill="accent6" w:themeFillShade="99"/>
      </w:tcPr>
    </w:tblStylePr>
    <w:tblStylePr w:type="firstCol">
      <w:rPr>
        <w:color w:val="FFFFFF" w:themeColor="background1"/>
      </w:rPr>
      <w:tblPr/>
      <w:tcPr>
        <w:tcBorders>
          <w:top w:val="nil"/>
          <w:left w:val="nil"/>
          <w:bottom w:val="nil"/>
          <w:right w:val="nil"/>
          <w:insideH w:val="single" w:sz="4" w:space="0" w:color="647728" w:themeColor="accent6" w:themeShade="99"/>
          <w:insideV w:val="nil"/>
        </w:tcBorders>
        <w:shd w:val="clear" w:color="auto" w:fill="64772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47728" w:themeFill="accent6" w:themeFillShade="99"/>
      </w:tcPr>
    </w:tblStylePr>
    <w:tblStylePr w:type="band1Vert">
      <w:tblPr/>
      <w:tcPr>
        <w:shd w:val="clear" w:color="auto" w:fill="DAE6B6" w:themeFill="accent6" w:themeFillTint="66"/>
      </w:tcPr>
    </w:tblStylePr>
    <w:tblStylePr w:type="band1Horz">
      <w:tblPr/>
      <w:tcPr>
        <w:shd w:val="clear" w:color="auto" w:fill="D1E0A4"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7DAD" w:themeFill="accent2" w:themeFillShade="CC"/>
      </w:tcPr>
    </w:tblStylePr>
    <w:tblStylePr w:type="lastRow">
      <w:rPr>
        <w:b/>
        <w:bCs/>
        <w:color w:val="007DA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3F0FD" w:themeFill="accent1" w:themeFillTint="19"/>
    </w:tcPr>
    <w:tblStylePr w:type="firstRow">
      <w:rPr>
        <w:b/>
        <w:bCs/>
        <w:color w:val="FFFFFF" w:themeColor="background1"/>
      </w:rPr>
      <w:tblPr/>
      <w:tcPr>
        <w:tcBorders>
          <w:bottom w:val="single" w:sz="12" w:space="0" w:color="FFFFFF" w:themeColor="background1"/>
        </w:tcBorders>
        <w:shd w:val="clear" w:color="auto" w:fill="007DAD" w:themeFill="accent2" w:themeFillShade="CC"/>
      </w:tcPr>
    </w:tblStylePr>
    <w:tblStylePr w:type="lastRow">
      <w:rPr>
        <w:b/>
        <w:bCs/>
        <w:color w:val="007DA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ADBF9" w:themeFill="accent1" w:themeFillTint="3F"/>
      </w:tcPr>
    </w:tblStylePr>
    <w:tblStylePr w:type="band1Horz">
      <w:tblPr/>
      <w:tcPr>
        <w:shd w:val="clear" w:color="auto" w:fill="C7E2FA"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E2F6FF" w:themeFill="accent2" w:themeFillTint="19"/>
    </w:tcPr>
    <w:tblStylePr w:type="firstRow">
      <w:rPr>
        <w:b/>
        <w:bCs/>
        <w:color w:val="FFFFFF" w:themeColor="background1"/>
      </w:rPr>
      <w:tblPr/>
      <w:tcPr>
        <w:tcBorders>
          <w:bottom w:val="single" w:sz="12" w:space="0" w:color="FFFFFF" w:themeColor="background1"/>
        </w:tcBorders>
        <w:shd w:val="clear" w:color="auto" w:fill="007DAD" w:themeFill="accent2" w:themeFillShade="CC"/>
      </w:tcPr>
    </w:tblStylePr>
    <w:tblStylePr w:type="lastRow">
      <w:rPr>
        <w:b/>
        <w:bCs/>
        <w:color w:val="007DA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6EAFF" w:themeFill="accent2" w:themeFillTint="3F"/>
      </w:tcPr>
    </w:tblStylePr>
    <w:tblStylePr w:type="band1Horz">
      <w:tblPr/>
      <w:tcPr>
        <w:shd w:val="clear" w:color="auto" w:fill="C4EEFF"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E4FCFD" w:themeFill="accent3" w:themeFillTint="19"/>
    </w:tcPr>
    <w:tblStylePr w:type="firstRow">
      <w:rPr>
        <w:b/>
        <w:bCs/>
        <w:color w:val="FFFFFF" w:themeColor="background1"/>
      </w:rPr>
      <w:tblPr/>
      <w:tcPr>
        <w:tcBorders>
          <w:bottom w:val="single" w:sz="12" w:space="0" w:color="FFFFFF" w:themeColor="background1"/>
        </w:tcBorders>
        <w:shd w:val="clear" w:color="auto" w:fill="0CA57B" w:themeFill="accent4" w:themeFillShade="CC"/>
      </w:tcPr>
    </w:tblStylePr>
    <w:tblStylePr w:type="lastRow">
      <w:rPr>
        <w:b/>
        <w:bCs/>
        <w:color w:val="0CA57B"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CF8FB" w:themeFill="accent3" w:themeFillTint="3F"/>
      </w:tcPr>
    </w:tblStylePr>
    <w:tblStylePr w:type="band1Horz">
      <w:tblPr/>
      <w:tcPr>
        <w:shd w:val="clear" w:color="auto" w:fill="C9F9FC"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E4FDF6" w:themeFill="accent4" w:themeFillTint="19"/>
    </w:tcPr>
    <w:tblStylePr w:type="firstRow">
      <w:rPr>
        <w:b/>
        <w:bCs/>
        <w:color w:val="FFFFFF" w:themeColor="background1"/>
      </w:rPr>
      <w:tblPr/>
      <w:tcPr>
        <w:tcBorders>
          <w:bottom w:val="single" w:sz="12" w:space="0" w:color="FFFFFF" w:themeColor="background1"/>
        </w:tcBorders>
        <w:shd w:val="clear" w:color="auto" w:fill="08A5AD" w:themeFill="accent3" w:themeFillShade="CC"/>
      </w:tcPr>
    </w:tblStylePr>
    <w:tblStylePr w:type="lastRow">
      <w:rPr>
        <w:b/>
        <w:bCs/>
        <w:color w:val="08A5AD"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FAE9" w:themeFill="accent4" w:themeFillTint="3F"/>
      </w:tcPr>
    </w:tblStylePr>
    <w:tblStylePr w:type="band1Horz">
      <w:tblPr/>
      <w:tcPr>
        <w:shd w:val="clear" w:color="auto" w:fill="C9FBED"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2F9EF" w:themeFill="accent5" w:themeFillTint="19"/>
    </w:tcPr>
    <w:tblStylePr w:type="firstRow">
      <w:rPr>
        <w:b/>
        <w:bCs/>
        <w:color w:val="FFFFFF" w:themeColor="background1"/>
      </w:rPr>
      <w:tblPr/>
      <w:tcPr>
        <w:tcBorders>
          <w:bottom w:val="single" w:sz="12" w:space="0" w:color="FFFFFF" w:themeColor="background1"/>
        </w:tcBorders>
        <w:shd w:val="clear" w:color="auto" w:fill="859F35" w:themeFill="accent6" w:themeFillShade="CC"/>
      </w:tcPr>
    </w:tblStylePr>
    <w:tblStylePr w:type="lastRow">
      <w:rPr>
        <w:b/>
        <w:bCs/>
        <w:color w:val="859F35"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EF2D8" w:themeFill="accent5" w:themeFillTint="3F"/>
      </w:tcPr>
    </w:tblStylePr>
    <w:tblStylePr w:type="band1Horz">
      <w:tblPr/>
      <w:tcPr>
        <w:shd w:val="clear" w:color="auto" w:fill="E4F4DF"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6F9ED" w:themeFill="accent6" w:themeFillTint="19"/>
    </w:tcPr>
    <w:tblStylePr w:type="firstRow">
      <w:rPr>
        <w:b/>
        <w:bCs/>
        <w:color w:val="FFFFFF" w:themeColor="background1"/>
      </w:rPr>
      <w:tblPr/>
      <w:tcPr>
        <w:tcBorders>
          <w:bottom w:val="single" w:sz="12" w:space="0" w:color="FFFFFF" w:themeColor="background1"/>
        </w:tcBorders>
        <w:shd w:val="clear" w:color="auto" w:fill="59B33C" w:themeFill="accent5" w:themeFillShade="CC"/>
      </w:tcPr>
    </w:tblStylePr>
    <w:tblStylePr w:type="lastRow">
      <w:rPr>
        <w:b/>
        <w:bCs/>
        <w:color w:val="59B3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F0D1" w:themeFill="accent6" w:themeFillTint="3F"/>
      </w:tcPr>
    </w:tblStylePr>
    <w:tblStylePr w:type="band1Horz">
      <w:tblPr/>
      <w:tcPr>
        <w:shd w:val="clear" w:color="auto" w:fill="ECF2DA"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7E2FA" w:themeFill="accent1" w:themeFillTint="33"/>
    </w:tcPr>
    <w:tblStylePr w:type="firstRow">
      <w:rPr>
        <w:b/>
        <w:bCs/>
      </w:rPr>
      <w:tblPr/>
      <w:tcPr>
        <w:shd w:val="clear" w:color="auto" w:fill="90C5F6" w:themeFill="accent1" w:themeFillTint="66"/>
      </w:tcPr>
    </w:tblStylePr>
    <w:tblStylePr w:type="lastRow">
      <w:rPr>
        <w:b/>
        <w:bCs/>
        <w:color w:val="000000" w:themeColor="text1"/>
      </w:rPr>
      <w:tblPr/>
      <w:tcPr>
        <w:shd w:val="clear" w:color="auto" w:fill="90C5F6" w:themeFill="accent1" w:themeFillTint="66"/>
      </w:tcPr>
    </w:tblStylePr>
    <w:tblStylePr w:type="firstCol">
      <w:rPr>
        <w:color w:val="FFFFFF" w:themeColor="background1"/>
      </w:rPr>
      <w:tblPr/>
      <w:tcPr>
        <w:shd w:val="clear" w:color="auto" w:fill="0B5294" w:themeFill="accent1" w:themeFillShade="BF"/>
      </w:tcPr>
    </w:tblStylePr>
    <w:tblStylePr w:type="lastCol">
      <w:rPr>
        <w:color w:val="FFFFFF" w:themeColor="background1"/>
      </w:rPr>
      <w:tblPr/>
      <w:tcPr>
        <w:shd w:val="clear" w:color="auto" w:fill="0B5294" w:themeFill="accent1" w:themeFillShade="BF"/>
      </w:tcPr>
    </w:tblStylePr>
    <w:tblStylePr w:type="band1Vert">
      <w:tblPr/>
      <w:tcPr>
        <w:shd w:val="clear" w:color="auto" w:fill="75B7F4" w:themeFill="accent1" w:themeFillTint="7F"/>
      </w:tcPr>
    </w:tblStylePr>
    <w:tblStylePr w:type="band1Horz">
      <w:tblPr/>
      <w:tcPr>
        <w:shd w:val="clear" w:color="auto" w:fill="75B7F4"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4EEFF" w:themeFill="accent2" w:themeFillTint="33"/>
    </w:tcPr>
    <w:tblStylePr w:type="firstRow">
      <w:rPr>
        <w:b/>
        <w:bCs/>
      </w:rPr>
      <w:tblPr/>
      <w:tcPr>
        <w:shd w:val="clear" w:color="auto" w:fill="89DEFF" w:themeFill="accent2" w:themeFillTint="66"/>
      </w:tcPr>
    </w:tblStylePr>
    <w:tblStylePr w:type="lastRow">
      <w:rPr>
        <w:b/>
        <w:bCs/>
        <w:color w:val="000000" w:themeColor="text1"/>
      </w:rPr>
      <w:tblPr/>
      <w:tcPr>
        <w:shd w:val="clear" w:color="auto" w:fill="89DEFF" w:themeFill="accent2" w:themeFillTint="66"/>
      </w:tcPr>
    </w:tblStylePr>
    <w:tblStylePr w:type="firstCol">
      <w:rPr>
        <w:color w:val="FFFFFF" w:themeColor="background1"/>
      </w:rPr>
      <w:tblPr/>
      <w:tcPr>
        <w:shd w:val="clear" w:color="auto" w:fill="0075A2" w:themeFill="accent2" w:themeFillShade="BF"/>
      </w:tcPr>
    </w:tblStylePr>
    <w:tblStylePr w:type="lastCol">
      <w:rPr>
        <w:color w:val="FFFFFF" w:themeColor="background1"/>
      </w:rPr>
      <w:tblPr/>
      <w:tcPr>
        <w:shd w:val="clear" w:color="auto" w:fill="0075A2" w:themeFill="accent2" w:themeFillShade="BF"/>
      </w:tcPr>
    </w:tblStylePr>
    <w:tblStylePr w:type="band1Vert">
      <w:tblPr/>
      <w:tcPr>
        <w:shd w:val="clear" w:color="auto" w:fill="6DD6FF" w:themeFill="accent2" w:themeFillTint="7F"/>
      </w:tcPr>
    </w:tblStylePr>
    <w:tblStylePr w:type="band1Horz">
      <w:tblPr/>
      <w:tcPr>
        <w:shd w:val="clear" w:color="auto" w:fill="6DD6FF"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9F9FC" w:themeFill="accent3" w:themeFillTint="33"/>
    </w:tcPr>
    <w:tblStylePr w:type="firstRow">
      <w:rPr>
        <w:b/>
        <w:bCs/>
      </w:rPr>
      <w:tblPr/>
      <w:tcPr>
        <w:shd w:val="clear" w:color="auto" w:fill="93F4F9" w:themeFill="accent3" w:themeFillTint="66"/>
      </w:tcPr>
    </w:tblStylePr>
    <w:tblStylePr w:type="lastRow">
      <w:rPr>
        <w:b/>
        <w:bCs/>
        <w:color w:val="000000" w:themeColor="text1"/>
      </w:rPr>
      <w:tblPr/>
      <w:tcPr>
        <w:shd w:val="clear" w:color="auto" w:fill="93F4F9" w:themeFill="accent3" w:themeFillTint="66"/>
      </w:tcPr>
    </w:tblStylePr>
    <w:tblStylePr w:type="firstCol">
      <w:rPr>
        <w:color w:val="FFFFFF" w:themeColor="background1"/>
      </w:rPr>
      <w:tblPr/>
      <w:tcPr>
        <w:shd w:val="clear" w:color="auto" w:fill="089BA2" w:themeFill="accent3" w:themeFillShade="BF"/>
      </w:tcPr>
    </w:tblStylePr>
    <w:tblStylePr w:type="lastCol">
      <w:rPr>
        <w:color w:val="FFFFFF" w:themeColor="background1"/>
      </w:rPr>
      <w:tblPr/>
      <w:tcPr>
        <w:shd w:val="clear" w:color="auto" w:fill="089BA2" w:themeFill="accent3" w:themeFillShade="BF"/>
      </w:tcPr>
    </w:tblStylePr>
    <w:tblStylePr w:type="band1Vert">
      <w:tblPr/>
      <w:tcPr>
        <w:shd w:val="clear" w:color="auto" w:fill="79F2F8" w:themeFill="accent3" w:themeFillTint="7F"/>
      </w:tcPr>
    </w:tblStylePr>
    <w:tblStylePr w:type="band1Horz">
      <w:tblPr/>
      <w:tcPr>
        <w:shd w:val="clear" w:color="auto" w:fill="79F2F8"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9FBED" w:themeFill="accent4" w:themeFillTint="33"/>
    </w:tcPr>
    <w:tblStylePr w:type="firstRow">
      <w:rPr>
        <w:b/>
        <w:bCs/>
      </w:rPr>
      <w:tblPr/>
      <w:tcPr>
        <w:shd w:val="clear" w:color="auto" w:fill="94F6DB" w:themeFill="accent4" w:themeFillTint="66"/>
      </w:tcPr>
    </w:tblStylePr>
    <w:tblStylePr w:type="lastRow">
      <w:rPr>
        <w:b/>
        <w:bCs/>
        <w:color w:val="000000" w:themeColor="text1"/>
      </w:rPr>
      <w:tblPr/>
      <w:tcPr>
        <w:shd w:val="clear" w:color="auto" w:fill="94F6DB" w:themeFill="accent4" w:themeFillTint="66"/>
      </w:tcPr>
    </w:tblStylePr>
    <w:tblStylePr w:type="firstCol">
      <w:rPr>
        <w:color w:val="FFFFFF" w:themeColor="background1"/>
      </w:rPr>
      <w:tblPr/>
      <w:tcPr>
        <w:shd w:val="clear" w:color="auto" w:fill="0C9A73" w:themeFill="accent4" w:themeFillShade="BF"/>
      </w:tcPr>
    </w:tblStylePr>
    <w:tblStylePr w:type="lastCol">
      <w:rPr>
        <w:color w:val="FFFFFF" w:themeColor="background1"/>
      </w:rPr>
      <w:tblPr/>
      <w:tcPr>
        <w:shd w:val="clear" w:color="auto" w:fill="0C9A73" w:themeFill="accent4" w:themeFillShade="BF"/>
      </w:tcPr>
    </w:tblStylePr>
    <w:tblStylePr w:type="band1Vert">
      <w:tblPr/>
      <w:tcPr>
        <w:shd w:val="clear" w:color="auto" w:fill="7AF4D3" w:themeFill="accent4" w:themeFillTint="7F"/>
      </w:tcPr>
    </w:tblStylePr>
    <w:tblStylePr w:type="band1Horz">
      <w:tblPr/>
      <w:tcPr>
        <w:shd w:val="clear" w:color="auto" w:fill="7AF4D3"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F4DF" w:themeFill="accent5" w:themeFillTint="33"/>
    </w:tcPr>
    <w:tblStylePr w:type="firstRow">
      <w:rPr>
        <w:b/>
        <w:bCs/>
      </w:rPr>
      <w:tblPr/>
      <w:tcPr>
        <w:shd w:val="clear" w:color="auto" w:fill="CAE9C0" w:themeFill="accent5" w:themeFillTint="66"/>
      </w:tcPr>
    </w:tblStylePr>
    <w:tblStylePr w:type="lastRow">
      <w:rPr>
        <w:b/>
        <w:bCs/>
        <w:color w:val="000000" w:themeColor="text1"/>
      </w:rPr>
      <w:tblPr/>
      <w:tcPr>
        <w:shd w:val="clear" w:color="auto" w:fill="CAE9C0" w:themeFill="accent5" w:themeFillTint="66"/>
      </w:tcPr>
    </w:tblStylePr>
    <w:tblStylePr w:type="firstCol">
      <w:rPr>
        <w:color w:val="FFFFFF" w:themeColor="background1"/>
      </w:rPr>
      <w:tblPr/>
      <w:tcPr>
        <w:shd w:val="clear" w:color="auto" w:fill="54A738" w:themeFill="accent5" w:themeFillShade="BF"/>
      </w:tcPr>
    </w:tblStylePr>
    <w:tblStylePr w:type="lastCol">
      <w:rPr>
        <w:color w:val="FFFFFF" w:themeColor="background1"/>
      </w:rPr>
      <w:tblPr/>
      <w:tcPr>
        <w:shd w:val="clear" w:color="auto" w:fill="54A738" w:themeFill="accent5" w:themeFillShade="BF"/>
      </w:tcPr>
    </w:tblStylePr>
    <w:tblStylePr w:type="band1Vert">
      <w:tblPr/>
      <w:tcPr>
        <w:shd w:val="clear" w:color="auto" w:fill="BDE4B0" w:themeFill="accent5" w:themeFillTint="7F"/>
      </w:tcPr>
    </w:tblStylePr>
    <w:tblStylePr w:type="band1Horz">
      <w:tblPr/>
      <w:tcPr>
        <w:shd w:val="clear" w:color="auto" w:fill="BDE4B0"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CF2DA" w:themeFill="accent6" w:themeFillTint="33"/>
    </w:tcPr>
    <w:tblStylePr w:type="firstRow">
      <w:rPr>
        <w:b/>
        <w:bCs/>
      </w:rPr>
      <w:tblPr/>
      <w:tcPr>
        <w:shd w:val="clear" w:color="auto" w:fill="DAE6B6" w:themeFill="accent6" w:themeFillTint="66"/>
      </w:tcPr>
    </w:tblStylePr>
    <w:tblStylePr w:type="lastRow">
      <w:rPr>
        <w:b/>
        <w:bCs/>
        <w:color w:val="000000" w:themeColor="text1"/>
      </w:rPr>
      <w:tblPr/>
      <w:tcPr>
        <w:shd w:val="clear" w:color="auto" w:fill="DAE6B6" w:themeFill="accent6" w:themeFillTint="66"/>
      </w:tcPr>
    </w:tblStylePr>
    <w:tblStylePr w:type="firstCol">
      <w:rPr>
        <w:color w:val="FFFFFF" w:themeColor="background1"/>
      </w:rPr>
      <w:tblPr/>
      <w:tcPr>
        <w:shd w:val="clear" w:color="auto" w:fill="7D9532" w:themeFill="accent6" w:themeFillShade="BF"/>
      </w:tcPr>
    </w:tblStylePr>
    <w:tblStylePr w:type="lastCol">
      <w:rPr>
        <w:color w:val="FFFFFF" w:themeColor="background1"/>
      </w:rPr>
      <w:tblPr/>
      <w:tcPr>
        <w:shd w:val="clear" w:color="auto" w:fill="7D9532" w:themeFill="accent6" w:themeFillShade="BF"/>
      </w:tcPr>
    </w:tblStylePr>
    <w:tblStylePr w:type="band1Vert">
      <w:tblPr/>
      <w:tcPr>
        <w:shd w:val="clear" w:color="auto" w:fill="D1E0A4" w:themeFill="accent6" w:themeFillTint="7F"/>
      </w:tcPr>
    </w:tblStylePr>
    <w:tblStylePr w:type="band1Horz">
      <w:tblPr/>
      <w:tcPr>
        <w:shd w:val="clear" w:color="auto" w:fill="D1E0A4" w:themeFill="accent6" w:themeFillTint="7F"/>
      </w:tcPr>
    </w:tblStylePr>
  </w:style>
  <w:style w:type="paragraph" w:customStyle="1" w:styleId="ReferenceEntry">
    <w:name w:val="Reference Entry"/>
    <w:pPr>
      <w:spacing w:after="120"/>
      <w:ind w:left="360" w:hanging="360"/>
    </w:pPr>
    <w:rPr>
      <w:rFonts w:ascii="Calibri" w:hAnsi="Calibri"/>
      <w:color w:val="17313F"/>
      <w:sz w:val="19"/>
    </w:rPr>
  </w:style>
  <w:style w:type="character" w:styleId="CommentReference">
    <w:name w:val="annotation reference"/>
    <w:basedOn w:val="DefaultParagraphFont"/>
    <w:uiPriority w:val="99"/>
    <w:semiHidden/>
    <w:unhideWhenUsed/>
    <w:rsid w:val="00B72F8A"/>
    <w:rPr>
      <w:sz w:val="16"/>
      <w:szCs w:val="16"/>
    </w:rPr>
  </w:style>
  <w:style w:type="paragraph" w:styleId="CommentText">
    <w:name w:val="annotation text"/>
    <w:basedOn w:val="Normal"/>
    <w:link w:val="CommentTextChar"/>
    <w:uiPriority w:val="99"/>
    <w:unhideWhenUsed/>
    <w:rsid w:val="00B72F8A"/>
    <w:pPr>
      <w:spacing w:line="240" w:lineRule="auto"/>
    </w:pPr>
    <w:rPr>
      <w:sz w:val="20"/>
      <w:szCs w:val="20"/>
    </w:rPr>
  </w:style>
  <w:style w:type="character" w:customStyle="1" w:styleId="CommentTextChar">
    <w:name w:val="Comment Text Char"/>
    <w:basedOn w:val="DefaultParagraphFont"/>
    <w:link w:val="CommentText"/>
    <w:uiPriority w:val="99"/>
    <w:rsid w:val="00B72F8A"/>
    <w:rPr>
      <w:rFonts w:ascii="Calibri" w:hAnsi="Calibri"/>
      <w:color w:val="17313F"/>
      <w:sz w:val="20"/>
      <w:szCs w:val="20"/>
    </w:rPr>
  </w:style>
  <w:style w:type="paragraph" w:styleId="CommentSubject">
    <w:name w:val="annotation subject"/>
    <w:basedOn w:val="CommentText"/>
    <w:next w:val="CommentText"/>
    <w:link w:val="CommentSubjectChar"/>
    <w:uiPriority w:val="99"/>
    <w:semiHidden/>
    <w:unhideWhenUsed/>
    <w:rsid w:val="00B72F8A"/>
    <w:rPr>
      <w:b/>
      <w:bCs/>
    </w:rPr>
  </w:style>
  <w:style w:type="character" w:customStyle="1" w:styleId="CommentSubjectChar">
    <w:name w:val="Comment Subject Char"/>
    <w:basedOn w:val="CommentTextChar"/>
    <w:link w:val="CommentSubject"/>
    <w:uiPriority w:val="99"/>
    <w:semiHidden/>
    <w:rsid w:val="00B72F8A"/>
    <w:rPr>
      <w:rFonts w:ascii="Calibri" w:hAnsi="Calibri"/>
      <w:b/>
      <w:bCs/>
      <w:color w:val="17313F"/>
      <w:sz w:val="20"/>
      <w:szCs w:val="20"/>
    </w:rPr>
  </w:style>
  <w:style w:type="paragraph" w:styleId="NormalWeb">
    <w:name w:val="Normal (Web)"/>
    <w:basedOn w:val="Normal"/>
    <w:uiPriority w:val="99"/>
    <w:semiHidden/>
    <w:unhideWhenUsed/>
    <w:rsid w:val="001B0EF5"/>
    <w:pPr>
      <w:spacing w:before="100" w:beforeAutospacing="1" w:after="100" w:afterAutospacing="1" w:line="240" w:lineRule="auto"/>
      <w:jc w:val="left"/>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867267">
      <w:bodyDiv w:val="1"/>
      <w:marLeft w:val="0"/>
      <w:marRight w:val="0"/>
      <w:marTop w:val="0"/>
      <w:marBottom w:val="0"/>
      <w:divBdr>
        <w:top w:val="none" w:sz="0" w:space="0" w:color="auto"/>
        <w:left w:val="none" w:sz="0" w:space="0" w:color="auto"/>
        <w:bottom w:val="none" w:sz="0" w:space="0" w:color="auto"/>
        <w:right w:val="none" w:sz="0" w:space="0" w:color="auto"/>
      </w:divBdr>
    </w:div>
    <w:div w:id="136389842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6T22:54:37.541"/>
    </inkml:context>
    <inkml:brush xml:id="br0">
      <inkml:brushProperty name="width" value="0.025" units="cm"/>
      <inkml:brushProperty name="height" value="0.025" units="cm"/>
      <inkml:brushProperty name="color" value="#E71224"/>
    </inkml:brush>
  </inkml:definitions>
  <inkml:trace contextRef="#ctx0" brushRef="#br0">0 0 24575</inkml:trace>
  <inkml:trace contextRef="#ctx0" brushRef="#br0" timeOffset="220.74">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6T22:54:19.265"/>
    </inkml:context>
    <inkml:brush xml:id="br0">
      <inkml:brushProperty name="width" value="0.025" units="cm"/>
      <inkml:brushProperty name="height" value="0.025" units="cm"/>
      <inkml:brushProperty name="color" value="#E71224"/>
    </inkml:brush>
  </inkml:definitions>
  <inkml:trace contextRef="#ctx0" brushRef="#br0">0 1 24575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6T22:52:12.030"/>
    </inkml:context>
    <inkml:brush xml:id="br0">
      <inkml:brushProperty name="width" value="0.035" units="cm"/>
      <inkml:brushProperty name="height" value="0.035" units="cm"/>
      <inkml:brushProperty name="color" value="#E71224"/>
    </inkml:brush>
  </inkml:definitions>
  <inkml:trace contextRef="#ctx0" brushRef="#br0">1 1 24575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6T22:20:02.442"/>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8841D6-ABAB-4C6B-8719-47A43A6D9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1515</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Grecișchin Dina</cp:lastModifiedBy>
  <cp:revision>2</cp:revision>
  <dcterms:created xsi:type="dcterms:W3CDTF">2026-08-06T23:58:00Z</dcterms:created>
  <dcterms:modified xsi:type="dcterms:W3CDTF">2026-08-06T23:58:00Z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b6e5488a-eca7-4c5a-bc3f-05115b4b49fa</vt:lpwstr>
  </property>
</Properties>
</file>