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ms-office.chartstyle+xml" PartName="/word/charts/style1.xml"/>
  <Override ContentType="application/vnd.ms-office.chartstyle+xml" PartName="/word/charts/style5.xml"/>
  <Override ContentType="application/vnd.ms-office.chartstyle+xml" PartName="/word/charts/style3.xml"/>
  <Override ContentType="application/vnd.ms-office.chartstyle+xml" PartName="/word/charts/style4.xml"/>
  <Override ContentType="application/vnd.ms-office.chartstyle+xml" PartName="/word/charts/style2.xml"/>
  <Override ContentType="application/vnd.ms-office.chartcolorstyle+xml" PartName="/word/charts/colors5.xml"/>
  <Override ContentType="application/vnd.ms-office.chartcolorstyle+xml" PartName="/word/charts/colors3.xml"/>
  <Override ContentType="application/vnd.ms-office.chartcolorstyle+xml" PartName="/word/charts/colors4.xml"/>
  <Override ContentType="application/vnd.ms-office.chartcolorstyle+xml" PartName="/word/charts/colors2.xml"/>
  <Override ContentType="application/vnd.ms-office.chartcolorstyle+xml" PartName="/word/charts/colors1.xml"/>
  <Override ContentType="application/vnd.openxmlformats-officedocument.wordprocessingml.document.main+xml" PartName="/word/document.xml"/>
  <Override ContentType="application/vnd.openxmlformats-officedocument.drawingml.chart+xml" PartName="/word/charts/chart1.xml"/>
  <Override ContentType="application/vnd.openxmlformats-officedocument.drawingml.chart+xml" PartName="/word/charts/chart2.xml"/>
  <Override ContentType="application/vnd.openxmlformats-officedocument.drawingml.chart+xml" PartName="/word/charts/chart4.xml"/>
  <Override ContentType="application/vnd.openxmlformats-officedocument.drawingml.chart+xml" PartName="/word/charts/chart5.xml"/>
  <Override ContentType="application/vnd.openxmlformats-officedocument.drawingml.chart+xml" PartName="/word/charts/chart3.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Arial" w:cs="Arial" w:eastAsia="Arial" w:hAnsi="Arial"/>
          <w:sz w:val="32"/>
          <w:szCs w:val="32"/>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382270</wp:posOffset>
            </wp:positionV>
            <wp:extent cx="1809750" cy="723900"/>
            <wp:effectExtent b="0" l="0" r="0" t="0"/>
            <wp:wrapSquare wrapText="bothSides" distB="0" distT="0" distL="114300" distR="114300"/>
            <wp:docPr descr="Discover University of Wales Trinity Saint David" id="6"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3">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4">
      <w:pPr>
        <w:rPr>
          <w:rFonts w:ascii="Arial" w:cs="Arial" w:eastAsia="Arial" w:hAnsi="Arial"/>
          <w:sz w:val="32"/>
          <w:szCs w:val="32"/>
        </w:rPr>
      </w:pPr>
      <w:r w:rsidDel="00000000" w:rsidR="00000000" w:rsidRPr="00000000">
        <w:rPr>
          <w:rtl w:val="0"/>
        </w:rPr>
      </w:r>
    </w:p>
    <w:tbl>
      <w:tblPr>
        <w:tblStyle w:val="Table1"/>
        <w:tblW w:w="992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rPr>
          <w:cantSplit w:val="0"/>
          <w:tblHeader w:val="0"/>
        </w:trPr>
        <w:tc>
          <w:tcPr/>
          <w:p w:rsidR="00000000" w:rsidDel="00000000" w:rsidP="00000000" w:rsidRDefault="00000000" w:rsidRPr="00000000" w14:paraId="00000005">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Student </w:t>
            </w:r>
          </w:p>
        </w:tc>
        <w:tc>
          <w:tcPr/>
          <w:p w:rsidR="00000000" w:rsidDel="00000000" w:rsidP="00000000" w:rsidRDefault="00000000" w:rsidRPr="00000000" w14:paraId="00000006">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Md Eftanoor </w:t>
            </w:r>
          </w:p>
        </w:tc>
        <w:tc>
          <w:tcPr/>
          <w:p w:rsidR="00000000" w:rsidDel="00000000" w:rsidP="00000000" w:rsidRDefault="00000000" w:rsidRPr="00000000" w14:paraId="00000007">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Student ID number:</w:t>
            </w:r>
          </w:p>
        </w:tc>
        <w:tc>
          <w:tcPr/>
          <w:p w:rsidR="00000000" w:rsidDel="00000000" w:rsidP="00000000" w:rsidRDefault="00000000" w:rsidRPr="00000000" w14:paraId="00000008">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2509788</w:t>
            </w:r>
          </w:p>
        </w:tc>
      </w:tr>
      <w:tr>
        <w:trPr>
          <w:cantSplit w:val="0"/>
          <w:tblHeader w:val="0"/>
        </w:trPr>
        <w:tc>
          <w:tcPr/>
          <w:p w:rsidR="00000000" w:rsidDel="00000000" w:rsidP="00000000" w:rsidRDefault="00000000" w:rsidRPr="00000000" w14:paraId="00000009">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Programme:</w:t>
            </w:r>
          </w:p>
        </w:tc>
        <w:tc>
          <w:tcPr>
            <w:gridSpan w:val="3"/>
          </w:tcPr>
          <w:p w:rsidR="00000000" w:rsidDel="00000000" w:rsidP="00000000" w:rsidRDefault="00000000" w:rsidRPr="00000000" w14:paraId="0000000A">
            <w:pPr>
              <w:spacing w:after="120" w:before="120" w:lineRule="auto"/>
              <w:rPr>
                <w:rFonts w:ascii="Arial" w:cs="Arial" w:eastAsia="Arial" w:hAnsi="Arial"/>
                <w:b w:val="1"/>
                <w:bCs w:val="1"/>
              </w:rPr>
            </w:pPr>
            <w:r w:rsidDel="00000000" w:rsidR="00000000" w:rsidRPr="00000000">
              <w:rPr>
                <w:rFonts w:ascii="Arial" w:cs="Arial" w:eastAsia="Arial" w:hAnsi="Arial"/>
                <w:rtl w:val="0"/>
              </w:rPr>
              <w:t xml:space="preserve">MBA</w:t>
            </w:r>
            <w:r w:rsidDel="00000000" w:rsidR="00000000" w:rsidRPr="00000000">
              <w:rPr>
                <w:rtl w:val="0"/>
              </w:rPr>
            </w:r>
          </w:p>
        </w:tc>
      </w:tr>
      <w:tr>
        <w:trPr>
          <w:cantSplit w:val="0"/>
          <w:tblHeader w:val="0"/>
        </w:trPr>
        <w:tc>
          <w:tcPr/>
          <w:p w:rsidR="00000000" w:rsidDel="00000000" w:rsidP="00000000" w:rsidRDefault="00000000" w:rsidRPr="00000000" w14:paraId="0000000D">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Module:</w:t>
            </w:r>
          </w:p>
        </w:tc>
        <w:tc>
          <w:tcPr>
            <w:gridSpan w:val="3"/>
          </w:tcPr>
          <w:p w:rsidR="00000000" w:rsidDel="00000000" w:rsidP="00000000" w:rsidRDefault="00000000" w:rsidRPr="00000000" w14:paraId="0000000E">
            <w:pPr>
              <w:spacing w:after="120" w:before="120" w:lineRule="auto"/>
              <w:rPr>
                <w:rFonts w:ascii="Arial" w:cs="Arial" w:eastAsia="Arial" w:hAnsi="Arial"/>
                <w:b w:val="1"/>
                <w:bCs w:val="1"/>
              </w:rPr>
            </w:pPr>
            <w:r w:rsidDel="00000000" w:rsidR="00000000" w:rsidRPr="00000000">
              <w:rPr>
                <w:rFonts w:ascii="Arial" w:cs="Arial" w:eastAsia="Arial" w:hAnsi="Arial"/>
                <w:rtl w:val="0"/>
              </w:rPr>
              <w:t xml:space="preserve">Finance for Business Managers</w:t>
            </w:r>
            <w:r w:rsidDel="00000000" w:rsidR="00000000" w:rsidRPr="00000000">
              <w:rPr>
                <w:rtl w:val="0"/>
              </w:rPr>
            </w:r>
          </w:p>
        </w:tc>
      </w:tr>
      <w:tr>
        <w:trPr>
          <w:cantSplit w:val="0"/>
          <w:tblHeader w:val="0"/>
        </w:trPr>
        <w:tc>
          <w:tcPr/>
          <w:p w:rsidR="00000000" w:rsidDel="00000000" w:rsidP="00000000" w:rsidRDefault="00000000" w:rsidRPr="00000000" w14:paraId="00000011">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Module code:</w:t>
            </w:r>
          </w:p>
        </w:tc>
        <w:tc>
          <w:tcPr/>
          <w:p w:rsidR="00000000" w:rsidDel="00000000" w:rsidP="00000000" w:rsidRDefault="00000000" w:rsidRPr="00000000" w14:paraId="00000012">
            <w:pPr>
              <w:spacing w:after="120" w:before="120" w:lineRule="auto"/>
              <w:rPr>
                <w:rFonts w:ascii="Arial" w:cs="Arial" w:eastAsia="Arial" w:hAnsi="Arial"/>
                <w:b w:val="1"/>
                <w:bCs w:val="1"/>
              </w:rPr>
            </w:pPr>
            <w:r w:rsidDel="00000000" w:rsidR="00000000" w:rsidRPr="00000000">
              <w:rPr>
                <w:rFonts w:ascii="Arial" w:cs="Arial" w:eastAsia="Arial" w:hAnsi="Arial"/>
                <w:rtl w:val="0"/>
              </w:rPr>
              <w:t xml:space="preserve">BMMB7005D</w:t>
            </w:r>
            <w:r w:rsidDel="00000000" w:rsidR="00000000" w:rsidRPr="00000000">
              <w:rPr>
                <w:rtl w:val="0"/>
              </w:rPr>
            </w:r>
          </w:p>
        </w:tc>
        <w:tc>
          <w:tcPr/>
          <w:p w:rsidR="00000000" w:rsidDel="00000000" w:rsidP="00000000" w:rsidRDefault="00000000" w:rsidRPr="00000000" w14:paraId="00000013">
            <w:pPr>
              <w:rPr>
                <w:b w:val="1"/>
                <w:bCs w:val="1"/>
              </w:rPr>
            </w:pPr>
            <w:r w:rsidDel="00000000" w:rsidR="00000000" w:rsidRPr="00000000">
              <w:rPr>
                <w:b w:val="1"/>
                <w:bCs w:val="1"/>
                <w:rtl w:val="0"/>
              </w:rPr>
              <w:t xml:space="preserve">Contribution to Overall Module Assessment (%):</w:t>
            </w:r>
          </w:p>
        </w:tc>
        <w:tc>
          <w:tcPr/>
          <w:p w:rsidR="00000000" w:rsidDel="00000000" w:rsidP="00000000" w:rsidRDefault="00000000" w:rsidRPr="00000000" w14:paraId="00000014">
            <w:pPr>
              <w:spacing w:after="120" w:before="120" w:lineRule="auto"/>
              <w:rPr>
                <w:rFonts w:ascii="Arial" w:cs="Arial" w:eastAsia="Arial" w:hAnsi="Arial"/>
                <w:b w:val="1"/>
                <w:bCs w:val="1"/>
              </w:rPr>
            </w:pPr>
            <w:r w:rsidDel="00000000" w:rsidR="00000000" w:rsidRPr="00000000">
              <w:rPr>
                <w:rFonts w:ascii="Arial" w:cs="Arial" w:eastAsia="Arial" w:hAnsi="Arial"/>
                <w:rtl w:val="0"/>
              </w:rPr>
              <w:t xml:space="preserve">100%</w:t>
            </w:r>
            <w:r w:rsidDel="00000000" w:rsidR="00000000" w:rsidRPr="00000000">
              <w:rPr>
                <w:rtl w:val="0"/>
              </w:rPr>
            </w:r>
          </w:p>
        </w:tc>
      </w:tr>
      <w:tr>
        <w:trPr>
          <w:cantSplit w:val="0"/>
          <w:tblHeader w:val="0"/>
        </w:trPr>
        <w:tc>
          <w:tcPr/>
          <w:p w:rsidR="00000000" w:rsidDel="00000000" w:rsidP="00000000" w:rsidRDefault="00000000" w:rsidRPr="00000000" w14:paraId="00000015">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Lecturer:</w:t>
            </w:r>
          </w:p>
        </w:tc>
        <w:tc>
          <w:tcPr/>
          <w:p w:rsidR="00000000" w:rsidDel="00000000" w:rsidP="00000000" w:rsidRDefault="00000000" w:rsidRPr="00000000" w14:paraId="00000016">
            <w:pPr>
              <w:spacing w:after="120" w:before="120" w:lineRule="auto"/>
              <w:rPr>
                <w:rFonts w:ascii="Arial" w:cs="Arial" w:eastAsia="Arial" w:hAnsi="Arial"/>
                <w:b w:val="1"/>
                <w:bCs w:val="1"/>
              </w:rPr>
            </w:pPr>
            <w:r w:rsidDel="00000000" w:rsidR="00000000" w:rsidRPr="00000000">
              <w:rPr>
                <w:rFonts w:ascii="Arial" w:cs="Arial" w:eastAsia="Arial" w:hAnsi="Arial"/>
                <w:rtl w:val="0"/>
              </w:rPr>
              <w:t xml:space="preserve">Marie Pitson</w:t>
            </w:r>
            <w:r w:rsidDel="00000000" w:rsidR="00000000" w:rsidRPr="00000000">
              <w:rPr>
                <w:rtl w:val="0"/>
              </w:rPr>
            </w:r>
          </w:p>
        </w:tc>
        <w:tc>
          <w:tcPr/>
          <w:p w:rsidR="00000000" w:rsidDel="00000000" w:rsidP="00000000" w:rsidRDefault="00000000" w:rsidRPr="00000000" w14:paraId="00000017">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Internal Verifier:</w:t>
            </w:r>
          </w:p>
        </w:tc>
        <w:tc>
          <w:tcPr/>
          <w:p w:rsidR="00000000" w:rsidDel="00000000" w:rsidP="00000000" w:rsidRDefault="00000000" w:rsidRPr="00000000" w14:paraId="00000018">
            <w:pPr>
              <w:spacing w:after="120" w:before="120" w:lineRule="auto"/>
              <w:rPr>
                <w:rFonts w:ascii="Arial" w:cs="Arial" w:eastAsia="Arial" w:hAnsi="Arial"/>
                <w:b w:val="1"/>
                <w:bCs w:val="1"/>
              </w:rPr>
            </w:pPr>
            <w:r w:rsidDel="00000000" w:rsidR="00000000" w:rsidRPr="00000000">
              <w:rPr>
                <w:rFonts w:ascii="Arial" w:cs="Arial" w:eastAsia="Arial" w:hAnsi="Arial"/>
                <w:rtl w:val="0"/>
              </w:rPr>
              <w:t xml:space="preserve">Badir Miftah</w:t>
            </w:r>
            <w:r w:rsidDel="00000000" w:rsidR="00000000" w:rsidRPr="00000000">
              <w:rPr>
                <w:rtl w:val="0"/>
              </w:rPr>
            </w:r>
          </w:p>
        </w:tc>
      </w:tr>
      <w:tr>
        <w:trPr>
          <w:cantSplit w:val="0"/>
          <w:tblHeader w:val="0"/>
        </w:trPr>
        <w:tc>
          <w:tcPr/>
          <w:p w:rsidR="00000000" w:rsidDel="00000000" w:rsidP="00000000" w:rsidRDefault="00000000" w:rsidRPr="00000000" w14:paraId="00000019">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Assignment Title:</w:t>
            </w:r>
          </w:p>
        </w:tc>
        <w:tc>
          <w:tcPr/>
          <w:p w:rsidR="00000000" w:rsidDel="00000000" w:rsidP="00000000" w:rsidRDefault="00000000" w:rsidRPr="00000000" w14:paraId="0000001A">
            <w:pPr>
              <w:spacing w:after="120" w:before="120" w:lineRule="auto"/>
              <w:rPr>
                <w:rFonts w:ascii="Arial" w:cs="Arial" w:eastAsia="Arial" w:hAnsi="Arial"/>
              </w:rPr>
            </w:pPr>
            <w:r w:rsidDel="00000000" w:rsidR="00000000" w:rsidRPr="00000000">
              <w:rPr>
                <w:rFonts w:ascii="Arial" w:cs="Arial" w:eastAsia="Arial" w:hAnsi="Arial"/>
                <w:rtl w:val="0"/>
              </w:rPr>
              <w:t xml:space="preserve">Finance Report for Diageo &amp; Westward Plc </w:t>
            </w:r>
          </w:p>
        </w:tc>
        <w:tc>
          <w:tcPr/>
          <w:p w:rsidR="00000000" w:rsidDel="00000000" w:rsidP="00000000" w:rsidRDefault="00000000" w:rsidRPr="00000000" w14:paraId="0000001B">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Word count (or equivalent):</w:t>
            </w:r>
          </w:p>
        </w:tc>
        <w:tc>
          <w:tcPr/>
          <w:p w:rsidR="00000000" w:rsidDel="00000000" w:rsidP="00000000" w:rsidRDefault="00000000" w:rsidRPr="00000000" w14:paraId="0000001C">
            <w:pPr>
              <w:spacing w:after="120" w:before="120" w:lineRule="auto"/>
              <w:rPr>
                <w:rFonts w:ascii="Arial" w:cs="Arial" w:eastAsia="Arial" w:hAnsi="Arial"/>
                <w:b w:val="1"/>
                <w:bCs w:val="1"/>
              </w:rPr>
            </w:pPr>
            <w:r w:rsidDel="00000000" w:rsidR="00000000" w:rsidRPr="00000000">
              <w:rPr>
                <w:rFonts w:ascii="Arial" w:cs="Arial" w:eastAsia="Arial" w:hAnsi="Arial"/>
                <w:rtl w:val="0"/>
              </w:rPr>
              <w:t xml:space="preserve">5000 words</w:t>
            </w:r>
            <w:r w:rsidDel="00000000" w:rsidR="00000000" w:rsidRPr="00000000">
              <w:rPr>
                <w:rtl w:val="0"/>
              </w:rPr>
            </w:r>
          </w:p>
        </w:tc>
      </w:tr>
      <w:tr>
        <w:trPr>
          <w:cantSplit w:val="0"/>
          <w:tblHeader w:val="0"/>
        </w:trPr>
        <w:tc>
          <w:tcPr/>
          <w:p w:rsidR="00000000" w:rsidDel="00000000" w:rsidP="00000000" w:rsidRDefault="00000000" w:rsidRPr="00000000" w14:paraId="0000001D">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Submission deadline:</w:t>
            </w:r>
          </w:p>
        </w:tc>
        <w:tc>
          <w:tcPr/>
          <w:p w:rsidR="00000000" w:rsidDel="00000000" w:rsidP="00000000" w:rsidRDefault="00000000" w:rsidRPr="00000000" w14:paraId="0000001E">
            <w:pPr>
              <w:spacing w:after="120" w:before="120" w:lineRule="auto"/>
              <w:rPr>
                <w:rFonts w:ascii="Arial" w:cs="Arial" w:eastAsia="Arial" w:hAnsi="Arial"/>
              </w:rPr>
            </w:pPr>
            <w:r w:rsidDel="00000000" w:rsidR="00000000" w:rsidRPr="00000000">
              <w:rPr>
                <w:rFonts w:ascii="Arial" w:cs="Arial" w:eastAsia="Arial" w:hAnsi="Arial"/>
                <w:rtl w:val="0"/>
              </w:rPr>
              <w:t xml:space="preserve">12</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January 2026</w:t>
            </w:r>
          </w:p>
        </w:tc>
        <w:tc>
          <w:tcPr/>
          <w:p w:rsidR="00000000" w:rsidDel="00000000" w:rsidP="00000000" w:rsidRDefault="00000000" w:rsidRPr="00000000" w14:paraId="0000001F">
            <w:pPr>
              <w:spacing w:after="120" w:before="120" w:lineRule="auto"/>
              <w:rPr>
                <w:rFonts w:ascii="Arial" w:cs="Arial" w:eastAsia="Arial" w:hAnsi="Arial"/>
                <w:b w:val="1"/>
                <w:bCs w:val="1"/>
              </w:rPr>
            </w:pPr>
            <w:r w:rsidDel="00000000" w:rsidR="00000000" w:rsidRPr="00000000">
              <w:rPr>
                <w:rtl w:val="0"/>
              </w:rPr>
            </w:r>
          </w:p>
        </w:tc>
        <w:tc>
          <w:tcPr/>
          <w:p w:rsidR="00000000" w:rsidDel="00000000" w:rsidP="00000000" w:rsidRDefault="00000000" w:rsidRPr="00000000" w14:paraId="00000020">
            <w:pPr>
              <w:spacing w:after="120" w:before="120" w:lineRule="auto"/>
              <w:rPr>
                <w:rFonts w:ascii="Arial" w:cs="Arial" w:eastAsia="Arial" w:hAnsi="Arial"/>
              </w:rPr>
            </w:pPr>
            <w:r w:rsidDel="00000000" w:rsidR="00000000" w:rsidRPr="00000000">
              <w:rPr>
                <w:rtl w:val="0"/>
              </w:rPr>
            </w:r>
          </w:p>
        </w:tc>
      </w:tr>
    </w:tbl>
    <w:p w:rsidR="00000000" w:rsidDel="00000000" w:rsidP="00000000" w:rsidRDefault="00000000" w:rsidRPr="00000000" w14:paraId="00000021">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2">
      <w:pPr>
        <w:spacing w:line="259" w:lineRule="auto"/>
        <w:jc w:val="left"/>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rFonts w:ascii="Arial" w:cs="Arial" w:eastAsia="Arial" w:hAnsi="Arial"/>
        </w:rPr>
      </w:pPr>
      <w:bookmarkStart w:colFirst="0" w:colLast="0" w:name="_avofszdhwahq" w:id="0"/>
      <w:bookmarkEnd w:id="0"/>
      <w:r w:rsidDel="00000000" w:rsidR="00000000" w:rsidRPr="00000000">
        <w:rPr>
          <w:rFonts w:ascii="Arial" w:cs="Arial" w:eastAsia="Arial" w:hAnsi="Arial"/>
          <w:rtl w:val="0"/>
        </w:rPr>
        <w:t xml:space="preserve">Executive Summary</w:t>
      </w:r>
    </w:p>
    <w:p w:rsidR="00000000" w:rsidDel="00000000" w:rsidP="00000000" w:rsidRDefault="00000000" w:rsidRPr="00000000" w14:paraId="00000024">
      <w:pPr>
        <w:rPr>
          <w:rFonts w:ascii="Arial" w:cs="Arial" w:eastAsia="Arial" w:hAnsi="Arial"/>
        </w:rPr>
      </w:pPr>
      <w:r w:rsidDel="00000000" w:rsidR="00000000" w:rsidRPr="00000000">
        <w:rPr>
          <w:rFonts w:ascii="Arial" w:cs="Arial" w:eastAsia="Arial" w:hAnsi="Arial"/>
          <w:rtl w:val="0"/>
        </w:rPr>
        <w:t xml:space="preserve">This report compares the financial performance of Diageo plc and the appraisal of the investments of Westward plc to enable wise managerial and strategic decision-making. Part 1 of the paper provides a ratio analysis of Diageo plc based on the published financial statements of the financial years 2024 and 2025 (Kannan, 2025). The analysis will include profitability, liquidity, efficiency, gearing and investment ratios to make an overall evaluation of the financial performance and position. The results suggest that the profitability and the efficiency of Diageo will decrease significantly in 2025, although the gross margins will be rather stable. Operating profit and net profit margins dropped dramatically, which is indicative of increasing operating and finance expenses. Asset returns, equity returns and capital employed also deteriorated, and this implies a lack of efficiency in the generation of returns on both the assets and the fund of shareholders. There was a slight positive change in liquidity, which indicated more resilience in the short-term financial position, but gearing was not substantially changed, except that interest coverage deteriorated, indicating more financial risk. The investment ratios indicated lower earnings per share, which is partly compensated by an increased price/earnings ratio and dividend yield as the market is confident even in the face of poor earnings (Fernando, 2024). Part 2 considers three mutually exclusive investments that Westward plc can use based on discounted cash flow analysis. The Net Present Value analysis recognises the existence of the most financially appealing standalone project as the development of internet sales, which has the highest NPV. The Internal Rate of Return of Option B is calculated as approximately 34.7, which is a lot higher than the cost of capital of the company. When the capital is limited by rationing, and the projects are divisible, the optimal investment policy would involve complete undertaking of the Options A and B and the proportion of undertaking the Option C to maximise the total NPV. The report finds that the proposed investments should be supported by the financial analysis, but qualitative and financing decisions are also important. It is advisable that a balanced financing approach be used based on retained earnings and moderate debt to ensure that the financial stability in the long term and value creation among shareholders. </w:t>
      </w:r>
      <w:r w:rsidDel="00000000" w:rsidR="00000000" w:rsidRPr="00000000">
        <w:br w:type="page"/>
      </w:r>
      <w:r w:rsidDel="00000000" w:rsidR="00000000" w:rsidRPr="00000000">
        <w:rPr>
          <w:rtl w:val="0"/>
        </w:rPr>
      </w:r>
    </w:p>
    <w:p w:rsidR="00000000" w:rsidDel="00000000" w:rsidP="00000000" w:rsidRDefault="00000000" w:rsidRPr="00000000" w14:paraId="0000002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0"/>
          <w:bCs w:val="0"/>
          <w:i w:val="0"/>
          <w:iCs w:val="0"/>
          <w:smallCaps w:val="0"/>
          <w:strike w:val="0"/>
          <w:color w:val="2f5496"/>
          <w:sz w:val="32"/>
          <w:szCs w:val="32"/>
          <w:u w:val="none"/>
          <w:shd w:fill="auto" w:val="clear"/>
          <w:vertAlign w:val="baseline"/>
        </w:rPr>
      </w:pPr>
      <w:r w:rsidDel="00000000" w:rsidR="00000000" w:rsidRPr="00000000">
        <w:rPr>
          <w:rFonts w:ascii="Arial" w:cs="Arial" w:eastAsia="Arial" w:hAnsi="Arial"/>
          <w:b w:val="0"/>
          <w:bCs w:val="0"/>
          <w:i w:val="0"/>
          <w:iCs w:val="0"/>
          <w:smallCaps w:val="0"/>
          <w:strike w:val="0"/>
          <w:color w:val="2f5496"/>
          <w:sz w:val="32"/>
          <w:szCs w:val="32"/>
          <w:u w:val="none"/>
          <w:shd w:fill="auto" w:val="clear"/>
          <w:vertAlign w:val="baseline"/>
          <w:rtl w:val="0"/>
        </w:rPr>
        <w:t xml:space="preserve">Contents</w:t>
      </w:r>
    </w:p>
    <w:sdt>
      <w:sdtPr>
        <w:id w:val="-235929692"/>
        <w:docPartObj>
          <w:docPartGallery w:val="Table of Contents"/>
          <w:docPartUnique w:val="1"/>
        </w:docPartObj>
      </w:sdtPr>
      <w:sdtContent>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avofszdhwah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Executive Summary</w:t>
            </w:r>
          </w:hyperlink>
          <w:hyperlink w:anchor="_avofszdhwah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usyrjidpdpn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Part 01</w:t>
            </w:r>
          </w:hyperlink>
          <w:hyperlink w:anchor="_usyrjidpdpn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mfex8tarisf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w:t>
            </w:r>
          </w:hyperlink>
          <w:hyperlink w:anchor="_mfex8tarisfj">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_mfex8tarisfj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720"/>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pgw8v5bv7d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w:t>
            </w:r>
          </w:hyperlink>
          <w:hyperlink w:anchor="_pgw8v5bv7dc">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_pgw8v5bv7dc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Financial Ratio Analysis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66pvq3xaypz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Limitations of Ratio Analysis</w:t>
            </w:r>
          </w:hyperlink>
          <w:hyperlink w:anchor="_66pvq3xaypz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i199ly9iymk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Recommendations for Improving Financial Management</w:t>
            </w:r>
          </w:hyperlink>
          <w:hyperlink w:anchor="_i199ly9iymk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18</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e0nrsa7c483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Part 02</w:t>
            </w:r>
          </w:hyperlink>
          <w:hyperlink w:anchor="_e0nrsa7c483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19</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brq4vgy98ku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w:t>
            </w:r>
          </w:hyperlink>
          <w:hyperlink w:anchor="_brq4vgy98kuj">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_brq4vgy98kuj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19</w:t>
          </w:r>
          <w:r w:rsidDel="00000000" w:rsidR="00000000" w:rsidRPr="00000000">
            <w:fldChar w:fldCharType="end"/>
          </w: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jf6gq6g3p78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Overview of Investment Options</w:t>
            </w:r>
          </w:hyperlink>
          <w:hyperlink w:anchor="_jf6gq6g3p78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19</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7i2ekpfneoj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Net Present Value (NPV) Analysis</w:t>
            </w:r>
          </w:hyperlink>
          <w:hyperlink w:anchor="_7i2ekpfneoj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20</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8k52s077l2c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Methodology</w:t>
            </w:r>
          </w:hyperlink>
          <w:hyperlink w:anchor="_8k52s077l2c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20</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i1mbb92zd24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Net Present Value (NPV) Formula</w:t>
            </w:r>
          </w:hyperlink>
          <w:hyperlink w:anchor="_i1mbb92zd24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21</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4m2a2ldesac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Internal Rate of Return (IRR) – Option B</w:t>
            </w:r>
          </w:hyperlink>
          <w:hyperlink w:anchor="_4m2a2ldesac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24</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720"/>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kbq6dvqngtz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w:t>
            </w:r>
          </w:hyperlink>
          <w:hyperlink w:anchor="_kbq6dvqngtza">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_kbq6dvqngtza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Management Results Interpretation.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25</w:t>
          </w:r>
          <w:r w:rsidDel="00000000" w:rsidR="00000000" w:rsidRPr="00000000">
            <w:fldChar w:fldCharType="end"/>
          </w: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720"/>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ba1tw2whl4u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w:t>
            </w:r>
          </w:hyperlink>
          <w:hyperlink w:anchor="_ba1tw2whl4un">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_ba1tw2whl4un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Capital Rationing Calculation (Funds limited to £2,500,000)</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26</w:t>
          </w:r>
          <w:r w:rsidDel="00000000" w:rsidR="00000000" w:rsidRPr="00000000">
            <w:fldChar w:fldCharType="end"/>
          </w: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720"/>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sxpdnhd15sc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w:t>
            </w:r>
          </w:hyperlink>
          <w:hyperlink w:anchor="_sxpdnhd15scx">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_sxpdnhd15scx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Financing Recommendation and Conclusion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28</w:t>
          </w:r>
          <w:r w:rsidDel="00000000" w:rsidR="00000000" w:rsidRPr="00000000">
            <w:fldChar w:fldCharType="end"/>
          </w: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rlxnxw50h9d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r>
          </w:hyperlink>
          <w:hyperlink w:anchor="_rlxnxw50h9d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29</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qxf4m0o0syq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Appendices</w:t>
            </w:r>
          </w:hyperlink>
          <w:hyperlink w:anchor="_qxf4m0o0syq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36</w:t>
            </w:r>
          </w:hyperlink>
          <w:r w:rsidDel="00000000" w:rsidR="00000000" w:rsidRPr="00000000">
            <w:rPr>
              <w:rtl w:val="0"/>
            </w:rPr>
          </w:r>
        </w:p>
        <w:p w:rsidR="00000000" w:rsidDel="00000000" w:rsidP="00000000" w:rsidRDefault="00000000" w:rsidRPr="00000000" w14:paraId="00000038">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9">
      <w:pPr>
        <w:spacing w:line="259" w:lineRule="auto"/>
        <w:jc w:val="left"/>
        <w:rPr>
          <w:rFonts w:ascii="Arial" w:cs="Arial" w:eastAsia="Arial" w:hAnsi="Arial"/>
          <w:b w:val="1"/>
          <w:bCs w:val="1"/>
          <w:color w:val="2f5496"/>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A">
      <w:pPr>
        <w:pStyle w:val="Heading1"/>
        <w:rPr>
          <w:rFonts w:ascii="Arial" w:cs="Arial" w:eastAsia="Arial" w:hAnsi="Arial"/>
        </w:rPr>
      </w:pPr>
      <w:bookmarkStart w:colFirst="0" w:colLast="0" w:name="_usyrjidpdpni" w:id="1"/>
      <w:bookmarkEnd w:id="1"/>
      <w:r w:rsidDel="00000000" w:rsidR="00000000" w:rsidRPr="00000000">
        <w:rPr>
          <w:rFonts w:ascii="Arial" w:cs="Arial" w:eastAsia="Arial" w:hAnsi="Arial"/>
          <w:rtl w:val="0"/>
        </w:rPr>
        <w:t xml:space="preserve">Part 01</w:t>
      </w:r>
    </w:p>
    <w:p w:rsidR="00000000" w:rsidDel="00000000" w:rsidP="00000000" w:rsidRDefault="00000000" w:rsidRPr="00000000" w14:paraId="0000003B">
      <w:pPr>
        <w:pStyle w:val="Heading1"/>
        <w:numPr>
          <w:ilvl w:val="0"/>
          <w:numId w:val="4"/>
        </w:numPr>
        <w:ind w:left="720" w:hanging="360"/>
        <w:rPr>
          <w:rFonts w:ascii="Arial" w:cs="Arial" w:eastAsia="Arial" w:hAnsi="Arial"/>
        </w:rPr>
      </w:pPr>
      <w:bookmarkStart w:colFirst="0" w:colLast="0" w:name="_mfex8tarisfj" w:id="2"/>
      <w:bookmarkEnd w:id="2"/>
      <w:r w:rsidDel="00000000" w:rsidR="00000000" w:rsidRPr="00000000">
        <w:rPr>
          <w:rFonts w:ascii="Arial" w:cs="Arial" w:eastAsia="Arial" w:hAnsi="Arial"/>
          <w:rtl w:val="0"/>
        </w:rPr>
        <w:t xml:space="preserve">Introduction</w:t>
      </w:r>
    </w:p>
    <w:p w:rsidR="00000000" w:rsidDel="00000000" w:rsidP="00000000" w:rsidRDefault="00000000" w:rsidRPr="00000000" w14:paraId="0000003C">
      <w:pPr>
        <w:rPr>
          <w:rFonts w:ascii="Arial" w:cs="Arial" w:eastAsia="Arial" w:hAnsi="Arial"/>
        </w:rPr>
      </w:pPr>
      <w:r w:rsidDel="00000000" w:rsidR="00000000" w:rsidRPr="00000000">
        <w:rPr>
          <w:rFonts w:ascii="Arial" w:cs="Arial" w:eastAsia="Arial" w:hAnsi="Arial"/>
          <w:rtl w:val="0"/>
        </w:rPr>
        <w:t xml:space="preserve">Diageo plc is a multinational company that deals with beverages and is a part of the FTSE 100 Index, with operations in the alcoholic drinks industry (Diageo, 2024). The organisation is among the most successful organisations in its industry, with a wide range of globally diversified brands and operates activities in many geographical locations. The business environment Diageo operates in is difficult and dynamic, and is affected by fluctuating consumer tastes, regulatory restrictions, volatile foreign exchange rates and rapid development capital needs. These considerations make financial performance and financial strength important in terms of financial analysis. This report has been prepared for the directors of Diageo plc with the view of reviewing the financial performance and position of the company, thus assisting in making informed managerial and strategic decisions. </w:t>
      </w:r>
    </w:p>
    <w:p w:rsidR="00000000" w:rsidDel="00000000" w:rsidP="00000000" w:rsidRDefault="00000000" w:rsidRPr="00000000" w14:paraId="0000003D">
      <w:pPr>
        <w:keepNext w:val="1"/>
        <w:jc w:val="center"/>
        <w:rPr>
          <w:rFonts w:ascii="Arial" w:cs="Arial" w:eastAsia="Arial" w:hAnsi="Arial"/>
        </w:rPr>
      </w:pPr>
      <w:r w:rsidDel="00000000" w:rsidR="00000000" w:rsidRPr="00000000">
        <w:rPr>
          <w:rFonts w:ascii="Arial" w:cs="Arial" w:eastAsia="Arial" w:hAnsi="Arial"/>
        </w:rPr>
        <w:drawing>
          <wp:inline distB="0" distT="0" distL="0" distR="0">
            <wp:extent cx="4038600" cy="2697480"/>
            <wp:effectExtent b="0" l="0" r="0" t="0"/>
            <wp:docPr descr="Diageo to leave Park Royal headquarters for new central London home - Just  Drinks" id="7" name="image2.png"/>
            <a:graphic>
              <a:graphicData uri="http://schemas.openxmlformats.org/drawingml/2006/picture">
                <pic:pic>
                  <pic:nvPicPr>
                    <pic:cNvPr descr="Diageo to leave Park Royal headquarters for new central London home - Just  Drinks" id="0" name="image2.png"/>
                    <pic:cNvPicPr preferRelativeResize="0"/>
                  </pic:nvPicPr>
                  <pic:blipFill>
                    <a:blip r:embed="rId7"/>
                    <a:srcRect b="0" l="0" r="0" t="0"/>
                    <a:stretch>
                      <a:fillRect/>
                    </a:stretch>
                  </pic:blipFill>
                  <pic:spPr>
                    <a:xfrm>
                      <a:off x="0" y="0"/>
                      <a:ext cx="4038600" cy="2697480"/>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44546a"/>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1: Diageo HQ Source: (Lee, 2019)</w:t>
      </w:r>
    </w:p>
    <w:p w:rsidR="00000000" w:rsidDel="00000000" w:rsidP="00000000" w:rsidRDefault="00000000" w:rsidRPr="00000000" w14:paraId="0000003F">
      <w:pPr>
        <w:rPr>
          <w:rFonts w:ascii="Arial" w:cs="Arial" w:eastAsia="Arial" w:hAnsi="Arial"/>
        </w:rPr>
      </w:pPr>
      <w:r w:rsidDel="00000000" w:rsidR="00000000" w:rsidRPr="00000000">
        <w:rPr>
          <w:rFonts w:ascii="Arial" w:cs="Arial" w:eastAsia="Arial" w:hAnsi="Arial"/>
          <w:rtl w:val="0"/>
        </w:rPr>
        <w:t xml:space="preserve">The analysis uses the ratio analysis as the main analytical tool to analyse profitability, liquidity, efficiency, gearing and investment ratios to come up with a holistic evaluation of financial health. It is evaluated using the data that was obtained from the published annual reports by Diageo and involves two financial years, which can be compared, and the trend identified. Ratio analysis is a useful financial instrument because it can help to simplify complex financial data, point out major trends over time and define the areas of strength and weakness in the business. It also enables performance evaluation by enabling financial outcomes to be interpreted concerning operations effectiveness and the financial framework (SOARE et al., 2025). The rest of this report will give a breakdown of each category of ratio, which will then be succeeded by an interpretation of the results, after which the report will wrap up with a summary of the most salient findings and the implications of the findings to the future financial performance of Diageo.</w:t>
      </w:r>
      <w:r w:rsidDel="00000000" w:rsidR="00000000" w:rsidRPr="00000000">
        <w:br w:type="page"/>
      </w:r>
      <w:r w:rsidDel="00000000" w:rsidR="00000000" w:rsidRPr="00000000">
        <w:rPr>
          <w:rtl w:val="0"/>
        </w:rPr>
      </w:r>
    </w:p>
    <w:p w:rsidR="00000000" w:rsidDel="00000000" w:rsidP="00000000" w:rsidRDefault="00000000" w:rsidRPr="00000000" w14:paraId="00000040">
      <w:pPr>
        <w:pStyle w:val="Heading2"/>
        <w:numPr>
          <w:ilvl w:val="0"/>
          <w:numId w:val="4"/>
        </w:numPr>
        <w:ind w:left="720" w:hanging="360"/>
        <w:rPr>
          <w:rFonts w:ascii="Arial" w:cs="Arial" w:eastAsia="Arial" w:hAnsi="Arial"/>
        </w:rPr>
      </w:pPr>
      <w:bookmarkStart w:colFirst="0" w:colLast="0" w:name="_pgw8v5bv7dc" w:id="3"/>
      <w:bookmarkEnd w:id="3"/>
      <w:r w:rsidDel="00000000" w:rsidR="00000000" w:rsidRPr="00000000">
        <w:rPr>
          <w:rFonts w:ascii="Arial" w:cs="Arial" w:eastAsia="Arial" w:hAnsi="Arial"/>
          <w:rtl w:val="0"/>
        </w:rPr>
        <w:t xml:space="preserve">Financial Ratio Analysis </w:t>
      </w:r>
    </w:p>
    <w:p w:rsidR="00000000" w:rsidDel="00000000" w:rsidP="00000000" w:rsidRDefault="00000000" w:rsidRPr="00000000" w14:paraId="00000041">
      <w:pPr>
        <w:rPr>
          <w:rFonts w:ascii="Arial" w:cs="Arial" w:eastAsia="Arial" w:hAnsi="Arial"/>
        </w:rPr>
      </w:pPr>
      <w:r w:rsidDel="00000000" w:rsidR="00000000" w:rsidRPr="00000000">
        <w:rPr>
          <w:rFonts w:ascii="Arial" w:cs="Arial" w:eastAsia="Arial" w:hAnsi="Arial"/>
          <w:rtl w:val="0"/>
        </w:rPr>
        <w:t xml:space="preserve">The financial performance of the company will be examined in the next section, and profitability, liquidity, gearing, efficiency, and investment ratio of the financial years of 2025 and 2024 have been used to analyse the financial performance of the company.</w:t>
      </w:r>
    </w:p>
    <w:p w:rsidR="00000000" w:rsidDel="00000000" w:rsidP="00000000" w:rsidRDefault="00000000" w:rsidRPr="00000000" w14:paraId="00000042">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Profitability Ratios</w:t>
      </w:r>
    </w:p>
    <w:tbl>
      <w:tblPr>
        <w:tblStyle w:val="Table2"/>
        <w:tblW w:w="9807.0" w:type="dxa"/>
        <w:jc w:val="left"/>
        <w:tblBorders>
          <w:top w:color="c5e0b3" w:space="0" w:sz="4" w:val="single"/>
          <w:left w:color="c5e0b3" w:space="0" w:sz="4" w:val="single"/>
          <w:bottom w:color="c5e0b3" w:space="0" w:sz="4" w:val="single"/>
          <w:right w:color="c5e0b3" w:space="0" w:sz="4" w:val="single"/>
          <w:insideH w:color="c5e0b3" w:space="0" w:sz="4" w:val="single"/>
          <w:insideV w:color="c5e0b3" w:space="0" w:sz="4" w:val="single"/>
        </w:tblBorders>
        <w:tblLayout w:type="fixed"/>
        <w:tblLook w:val="04A0"/>
      </w:tblPr>
      <w:tblGrid>
        <w:gridCol w:w="1407"/>
        <w:gridCol w:w="1567"/>
        <w:gridCol w:w="2038"/>
        <w:gridCol w:w="830"/>
        <w:gridCol w:w="2038"/>
        <w:gridCol w:w="830"/>
        <w:gridCol w:w="1097"/>
        <w:tblGridChange w:id="0">
          <w:tblGrid>
            <w:gridCol w:w="1407"/>
            <w:gridCol w:w="1567"/>
            <w:gridCol w:w="2038"/>
            <w:gridCol w:w="830"/>
            <w:gridCol w:w="2038"/>
            <w:gridCol w:w="830"/>
            <w:gridCol w:w="1097"/>
          </w:tblGrid>
        </w:tblGridChange>
      </w:tblGrid>
      <w:tr>
        <w:trPr>
          <w:cantSplit w:val="0"/>
          <w:trHeight w:val="844" w:hRule="atLeast"/>
          <w:tblHeader w:val="0"/>
        </w:trPr>
        <w:tc>
          <w:tcPr/>
          <w:p w:rsidR="00000000" w:rsidDel="00000000" w:rsidP="00000000" w:rsidRDefault="00000000" w:rsidRPr="00000000" w14:paraId="00000043">
            <w:pPr>
              <w:rPr>
                <w:rFonts w:ascii="Arial" w:cs="Arial" w:eastAsia="Arial" w:hAnsi="Arial"/>
              </w:rPr>
            </w:pPr>
            <w:r w:rsidDel="00000000" w:rsidR="00000000" w:rsidRPr="00000000">
              <w:rPr>
                <w:rFonts w:ascii="Arial" w:cs="Arial" w:eastAsia="Arial" w:hAnsi="Arial"/>
                <w:rtl w:val="0"/>
              </w:rPr>
              <w:t xml:space="preserve">Ratio</w:t>
            </w:r>
          </w:p>
        </w:tc>
        <w:tc>
          <w:tcPr/>
          <w:p w:rsidR="00000000" w:rsidDel="00000000" w:rsidP="00000000" w:rsidRDefault="00000000" w:rsidRPr="00000000" w14:paraId="00000044">
            <w:pPr>
              <w:rPr>
                <w:rFonts w:ascii="Arial" w:cs="Arial" w:eastAsia="Arial" w:hAnsi="Arial"/>
              </w:rPr>
            </w:pPr>
            <w:r w:rsidDel="00000000" w:rsidR="00000000" w:rsidRPr="00000000">
              <w:rPr>
                <w:rFonts w:ascii="Arial" w:cs="Arial" w:eastAsia="Arial" w:hAnsi="Arial"/>
                <w:rtl w:val="0"/>
              </w:rPr>
              <w:t xml:space="preserve">Formula</w:t>
            </w:r>
          </w:p>
        </w:tc>
        <w:tc>
          <w:tcPr/>
          <w:p w:rsidR="00000000" w:rsidDel="00000000" w:rsidP="00000000" w:rsidRDefault="00000000" w:rsidRPr="00000000" w14:paraId="00000045">
            <w:pPr>
              <w:rPr>
                <w:rFonts w:ascii="Arial" w:cs="Arial" w:eastAsia="Arial" w:hAnsi="Arial"/>
              </w:rPr>
            </w:pPr>
            <w:r w:rsidDel="00000000" w:rsidR="00000000" w:rsidRPr="00000000">
              <w:rPr>
                <w:rFonts w:ascii="Arial" w:cs="Arial" w:eastAsia="Arial" w:hAnsi="Arial"/>
                <w:rtl w:val="0"/>
              </w:rPr>
              <w:t xml:space="preserve">2025 Calculation</w:t>
            </w:r>
          </w:p>
        </w:tc>
        <w:tc>
          <w:tcPr/>
          <w:p w:rsidR="00000000" w:rsidDel="00000000" w:rsidP="00000000" w:rsidRDefault="00000000" w:rsidRPr="00000000" w14:paraId="00000046">
            <w:pPr>
              <w:rPr>
                <w:rFonts w:ascii="Arial" w:cs="Arial" w:eastAsia="Arial" w:hAnsi="Arial"/>
              </w:rPr>
            </w:pPr>
            <w:r w:rsidDel="00000000" w:rsidR="00000000" w:rsidRPr="00000000">
              <w:rPr>
                <w:rFonts w:ascii="Arial" w:cs="Arial" w:eastAsia="Arial" w:hAnsi="Arial"/>
                <w:rtl w:val="0"/>
              </w:rPr>
              <w:t xml:space="preserve">2025 (%)</w:t>
            </w:r>
          </w:p>
        </w:tc>
        <w:tc>
          <w:tcPr/>
          <w:p w:rsidR="00000000" w:rsidDel="00000000" w:rsidP="00000000" w:rsidRDefault="00000000" w:rsidRPr="00000000" w14:paraId="00000047">
            <w:pPr>
              <w:rPr>
                <w:rFonts w:ascii="Arial" w:cs="Arial" w:eastAsia="Arial" w:hAnsi="Arial"/>
              </w:rPr>
            </w:pPr>
            <w:r w:rsidDel="00000000" w:rsidR="00000000" w:rsidRPr="00000000">
              <w:rPr>
                <w:rFonts w:ascii="Arial" w:cs="Arial" w:eastAsia="Arial" w:hAnsi="Arial"/>
                <w:rtl w:val="0"/>
              </w:rPr>
              <w:t xml:space="preserve">2024 Calculation</w:t>
            </w:r>
          </w:p>
        </w:tc>
        <w:tc>
          <w:tcPr/>
          <w:p w:rsidR="00000000" w:rsidDel="00000000" w:rsidP="00000000" w:rsidRDefault="00000000" w:rsidRPr="00000000" w14:paraId="00000048">
            <w:pPr>
              <w:rPr>
                <w:rFonts w:ascii="Arial" w:cs="Arial" w:eastAsia="Arial" w:hAnsi="Arial"/>
              </w:rPr>
            </w:pPr>
            <w:r w:rsidDel="00000000" w:rsidR="00000000" w:rsidRPr="00000000">
              <w:rPr>
                <w:rFonts w:ascii="Arial" w:cs="Arial" w:eastAsia="Arial" w:hAnsi="Arial"/>
                <w:rtl w:val="0"/>
              </w:rPr>
              <w:t xml:space="preserve">2024 (%)</w:t>
            </w:r>
          </w:p>
        </w:tc>
        <w:tc>
          <w:tcPr/>
          <w:p w:rsidR="00000000" w:rsidDel="00000000" w:rsidP="00000000" w:rsidRDefault="00000000" w:rsidRPr="00000000" w14:paraId="00000049">
            <w:pPr>
              <w:rPr>
                <w:rFonts w:ascii="Arial" w:cs="Arial" w:eastAsia="Arial" w:hAnsi="Arial"/>
              </w:rPr>
            </w:pPr>
            <w:r w:rsidDel="00000000" w:rsidR="00000000" w:rsidRPr="00000000">
              <w:rPr>
                <w:rFonts w:ascii="Arial" w:cs="Arial" w:eastAsia="Arial" w:hAnsi="Arial"/>
                <w:rtl w:val="0"/>
              </w:rPr>
              <w:t xml:space="preserve">Change</w:t>
            </w:r>
          </w:p>
        </w:tc>
      </w:tr>
      <w:tr>
        <w:trPr>
          <w:cantSplit w:val="0"/>
          <w:trHeight w:val="1262" w:hRule="atLeast"/>
          <w:tblHeader w:val="0"/>
        </w:trPr>
        <w:tc>
          <w:tcPr/>
          <w:p w:rsidR="00000000" w:rsidDel="00000000" w:rsidP="00000000" w:rsidRDefault="00000000" w:rsidRPr="00000000" w14:paraId="0000004A">
            <w:pPr>
              <w:rPr>
                <w:rFonts w:ascii="Arial" w:cs="Arial" w:eastAsia="Arial" w:hAnsi="Arial"/>
              </w:rPr>
            </w:pPr>
            <w:r w:rsidDel="00000000" w:rsidR="00000000" w:rsidRPr="00000000">
              <w:rPr>
                <w:rFonts w:ascii="Arial" w:cs="Arial" w:eastAsia="Arial" w:hAnsi="Arial"/>
                <w:rtl w:val="0"/>
              </w:rPr>
              <w:t xml:space="preserve">Gross Profit Margin</w:t>
            </w:r>
          </w:p>
        </w:tc>
        <w:tc>
          <w:tcPr/>
          <w:p w:rsidR="00000000" w:rsidDel="00000000" w:rsidP="00000000" w:rsidRDefault="00000000" w:rsidRPr="00000000" w14:paraId="0000004B">
            <w:pPr>
              <w:rPr>
                <w:rFonts w:ascii="Arial" w:cs="Arial" w:eastAsia="Arial" w:hAnsi="Arial"/>
              </w:rPr>
            </w:pPr>
            <w:r w:rsidDel="00000000" w:rsidR="00000000" w:rsidRPr="00000000">
              <w:rPr>
                <w:rFonts w:ascii="Arial" w:cs="Arial" w:eastAsia="Arial" w:hAnsi="Arial"/>
                <w:rtl w:val="0"/>
              </w:rPr>
              <w:t xml:space="preserve">Gross Profit ÷ Net Sales ×100</w:t>
            </w:r>
          </w:p>
        </w:tc>
        <w:tc>
          <w:tcPr/>
          <w:p w:rsidR="00000000" w:rsidDel="00000000" w:rsidP="00000000" w:rsidRDefault="00000000" w:rsidRPr="00000000" w14:paraId="0000004C">
            <w:pPr>
              <w:rPr>
                <w:rFonts w:ascii="Arial" w:cs="Arial" w:eastAsia="Arial" w:hAnsi="Arial"/>
              </w:rPr>
            </w:pPr>
            <w:r w:rsidDel="00000000" w:rsidR="00000000" w:rsidRPr="00000000">
              <w:rPr>
                <w:rFonts w:ascii="Arial" w:cs="Arial" w:eastAsia="Arial" w:hAnsi="Arial"/>
                <w:rtl w:val="0"/>
              </w:rPr>
              <w:t xml:space="preserve">(12,173 ÷ 20,245) ×100</w:t>
            </w:r>
          </w:p>
        </w:tc>
        <w:tc>
          <w:tcPr/>
          <w:p w:rsidR="00000000" w:rsidDel="00000000" w:rsidP="00000000" w:rsidRDefault="00000000" w:rsidRPr="00000000" w14:paraId="0000004D">
            <w:pPr>
              <w:rPr>
                <w:rFonts w:ascii="Arial" w:cs="Arial" w:eastAsia="Arial" w:hAnsi="Arial"/>
              </w:rPr>
            </w:pPr>
            <w:r w:rsidDel="00000000" w:rsidR="00000000" w:rsidRPr="00000000">
              <w:rPr>
                <w:rFonts w:ascii="Arial" w:cs="Arial" w:eastAsia="Arial" w:hAnsi="Arial"/>
                <w:rtl w:val="0"/>
              </w:rPr>
              <w:t xml:space="preserve">60.13</w:t>
            </w:r>
          </w:p>
        </w:tc>
        <w:tc>
          <w:tcPr/>
          <w:p w:rsidR="00000000" w:rsidDel="00000000" w:rsidP="00000000" w:rsidRDefault="00000000" w:rsidRPr="00000000" w14:paraId="0000004E">
            <w:pPr>
              <w:rPr>
                <w:rFonts w:ascii="Arial" w:cs="Arial" w:eastAsia="Arial" w:hAnsi="Arial"/>
              </w:rPr>
            </w:pPr>
            <w:r w:rsidDel="00000000" w:rsidR="00000000" w:rsidRPr="00000000">
              <w:rPr>
                <w:rFonts w:ascii="Arial" w:cs="Arial" w:eastAsia="Arial" w:hAnsi="Arial"/>
                <w:rtl w:val="0"/>
              </w:rPr>
              <w:t xml:space="preserve">(12,198 ÷ 20,269) ×100</w:t>
            </w:r>
          </w:p>
        </w:tc>
        <w:tc>
          <w:tcPr/>
          <w:p w:rsidR="00000000" w:rsidDel="00000000" w:rsidP="00000000" w:rsidRDefault="00000000" w:rsidRPr="00000000" w14:paraId="0000004F">
            <w:pPr>
              <w:rPr>
                <w:rFonts w:ascii="Arial" w:cs="Arial" w:eastAsia="Arial" w:hAnsi="Arial"/>
              </w:rPr>
            </w:pPr>
            <w:r w:rsidDel="00000000" w:rsidR="00000000" w:rsidRPr="00000000">
              <w:rPr>
                <w:rFonts w:ascii="Arial" w:cs="Arial" w:eastAsia="Arial" w:hAnsi="Arial"/>
                <w:rtl w:val="0"/>
              </w:rPr>
              <w:t xml:space="preserve">60.18</w:t>
            </w:r>
          </w:p>
        </w:tc>
        <w:tc>
          <w:tcPr/>
          <w:p w:rsidR="00000000" w:rsidDel="00000000" w:rsidP="00000000" w:rsidRDefault="00000000" w:rsidRPr="00000000" w14:paraId="00000050">
            <w:pPr>
              <w:rPr>
                <w:rFonts w:ascii="Arial" w:cs="Arial" w:eastAsia="Arial" w:hAnsi="Arial"/>
              </w:rPr>
            </w:pPr>
            <w:r w:rsidDel="00000000" w:rsidR="00000000" w:rsidRPr="00000000">
              <w:rPr>
                <w:rFonts w:ascii="Arial" w:cs="Arial" w:eastAsia="Arial" w:hAnsi="Arial"/>
                <w:rtl w:val="0"/>
              </w:rPr>
              <w:t xml:space="preserve">−0.05</w:t>
            </w:r>
          </w:p>
        </w:tc>
      </w:tr>
      <w:tr>
        <w:trPr>
          <w:cantSplit w:val="0"/>
          <w:trHeight w:val="1262" w:hRule="atLeast"/>
          <w:tblHeader w:val="0"/>
        </w:trPr>
        <w:tc>
          <w:tcPr/>
          <w:p w:rsidR="00000000" w:rsidDel="00000000" w:rsidP="00000000" w:rsidRDefault="00000000" w:rsidRPr="00000000" w14:paraId="00000051">
            <w:pPr>
              <w:rPr>
                <w:rFonts w:ascii="Arial" w:cs="Arial" w:eastAsia="Arial" w:hAnsi="Arial"/>
              </w:rPr>
            </w:pPr>
            <w:r w:rsidDel="00000000" w:rsidR="00000000" w:rsidRPr="00000000">
              <w:rPr>
                <w:rFonts w:ascii="Arial" w:cs="Arial" w:eastAsia="Arial" w:hAnsi="Arial"/>
                <w:rtl w:val="0"/>
              </w:rPr>
              <w:t xml:space="preserve">Operating Profit Margin</w:t>
            </w:r>
          </w:p>
        </w:tc>
        <w:tc>
          <w:tcPr/>
          <w:p w:rsidR="00000000" w:rsidDel="00000000" w:rsidP="00000000" w:rsidRDefault="00000000" w:rsidRPr="00000000" w14:paraId="00000052">
            <w:pPr>
              <w:rPr>
                <w:rFonts w:ascii="Arial" w:cs="Arial" w:eastAsia="Arial" w:hAnsi="Arial"/>
              </w:rPr>
            </w:pPr>
            <w:r w:rsidDel="00000000" w:rsidR="00000000" w:rsidRPr="00000000">
              <w:rPr>
                <w:rFonts w:ascii="Arial" w:cs="Arial" w:eastAsia="Arial" w:hAnsi="Arial"/>
                <w:rtl w:val="0"/>
              </w:rPr>
              <w:t xml:space="preserve">Operating Profit ÷ Net Sales ×100</w:t>
            </w:r>
          </w:p>
        </w:tc>
        <w:tc>
          <w:tcPr/>
          <w:p w:rsidR="00000000" w:rsidDel="00000000" w:rsidP="00000000" w:rsidRDefault="00000000" w:rsidRPr="00000000" w14:paraId="00000053">
            <w:pPr>
              <w:rPr>
                <w:rFonts w:ascii="Arial" w:cs="Arial" w:eastAsia="Arial" w:hAnsi="Arial"/>
              </w:rPr>
            </w:pPr>
            <w:r w:rsidDel="00000000" w:rsidR="00000000" w:rsidRPr="00000000">
              <w:rPr>
                <w:rFonts w:ascii="Arial" w:cs="Arial" w:eastAsia="Arial" w:hAnsi="Arial"/>
                <w:rtl w:val="0"/>
              </w:rPr>
              <w:t xml:space="preserve">(4,335 ÷ 20,245) ×100</w:t>
            </w:r>
          </w:p>
        </w:tc>
        <w:tc>
          <w:tcPr/>
          <w:p w:rsidR="00000000" w:rsidDel="00000000" w:rsidP="00000000" w:rsidRDefault="00000000" w:rsidRPr="00000000" w14:paraId="00000054">
            <w:pPr>
              <w:rPr>
                <w:rFonts w:ascii="Arial" w:cs="Arial" w:eastAsia="Arial" w:hAnsi="Arial"/>
              </w:rPr>
            </w:pPr>
            <w:r w:rsidDel="00000000" w:rsidR="00000000" w:rsidRPr="00000000">
              <w:rPr>
                <w:rFonts w:ascii="Arial" w:cs="Arial" w:eastAsia="Arial" w:hAnsi="Arial"/>
                <w:rtl w:val="0"/>
              </w:rPr>
              <w:t xml:space="preserve">21.41</w:t>
            </w:r>
          </w:p>
        </w:tc>
        <w:tc>
          <w:tcPr/>
          <w:p w:rsidR="00000000" w:rsidDel="00000000" w:rsidP="00000000" w:rsidRDefault="00000000" w:rsidRPr="00000000" w14:paraId="00000055">
            <w:pPr>
              <w:rPr>
                <w:rFonts w:ascii="Arial" w:cs="Arial" w:eastAsia="Arial" w:hAnsi="Arial"/>
              </w:rPr>
            </w:pPr>
            <w:r w:rsidDel="00000000" w:rsidR="00000000" w:rsidRPr="00000000">
              <w:rPr>
                <w:rFonts w:ascii="Arial" w:cs="Arial" w:eastAsia="Arial" w:hAnsi="Arial"/>
                <w:rtl w:val="0"/>
              </w:rPr>
              <w:t xml:space="preserve">(6,001 ÷ 20,269) ×100</w:t>
            </w:r>
          </w:p>
        </w:tc>
        <w:tc>
          <w:tcPr/>
          <w:p w:rsidR="00000000" w:rsidDel="00000000" w:rsidP="00000000" w:rsidRDefault="00000000" w:rsidRPr="00000000" w14:paraId="00000056">
            <w:pPr>
              <w:rPr>
                <w:rFonts w:ascii="Arial" w:cs="Arial" w:eastAsia="Arial" w:hAnsi="Arial"/>
              </w:rPr>
            </w:pPr>
            <w:r w:rsidDel="00000000" w:rsidR="00000000" w:rsidRPr="00000000">
              <w:rPr>
                <w:rFonts w:ascii="Arial" w:cs="Arial" w:eastAsia="Arial" w:hAnsi="Arial"/>
                <w:rtl w:val="0"/>
              </w:rPr>
              <w:t xml:space="preserve">29.61</w:t>
            </w:r>
          </w:p>
        </w:tc>
        <w:tc>
          <w:tcPr/>
          <w:p w:rsidR="00000000" w:rsidDel="00000000" w:rsidP="00000000" w:rsidRDefault="00000000" w:rsidRPr="00000000" w14:paraId="00000057">
            <w:pPr>
              <w:rPr>
                <w:rFonts w:ascii="Arial" w:cs="Arial" w:eastAsia="Arial" w:hAnsi="Arial"/>
              </w:rPr>
            </w:pPr>
            <w:r w:rsidDel="00000000" w:rsidR="00000000" w:rsidRPr="00000000">
              <w:rPr>
                <w:rFonts w:ascii="Arial" w:cs="Arial" w:eastAsia="Arial" w:hAnsi="Arial"/>
                <w:rtl w:val="0"/>
              </w:rPr>
              <w:t xml:space="preserve">−8.19</w:t>
            </w:r>
          </w:p>
        </w:tc>
      </w:tr>
      <w:tr>
        <w:trPr>
          <w:cantSplit w:val="0"/>
          <w:trHeight w:val="1262" w:hRule="atLeast"/>
          <w:tblHeader w:val="0"/>
        </w:trPr>
        <w:tc>
          <w:tcPr/>
          <w:p w:rsidR="00000000" w:rsidDel="00000000" w:rsidP="00000000" w:rsidRDefault="00000000" w:rsidRPr="00000000" w14:paraId="00000058">
            <w:pPr>
              <w:rPr>
                <w:rFonts w:ascii="Arial" w:cs="Arial" w:eastAsia="Arial" w:hAnsi="Arial"/>
              </w:rPr>
            </w:pPr>
            <w:r w:rsidDel="00000000" w:rsidR="00000000" w:rsidRPr="00000000">
              <w:rPr>
                <w:rFonts w:ascii="Arial" w:cs="Arial" w:eastAsia="Arial" w:hAnsi="Arial"/>
                <w:rtl w:val="0"/>
              </w:rPr>
              <w:t xml:space="preserve">Net Profit Margin</w:t>
            </w:r>
          </w:p>
        </w:tc>
        <w:tc>
          <w:tcPr/>
          <w:p w:rsidR="00000000" w:rsidDel="00000000" w:rsidP="00000000" w:rsidRDefault="00000000" w:rsidRPr="00000000" w14:paraId="00000059">
            <w:pPr>
              <w:rPr>
                <w:rFonts w:ascii="Arial" w:cs="Arial" w:eastAsia="Arial" w:hAnsi="Arial"/>
              </w:rPr>
            </w:pPr>
            <w:r w:rsidDel="00000000" w:rsidR="00000000" w:rsidRPr="00000000">
              <w:rPr>
                <w:rFonts w:ascii="Arial" w:cs="Arial" w:eastAsia="Arial" w:hAnsi="Arial"/>
                <w:rtl w:val="0"/>
              </w:rPr>
              <w:t xml:space="preserve">Profit for the Year ÷ Net Sales ×100</w:t>
            </w:r>
          </w:p>
        </w:tc>
        <w:tc>
          <w:tcPr/>
          <w:p w:rsidR="00000000" w:rsidDel="00000000" w:rsidP="00000000" w:rsidRDefault="00000000" w:rsidRPr="00000000" w14:paraId="0000005A">
            <w:pPr>
              <w:rPr>
                <w:rFonts w:ascii="Arial" w:cs="Arial" w:eastAsia="Arial" w:hAnsi="Arial"/>
              </w:rPr>
            </w:pPr>
            <w:r w:rsidDel="00000000" w:rsidR="00000000" w:rsidRPr="00000000">
              <w:rPr>
                <w:rFonts w:ascii="Arial" w:cs="Arial" w:eastAsia="Arial" w:hAnsi="Arial"/>
                <w:rtl w:val="0"/>
              </w:rPr>
              <w:t xml:space="preserve">(2,538 ÷ 20,245) ×100</w:t>
            </w:r>
          </w:p>
        </w:tc>
        <w:tc>
          <w:tcPr/>
          <w:p w:rsidR="00000000" w:rsidDel="00000000" w:rsidP="00000000" w:rsidRDefault="00000000" w:rsidRPr="00000000" w14:paraId="0000005B">
            <w:pPr>
              <w:rPr>
                <w:rFonts w:ascii="Arial" w:cs="Arial" w:eastAsia="Arial" w:hAnsi="Arial"/>
              </w:rPr>
            </w:pPr>
            <w:r w:rsidDel="00000000" w:rsidR="00000000" w:rsidRPr="00000000">
              <w:rPr>
                <w:rFonts w:ascii="Arial" w:cs="Arial" w:eastAsia="Arial" w:hAnsi="Arial"/>
                <w:rtl w:val="0"/>
              </w:rPr>
              <w:t xml:space="preserve">12.54</w:t>
            </w:r>
          </w:p>
        </w:tc>
        <w:tc>
          <w:tcPr/>
          <w:p w:rsidR="00000000" w:rsidDel="00000000" w:rsidP="00000000" w:rsidRDefault="00000000" w:rsidRPr="00000000" w14:paraId="0000005C">
            <w:pPr>
              <w:rPr>
                <w:rFonts w:ascii="Arial" w:cs="Arial" w:eastAsia="Arial" w:hAnsi="Arial"/>
              </w:rPr>
            </w:pPr>
            <w:r w:rsidDel="00000000" w:rsidR="00000000" w:rsidRPr="00000000">
              <w:rPr>
                <w:rFonts w:ascii="Arial" w:cs="Arial" w:eastAsia="Arial" w:hAnsi="Arial"/>
                <w:rtl w:val="0"/>
              </w:rPr>
              <w:t xml:space="preserve">(4,166 ÷ 20,269) ×100</w:t>
            </w:r>
          </w:p>
        </w:tc>
        <w:tc>
          <w:tcPr/>
          <w:p w:rsidR="00000000" w:rsidDel="00000000" w:rsidP="00000000" w:rsidRDefault="00000000" w:rsidRPr="00000000" w14:paraId="0000005D">
            <w:pPr>
              <w:rPr>
                <w:rFonts w:ascii="Arial" w:cs="Arial" w:eastAsia="Arial" w:hAnsi="Arial"/>
              </w:rPr>
            </w:pPr>
            <w:r w:rsidDel="00000000" w:rsidR="00000000" w:rsidRPr="00000000">
              <w:rPr>
                <w:rFonts w:ascii="Arial" w:cs="Arial" w:eastAsia="Arial" w:hAnsi="Arial"/>
                <w:rtl w:val="0"/>
              </w:rPr>
              <w:t xml:space="preserve">20.55</w:t>
            </w:r>
          </w:p>
        </w:tc>
        <w:tc>
          <w:tcPr/>
          <w:p w:rsidR="00000000" w:rsidDel="00000000" w:rsidP="00000000" w:rsidRDefault="00000000" w:rsidRPr="00000000" w14:paraId="0000005E">
            <w:pPr>
              <w:rPr>
                <w:rFonts w:ascii="Arial" w:cs="Arial" w:eastAsia="Arial" w:hAnsi="Arial"/>
              </w:rPr>
            </w:pPr>
            <w:r w:rsidDel="00000000" w:rsidR="00000000" w:rsidRPr="00000000">
              <w:rPr>
                <w:rFonts w:ascii="Arial" w:cs="Arial" w:eastAsia="Arial" w:hAnsi="Arial"/>
                <w:rtl w:val="0"/>
              </w:rPr>
              <w:t xml:space="preserve">−8.02</w:t>
            </w:r>
          </w:p>
        </w:tc>
      </w:tr>
      <w:tr>
        <w:trPr>
          <w:cantSplit w:val="0"/>
          <w:trHeight w:val="1272" w:hRule="atLeast"/>
          <w:tblHeader w:val="0"/>
        </w:trPr>
        <w:tc>
          <w:tcPr/>
          <w:p w:rsidR="00000000" w:rsidDel="00000000" w:rsidP="00000000" w:rsidRDefault="00000000" w:rsidRPr="00000000" w14:paraId="0000005F">
            <w:pPr>
              <w:rPr>
                <w:rFonts w:ascii="Arial" w:cs="Arial" w:eastAsia="Arial" w:hAnsi="Arial"/>
              </w:rPr>
            </w:pPr>
            <w:r w:rsidDel="00000000" w:rsidR="00000000" w:rsidRPr="00000000">
              <w:rPr>
                <w:rFonts w:ascii="Arial" w:cs="Arial" w:eastAsia="Arial" w:hAnsi="Arial"/>
                <w:rtl w:val="0"/>
              </w:rPr>
              <w:t xml:space="preserve">Return on Assets (ROA)</w:t>
            </w:r>
          </w:p>
        </w:tc>
        <w:tc>
          <w:tcPr/>
          <w:p w:rsidR="00000000" w:rsidDel="00000000" w:rsidP="00000000" w:rsidRDefault="00000000" w:rsidRPr="00000000" w14:paraId="00000060">
            <w:pPr>
              <w:rPr>
                <w:rFonts w:ascii="Arial" w:cs="Arial" w:eastAsia="Arial" w:hAnsi="Arial"/>
              </w:rPr>
            </w:pPr>
            <w:r w:rsidDel="00000000" w:rsidR="00000000" w:rsidRPr="00000000">
              <w:rPr>
                <w:rFonts w:ascii="Arial" w:cs="Arial" w:eastAsia="Arial" w:hAnsi="Arial"/>
                <w:rtl w:val="0"/>
              </w:rPr>
              <w:t xml:space="preserve">Profit for the Year ÷ Total Assets ×100</w:t>
            </w:r>
          </w:p>
        </w:tc>
        <w:tc>
          <w:tcPr/>
          <w:p w:rsidR="00000000" w:rsidDel="00000000" w:rsidP="00000000" w:rsidRDefault="00000000" w:rsidRPr="00000000" w14:paraId="00000061">
            <w:pPr>
              <w:rPr>
                <w:rFonts w:ascii="Arial" w:cs="Arial" w:eastAsia="Arial" w:hAnsi="Arial"/>
              </w:rPr>
            </w:pPr>
            <w:r w:rsidDel="00000000" w:rsidR="00000000" w:rsidRPr="00000000">
              <w:rPr>
                <w:rFonts w:ascii="Arial" w:cs="Arial" w:eastAsia="Arial" w:hAnsi="Arial"/>
                <w:rtl w:val="0"/>
              </w:rPr>
              <w:t xml:space="preserve">(2,538 ÷ 49,322) ×100</w:t>
            </w:r>
          </w:p>
        </w:tc>
        <w:tc>
          <w:tcPr/>
          <w:p w:rsidR="00000000" w:rsidDel="00000000" w:rsidP="00000000" w:rsidRDefault="00000000" w:rsidRPr="00000000" w14:paraId="00000062">
            <w:pPr>
              <w:rPr>
                <w:rFonts w:ascii="Arial" w:cs="Arial" w:eastAsia="Arial" w:hAnsi="Arial"/>
              </w:rPr>
            </w:pPr>
            <w:r w:rsidDel="00000000" w:rsidR="00000000" w:rsidRPr="00000000">
              <w:rPr>
                <w:rFonts w:ascii="Arial" w:cs="Arial" w:eastAsia="Arial" w:hAnsi="Arial"/>
                <w:rtl w:val="0"/>
              </w:rPr>
              <w:t xml:space="preserve">5.15</w:t>
            </w:r>
          </w:p>
        </w:tc>
        <w:tc>
          <w:tcPr/>
          <w:p w:rsidR="00000000" w:rsidDel="00000000" w:rsidP="00000000" w:rsidRDefault="00000000" w:rsidRPr="00000000" w14:paraId="00000063">
            <w:pPr>
              <w:rPr>
                <w:rFonts w:ascii="Arial" w:cs="Arial" w:eastAsia="Arial" w:hAnsi="Arial"/>
              </w:rPr>
            </w:pPr>
            <w:r w:rsidDel="00000000" w:rsidR="00000000" w:rsidRPr="00000000">
              <w:rPr>
                <w:rFonts w:ascii="Arial" w:cs="Arial" w:eastAsia="Arial" w:hAnsi="Arial"/>
                <w:rtl w:val="0"/>
              </w:rPr>
              <w:t xml:space="preserve">(4,166 ÷ 45,474) ×100</w:t>
            </w:r>
          </w:p>
        </w:tc>
        <w:tc>
          <w:tcPr/>
          <w:p w:rsidR="00000000" w:rsidDel="00000000" w:rsidP="00000000" w:rsidRDefault="00000000" w:rsidRPr="00000000" w14:paraId="00000064">
            <w:pPr>
              <w:rPr>
                <w:rFonts w:ascii="Arial" w:cs="Arial" w:eastAsia="Arial" w:hAnsi="Arial"/>
              </w:rPr>
            </w:pPr>
            <w:r w:rsidDel="00000000" w:rsidR="00000000" w:rsidRPr="00000000">
              <w:rPr>
                <w:rFonts w:ascii="Arial" w:cs="Arial" w:eastAsia="Arial" w:hAnsi="Arial"/>
                <w:rtl w:val="0"/>
              </w:rPr>
              <w:t xml:space="preserve">9.16</w:t>
            </w:r>
          </w:p>
        </w:tc>
        <w:tc>
          <w:tcPr/>
          <w:p w:rsidR="00000000" w:rsidDel="00000000" w:rsidP="00000000" w:rsidRDefault="00000000" w:rsidRPr="00000000" w14:paraId="00000065">
            <w:pPr>
              <w:rPr>
                <w:rFonts w:ascii="Arial" w:cs="Arial" w:eastAsia="Arial" w:hAnsi="Arial"/>
              </w:rPr>
            </w:pPr>
            <w:r w:rsidDel="00000000" w:rsidR="00000000" w:rsidRPr="00000000">
              <w:rPr>
                <w:rFonts w:ascii="Arial" w:cs="Arial" w:eastAsia="Arial" w:hAnsi="Arial"/>
                <w:rtl w:val="0"/>
              </w:rPr>
              <w:t xml:space="preserve">−4.02</w:t>
            </w:r>
          </w:p>
        </w:tc>
      </w:tr>
      <w:tr>
        <w:trPr>
          <w:cantSplit w:val="0"/>
          <w:trHeight w:val="2107" w:hRule="atLeast"/>
          <w:tblHeader w:val="0"/>
        </w:trPr>
        <w:tc>
          <w:tcPr/>
          <w:p w:rsidR="00000000" w:rsidDel="00000000" w:rsidP="00000000" w:rsidRDefault="00000000" w:rsidRPr="00000000" w14:paraId="00000066">
            <w:pPr>
              <w:rPr>
                <w:rFonts w:ascii="Arial" w:cs="Arial" w:eastAsia="Arial" w:hAnsi="Arial"/>
              </w:rPr>
            </w:pPr>
            <w:r w:rsidDel="00000000" w:rsidR="00000000" w:rsidRPr="00000000">
              <w:rPr>
                <w:rFonts w:ascii="Arial" w:cs="Arial" w:eastAsia="Arial" w:hAnsi="Arial"/>
                <w:rtl w:val="0"/>
              </w:rPr>
              <w:t xml:space="preserve">Return on Equity (ROE)</w:t>
            </w:r>
          </w:p>
        </w:tc>
        <w:tc>
          <w:tcPr/>
          <w:p w:rsidR="00000000" w:rsidDel="00000000" w:rsidP="00000000" w:rsidRDefault="00000000" w:rsidRPr="00000000" w14:paraId="00000067">
            <w:pPr>
              <w:rPr>
                <w:rFonts w:ascii="Arial" w:cs="Arial" w:eastAsia="Arial" w:hAnsi="Arial"/>
              </w:rPr>
            </w:pPr>
            <w:r w:rsidDel="00000000" w:rsidR="00000000" w:rsidRPr="00000000">
              <w:rPr>
                <w:rFonts w:ascii="Arial" w:cs="Arial" w:eastAsia="Arial" w:hAnsi="Arial"/>
                <w:rtl w:val="0"/>
              </w:rPr>
              <w:t xml:space="preserve">Profit attributable to equity holders ÷ Total Equity ×100</w:t>
            </w:r>
          </w:p>
        </w:tc>
        <w:tc>
          <w:tcPr/>
          <w:p w:rsidR="00000000" w:rsidDel="00000000" w:rsidP="00000000" w:rsidRDefault="00000000" w:rsidRPr="00000000" w14:paraId="00000068">
            <w:pPr>
              <w:rPr>
                <w:rFonts w:ascii="Arial" w:cs="Arial" w:eastAsia="Arial" w:hAnsi="Arial"/>
              </w:rPr>
            </w:pPr>
            <w:r w:rsidDel="00000000" w:rsidR="00000000" w:rsidRPr="00000000">
              <w:rPr>
                <w:rFonts w:ascii="Arial" w:cs="Arial" w:eastAsia="Arial" w:hAnsi="Arial"/>
                <w:rtl w:val="0"/>
              </w:rPr>
              <w:t xml:space="preserve">(2,354 ÷ 13,178) ×100</w:t>
            </w:r>
          </w:p>
        </w:tc>
        <w:tc>
          <w:tcPr/>
          <w:p w:rsidR="00000000" w:rsidDel="00000000" w:rsidP="00000000" w:rsidRDefault="00000000" w:rsidRPr="00000000" w14:paraId="00000069">
            <w:pPr>
              <w:rPr>
                <w:rFonts w:ascii="Arial" w:cs="Arial" w:eastAsia="Arial" w:hAnsi="Arial"/>
              </w:rPr>
            </w:pPr>
            <w:r w:rsidDel="00000000" w:rsidR="00000000" w:rsidRPr="00000000">
              <w:rPr>
                <w:rFonts w:ascii="Arial" w:cs="Arial" w:eastAsia="Arial" w:hAnsi="Arial"/>
                <w:rtl w:val="0"/>
              </w:rPr>
              <w:t xml:space="preserve">17.86</w:t>
            </w:r>
          </w:p>
        </w:tc>
        <w:tc>
          <w:tcPr/>
          <w:p w:rsidR="00000000" w:rsidDel="00000000" w:rsidP="00000000" w:rsidRDefault="00000000" w:rsidRPr="00000000" w14:paraId="0000006A">
            <w:pPr>
              <w:rPr>
                <w:rFonts w:ascii="Arial" w:cs="Arial" w:eastAsia="Arial" w:hAnsi="Arial"/>
              </w:rPr>
            </w:pPr>
            <w:r w:rsidDel="00000000" w:rsidR="00000000" w:rsidRPr="00000000">
              <w:rPr>
                <w:rFonts w:ascii="Arial" w:cs="Arial" w:eastAsia="Arial" w:hAnsi="Arial"/>
                <w:rtl w:val="0"/>
              </w:rPr>
              <w:t xml:space="preserve">(3,870 ÷ 12,070) ×100</w:t>
            </w:r>
          </w:p>
        </w:tc>
        <w:tc>
          <w:tcPr/>
          <w:p w:rsidR="00000000" w:rsidDel="00000000" w:rsidP="00000000" w:rsidRDefault="00000000" w:rsidRPr="00000000" w14:paraId="0000006B">
            <w:pPr>
              <w:rPr>
                <w:rFonts w:ascii="Arial" w:cs="Arial" w:eastAsia="Arial" w:hAnsi="Arial"/>
              </w:rPr>
            </w:pPr>
            <w:r w:rsidDel="00000000" w:rsidR="00000000" w:rsidRPr="00000000">
              <w:rPr>
                <w:rFonts w:ascii="Arial" w:cs="Arial" w:eastAsia="Arial" w:hAnsi="Arial"/>
                <w:rtl w:val="0"/>
              </w:rPr>
              <w:t xml:space="preserve">32.06</w:t>
            </w:r>
          </w:p>
        </w:tc>
        <w:tc>
          <w:tcPr/>
          <w:p w:rsidR="00000000" w:rsidDel="00000000" w:rsidP="00000000" w:rsidRDefault="00000000" w:rsidRPr="00000000" w14:paraId="0000006C">
            <w:pPr>
              <w:rPr>
                <w:rFonts w:ascii="Arial" w:cs="Arial" w:eastAsia="Arial" w:hAnsi="Arial"/>
              </w:rPr>
            </w:pPr>
            <w:r w:rsidDel="00000000" w:rsidR="00000000" w:rsidRPr="00000000">
              <w:rPr>
                <w:rFonts w:ascii="Arial" w:cs="Arial" w:eastAsia="Arial" w:hAnsi="Arial"/>
                <w:rtl w:val="0"/>
              </w:rPr>
              <w:t xml:space="preserve">−14.20</w:t>
            </w:r>
          </w:p>
        </w:tc>
      </w:tr>
      <w:tr>
        <w:trPr>
          <w:cantSplit w:val="0"/>
          <w:trHeight w:val="2107" w:hRule="atLeast"/>
          <w:tblHeader w:val="0"/>
        </w:trPr>
        <w:tc>
          <w:tcPr/>
          <w:p w:rsidR="00000000" w:rsidDel="00000000" w:rsidP="00000000" w:rsidRDefault="00000000" w:rsidRPr="00000000" w14:paraId="0000006D">
            <w:pPr>
              <w:rPr>
                <w:rFonts w:ascii="Arial" w:cs="Arial" w:eastAsia="Arial" w:hAnsi="Arial"/>
              </w:rPr>
            </w:pPr>
            <w:r w:rsidDel="00000000" w:rsidR="00000000" w:rsidRPr="00000000">
              <w:rPr>
                <w:rFonts w:ascii="Arial" w:cs="Arial" w:eastAsia="Arial" w:hAnsi="Arial"/>
                <w:rtl w:val="0"/>
              </w:rPr>
              <w:t xml:space="preserve">ROCE</w:t>
            </w:r>
          </w:p>
        </w:tc>
        <w:tc>
          <w:tcPr/>
          <w:p w:rsidR="00000000" w:rsidDel="00000000" w:rsidP="00000000" w:rsidRDefault="00000000" w:rsidRPr="00000000" w14:paraId="0000006E">
            <w:pPr>
              <w:rPr>
                <w:rFonts w:ascii="Arial" w:cs="Arial" w:eastAsia="Arial" w:hAnsi="Arial"/>
              </w:rPr>
            </w:pPr>
            <w:r w:rsidDel="00000000" w:rsidR="00000000" w:rsidRPr="00000000">
              <w:rPr>
                <w:rFonts w:ascii="Arial" w:cs="Arial" w:eastAsia="Arial" w:hAnsi="Arial"/>
                <w:rtl w:val="0"/>
              </w:rPr>
              <w:t xml:space="preserve">Operating Profit ÷ Capital Employed ×100</w:t>
            </w:r>
          </w:p>
        </w:tc>
        <w:tc>
          <w:tcPr/>
          <w:p w:rsidR="00000000" w:rsidDel="00000000" w:rsidP="00000000" w:rsidRDefault="00000000" w:rsidRPr="00000000" w14:paraId="0000006F">
            <w:pPr>
              <w:rPr>
                <w:rFonts w:ascii="Arial" w:cs="Arial" w:eastAsia="Arial" w:hAnsi="Arial"/>
              </w:rPr>
            </w:pPr>
            <w:r w:rsidDel="00000000" w:rsidR="00000000" w:rsidRPr="00000000">
              <w:rPr>
                <w:rFonts w:ascii="Arial" w:cs="Arial" w:eastAsia="Arial" w:hAnsi="Arial"/>
                <w:rtl w:val="0"/>
              </w:rPr>
              <w:t xml:space="preserve">4,335 ÷ (13,178+25,432) ×100</w:t>
            </w:r>
          </w:p>
        </w:tc>
        <w:tc>
          <w:tcPr/>
          <w:p w:rsidR="00000000" w:rsidDel="00000000" w:rsidP="00000000" w:rsidRDefault="00000000" w:rsidRPr="00000000" w14:paraId="00000070">
            <w:pPr>
              <w:rPr>
                <w:rFonts w:ascii="Arial" w:cs="Arial" w:eastAsia="Arial" w:hAnsi="Arial"/>
              </w:rPr>
            </w:pPr>
            <w:r w:rsidDel="00000000" w:rsidR="00000000" w:rsidRPr="00000000">
              <w:rPr>
                <w:rFonts w:ascii="Arial" w:cs="Arial" w:eastAsia="Arial" w:hAnsi="Arial"/>
                <w:rtl w:val="0"/>
              </w:rPr>
              <w:t xml:space="preserve">11.23</w:t>
            </w:r>
          </w:p>
        </w:tc>
        <w:tc>
          <w:tcPr/>
          <w:p w:rsidR="00000000" w:rsidDel="00000000" w:rsidP="00000000" w:rsidRDefault="00000000" w:rsidRPr="00000000" w14:paraId="00000071">
            <w:pPr>
              <w:rPr>
                <w:rFonts w:ascii="Arial" w:cs="Arial" w:eastAsia="Arial" w:hAnsi="Arial"/>
              </w:rPr>
            </w:pPr>
            <w:r w:rsidDel="00000000" w:rsidR="00000000" w:rsidRPr="00000000">
              <w:rPr>
                <w:rFonts w:ascii="Arial" w:cs="Arial" w:eastAsia="Arial" w:hAnsi="Arial"/>
                <w:rtl w:val="0"/>
              </w:rPr>
              <w:t xml:space="preserve">6,001 ÷ (12,070+23,536) ×100</w:t>
            </w:r>
          </w:p>
        </w:tc>
        <w:tc>
          <w:tcPr/>
          <w:p w:rsidR="00000000" w:rsidDel="00000000" w:rsidP="00000000" w:rsidRDefault="00000000" w:rsidRPr="00000000" w14:paraId="00000072">
            <w:pPr>
              <w:rPr>
                <w:rFonts w:ascii="Arial" w:cs="Arial" w:eastAsia="Arial" w:hAnsi="Arial"/>
              </w:rPr>
            </w:pPr>
            <w:r w:rsidDel="00000000" w:rsidR="00000000" w:rsidRPr="00000000">
              <w:rPr>
                <w:rFonts w:ascii="Arial" w:cs="Arial" w:eastAsia="Arial" w:hAnsi="Arial"/>
                <w:rtl w:val="0"/>
              </w:rPr>
              <w:t xml:space="preserve">16.85</w:t>
            </w:r>
          </w:p>
        </w:tc>
        <w:tc>
          <w:tcPr/>
          <w:p w:rsidR="00000000" w:rsidDel="00000000" w:rsidP="00000000" w:rsidRDefault="00000000" w:rsidRPr="00000000" w14:paraId="00000073">
            <w:pPr>
              <w:rPr>
                <w:rFonts w:ascii="Arial" w:cs="Arial" w:eastAsia="Arial" w:hAnsi="Arial"/>
              </w:rPr>
            </w:pPr>
            <w:r w:rsidDel="00000000" w:rsidR="00000000" w:rsidRPr="00000000">
              <w:rPr>
                <w:rFonts w:ascii="Arial" w:cs="Arial" w:eastAsia="Arial" w:hAnsi="Arial"/>
                <w:rtl w:val="0"/>
              </w:rPr>
              <w:t xml:space="preserve">−5.63</w:t>
            </w:r>
          </w:p>
        </w:tc>
      </w:tr>
    </w:tbl>
    <w:p w:rsidR="00000000" w:rsidDel="00000000" w:rsidP="00000000" w:rsidRDefault="00000000" w:rsidRPr="00000000" w14:paraId="00000074">
      <w:pPr>
        <w:rPr>
          <w:rFonts w:ascii="Arial" w:cs="Arial" w:eastAsia="Arial" w:hAnsi="Arial"/>
        </w:rPr>
      </w:pPr>
      <w:r w:rsidDel="00000000" w:rsidR="00000000" w:rsidRPr="00000000">
        <w:rPr>
          <w:rFonts w:ascii="Arial" w:cs="Arial" w:eastAsia="Arial" w:hAnsi="Arial"/>
          <w:rtl w:val="0"/>
        </w:rPr>
        <w:t xml:space="preserve">The profitability ratios show a definite decline in the financial performance of Diageo within the period between 2024 and 2025 (Diageo, 2025). Gross profit margin did not decrease significantly, but decreased slightly, by a margin of 60.18% to 60.13%, which is quite small to indicate that the company was generally capable of sustaining pricing power and control of cost at the production scale. Such stability suggests that the cost of sales rose not as far as compared to revenue, which could be due to efficient procurement policies or good brand positioning that enabled Diageo to shift part of the cost pressure to consumers (Hoogers et al., 2023). The slight decrease, however, points to the emergence of pressure on margins, which could be a result of increased cost of raw materials, logistics or energy products. Conversely, the operating profit margin dropped by a large margin in 2025 to 21.41% compared to 29.61% of 2024. This steep drop is an indication of a significant rise in operating cost in the form of marketing, distribution, management cost or restructuring costs. It can also indicate inflationary trends, higher spending in the promotion of the brand or inefficiencies in that the business is operating in a volatile global market environment. The magnitude of the decline shows that gross profitability has been maintained to a great extent, but operating efficiency has deteriorated significantly throughout the year (Fang et al., 2023). </w:t>
      </w:r>
    </w:p>
    <w:p w:rsidR="00000000" w:rsidDel="00000000" w:rsidP="00000000" w:rsidRDefault="00000000" w:rsidRPr="00000000" w14:paraId="00000075">
      <w:pPr>
        <w:keepNext w:val="1"/>
        <w:jc w:val="center"/>
        <w:rPr>
          <w:rFonts w:ascii="Arial" w:cs="Arial" w:eastAsia="Arial" w:hAnsi="Arial"/>
        </w:rPr>
      </w:pPr>
      <w:r w:rsidDel="00000000" w:rsidR="00000000" w:rsidRPr="00000000">
        <w:rPr>
          <w:rFonts w:ascii="Arial" w:cs="Arial" w:eastAsia="Arial" w:hAnsi="Arial"/>
        </w:rPr>
        <w:drawing>
          <wp:inline distB="0" distT="0" distL="0" distR="0">
            <wp:extent cx="5737860" cy="3063240"/>
            <wp:effectExtent b="3810" l="0" r="15240" t="0"/>
            <wp:docPr id="1" name=""/>
            <a:graphic>
              <a:graphicData uri="http://schemas.openxmlformats.org/drawingml/2006/chart">
                <c:chart r:id="rId8"/>
              </a:graphicData>
            </a:graphic>
          </wp:inline>
        </w:drawing>
      </w: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44546a"/>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2: Profitability Ratios</w:t>
      </w:r>
    </w:p>
    <w:p w:rsidR="00000000" w:rsidDel="00000000" w:rsidP="00000000" w:rsidRDefault="00000000" w:rsidRPr="00000000" w14:paraId="00000077">
      <w:pPr>
        <w:rPr>
          <w:rFonts w:ascii="Arial" w:cs="Arial" w:eastAsia="Arial" w:hAnsi="Arial"/>
        </w:rPr>
      </w:pPr>
      <w:r w:rsidDel="00000000" w:rsidR="00000000" w:rsidRPr="00000000">
        <w:rPr>
          <w:rFonts w:ascii="Arial" w:cs="Arial" w:eastAsia="Arial" w:hAnsi="Arial"/>
          <w:rtl w:val="0"/>
        </w:rPr>
        <w:t xml:space="preserve">From the aforementioned graph, a similar trend can be seen in net profit margin, which dropped to 12.54% as compared to 20.55% in 2010. This decrease is stronger than the decline in gross margin, which indicates the effect of non-operating items like an increase in the cost of finance, taxes or extraordinary items. This might have been increased interest expenses either through the increased levels of borrowing or by an increase in interest rates, which would have diminished the overall profitability to shareholders. Return on Assets (ROA) declined to 5.15%, with a 9.16% marking that indicates Diageo made much less return on its asset base in 2025. This implies reduced profitability, growth in assets that were not earned by corresponding proportions, and a combination of the two (Abdulazeez Y. H. Saif-Alyousfi, Abdullah Alsadan and Alalmaee, 2025). Since the company is highly capital-intensive, any investment in long-term assets might not yield better returns in the form of enhanced earnings in the short term, thus lowering the efficiency of assets. The drop in the Return on Equity (ROE) from 32.06% to 17.86% is especially remarkable and marks the decrease in profitability to shareholders. This could be motivated by declining net profits and a declining shareholder base, diluting returns. On the same note, Return on Capital Employed (ROCE) declined to 11.23 as compared to 16.85, which shows that the company has been utilising long-term capital more inefficiently (CFI, 2022). This is an indication that more capital used in 2025 failed to produce enough operating profit, which could be as a result of slower growth of demand or slower returns to investment.</w:t>
      </w:r>
      <w:r w:rsidDel="00000000" w:rsidR="00000000" w:rsidRPr="00000000">
        <w:br w:type="page"/>
      </w:r>
      <w:r w:rsidDel="00000000" w:rsidR="00000000" w:rsidRPr="00000000">
        <w:rPr>
          <w:rtl w:val="0"/>
        </w:rPr>
      </w:r>
    </w:p>
    <w:p w:rsidR="00000000" w:rsidDel="00000000" w:rsidP="00000000" w:rsidRDefault="00000000" w:rsidRPr="00000000" w14:paraId="0000007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Liquidity Ratios</w:t>
      </w:r>
    </w:p>
    <w:tbl>
      <w:tblPr>
        <w:tblStyle w:val="Table3"/>
        <w:tblW w:w="9350.000000000002" w:type="dxa"/>
        <w:jc w:val="left"/>
        <w:tblBorders>
          <w:top w:color="c5e0b3" w:space="0" w:sz="4" w:val="single"/>
          <w:left w:color="c5e0b3" w:space="0" w:sz="4" w:val="single"/>
          <w:bottom w:color="c5e0b3" w:space="0" w:sz="4" w:val="single"/>
          <w:right w:color="c5e0b3" w:space="0" w:sz="4" w:val="single"/>
          <w:insideH w:color="c5e0b3" w:space="0" w:sz="4" w:val="single"/>
          <w:insideV w:color="c5e0b3" w:space="0" w:sz="4" w:val="single"/>
        </w:tblBorders>
        <w:tblLayout w:type="fixed"/>
        <w:tblLook w:val="04A0"/>
      </w:tblPr>
      <w:tblGrid>
        <w:gridCol w:w="1324"/>
        <w:gridCol w:w="1936"/>
        <w:gridCol w:w="1695"/>
        <w:gridCol w:w="817"/>
        <w:gridCol w:w="1664"/>
        <w:gridCol w:w="817"/>
        <w:gridCol w:w="1097"/>
        <w:tblGridChange w:id="0">
          <w:tblGrid>
            <w:gridCol w:w="1324"/>
            <w:gridCol w:w="1936"/>
            <w:gridCol w:w="1695"/>
            <w:gridCol w:w="817"/>
            <w:gridCol w:w="1664"/>
            <w:gridCol w:w="817"/>
            <w:gridCol w:w="1097"/>
          </w:tblGrid>
        </w:tblGridChange>
      </w:tblGrid>
      <w:tr>
        <w:trPr>
          <w:cantSplit w:val="0"/>
          <w:tblHeader w:val="0"/>
        </w:trPr>
        <w:tc>
          <w:tcPr/>
          <w:p w:rsidR="00000000" w:rsidDel="00000000" w:rsidP="00000000" w:rsidRDefault="00000000" w:rsidRPr="00000000" w14:paraId="00000079">
            <w:pPr>
              <w:rPr>
                <w:rFonts w:ascii="Arial" w:cs="Arial" w:eastAsia="Arial" w:hAnsi="Arial"/>
              </w:rPr>
            </w:pPr>
            <w:r w:rsidDel="00000000" w:rsidR="00000000" w:rsidRPr="00000000">
              <w:rPr>
                <w:rFonts w:ascii="Arial" w:cs="Arial" w:eastAsia="Arial" w:hAnsi="Arial"/>
                <w:rtl w:val="0"/>
              </w:rPr>
              <w:t xml:space="preserve">Ratio</w:t>
            </w:r>
          </w:p>
        </w:tc>
        <w:tc>
          <w:tcPr/>
          <w:p w:rsidR="00000000" w:rsidDel="00000000" w:rsidP="00000000" w:rsidRDefault="00000000" w:rsidRPr="00000000" w14:paraId="0000007A">
            <w:pPr>
              <w:rPr>
                <w:rFonts w:ascii="Arial" w:cs="Arial" w:eastAsia="Arial" w:hAnsi="Arial"/>
              </w:rPr>
            </w:pPr>
            <w:r w:rsidDel="00000000" w:rsidR="00000000" w:rsidRPr="00000000">
              <w:rPr>
                <w:rFonts w:ascii="Arial" w:cs="Arial" w:eastAsia="Arial" w:hAnsi="Arial"/>
                <w:rtl w:val="0"/>
              </w:rPr>
              <w:t xml:space="preserve">Formula</w:t>
            </w:r>
          </w:p>
        </w:tc>
        <w:tc>
          <w:tcPr/>
          <w:p w:rsidR="00000000" w:rsidDel="00000000" w:rsidP="00000000" w:rsidRDefault="00000000" w:rsidRPr="00000000" w14:paraId="0000007B">
            <w:pPr>
              <w:rPr>
                <w:rFonts w:ascii="Arial" w:cs="Arial" w:eastAsia="Arial" w:hAnsi="Arial"/>
              </w:rPr>
            </w:pPr>
            <w:r w:rsidDel="00000000" w:rsidR="00000000" w:rsidRPr="00000000">
              <w:rPr>
                <w:rFonts w:ascii="Arial" w:cs="Arial" w:eastAsia="Arial" w:hAnsi="Arial"/>
                <w:rtl w:val="0"/>
              </w:rPr>
              <w:t xml:space="preserve">2025 Calculation</w:t>
            </w:r>
          </w:p>
        </w:tc>
        <w:tc>
          <w:tcPr/>
          <w:p w:rsidR="00000000" w:rsidDel="00000000" w:rsidP="00000000" w:rsidRDefault="00000000" w:rsidRPr="00000000" w14:paraId="0000007C">
            <w:pPr>
              <w:rPr>
                <w:rFonts w:ascii="Arial" w:cs="Arial" w:eastAsia="Arial" w:hAnsi="Arial"/>
              </w:rPr>
            </w:pPr>
            <w:r w:rsidDel="00000000" w:rsidR="00000000" w:rsidRPr="00000000">
              <w:rPr>
                <w:rFonts w:ascii="Arial" w:cs="Arial" w:eastAsia="Arial" w:hAnsi="Arial"/>
                <w:rtl w:val="0"/>
              </w:rPr>
              <w:t xml:space="preserve">2025</w:t>
            </w:r>
          </w:p>
        </w:tc>
        <w:tc>
          <w:tcPr/>
          <w:p w:rsidR="00000000" w:rsidDel="00000000" w:rsidP="00000000" w:rsidRDefault="00000000" w:rsidRPr="00000000" w14:paraId="0000007D">
            <w:pPr>
              <w:rPr>
                <w:rFonts w:ascii="Arial" w:cs="Arial" w:eastAsia="Arial" w:hAnsi="Arial"/>
              </w:rPr>
            </w:pPr>
            <w:r w:rsidDel="00000000" w:rsidR="00000000" w:rsidRPr="00000000">
              <w:rPr>
                <w:rFonts w:ascii="Arial" w:cs="Arial" w:eastAsia="Arial" w:hAnsi="Arial"/>
                <w:rtl w:val="0"/>
              </w:rPr>
              <w:t xml:space="preserve">2024 Calculation</w:t>
            </w:r>
          </w:p>
        </w:tc>
        <w:tc>
          <w:tcPr/>
          <w:p w:rsidR="00000000" w:rsidDel="00000000" w:rsidP="00000000" w:rsidRDefault="00000000" w:rsidRPr="00000000" w14:paraId="0000007E">
            <w:pP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07F">
            <w:pPr>
              <w:rPr>
                <w:rFonts w:ascii="Arial" w:cs="Arial" w:eastAsia="Arial" w:hAnsi="Arial"/>
              </w:rPr>
            </w:pPr>
            <w:r w:rsidDel="00000000" w:rsidR="00000000" w:rsidRPr="00000000">
              <w:rPr>
                <w:rFonts w:ascii="Arial" w:cs="Arial" w:eastAsia="Arial" w:hAnsi="Arial"/>
                <w:rtl w:val="0"/>
              </w:rPr>
              <w:t xml:space="preserve">Change</w:t>
            </w:r>
          </w:p>
        </w:tc>
      </w:tr>
      <w:tr>
        <w:trPr>
          <w:cantSplit w:val="0"/>
          <w:tblHeader w:val="0"/>
        </w:trPr>
        <w:tc>
          <w:tcPr/>
          <w:p w:rsidR="00000000" w:rsidDel="00000000" w:rsidP="00000000" w:rsidRDefault="00000000" w:rsidRPr="00000000" w14:paraId="00000080">
            <w:pPr>
              <w:rPr>
                <w:rFonts w:ascii="Arial" w:cs="Arial" w:eastAsia="Arial" w:hAnsi="Arial"/>
              </w:rPr>
            </w:pPr>
            <w:r w:rsidDel="00000000" w:rsidR="00000000" w:rsidRPr="00000000">
              <w:rPr>
                <w:rFonts w:ascii="Arial" w:cs="Arial" w:eastAsia="Arial" w:hAnsi="Arial"/>
                <w:rtl w:val="0"/>
              </w:rPr>
              <w:t xml:space="preserve">Current Ratio</w:t>
            </w:r>
          </w:p>
        </w:tc>
        <w:tc>
          <w:tcPr/>
          <w:p w:rsidR="00000000" w:rsidDel="00000000" w:rsidP="00000000" w:rsidRDefault="00000000" w:rsidRPr="00000000" w14:paraId="00000081">
            <w:pPr>
              <w:rPr>
                <w:rFonts w:ascii="Arial" w:cs="Arial" w:eastAsia="Arial" w:hAnsi="Arial"/>
              </w:rPr>
            </w:pPr>
            <w:r w:rsidDel="00000000" w:rsidR="00000000" w:rsidRPr="00000000">
              <w:rPr>
                <w:rFonts w:ascii="Arial" w:cs="Arial" w:eastAsia="Arial" w:hAnsi="Arial"/>
                <w:rtl w:val="0"/>
              </w:rPr>
              <w:t xml:space="preserve">Current Assets ÷ Current Liabilities</w:t>
            </w:r>
          </w:p>
        </w:tc>
        <w:tc>
          <w:tcPr/>
          <w:p w:rsidR="00000000" w:rsidDel="00000000" w:rsidP="00000000" w:rsidRDefault="00000000" w:rsidRPr="00000000" w14:paraId="00000082">
            <w:pPr>
              <w:rPr>
                <w:rFonts w:ascii="Arial" w:cs="Arial" w:eastAsia="Arial" w:hAnsi="Arial"/>
              </w:rPr>
            </w:pPr>
            <w:r w:rsidDel="00000000" w:rsidR="00000000" w:rsidRPr="00000000">
              <w:rPr>
                <w:rFonts w:ascii="Arial" w:cs="Arial" w:eastAsia="Arial" w:hAnsi="Arial"/>
                <w:rtl w:val="0"/>
              </w:rPr>
              <w:t xml:space="preserve">17,497 ÷ 10,712</w:t>
            </w:r>
          </w:p>
        </w:tc>
        <w:tc>
          <w:tcPr/>
          <w:p w:rsidR="00000000" w:rsidDel="00000000" w:rsidP="00000000" w:rsidRDefault="00000000" w:rsidRPr="00000000" w14:paraId="00000083">
            <w:pPr>
              <w:rPr>
                <w:rFonts w:ascii="Arial" w:cs="Arial" w:eastAsia="Arial" w:hAnsi="Arial"/>
              </w:rPr>
            </w:pPr>
            <w:r w:rsidDel="00000000" w:rsidR="00000000" w:rsidRPr="00000000">
              <w:rPr>
                <w:rFonts w:ascii="Arial" w:cs="Arial" w:eastAsia="Arial" w:hAnsi="Arial"/>
                <w:rtl w:val="0"/>
              </w:rPr>
              <w:t xml:space="preserve">1.63</w:t>
            </w:r>
          </w:p>
        </w:tc>
        <w:tc>
          <w:tcPr/>
          <w:p w:rsidR="00000000" w:rsidDel="00000000" w:rsidP="00000000" w:rsidRDefault="00000000" w:rsidRPr="00000000" w14:paraId="00000084">
            <w:pPr>
              <w:rPr>
                <w:rFonts w:ascii="Arial" w:cs="Arial" w:eastAsia="Arial" w:hAnsi="Arial"/>
              </w:rPr>
            </w:pPr>
            <w:r w:rsidDel="00000000" w:rsidR="00000000" w:rsidRPr="00000000">
              <w:rPr>
                <w:rFonts w:ascii="Arial" w:cs="Arial" w:eastAsia="Arial" w:hAnsi="Arial"/>
                <w:rtl w:val="0"/>
              </w:rPr>
              <w:t xml:space="preserve">15,126 ÷ 9,868</w:t>
            </w:r>
          </w:p>
        </w:tc>
        <w:tc>
          <w:tcPr/>
          <w:p w:rsidR="00000000" w:rsidDel="00000000" w:rsidP="00000000" w:rsidRDefault="00000000" w:rsidRPr="00000000" w14:paraId="00000085">
            <w:pPr>
              <w:rPr>
                <w:rFonts w:ascii="Arial" w:cs="Arial" w:eastAsia="Arial" w:hAnsi="Arial"/>
              </w:rPr>
            </w:pPr>
            <w:r w:rsidDel="00000000" w:rsidR="00000000" w:rsidRPr="00000000">
              <w:rPr>
                <w:rFonts w:ascii="Arial" w:cs="Arial" w:eastAsia="Arial" w:hAnsi="Arial"/>
                <w:rtl w:val="0"/>
              </w:rPr>
              <w:t xml:space="preserve">1.53</w:t>
            </w:r>
          </w:p>
        </w:tc>
        <w:tc>
          <w:tcPr/>
          <w:p w:rsidR="00000000" w:rsidDel="00000000" w:rsidP="00000000" w:rsidRDefault="00000000" w:rsidRPr="00000000" w14:paraId="00000086">
            <w:pPr>
              <w:rPr>
                <w:rFonts w:ascii="Arial" w:cs="Arial" w:eastAsia="Arial" w:hAnsi="Arial"/>
              </w:rPr>
            </w:pPr>
            <w:r w:rsidDel="00000000" w:rsidR="00000000" w:rsidRPr="00000000">
              <w:rPr>
                <w:rFonts w:ascii="Arial" w:cs="Arial" w:eastAsia="Arial" w:hAnsi="Arial"/>
                <w:rtl w:val="0"/>
              </w:rPr>
              <w:t xml:space="preserve">+0.10</w:t>
            </w:r>
          </w:p>
        </w:tc>
      </w:tr>
      <w:tr>
        <w:trPr>
          <w:cantSplit w:val="0"/>
          <w:tblHeader w:val="0"/>
        </w:trPr>
        <w:tc>
          <w:tcPr/>
          <w:p w:rsidR="00000000" w:rsidDel="00000000" w:rsidP="00000000" w:rsidRDefault="00000000" w:rsidRPr="00000000" w14:paraId="00000087">
            <w:pPr>
              <w:rPr>
                <w:rFonts w:ascii="Arial" w:cs="Arial" w:eastAsia="Arial" w:hAnsi="Arial"/>
              </w:rPr>
            </w:pPr>
            <w:r w:rsidDel="00000000" w:rsidR="00000000" w:rsidRPr="00000000">
              <w:rPr>
                <w:rFonts w:ascii="Arial" w:cs="Arial" w:eastAsia="Arial" w:hAnsi="Arial"/>
                <w:rtl w:val="0"/>
              </w:rPr>
              <w:t xml:space="preserve">Quick Ratio</w:t>
            </w:r>
          </w:p>
        </w:tc>
        <w:tc>
          <w:tcPr/>
          <w:p w:rsidR="00000000" w:rsidDel="00000000" w:rsidP="00000000" w:rsidRDefault="00000000" w:rsidRPr="00000000" w14:paraId="00000088">
            <w:pPr>
              <w:rPr>
                <w:rFonts w:ascii="Arial" w:cs="Arial" w:eastAsia="Arial" w:hAnsi="Arial"/>
              </w:rPr>
            </w:pPr>
            <w:r w:rsidDel="00000000" w:rsidR="00000000" w:rsidRPr="00000000">
              <w:rPr>
                <w:rFonts w:ascii="Arial" w:cs="Arial" w:eastAsia="Arial" w:hAnsi="Arial"/>
                <w:rtl w:val="0"/>
              </w:rPr>
              <w:t xml:space="preserve">(Current Assets − Inventories) ÷ Current Liabilities</w:t>
            </w:r>
          </w:p>
        </w:tc>
        <w:tc>
          <w:tcPr/>
          <w:p w:rsidR="00000000" w:rsidDel="00000000" w:rsidP="00000000" w:rsidRDefault="00000000" w:rsidRPr="00000000" w14:paraId="00000089">
            <w:pPr>
              <w:rPr>
                <w:rFonts w:ascii="Arial" w:cs="Arial" w:eastAsia="Arial" w:hAnsi="Arial"/>
              </w:rPr>
            </w:pPr>
            <w:r w:rsidDel="00000000" w:rsidR="00000000" w:rsidRPr="00000000">
              <w:rPr>
                <w:rFonts w:ascii="Arial" w:cs="Arial" w:eastAsia="Arial" w:hAnsi="Arial"/>
                <w:rtl w:val="0"/>
              </w:rPr>
              <w:t xml:space="preserve">(17,497 − 10,658) ÷ 10,712</w:t>
            </w:r>
          </w:p>
        </w:tc>
        <w:tc>
          <w:tcPr/>
          <w:p w:rsidR="00000000" w:rsidDel="00000000" w:rsidP="00000000" w:rsidRDefault="00000000" w:rsidRPr="00000000" w14:paraId="0000008A">
            <w:pPr>
              <w:rPr>
                <w:rFonts w:ascii="Arial" w:cs="Arial" w:eastAsia="Arial" w:hAnsi="Arial"/>
              </w:rPr>
            </w:pPr>
            <w:r w:rsidDel="00000000" w:rsidR="00000000" w:rsidRPr="00000000">
              <w:rPr>
                <w:rFonts w:ascii="Arial" w:cs="Arial" w:eastAsia="Arial" w:hAnsi="Arial"/>
                <w:rtl w:val="0"/>
              </w:rPr>
              <w:t xml:space="preserve">0.64</w:t>
            </w:r>
          </w:p>
        </w:tc>
        <w:tc>
          <w:tcPr/>
          <w:p w:rsidR="00000000" w:rsidDel="00000000" w:rsidP="00000000" w:rsidRDefault="00000000" w:rsidRPr="00000000" w14:paraId="0000008B">
            <w:pPr>
              <w:rPr>
                <w:rFonts w:ascii="Arial" w:cs="Arial" w:eastAsia="Arial" w:hAnsi="Arial"/>
              </w:rPr>
            </w:pPr>
            <w:r w:rsidDel="00000000" w:rsidR="00000000" w:rsidRPr="00000000">
              <w:rPr>
                <w:rFonts w:ascii="Arial" w:cs="Arial" w:eastAsia="Arial" w:hAnsi="Arial"/>
                <w:rtl w:val="0"/>
              </w:rPr>
              <w:t xml:space="preserve">(15,126 − 9,720) ÷ 9,868</w:t>
            </w:r>
          </w:p>
        </w:tc>
        <w:tc>
          <w:tcPr/>
          <w:p w:rsidR="00000000" w:rsidDel="00000000" w:rsidP="00000000" w:rsidRDefault="00000000" w:rsidRPr="00000000" w14:paraId="0000008C">
            <w:pPr>
              <w:rPr>
                <w:rFonts w:ascii="Arial" w:cs="Arial" w:eastAsia="Arial" w:hAnsi="Arial"/>
              </w:rPr>
            </w:pPr>
            <w:r w:rsidDel="00000000" w:rsidR="00000000" w:rsidRPr="00000000">
              <w:rPr>
                <w:rFonts w:ascii="Arial" w:cs="Arial" w:eastAsia="Arial" w:hAnsi="Arial"/>
                <w:rtl w:val="0"/>
              </w:rPr>
              <w:t xml:space="preserve">0.55</w:t>
            </w:r>
          </w:p>
        </w:tc>
        <w:tc>
          <w:tcPr/>
          <w:p w:rsidR="00000000" w:rsidDel="00000000" w:rsidP="00000000" w:rsidRDefault="00000000" w:rsidRPr="00000000" w14:paraId="0000008D">
            <w:pPr>
              <w:rPr>
                <w:rFonts w:ascii="Arial" w:cs="Arial" w:eastAsia="Arial" w:hAnsi="Arial"/>
              </w:rPr>
            </w:pPr>
            <w:r w:rsidDel="00000000" w:rsidR="00000000" w:rsidRPr="00000000">
              <w:rPr>
                <w:rFonts w:ascii="Arial" w:cs="Arial" w:eastAsia="Arial" w:hAnsi="Arial"/>
                <w:rtl w:val="0"/>
              </w:rPr>
              <w:t xml:space="preserve">+0.09</w:t>
            </w:r>
          </w:p>
        </w:tc>
      </w:tr>
      <w:tr>
        <w:trPr>
          <w:cantSplit w:val="0"/>
          <w:tblHeader w:val="0"/>
        </w:trPr>
        <w:tc>
          <w:tcPr/>
          <w:p w:rsidR="00000000" w:rsidDel="00000000" w:rsidP="00000000" w:rsidRDefault="00000000" w:rsidRPr="00000000" w14:paraId="0000008E">
            <w:pPr>
              <w:rPr>
                <w:rFonts w:ascii="Arial" w:cs="Arial" w:eastAsia="Arial" w:hAnsi="Arial"/>
              </w:rPr>
            </w:pPr>
            <w:r w:rsidDel="00000000" w:rsidR="00000000" w:rsidRPr="00000000">
              <w:rPr>
                <w:rFonts w:ascii="Arial" w:cs="Arial" w:eastAsia="Arial" w:hAnsi="Arial"/>
                <w:rtl w:val="0"/>
              </w:rPr>
              <w:t xml:space="preserve">Net Working Capital</w:t>
            </w:r>
          </w:p>
        </w:tc>
        <w:tc>
          <w:tcPr/>
          <w:p w:rsidR="00000000" w:rsidDel="00000000" w:rsidP="00000000" w:rsidRDefault="00000000" w:rsidRPr="00000000" w14:paraId="0000008F">
            <w:pPr>
              <w:rPr>
                <w:rFonts w:ascii="Arial" w:cs="Arial" w:eastAsia="Arial" w:hAnsi="Arial"/>
              </w:rPr>
            </w:pPr>
            <w:r w:rsidDel="00000000" w:rsidR="00000000" w:rsidRPr="00000000">
              <w:rPr>
                <w:rFonts w:ascii="Arial" w:cs="Arial" w:eastAsia="Arial" w:hAnsi="Arial"/>
                <w:rtl w:val="0"/>
              </w:rPr>
              <w:t xml:space="preserve">Current Assets − Current Liabilities</w:t>
            </w:r>
          </w:p>
        </w:tc>
        <w:tc>
          <w:tcPr/>
          <w:p w:rsidR="00000000" w:rsidDel="00000000" w:rsidP="00000000" w:rsidRDefault="00000000" w:rsidRPr="00000000" w14:paraId="00000090">
            <w:pPr>
              <w:rPr>
                <w:rFonts w:ascii="Arial" w:cs="Arial" w:eastAsia="Arial" w:hAnsi="Arial"/>
              </w:rPr>
            </w:pPr>
            <w:r w:rsidDel="00000000" w:rsidR="00000000" w:rsidRPr="00000000">
              <w:rPr>
                <w:rFonts w:ascii="Arial" w:cs="Arial" w:eastAsia="Arial" w:hAnsi="Arial"/>
                <w:rtl w:val="0"/>
              </w:rPr>
              <w:t xml:space="preserve">17,497 − 10,712</w:t>
            </w:r>
          </w:p>
        </w:tc>
        <w:tc>
          <w:tcPr/>
          <w:p w:rsidR="00000000" w:rsidDel="00000000" w:rsidP="00000000" w:rsidRDefault="00000000" w:rsidRPr="00000000" w14:paraId="00000091">
            <w:pPr>
              <w:rPr>
                <w:rFonts w:ascii="Arial" w:cs="Arial" w:eastAsia="Arial" w:hAnsi="Arial"/>
              </w:rPr>
            </w:pPr>
            <w:r w:rsidDel="00000000" w:rsidR="00000000" w:rsidRPr="00000000">
              <w:rPr>
                <w:rFonts w:ascii="Arial" w:cs="Arial" w:eastAsia="Arial" w:hAnsi="Arial"/>
                <w:rtl w:val="0"/>
              </w:rPr>
              <w:t xml:space="preserve">6,785</w:t>
            </w:r>
          </w:p>
        </w:tc>
        <w:tc>
          <w:tcPr/>
          <w:p w:rsidR="00000000" w:rsidDel="00000000" w:rsidP="00000000" w:rsidRDefault="00000000" w:rsidRPr="00000000" w14:paraId="00000092">
            <w:pPr>
              <w:rPr>
                <w:rFonts w:ascii="Arial" w:cs="Arial" w:eastAsia="Arial" w:hAnsi="Arial"/>
              </w:rPr>
            </w:pPr>
            <w:r w:rsidDel="00000000" w:rsidR="00000000" w:rsidRPr="00000000">
              <w:rPr>
                <w:rFonts w:ascii="Arial" w:cs="Arial" w:eastAsia="Arial" w:hAnsi="Arial"/>
                <w:rtl w:val="0"/>
              </w:rPr>
              <w:t xml:space="preserve">15,126 − 9,868</w:t>
            </w:r>
          </w:p>
        </w:tc>
        <w:tc>
          <w:tcPr/>
          <w:p w:rsidR="00000000" w:rsidDel="00000000" w:rsidP="00000000" w:rsidRDefault="00000000" w:rsidRPr="00000000" w14:paraId="00000093">
            <w:pPr>
              <w:rPr>
                <w:rFonts w:ascii="Arial" w:cs="Arial" w:eastAsia="Arial" w:hAnsi="Arial"/>
              </w:rPr>
            </w:pPr>
            <w:r w:rsidDel="00000000" w:rsidR="00000000" w:rsidRPr="00000000">
              <w:rPr>
                <w:rFonts w:ascii="Arial" w:cs="Arial" w:eastAsia="Arial" w:hAnsi="Arial"/>
                <w:rtl w:val="0"/>
              </w:rPr>
              <w:t xml:space="preserve">5,258</w:t>
            </w:r>
          </w:p>
        </w:tc>
        <w:tc>
          <w:tcPr/>
          <w:p w:rsidR="00000000" w:rsidDel="00000000" w:rsidP="00000000" w:rsidRDefault="00000000" w:rsidRPr="00000000" w14:paraId="00000094">
            <w:pPr>
              <w:rPr>
                <w:rFonts w:ascii="Arial" w:cs="Arial" w:eastAsia="Arial" w:hAnsi="Arial"/>
              </w:rPr>
            </w:pPr>
            <w:r w:rsidDel="00000000" w:rsidR="00000000" w:rsidRPr="00000000">
              <w:rPr>
                <w:rFonts w:ascii="Arial" w:cs="Arial" w:eastAsia="Arial" w:hAnsi="Arial"/>
                <w:rtl w:val="0"/>
              </w:rPr>
              <w:t xml:space="preserve">+1,527</w:t>
            </w:r>
          </w:p>
        </w:tc>
      </w:tr>
    </w:tbl>
    <w:p w:rsidR="00000000" w:rsidDel="00000000" w:rsidP="00000000" w:rsidRDefault="00000000" w:rsidRPr="00000000" w14:paraId="00000095">
      <w:pPr>
        <w:rPr>
          <w:rFonts w:ascii="Arial" w:cs="Arial" w:eastAsia="Arial" w:hAnsi="Arial"/>
        </w:rPr>
      </w:pPr>
      <w:r w:rsidDel="00000000" w:rsidR="00000000" w:rsidRPr="00000000">
        <w:rPr>
          <w:rFonts w:ascii="Arial" w:cs="Arial" w:eastAsia="Arial" w:hAnsi="Arial"/>
          <w:rtl w:val="0"/>
        </w:rPr>
        <w:t xml:space="preserve">According to the liquidity ratios, the short-term financial performance of Diageo will improve slightly between 2024 and 2025 (LSE, 2025). The current ratio improved to 1.53 in 2024 and then rose to 1.63 in 2025 to indicate that the firm has enhanced its capacity to meet its short-term liabilities with its current assets. This can be the result of the increase in cash balances, an increase in receivables or better management of the working capital. A current ratio of 1 or higher means that there are more current assets than current liabilities, and the level of short-term solvency risk is low (Fernando, 2025). Nevertheless, as much as the growth is good, the ratio is moderate, indicating that Diageo is not sitting on surplus liquid assets, and it is still running with an effective yet restrained liquidity position.</w:t>
      </w:r>
    </w:p>
    <w:p w:rsidR="00000000" w:rsidDel="00000000" w:rsidP="00000000" w:rsidRDefault="00000000" w:rsidRPr="00000000" w14:paraId="00000096">
      <w:pPr>
        <w:keepNext w:val="1"/>
        <w:jc w:val="center"/>
        <w:rPr>
          <w:rFonts w:ascii="Arial" w:cs="Arial" w:eastAsia="Arial" w:hAnsi="Arial"/>
        </w:rPr>
      </w:pPr>
      <w:r w:rsidDel="00000000" w:rsidR="00000000" w:rsidRPr="00000000">
        <w:rPr>
          <w:rFonts w:ascii="Arial" w:cs="Arial" w:eastAsia="Arial" w:hAnsi="Arial"/>
        </w:rPr>
        <w:drawing>
          <wp:inline distB="0" distT="0" distL="0" distR="0">
            <wp:extent cx="4640580" cy="2453640"/>
            <wp:effectExtent b="3810" l="0" r="7620" t="0"/>
            <wp:docPr id="3" name=""/>
            <a:graphic>
              <a:graphicData uri="http://schemas.openxmlformats.org/drawingml/2006/chart">
                <c:chart r:id="rId9"/>
              </a:graphicData>
            </a:graphic>
          </wp:inline>
        </w:drawing>
      </w:r>
      <w:r w:rsidDel="00000000" w:rsidR="00000000" w:rsidRPr="00000000">
        <w:rPr>
          <w:rtl w:val="0"/>
        </w:rPr>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44546a"/>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3: Liquidity Ratios</w:t>
      </w:r>
    </w:p>
    <w:p w:rsidR="00000000" w:rsidDel="00000000" w:rsidP="00000000" w:rsidRDefault="00000000" w:rsidRPr="00000000" w14:paraId="00000098">
      <w:pPr>
        <w:rPr>
          <w:rFonts w:ascii="Arial" w:cs="Arial" w:eastAsia="Arial" w:hAnsi="Arial"/>
        </w:rPr>
      </w:pPr>
      <w:r w:rsidDel="00000000" w:rsidR="00000000" w:rsidRPr="00000000">
        <w:rPr>
          <w:rFonts w:ascii="Arial" w:cs="Arial" w:eastAsia="Arial" w:hAnsi="Arial"/>
          <w:rtl w:val="0"/>
        </w:rPr>
        <w:t xml:space="preserve">There was also an improvement in the quick ratio, which increased to 0.64 in 2025, compared with 0.55 in 2024. This growth means that it is more powerful to cover the immediate liabilities without having to use the less liquid inventories. The upturn could be reflected in the increased cash balances or receivables, perhaps due to a better cash collection procedure or a tighter cash retention in a difficult operating environment. However, the quick ratio is lower than 1 even though it has increased, which indicates that Diageo has to rely on the inventory turnover in order to settle short-term commitments (Kannan, 2025). It is not unusual in the beverage industry where inventories represent a large share of current assets, but it does represent some vulnerability to liquidity risk in the event that sales slow or the inventory becomes less liquid. The net working capital improved drastically in 2025 by improving on its position of 5,258 million in 2024 to 6,785 million in 2025. This growth indicates that Diageo has strengthened its short-term financial buffer, enabling it to have more flexibility to finance day-to-day operations. The rise can be attributed to better cash flows, a better management approach of its creditors, or it can be a decision to remain in greater liquidity as a result of economic uncertainty and other fluctuating market conditions.</w:t>
      </w:r>
    </w:p>
    <w:p w:rsidR="00000000" w:rsidDel="00000000" w:rsidP="00000000" w:rsidRDefault="00000000" w:rsidRPr="00000000" w14:paraId="0000009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Gearing Ratios</w:t>
      </w:r>
    </w:p>
    <w:tbl>
      <w:tblPr>
        <w:tblStyle w:val="Table4"/>
        <w:tblW w:w="9350.0" w:type="dxa"/>
        <w:jc w:val="left"/>
        <w:tblBorders>
          <w:top w:color="c5e0b3" w:space="0" w:sz="4" w:val="single"/>
          <w:left w:color="c5e0b3" w:space="0" w:sz="4" w:val="single"/>
          <w:bottom w:color="c5e0b3" w:space="0" w:sz="4" w:val="single"/>
          <w:right w:color="c5e0b3" w:space="0" w:sz="4" w:val="single"/>
          <w:insideH w:color="c5e0b3" w:space="0" w:sz="4" w:val="single"/>
          <w:insideV w:color="c5e0b3" w:space="0" w:sz="4" w:val="single"/>
        </w:tblBorders>
        <w:tblLayout w:type="fixed"/>
        <w:tblLook w:val="04A0"/>
      </w:tblPr>
      <w:tblGrid>
        <w:gridCol w:w="1537"/>
        <w:gridCol w:w="1780"/>
        <w:gridCol w:w="1718"/>
        <w:gridCol w:w="750"/>
        <w:gridCol w:w="1718"/>
        <w:gridCol w:w="750"/>
        <w:gridCol w:w="1097"/>
        <w:tblGridChange w:id="0">
          <w:tblGrid>
            <w:gridCol w:w="1537"/>
            <w:gridCol w:w="1780"/>
            <w:gridCol w:w="1718"/>
            <w:gridCol w:w="750"/>
            <w:gridCol w:w="1718"/>
            <w:gridCol w:w="750"/>
            <w:gridCol w:w="1097"/>
          </w:tblGrid>
        </w:tblGridChange>
      </w:tblGrid>
      <w:tr>
        <w:trPr>
          <w:cantSplit w:val="0"/>
          <w:tblHeader w:val="0"/>
        </w:trPr>
        <w:tc>
          <w:tcPr/>
          <w:p w:rsidR="00000000" w:rsidDel="00000000" w:rsidP="00000000" w:rsidRDefault="00000000" w:rsidRPr="00000000" w14:paraId="0000009A">
            <w:pPr>
              <w:rPr>
                <w:rFonts w:ascii="Arial" w:cs="Arial" w:eastAsia="Arial" w:hAnsi="Arial"/>
              </w:rPr>
            </w:pPr>
            <w:r w:rsidDel="00000000" w:rsidR="00000000" w:rsidRPr="00000000">
              <w:rPr>
                <w:rFonts w:ascii="Arial" w:cs="Arial" w:eastAsia="Arial" w:hAnsi="Arial"/>
                <w:rtl w:val="0"/>
              </w:rPr>
              <w:t xml:space="preserve">Ratio</w:t>
            </w:r>
          </w:p>
        </w:tc>
        <w:tc>
          <w:tcPr/>
          <w:p w:rsidR="00000000" w:rsidDel="00000000" w:rsidP="00000000" w:rsidRDefault="00000000" w:rsidRPr="00000000" w14:paraId="0000009B">
            <w:pPr>
              <w:rPr>
                <w:rFonts w:ascii="Arial" w:cs="Arial" w:eastAsia="Arial" w:hAnsi="Arial"/>
              </w:rPr>
            </w:pPr>
            <w:r w:rsidDel="00000000" w:rsidR="00000000" w:rsidRPr="00000000">
              <w:rPr>
                <w:rFonts w:ascii="Arial" w:cs="Arial" w:eastAsia="Arial" w:hAnsi="Arial"/>
                <w:rtl w:val="0"/>
              </w:rPr>
              <w:t xml:space="preserve">Formula</w:t>
            </w:r>
          </w:p>
        </w:tc>
        <w:tc>
          <w:tcPr/>
          <w:p w:rsidR="00000000" w:rsidDel="00000000" w:rsidP="00000000" w:rsidRDefault="00000000" w:rsidRPr="00000000" w14:paraId="0000009C">
            <w:pPr>
              <w:rPr>
                <w:rFonts w:ascii="Arial" w:cs="Arial" w:eastAsia="Arial" w:hAnsi="Arial"/>
              </w:rPr>
            </w:pPr>
            <w:r w:rsidDel="00000000" w:rsidR="00000000" w:rsidRPr="00000000">
              <w:rPr>
                <w:rFonts w:ascii="Arial" w:cs="Arial" w:eastAsia="Arial" w:hAnsi="Arial"/>
                <w:rtl w:val="0"/>
              </w:rPr>
              <w:t xml:space="preserve">2025 Calculation</w:t>
            </w:r>
          </w:p>
        </w:tc>
        <w:tc>
          <w:tcPr/>
          <w:p w:rsidR="00000000" w:rsidDel="00000000" w:rsidP="00000000" w:rsidRDefault="00000000" w:rsidRPr="00000000" w14:paraId="0000009D">
            <w:pPr>
              <w:rPr>
                <w:rFonts w:ascii="Arial" w:cs="Arial" w:eastAsia="Arial" w:hAnsi="Arial"/>
              </w:rPr>
            </w:pPr>
            <w:r w:rsidDel="00000000" w:rsidR="00000000" w:rsidRPr="00000000">
              <w:rPr>
                <w:rFonts w:ascii="Arial" w:cs="Arial" w:eastAsia="Arial" w:hAnsi="Arial"/>
                <w:rtl w:val="0"/>
              </w:rPr>
              <w:t xml:space="preserve">2025</w:t>
            </w:r>
          </w:p>
        </w:tc>
        <w:tc>
          <w:tcPr/>
          <w:p w:rsidR="00000000" w:rsidDel="00000000" w:rsidP="00000000" w:rsidRDefault="00000000" w:rsidRPr="00000000" w14:paraId="0000009E">
            <w:pPr>
              <w:rPr>
                <w:rFonts w:ascii="Arial" w:cs="Arial" w:eastAsia="Arial" w:hAnsi="Arial"/>
              </w:rPr>
            </w:pPr>
            <w:r w:rsidDel="00000000" w:rsidR="00000000" w:rsidRPr="00000000">
              <w:rPr>
                <w:rFonts w:ascii="Arial" w:cs="Arial" w:eastAsia="Arial" w:hAnsi="Arial"/>
                <w:rtl w:val="0"/>
              </w:rPr>
              <w:t xml:space="preserve">2024 Calculation</w:t>
            </w:r>
          </w:p>
        </w:tc>
        <w:tc>
          <w:tcPr/>
          <w:p w:rsidR="00000000" w:rsidDel="00000000" w:rsidP="00000000" w:rsidRDefault="00000000" w:rsidRPr="00000000" w14:paraId="0000009F">
            <w:pP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0A0">
            <w:pPr>
              <w:rPr>
                <w:rFonts w:ascii="Arial" w:cs="Arial" w:eastAsia="Arial" w:hAnsi="Arial"/>
              </w:rPr>
            </w:pPr>
            <w:r w:rsidDel="00000000" w:rsidR="00000000" w:rsidRPr="00000000">
              <w:rPr>
                <w:rFonts w:ascii="Arial" w:cs="Arial" w:eastAsia="Arial" w:hAnsi="Arial"/>
                <w:rtl w:val="0"/>
              </w:rPr>
              <w:t xml:space="preserve">Change</w:t>
            </w:r>
          </w:p>
        </w:tc>
      </w:tr>
      <w:tr>
        <w:trPr>
          <w:cantSplit w:val="0"/>
          <w:tblHeader w:val="0"/>
        </w:trPr>
        <w:tc>
          <w:tcPr/>
          <w:p w:rsidR="00000000" w:rsidDel="00000000" w:rsidP="00000000" w:rsidRDefault="00000000" w:rsidRPr="00000000" w14:paraId="000000A1">
            <w:pPr>
              <w:rPr>
                <w:rFonts w:ascii="Arial" w:cs="Arial" w:eastAsia="Arial" w:hAnsi="Arial"/>
              </w:rPr>
            </w:pPr>
            <w:r w:rsidDel="00000000" w:rsidR="00000000" w:rsidRPr="00000000">
              <w:rPr>
                <w:rFonts w:ascii="Arial" w:cs="Arial" w:eastAsia="Arial" w:hAnsi="Arial"/>
                <w:rtl w:val="0"/>
              </w:rPr>
              <w:t xml:space="preserve">Debt to Equity Ratio</w:t>
            </w:r>
          </w:p>
        </w:tc>
        <w:tc>
          <w:tcPr/>
          <w:p w:rsidR="00000000" w:rsidDel="00000000" w:rsidP="00000000" w:rsidRDefault="00000000" w:rsidRPr="00000000" w14:paraId="000000A2">
            <w:pPr>
              <w:rPr>
                <w:rFonts w:ascii="Arial" w:cs="Arial" w:eastAsia="Arial" w:hAnsi="Arial"/>
              </w:rPr>
            </w:pPr>
            <w:r w:rsidDel="00000000" w:rsidR="00000000" w:rsidRPr="00000000">
              <w:rPr>
                <w:rFonts w:ascii="Arial" w:cs="Arial" w:eastAsia="Arial" w:hAnsi="Arial"/>
                <w:rtl w:val="0"/>
              </w:rPr>
              <w:t xml:space="preserve">Total Borrowings ÷ Total Equity</w:t>
            </w:r>
          </w:p>
        </w:tc>
        <w:tc>
          <w:tcPr/>
          <w:p w:rsidR="00000000" w:rsidDel="00000000" w:rsidP="00000000" w:rsidRDefault="00000000" w:rsidRPr="00000000" w14:paraId="000000A3">
            <w:pPr>
              <w:rPr>
                <w:rFonts w:ascii="Arial" w:cs="Arial" w:eastAsia="Arial" w:hAnsi="Arial"/>
              </w:rPr>
            </w:pPr>
            <w:r w:rsidDel="00000000" w:rsidR="00000000" w:rsidRPr="00000000">
              <w:rPr>
                <w:rFonts w:ascii="Arial" w:cs="Arial" w:eastAsia="Arial" w:hAnsi="Arial"/>
                <w:rtl w:val="0"/>
              </w:rPr>
              <w:t xml:space="preserve">(2,928 + 20,820) ÷ 13,178</w:t>
            </w:r>
          </w:p>
        </w:tc>
        <w:tc>
          <w:tcPr/>
          <w:p w:rsidR="00000000" w:rsidDel="00000000" w:rsidP="00000000" w:rsidRDefault="00000000" w:rsidRPr="00000000" w14:paraId="000000A4">
            <w:pPr>
              <w:rPr>
                <w:rFonts w:ascii="Arial" w:cs="Arial" w:eastAsia="Arial" w:hAnsi="Arial"/>
              </w:rPr>
            </w:pPr>
            <w:r w:rsidDel="00000000" w:rsidR="00000000" w:rsidRPr="00000000">
              <w:rPr>
                <w:rFonts w:ascii="Arial" w:cs="Arial" w:eastAsia="Arial" w:hAnsi="Arial"/>
                <w:rtl w:val="0"/>
              </w:rPr>
              <w:t xml:space="preserve">1.80</w:t>
            </w:r>
          </w:p>
        </w:tc>
        <w:tc>
          <w:tcPr/>
          <w:p w:rsidR="00000000" w:rsidDel="00000000" w:rsidP="00000000" w:rsidRDefault="00000000" w:rsidRPr="00000000" w14:paraId="000000A5">
            <w:pPr>
              <w:rPr>
                <w:rFonts w:ascii="Arial" w:cs="Arial" w:eastAsia="Arial" w:hAnsi="Arial"/>
              </w:rPr>
            </w:pPr>
            <w:r w:rsidDel="00000000" w:rsidR="00000000" w:rsidRPr="00000000">
              <w:rPr>
                <w:rFonts w:ascii="Arial" w:cs="Arial" w:eastAsia="Arial" w:hAnsi="Arial"/>
                <w:rtl w:val="0"/>
              </w:rPr>
              <w:t xml:space="preserve">(2,885 + 18,616) ÷ 12,070</w:t>
            </w:r>
          </w:p>
        </w:tc>
        <w:tc>
          <w:tcPr/>
          <w:p w:rsidR="00000000" w:rsidDel="00000000" w:rsidP="00000000" w:rsidRDefault="00000000" w:rsidRPr="00000000" w14:paraId="000000A6">
            <w:pPr>
              <w:rPr>
                <w:rFonts w:ascii="Arial" w:cs="Arial" w:eastAsia="Arial" w:hAnsi="Arial"/>
              </w:rPr>
            </w:pPr>
            <w:r w:rsidDel="00000000" w:rsidR="00000000" w:rsidRPr="00000000">
              <w:rPr>
                <w:rFonts w:ascii="Arial" w:cs="Arial" w:eastAsia="Arial" w:hAnsi="Arial"/>
                <w:rtl w:val="0"/>
              </w:rPr>
              <w:t xml:space="preserve">1.78</w:t>
            </w:r>
          </w:p>
        </w:tc>
        <w:tc>
          <w:tcPr/>
          <w:p w:rsidR="00000000" w:rsidDel="00000000" w:rsidP="00000000" w:rsidRDefault="00000000" w:rsidRPr="00000000" w14:paraId="000000A7">
            <w:pPr>
              <w:rPr>
                <w:rFonts w:ascii="Arial" w:cs="Arial" w:eastAsia="Arial" w:hAnsi="Arial"/>
              </w:rPr>
            </w:pPr>
            <w:r w:rsidDel="00000000" w:rsidR="00000000" w:rsidRPr="00000000">
              <w:rPr>
                <w:rFonts w:ascii="Arial" w:cs="Arial" w:eastAsia="Arial" w:hAnsi="Arial"/>
                <w:rtl w:val="0"/>
              </w:rPr>
              <w:t xml:space="preserve">+0.02</w:t>
            </w:r>
          </w:p>
        </w:tc>
      </w:tr>
      <w:tr>
        <w:trPr>
          <w:cantSplit w:val="0"/>
          <w:tblHeader w:val="0"/>
        </w:trPr>
        <w:tc>
          <w:tcPr/>
          <w:p w:rsidR="00000000" w:rsidDel="00000000" w:rsidP="00000000" w:rsidRDefault="00000000" w:rsidRPr="00000000" w14:paraId="000000A8">
            <w:pPr>
              <w:rPr>
                <w:rFonts w:ascii="Arial" w:cs="Arial" w:eastAsia="Arial" w:hAnsi="Arial"/>
              </w:rPr>
            </w:pPr>
            <w:r w:rsidDel="00000000" w:rsidR="00000000" w:rsidRPr="00000000">
              <w:rPr>
                <w:rFonts w:ascii="Arial" w:cs="Arial" w:eastAsia="Arial" w:hAnsi="Arial"/>
                <w:rtl w:val="0"/>
              </w:rPr>
              <w:t xml:space="preserve">Interest Coverage Ratio</w:t>
            </w:r>
          </w:p>
        </w:tc>
        <w:tc>
          <w:tcPr/>
          <w:p w:rsidR="00000000" w:rsidDel="00000000" w:rsidP="00000000" w:rsidRDefault="00000000" w:rsidRPr="00000000" w14:paraId="000000A9">
            <w:pPr>
              <w:rPr>
                <w:rFonts w:ascii="Arial" w:cs="Arial" w:eastAsia="Arial" w:hAnsi="Arial"/>
              </w:rPr>
            </w:pPr>
            <w:r w:rsidDel="00000000" w:rsidR="00000000" w:rsidRPr="00000000">
              <w:rPr>
                <w:rFonts w:ascii="Arial" w:cs="Arial" w:eastAsia="Arial" w:hAnsi="Arial"/>
                <w:rtl w:val="0"/>
              </w:rPr>
              <w:t xml:space="preserve">Operating Profit ÷ Finance Charges</w:t>
            </w:r>
          </w:p>
        </w:tc>
        <w:tc>
          <w:tcPr/>
          <w:p w:rsidR="00000000" w:rsidDel="00000000" w:rsidP="00000000" w:rsidRDefault="00000000" w:rsidRPr="00000000" w14:paraId="000000AA">
            <w:pPr>
              <w:rPr>
                <w:rFonts w:ascii="Arial" w:cs="Arial" w:eastAsia="Arial" w:hAnsi="Arial"/>
              </w:rPr>
            </w:pPr>
            <w:r w:rsidDel="00000000" w:rsidR="00000000" w:rsidRPr="00000000">
              <w:rPr>
                <w:rFonts w:ascii="Arial" w:cs="Arial" w:eastAsia="Arial" w:hAnsi="Arial"/>
                <w:rtl w:val="0"/>
              </w:rPr>
              <w:t xml:space="preserve">4,335 ÷ 1,251</w:t>
            </w:r>
          </w:p>
        </w:tc>
        <w:tc>
          <w:tcPr/>
          <w:p w:rsidR="00000000" w:rsidDel="00000000" w:rsidP="00000000" w:rsidRDefault="00000000" w:rsidRPr="00000000" w14:paraId="000000AB">
            <w:pPr>
              <w:rPr>
                <w:rFonts w:ascii="Arial" w:cs="Arial" w:eastAsia="Arial" w:hAnsi="Arial"/>
              </w:rPr>
            </w:pPr>
            <w:r w:rsidDel="00000000" w:rsidR="00000000" w:rsidRPr="00000000">
              <w:rPr>
                <w:rFonts w:ascii="Arial" w:cs="Arial" w:eastAsia="Arial" w:hAnsi="Arial"/>
                <w:rtl w:val="0"/>
              </w:rPr>
              <w:t xml:space="preserve">3.47</w:t>
            </w:r>
          </w:p>
        </w:tc>
        <w:tc>
          <w:tcPr/>
          <w:p w:rsidR="00000000" w:rsidDel="00000000" w:rsidP="00000000" w:rsidRDefault="00000000" w:rsidRPr="00000000" w14:paraId="000000AC">
            <w:pPr>
              <w:rPr>
                <w:rFonts w:ascii="Arial" w:cs="Arial" w:eastAsia="Arial" w:hAnsi="Arial"/>
              </w:rPr>
            </w:pPr>
            <w:r w:rsidDel="00000000" w:rsidR="00000000" w:rsidRPr="00000000">
              <w:rPr>
                <w:rFonts w:ascii="Arial" w:cs="Arial" w:eastAsia="Arial" w:hAnsi="Arial"/>
                <w:rtl w:val="0"/>
              </w:rPr>
              <w:t xml:space="preserve">6,001 ÷ 1,285</w:t>
            </w:r>
          </w:p>
        </w:tc>
        <w:tc>
          <w:tcPr/>
          <w:p w:rsidR="00000000" w:rsidDel="00000000" w:rsidP="00000000" w:rsidRDefault="00000000" w:rsidRPr="00000000" w14:paraId="000000AD">
            <w:pPr>
              <w:rPr>
                <w:rFonts w:ascii="Arial" w:cs="Arial" w:eastAsia="Arial" w:hAnsi="Arial"/>
              </w:rPr>
            </w:pPr>
            <w:r w:rsidDel="00000000" w:rsidR="00000000" w:rsidRPr="00000000">
              <w:rPr>
                <w:rFonts w:ascii="Arial" w:cs="Arial" w:eastAsia="Arial" w:hAnsi="Arial"/>
                <w:rtl w:val="0"/>
              </w:rPr>
              <w:t xml:space="preserve">4.67</w:t>
            </w:r>
          </w:p>
        </w:tc>
        <w:tc>
          <w:tcPr/>
          <w:p w:rsidR="00000000" w:rsidDel="00000000" w:rsidP="00000000" w:rsidRDefault="00000000" w:rsidRPr="00000000" w14:paraId="000000AE">
            <w:pPr>
              <w:rPr>
                <w:rFonts w:ascii="Arial" w:cs="Arial" w:eastAsia="Arial" w:hAnsi="Arial"/>
              </w:rPr>
            </w:pPr>
            <w:r w:rsidDel="00000000" w:rsidR="00000000" w:rsidRPr="00000000">
              <w:rPr>
                <w:rFonts w:ascii="Arial" w:cs="Arial" w:eastAsia="Arial" w:hAnsi="Arial"/>
                <w:rtl w:val="0"/>
              </w:rPr>
              <w:t xml:space="preserve">−1.20</w:t>
            </w:r>
          </w:p>
        </w:tc>
      </w:tr>
      <w:tr>
        <w:trPr>
          <w:cantSplit w:val="0"/>
          <w:tblHeader w:val="0"/>
        </w:trPr>
        <w:tc>
          <w:tcPr/>
          <w:p w:rsidR="00000000" w:rsidDel="00000000" w:rsidP="00000000" w:rsidRDefault="00000000" w:rsidRPr="00000000" w14:paraId="000000AF">
            <w:pPr>
              <w:rPr>
                <w:rFonts w:ascii="Arial" w:cs="Arial" w:eastAsia="Arial" w:hAnsi="Arial"/>
              </w:rPr>
            </w:pPr>
            <w:r w:rsidDel="00000000" w:rsidR="00000000" w:rsidRPr="00000000">
              <w:rPr>
                <w:rFonts w:ascii="Arial" w:cs="Arial" w:eastAsia="Arial" w:hAnsi="Arial"/>
                <w:rtl w:val="0"/>
              </w:rPr>
              <w:t xml:space="preserve">Equity Ratio</w:t>
            </w:r>
          </w:p>
        </w:tc>
        <w:tc>
          <w:tcPr/>
          <w:p w:rsidR="00000000" w:rsidDel="00000000" w:rsidP="00000000" w:rsidRDefault="00000000" w:rsidRPr="00000000" w14:paraId="000000B0">
            <w:pPr>
              <w:rPr>
                <w:rFonts w:ascii="Arial" w:cs="Arial" w:eastAsia="Arial" w:hAnsi="Arial"/>
              </w:rPr>
            </w:pPr>
            <w:r w:rsidDel="00000000" w:rsidR="00000000" w:rsidRPr="00000000">
              <w:rPr>
                <w:rFonts w:ascii="Arial" w:cs="Arial" w:eastAsia="Arial" w:hAnsi="Arial"/>
                <w:rtl w:val="0"/>
              </w:rPr>
              <w:t xml:space="preserve">Total Equity ÷ Total Assets</w:t>
            </w:r>
          </w:p>
        </w:tc>
        <w:tc>
          <w:tcPr/>
          <w:p w:rsidR="00000000" w:rsidDel="00000000" w:rsidP="00000000" w:rsidRDefault="00000000" w:rsidRPr="00000000" w14:paraId="000000B1">
            <w:pPr>
              <w:rPr>
                <w:rFonts w:ascii="Arial" w:cs="Arial" w:eastAsia="Arial" w:hAnsi="Arial"/>
              </w:rPr>
            </w:pPr>
            <w:r w:rsidDel="00000000" w:rsidR="00000000" w:rsidRPr="00000000">
              <w:rPr>
                <w:rFonts w:ascii="Arial" w:cs="Arial" w:eastAsia="Arial" w:hAnsi="Arial"/>
                <w:rtl w:val="0"/>
              </w:rPr>
              <w:t xml:space="preserve">13,178 ÷ 49,322</w:t>
            </w:r>
          </w:p>
        </w:tc>
        <w:tc>
          <w:tcPr/>
          <w:p w:rsidR="00000000" w:rsidDel="00000000" w:rsidP="00000000" w:rsidRDefault="00000000" w:rsidRPr="00000000" w14:paraId="000000B2">
            <w:pPr>
              <w:rPr>
                <w:rFonts w:ascii="Arial" w:cs="Arial" w:eastAsia="Arial" w:hAnsi="Arial"/>
              </w:rPr>
            </w:pPr>
            <w:r w:rsidDel="00000000" w:rsidR="00000000" w:rsidRPr="00000000">
              <w:rPr>
                <w:rFonts w:ascii="Arial" w:cs="Arial" w:eastAsia="Arial" w:hAnsi="Arial"/>
                <w:rtl w:val="0"/>
              </w:rPr>
              <w:t xml:space="preserve">0.27</w:t>
            </w:r>
          </w:p>
        </w:tc>
        <w:tc>
          <w:tcPr/>
          <w:p w:rsidR="00000000" w:rsidDel="00000000" w:rsidP="00000000" w:rsidRDefault="00000000" w:rsidRPr="00000000" w14:paraId="000000B3">
            <w:pPr>
              <w:rPr>
                <w:rFonts w:ascii="Arial" w:cs="Arial" w:eastAsia="Arial" w:hAnsi="Arial"/>
              </w:rPr>
            </w:pPr>
            <w:r w:rsidDel="00000000" w:rsidR="00000000" w:rsidRPr="00000000">
              <w:rPr>
                <w:rFonts w:ascii="Arial" w:cs="Arial" w:eastAsia="Arial" w:hAnsi="Arial"/>
                <w:rtl w:val="0"/>
              </w:rPr>
              <w:t xml:space="preserve">12,070 ÷ 45,474</w:t>
            </w:r>
          </w:p>
        </w:tc>
        <w:tc>
          <w:tcPr/>
          <w:p w:rsidR="00000000" w:rsidDel="00000000" w:rsidP="00000000" w:rsidRDefault="00000000" w:rsidRPr="00000000" w14:paraId="000000B4">
            <w:pPr>
              <w:rPr>
                <w:rFonts w:ascii="Arial" w:cs="Arial" w:eastAsia="Arial" w:hAnsi="Arial"/>
              </w:rPr>
            </w:pPr>
            <w:r w:rsidDel="00000000" w:rsidR="00000000" w:rsidRPr="00000000">
              <w:rPr>
                <w:rFonts w:ascii="Arial" w:cs="Arial" w:eastAsia="Arial" w:hAnsi="Arial"/>
                <w:rtl w:val="0"/>
              </w:rPr>
              <w:t xml:space="preserve">0.27</w:t>
            </w:r>
          </w:p>
        </w:tc>
        <w:tc>
          <w:tcPr/>
          <w:p w:rsidR="00000000" w:rsidDel="00000000" w:rsidP="00000000" w:rsidRDefault="00000000" w:rsidRPr="00000000" w14:paraId="000000B5">
            <w:pPr>
              <w:rPr>
                <w:rFonts w:ascii="Arial" w:cs="Arial" w:eastAsia="Arial" w:hAnsi="Arial"/>
              </w:rPr>
            </w:pPr>
            <w:r w:rsidDel="00000000" w:rsidR="00000000" w:rsidRPr="00000000">
              <w:rPr>
                <w:rFonts w:ascii="Arial" w:cs="Arial" w:eastAsia="Arial" w:hAnsi="Arial"/>
                <w:rtl w:val="0"/>
              </w:rPr>
              <w:t xml:space="preserve">0.00</w:t>
            </w:r>
          </w:p>
        </w:tc>
      </w:tr>
      <w:tr>
        <w:trPr>
          <w:cantSplit w:val="0"/>
          <w:tblHeader w:val="0"/>
        </w:trPr>
        <w:tc>
          <w:tcPr/>
          <w:p w:rsidR="00000000" w:rsidDel="00000000" w:rsidP="00000000" w:rsidRDefault="00000000" w:rsidRPr="00000000" w14:paraId="000000B6">
            <w:pPr>
              <w:rPr>
                <w:rFonts w:ascii="Arial" w:cs="Arial" w:eastAsia="Arial" w:hAnsi="Arial"/>
              </w:rPr>
            </w:pPr>
            <w:r w:rsidDel="00000000" w:rsidR="00000000" w:rsidRPr="00000000">
              <w:rPr>
                <w:rFonts w:ascii="Arial" w:cs="Arial" w:eastAsia="Arial" w:hAnsi="Arial"/>
                <w:rtl w:val="0"/>
              </w:rPr>
              <w:t xml:space="preserve">Debt Ratio</w:t>
            </w:r>
          </w:p>
        </w:tc>
        <w:tc>
          <w:tcPr/>
          <w:p w:rsidR="00000000" w:rsidDel="00000000" w:rsidP="00000000" w:rsidRDefault="00000000" w:rsidRPr="00000000" w14:paraId="000000B7">
            <w:pPr>
              <w:rPr>
                <w:rFonts w:ascii="Arial" w:cs="Arial" w:eastAsia="Arial" w:hAnsi="Arial"/>
              </w:rPr>
            </w:pPr>
            <w:r w:rsidDel="00000000" w:rsidR="00000000" w:rsidRPr="00000000">
              <w:rPr>
                <w:rFonts w:ascii="Arial" w:cs="Arial" w:eastAsia="Arial" w:hAnsi="Arial"/>
                <w:rtl w:val="0"/>
              </w:rPr>
              <w:t xml:space="preserve">Total Liabilities ÷ Total Assets</w:t>
            </w:r>
          </w:p>
        </w:tc>
        <w:tc>
          <w:tcPr/>
          <w:p w:rsidR="00000000" w:rsidDel="00000000" w:rsidP="00000000" w:rsidRDefault="00000000" w:rsidRPr="00000000" w14:paraId="000000B8">
            <w:pPr>
              <w:rPr>
                <w:rFonts w:ascii="Arial" w:cs="Arial" w:eastAsia="Arial" w:hAnsi="Arial"/>
              </w:rPr>
            </w:pPr>
            <w:r w:rsidDel="00000000" w:rsidR="00000000" w:rsidRPr="00000000">
              <w:rPr>
                <w:rFonts w:ascii="Arial" w:cs="Arial" w:eastAsia="Arial" w:hAnsi="Arial"/>
                <w:rtl w:val="0"/>
              </w:rPr>
              <w:t xml:space="preserve">36,144 ÷ 49,322</w:t>
            </w:r>
          </w:p>
        </w:tc>
        <w:tc>
          <w:tcPr/>
          <w:p w:rsidR="00000000" w:rsidDel="00000000" w:rsidP="00000000" w:rsidRDefault="00000000" w:rsidRPr="00000000" w14:paraId="000000B9">
            <w:pPr>
              <w:rPr>
                <w:rFonts w:ascii="Arial" w:cs="Arial" w:eastAsia="Arial" w:hAnsi="Arial"/>
              </w:rPr>
            </w:pPr>
            <w:r w:rsidDel="00000000" w:rsidR="00000000" w:rsidRPr="00000000">
              <w:rPr>
                <w:rFonts w:ascii="Arial" w:cs="Arial" w:eastAsia="Arial" w:hAnsi="Arial"/>
                <w:rtl w:val="0"/>
              </w:rPr>
              <w:t xml:space="preserve">0.73</w:t>
            </w:r>
          </w:p>
        </w:tc>
        <w:tc>
          <w:tcPr/>
          <w:p w:rsidR="00000000" w:rsidDel="00000000" w:rsidP="00000000" w:rsidRDefault="00000000" w:rsidRPr="00000000" w14:paraId="000000BA">
            <w:pPr>
              <w:rPr>
                <w:rFonts w:ascii="Arial" w:cs="Arial" w:eastAsia="Arial" w:hAnsi="Arial"/>
              </w:rPr>
            </w:pPr>
            <w:r w:rsidDel="00000000" w:rsidR="00000000" w:rsidRPr="00000000">
              <w:rPr>
                <w:rFonts w:ascii="Arial" w:cs="Arial" w:eastAsia="Arial" w:hAnsi="Arial"/>
                <w:rtl w:val="0"/>
              </w:rPr>
              <w:t xml:space="preserve">33,404 ÷ 45,474</w:t>
            </w:r>
          </w:p>
        </w:tc>
        <w:tc>
          <w:tcPr/>
          <w:p w:rsidR="00000000" w:rsidDel="00000000" w:rsidP="00000000" w:rsidRDefault="00000000" w:rsidRPr="00000000" w14:paraId="000000BB">
            <w:pPr>
              <w:rPr>
                <w:rFonts w:ascii="Arial" w:cs="Arial" w:eastAsia="Arial" w:hAnsi="Arial"/>
              </w:rPr>
            </w:pPr>
            <w:r w:rsidDel="00000000" w:rsidR="00000000" w:rsidRPr="00000000">
              <w:rPr>
                <w:rFonts w:ascii="Arial" w:cs="Arial" w:eastAsia="Arial" w:hAnsi="Arial"/>
                <w:rtl w:val="0"/>
              </w:rPr>
              <w:t xml:space="preserve">0.73</w:t>
            </w:r>
          </w:p>
        </w:tc>
        <w:tc>
          <w:tcPr/>
          <w:p w:rsidR="00000000" w:rsidDel="00000000" w:rsidP="00000000" w:rsidRDefault="00000000" w:rsidRPr="00000000" w14:paraId="000000BC">
            <w:pPr>
              <w:rPr>
                <w:rFonts w:ascii="Arial" w:cs="Arial" w:eastAsia="Arial" w:hAnsi="Arial"/>
              </w:rPr>
            </w:pPr>
            <w:r w:rsidDel="00000000" w:rsidR="00000000" w:rsidRPr="00000000">
              <w:rPr>
                <w:rFonts w:ascii="Arial" w:cs="Arial" w:eastAsia="Arial" w:hAnsi="Arial"/>
                <w:rtl w:val="0"/>
              </w:rPr>
              <w:t xml:space="preserve">0.00</w:t>
            </w:r>
          </w:p>
        </w:tc>
      </w:tr>
    </w:tbl>
    <w:p w:rsidR="00000000" w:rsidDel="00000000" w:rsidP="00000000" w:rsidRDefault="00000000" w:rsidRPr="00000000" w14:paraId="000000BD">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BE">
      <w:pPr>
        <w:rPr>
          <w:rFonts w:ascii="Arial" w:cs="Arial" w:eastAsia="Arial" w:hAnsi="Arial"/>
          <w:b w:val="1"/>
          <w:bCs w:val="1"/>
        </w:rPr>
      </w:pPr>
      <w:r w:rsidDel="00000000" w:rsidR="00000000" w:rsidRPr="00000000">
        <w:rPr>
          <w:rFonts w:ascii="Arial" w:cs="Arial" w:eastAsia="Arial" w:hAnsi="Arial"/>
          <w:rtl w:val="0"/>
        </w:rPr>
        <w:t xml:space="preserve">The gearing ratios show that the capital structure at Diageo has been largely stable over 2024-2025, though there are certain indicators to the effect that the financial risk went a bit higher (Hossain, 2021). The debt-to-equity ratio rose a bit, from 1.78 to 1.80, which shows that the interest-bearing borrowings became slightly dependent on the shareholders of 2025. This slight growth indicates that further borrowing could have been put in place to finance operations or long-term investments in the year. Since beverages industry is a capital-intensive business, moderate leverage is not an exception, but higher debt levels also expose the company to changes in the interest rate and risk of refinancing (Moridu, 2024). The interest coverage ratio decreased by a large margin of 4.67 times in the year 2024 to 3.47 times in the year 2025, showing that it is no longer able to cover the interest payable on the operating profits. This degradation was mainly occasioned by a significant decline in operating profit as opposed to a significant rise in finance charges. The decrease indicates that operations performance deteriorated in the year, and there was a decrease in the buffer in service debt. Although the ratio is still above 1, meaning that it is still possible to pay the interest, the negative trend points to the fact that the financial vulnerability will be even greater if profitability continues to decline or interest rates go even higher.</w:t>
      </w:r>
      <w:r w:rsidDel="00000000" w:rsidR="00000000" w:rsidRPr="00000000">
        <w:rPr>
          <w:rtl w:val="0"/>
        </w:rPr>
      </w:r>
    </w:p>
    <w:p w:rsidR="00000000" w:rsidDel="00000000" w:rsidP="00000000" w:rsidRDefault="00000000" w:rsidRPr="00000000" w14:paraId="000000BF">
      <w:pPr>
        <w:keepNext w:val="1"/>
        <w:jc w:val="center"/>
        <w:rPr>
          <w:rFonts w:ascii="Arial" w:cs="Arial" w:eastAsia="Arial" w:hAnsi="Arial"/>
        </w:rPr>
      </w:pPr>
      <w:r w:rsidDel="00000000" w:rsidR="00000000" w:rsidRPr="00000000">
        <w:rPr>
          <w:rFonts w:ascii="Arial" w:cs="Arial" w:eastAsia="Arial" w:hAnsi="Arial"/>
        </w:rPr>
        <w:drawing>
          <wp:inline distB="0" distT="0" distL="0" distR="0">
            <wp:extent cx="4572000" cy="2935941"/>
            <wp:effectExtent b="17145" l="0" r="0" t="0"/>
            <wp:docPr id="2" name=""/>
            <a:graphic>
              <a:graphicData uri="http://schemas.openxmlformats.org/drawingml/2006/chart">
                <c:chart r:id="rId10"/>
              </a:graphicData>
            </a:graphic>
          </wp:inline>
        </w:drawing>
      </w:r>
      <w:r w:rsidDel="00000000" w:rsidR="00000000" w:rsidRPr="00000000">
        <w:rPr>
          <w:rtl w:val="0"/>
        </w:rPr>
      </w:r>
    </w:p>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44546a"/>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4: Gearing Ratios</w:t>
      </w:r>
    </w:p>
    <w:p w:rsidR="00000000" w:rsidDel="00000000" w:rsidP="00000000" w:rsidRDefault="00000000" w:rsidRPr="00000000" w14:paraId="000000C1">
      <w:pPr>
        <w:rPr>
          <w:rFonts w:ascii="Arial" w:cs="Arial" w:eastAsia="Arial" w:hAnsi="Arial"/>
        </w:rPr>
      </w:pPr>
      <w:r w:rsidDel="00000000" w:rsidR="00000000" w:rsidRPr="00000000">
        <w:rPr>
          <w:rFonts w:ascii="Arial" w:cs="Arial" w:eastAsia="Arial" w:hAnsi="Arial"/>
          <w:rtl w:val="0"/>
        </w:rPr>
        <w:t xml:space="preserve">The equity ratio did not change because it was 0.27 in both years, which indicated that the shareholders' equity ratio was not changing (Wang, Cao and Cao, 2024). This stability signifies that the changes in the total assets were generally accompanied by the changes in the equity, which is a balanced method of financing. Nonetheless, the equity ratio of 27% also means that a substantial part of the assets is still being funded by means of liabilities, which also shows that Diageo is also heavily dependent on debts. Equally, the debt ratio also stood at 0.73, leading to the fact that in both years the proportion of liabilities that were used to finance the total assets was nearly 73% (Tharavanij, 2021). Although this leveraging may be used to improve the returns in times of high performance, the effect is that it also raises financial risks in times of decreased profitability. On the whole, the gearing ratios indicate that despite the fact that the capital structure of Diageo was relatively stable, the waning operating performance in 2025 made the financial risk more significant and decreased the ability to service debt.</w:t>
      </w:r>
    </w:p>
    <w:p w:rsidR="00000000" w:rsidDel="00000000" w:rsidP="00000000" w:rsidRDefault="00000000" w:rsidRPr="00000000" w14:paraId="000000C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Efficiency Ratios</w:t>
      </w:r>
    </w:p>
    <w:tbl>
      <w:tblPr>
        <w:tblStyle w:val="Table5"/>
        <w:tblW w:w="9516.000000000002" w:type="dxa"/>
        <w:jc w:val="left"/>
        <w:tblBorders>
          <w:top w:color="c5e0b3" w:space="0" w:sz="4" w:val="single"/>
          <w:left w:color="c5e0b3" w:space="0" w:sz="4" w:val="single"/>
          <w:bottom w:color="c5e0b3" w:space="0" w:sz="4" w:val="single"/>
          <w:right w:color="c5e0b3" w:space="0" w:sz="4" w:val="single"/>
          <w:insideH w:color="c5e0b3" w:space="0" w:sz="4" w:val="single"/>
          <w:insideV w:color="c5e0b3" w:space="0" w:sz="4" w:val="single"/>
        </w:tblBorders>
        <w:tblLayout w:type="fixed"/>
        <w:tblLook w:val="04A0"/>
      </w:tblPr>
      <w:tblGrid>
        <w:gridCol w:w="1765"/>
        <w:gridCol w:w="1770"/>
        <w:gridCol w:w="1692"/>
        <w:gridCol w:w="750"/>
        <w:gridCol w:w="1692"/>
        <w:gridCol w:w="750"/>
        <w:gridCol w:w="1097"/>
        <w:tblGridChange w:id="0">
          <w:tblGrid>
            <w:gridCol w:w="1765"/>
            <w:gridCol w:w="1770"/>
            <w:gridCol w:w="1692"/>
            <w:gridCol w:w="750"/>
            <w:gridCol w:w="1692"/>
            <w:gridCol w:w="750"/>
            <w:gridCol w:w="1097"/>
          </w:tblGrid>
        </w:tblGridChange>
      </w:tblGrid>
      <w:tr>
        <w:trPr>
          <w:cantSplit w:val="0"/>
          <w:trHeight w:val="836" w:hRule="atLeast"/>
          <w:tblHeader w:val="0"/>
        </w:trPr>
        <w:tc>
          <w:tcPr/>
          <w:p w:rsidR="00000000" w:rsidDel="00000000" w:rsidP="00000000" w:rsidRDefault="00000000" w:rsidRPr="00000000" w14:paraId="000000C3">
            <w:pPr>
              <w:rPr>
                <w:rFonts w:ascii="Arial" w:cs="Arial" w:eastAsia="Arial" w:hAnsi="Arial"/>
              </w:rPr>
            </w:pPr>
            <w:r w:rsidDel="00000000" w:rsidR="00000000" w:rsidRPr="00000000">
              <w:rPr>
                <w:rFonts w:ascii="Arial" w:cs="Arial" w:eastAsia="Arial" w:hAnsi="Arial"/>
                <w:rtl w:val="0"/>
              </w:rPr>
              <w:t xml:space="preserve">Ratio</w:t>
            </w:r>
          </w:p>
        </w:tc>
        <w:tc>
          <w:tcPr/>
          <w:p w:rsidR="00000000" w:rsidDel="00000000" w:rsidP="00000000" w:rsidRDefault="00000000" w:rsidRPr="00000000" w14:paraId="000000C4">
            <w:pPr>
              <w:rPr>
                <w:rFonts w:ascii="Arial" w:cs="Arial" w:eastAsia="Arial" w:hAnsi="Arial"/>
              </w:rPr>
            </w:pPr>
            <w:r w:rsidDel="00000000" w:rsidR="00000000" w:rsidRPr="00000000">
              <w:rPr>
                <w:rFonts w:ascii="Arial" w:cs="Arial" w:eastAsia="Arial" w:hAnsi="Arial"/>
                <w:rtl w:val="0"/>
              </w:rPr>
              <w:t xml:space="preserve">Formula</w:t>
            </w:r>
          </w:p>
        </w:tc>
        <w:tc>
          <w:tcPr/>
          <w:p w:rsidR="00000000" w:rsidDel="00000000" w:rsidP="00000000" w:rsidRDefault="00000000" w:rsidRPr="00000000" w14:paraId="000000C5">
            <w:pPr>
              <w:rPr>
                <w:rFonts w:ascii="Arial" w:cs="Arial" w:eastAsia="Arial" w:hAnsi="Arial"/>
              </w:rPr>
            </w:pPr>
            <w:r w:rsidDel="00000000" w:rsidR="00000000" w:rsidRPr="00000000">
              <w:rPr>
                <w:rFonts w:ascii="Arial" w:cs="Arial" w:eastAsia="Arial" w:hAnsi="Arial"/>
                <w:rtl w:val="0"/>
              </w:rPr>
              <w:t xml:space="preserve">2025 Calculation</w:t>
            </w:r>
          </w:p>
        </w:tc>
        <w:tc>
          <w:tcPr/>
          <w:p w:rsidR="00000000" w:rsidDel="00000000" w:rsidP="00000000" w:rsidRDefault="00000000" w:rsidRPr="00000000" w14:paraId="000000C6">
            <w:pPr>
              <w:rPr>
                <w:rFonts w:ascii="Arial" w:cs="Arial" w:eastAsia="Arial" w:hAnsi="Arial"/>
              </w:rPr>
            </w:pPr>
            <w:r w:rsidDel="00000000" w:rsidR="00000000" w:rsidRPr="00000000">
              <w:rPr>
                <w:rFonts w:ascii="Arial" w:cs="Arial" w:eastAsia="Arial" w:hAnsi="Arial"/>
                <w:rtl w:val="0"/>
              </w:rPr>
              <w:t xml:space="preserve">2025</w:t>
            </w:r>
          </w:p>
        </w:tc>
        <w:tc>
          <w:tcPr/>
          <w:p w:rsidR="00000000" w:rsidDel="00000000" w:rsidP="00000000" w:rsidRDefault="00000000" w:rsidRPr="00000000" w14:paraId="000000C7">
            <w:pPr>
              <w:rPr>
                <w:rFonts w:ascii="Arial" w:cs="Arial" w:eastAsia="Arial" w:hAnsi="Arial"/>
              </w:rPr>
            </w:pPr>
            <w:r w:rsidDel="00000000" w:rsidR="00000000" w:rsidRPr="00000000">
              <w:rPr>
                <w:rFonts w:ascii="Arial" w:cs="Arial" w:eastAsia="Arial" w:hAnsi="Arial"/>
                <w:rtl w:val="0"/>
              </w:rPr>
              <w:t xml:space="preserve">2024 Calculation</w:t>
            </w:r>
          </w:p>
        </w:tc>
        <w:tc>
          <w:tcPr/>
          <w:p w:rsidR="00000000" w:rsidDel="00000000" w:rsidP="00000000" w:rsidRDefault="00000000" w:rsidRPr="00000000" w14:paraId="000000C8">
            <w:pP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0C9">
            <w:pPr>
              <w:rPr>
                <w:rFonts w:ascii="Arial" w:cs="Arial" w:eastAsia="Arial" w:hAnsi="Arial"/>
              </w:rPr>
            </w:pPr>
            <w:r w:rsidDel="00000000" w:rsidR="00000000" w:rsidRPr="00000000">
              <w:rPr>
                <w:rFonts w:ascii="Arial" w:cs="Arial" w:eastAsia="Arial" w:hAnsi="Arial"/>
                <w:rtl w:val="0"/>
              </w:rPr>
              <w:t xml:space="preserve">Change</w:t>
            </w:r>
          </w:p>
        </w:tc>
      </w:tr>
      <w:tr>
        <w:trPr>
          <w:cantSplit w:val="0"/>
          <w:trHeight w:val="1249" w:hRule="atLeast"/>
          <w:tblHeader w:val="0"/>
        </w:trPr>
        <w:tc>
          <w:tcPr/>
          <w:p w:rsidR="00000000" w:rsidDel="00000000" w:rsidP="00000000" w:rsidRDefault="00000000" w:rsidRPr="00000000" w14:paraId="000000CA">
            <w:pPr>
              <w:rPr>
                <w:rFonts w:ascii="Arial" w:cs="Arial" w:eastAsia="Arial" w:hAnsi="Arial"/>
              </w:rPr>
            </w:pPr>
            <w:r w:rsidDel="00000000" w:rsidR="00000000" w:rsidRPr="00000000">
              <w:rPr>
                <w:rFonts w:ascii="Arial" w:cs="Arial" w:eastAsia="Arial" w:hAnsi="Arial"/>
                <w:rtl w:val="0"/>
              </w:rPr>
              <w:t xml:space="preserve">Inventory Turnover (Days)</w:t>
            </w:r>
          </w:p>
        </w:tc>
        <w:tc>
          <w:tcPr/>
          <w:p w:rsidR="00000000" w:rsidDel="00000000" w:rsidP="00000000" w:rsidRDefault="00000000" w:rsidRPr="00000000" w14:paraId="000000CB">
            <w:pPr>
              <w:rPr>
                <w:rFonts w:ascii="Arial" w:cs="Arial" w:eastAsia="Arial" w:hAnsi="Arial"/>
              </w:rPr>
            </w:pPr>
            <w:r w:rsidDel="00000000" w:rsidR="00000000" w:rsidRPr="00000000">
              <w:rPr>
                <w:rFonts w:ascii="Arial" w:cs="Arial" w:eastAsia="Arial" w:hAnsi="Arial"/>
                <w:rtl w:val="0"/>
              </w:rPr>
              <w:t xml:space="preserve">(Inventories ÷ Cost of Sales) × 365</w:t>
            </w:r>
          </w:p>
        </w:tc>
        <w:tc>
          <w:tcPr/>
          <w:p w:rsidR="00000000" w:rsidDel="00000000" w:rsidP="00000000" w:rsidRDefault="00000000" w:rsidRPr="00000000" w14:paraId="000000CC">
            <w:pPr>
              <w:rPr>
                <w:rFonts w:ascii="Arial" w:cs="Arial" w:eastAsia="Arial" w:hAnsi="Arial"/>
              </w:rPr>
            </w:pPr>
            <w:r w:rsidDel="00000000" w:rsidR="00000000" w:rsidRPr="00000000">
              <w:rPr>
                <w:rFonts w:ascii="Arial" w:cs="Arial" w:eastAsia="Arial" w:hAnsi="Arial"/>
                <w:rtl w:val="0"/>
              </w:rPr>
              <w:t xml:space="preserve">(10,658 ÷ 8,072) × 365</w:t>
            </w:r>
          </w:p>
        </w:tc>
        <w:tc>
          <w:tcPr/>
          <w:p w:rsidR="00000000" w:rsidDel="00000000" w:rsidP="00000000" w:rsidRDefault="00000000" w:rsidRPr="00000000" w14:paraId="000000CD">
            <w:pPr>
              <w:rPr>
                <w:rFonts w:ascii="Arial" w:cs="Arial" w:eastAsia="Arial" w:hAnsi="Arial"/>
              </w:rPr>
            </w:pPr>
            <w:r w:rsidDel="00000000" w:rsidR="00000000" w:rsidRPr="00000000">
              <w:rPr>
                <w:rFonts w:ascii="Arial" w:cs="Arial" w:eastAsia="Arial" w:hAnsi="Arial"/>
                <w:rtl w:val="0"/>
              </w:rPr>
              <w:t xml:space="preserve">482</w:t>
            </w:r>
          </w:p>
        </w:tc>
        <w:tc>
          <w:tcPr/>
          <w:p w:rsidR="00000000" w:rsidDel="00000000" w:rsidP="00000000" w:rsidRDefault="00000000" w:rsidRPr="00000000" w14:paraId="000000CE">
            <w:pPr>
              <w:rPr>
                <w:rFonts w:ascii="Arial" w:cs="Arial" w:eastAsia="Arial" w:hAnsi="Arial"/>
              </w:rPr>
            </w:pPr>
            <w:r w:rsidDel="00000000" w:rsidR="00000000" w:rsidRPr="00000000">
              <w:rPr>
                <w:rFonts w:ascii="Arial" w:cs="Arial" w:eastAsia="Arial" w:hAnsi="Arial"/>
                <w:rtl w:val="0"/>
              </w:rPr>
              <w:t xml:space="preserve">(9,720 ÷ 8,071) × 365</w:t>
            </w:r>
          </w:p>
        </w:tc>
        <w:tc>
          <w:tcPr/>
          <w:p w:rsidR="00000000" w:rsidDel="00000000" w:rsidP="00000000" w:rsidRDefault="00000000" w:rsidRPr="00000000" w14:paraId="000000CF">
            <w:pPr>
              <w:rPr>
                <w:rFonts w:ascii="Arial" w:cs="Arial" w:eastAsia="Arial" w:hAnsi="Arial"/>
              </w:rPr>
            </w:pPr>
            <w:r w:rsidDel="00000000" w:rsidR="00000000" w:rsidRPr="00000000">
              <w:rPr>
                <w:rFonts w:ascii="Arial" w:cs="Arial" w:eastAsia="Arial" w:hAnsi="Arial"/>
                <w:rtl w:val="0"/>
              </w:rPr>
              <w:t xml:space="preserve">440</w:t>
            </w:r>
          </w:p>
        </w:tc>
        <w:tc>
          <w:tcPr/>
          <w:p w:rsidR="00000000" w:rsidDel="00000000" w:rsidP="00000000" w:rsidRDefault="00000000" w:rsidRPr="00000000" w14:paraId="000000D0">
            <w:pPr>
              <w:rPr>
                <w:rFonts w:ascii="Arial" w:cs="Arial" w:eastAsia="Arial" w:hAnsi="Arial"/>
              </w:rPr>
            </w:pPr>
            <w:r w:rsidDel="00000000" w:rsidR="00000000" w:rsidRPr="00000000">
              <w:rPr>
                <w:rFonts w:ascii="Arial" w:cs="Arial" w:eastAsia="Arial" w:hAnsi="Arial"/>
                <w:rtl w:val="0"/>
              </w:rPr>
              <w:t xml:space="preserve">+42</w:t>
            </w:r>
          </w:p>
        </w:tc>
      </w:tr>
      <w:tr>
        <w:trPr>
          <w:cantSplit w:val="0"/>
          <w:trHeight w:val="1249" w:hRule="atLeast"/>
          <w:tblHeader w:val="0"/>
        </w:trPr>
        <w:tc>
          <w:tcPr/>
          <w:p w:rsidR="00000000" w:rsidDel="00000000" w:rsidP="00000000" w:rsidRDefault="00000000" w:rsidRPr="00000000" w14:paraId="000000D1">
            <w:pPr>
              <w:rPr>
                <w:rFonts w:ascii="Arial" w:cs="Arial" w:eastAsia="Arial" w:hAnsi="Arial"/>
              </w:rPr>
            </w:pPr>
            <w:r w:rsidDel="00000000" w:rsidR="00000000" w:rsidRPr="00000000">
              <w:rPr>
                <w:rFonts w:ascii="Arial" w:cs="Arial" w:eastAsia="Arial" w:hAnsi="Arial"/>
                <w:rtl w:val="0"/>
              </w:rPr>
              <w:t xml:space="preserve">Receivables Turnover (Days)</w:t>
            </w:r>
          </w:p>
        </w:tc>
        <w:tc>
          <w:tcPr/>
          <w:p w:rsidR="00000000" w:rsidDel="00000000" w:rsidP="00000000" w:rsidRDefault="00000000" w:rsidRPr="00000000" w14:paraId="000000D2">
            <w:pPr>
              <w:rPr>
                <w:rFonts w:ascii="Arial" w:cs="Arial" w:eastAsia="Arial" w:hAnsi="Arial"/>
              </w:rPr>
            </w:pPr>
            <w:r w:rsidDel="00000000" w:rsidR="00000000" w:rsidRPr="00000000">
              <w:rPr>
                <w:rFonts w:ascii="Arial" w:cs="Arial" w:eastAsia="Arial" w:hAnsi="Arial"/>
                <w:rtl w:val="0"/>
              </w:rPr>
              <w:t xml:space="preserve">(Trade Receivables ÷ Net Sales) × 365</w:t>
            </w:r>
          </w:p>
        </w:tc>
        <w:tc>
          <w:tcPr/>
          <w:p w:rsidR="00000000" w:rsidDel="00000000" w:rsidP="00000000" w:rsidRDefault="00000000" w:rsidRPr="00000000" w14:paraId="000000D3">
            <w:pPr>
              <w:rPr>
                <w:rFonts w:ascii="Arial" w:cs="Arial" w:eastAsia="Arial" w:hAnsi="Arial"/>
              </w:rPr>
            </w:pPr>
            <w:r w:rsidDel="00000000" w:rsidR="00000000" w:rsidRPr="00000000">
              <w:rPr>
                <w:rFonts w:ascii="Arial" w:cs="Arial" w:eastAsia="Arial" w:hAnsi="Arial"/>
                <w:rtl w:val="0"/>
              </w:rPr>
              <w:t xml:space="preserve">(3,504 ÷ 20,245) × 365</w:t>
            </w:r>
          </w:p>
        </w:tc>
        <w:tc>
          <w:tcPr/>
          <w:p w:rsidR="00000000" w:rsidDel="00000000" w:rsidP="00000000" w:rsidRDefault="00000000" w:rsidRPr="00000000" w14:paraId="000000D4">
            <w:pPr>
              <w:rPr>
                <w:rFonts w:ascii="Arial" w:cs="Arial" w:eastAsia="Arial" w:hAnsi="Arial"/>
              </w:rPr>
            </w:pPr>
            <w:r w:rsidDel="00000000" w:rsidR="00000000" w:rsidRPr="00000000">
              <w:rPr>
                <w:rFonts w:ascii="Arial" w:cs="Arial" w:eastAsia="Arial" w:hAnsi="Arial"/>
                <w:rtl w:val="0"/>
              </w:rPr>
              <w:t xml:space="preserve">63</w:t>
            </w:r>
          </w:p>
        </w:tc>
        <w:tc>
          <w:tcPr/>
          <w:p w:rsidR="00000000" w:rsidDel="00000000" w:rsidP="00000000" w:rsidRDefault="00000000" w:rsidRPr="00000000" w14:paraId="000000D5">
            <w:pPr>
              <w:rPr>
                <w:rFonts w:ascii="Arial" w:cs="Arial" w:eastAsia="Arial" w:hAnsi="Arial"/>
              </w:rPr>
            </w:pPr>
            <w:r w:rsidDel="00000000" w:rsidR="00000000" w:rsidRPr="00000000">
              <w:rPr>
                <w:rFonts w:ascii="Arial" w:cs="Arial" w:eastAsia="Arial" w:hAnsi="Arial"/>
                <w:rtl w:val="0"/>
              </w:rPr>
              <w:t xml:space="preserve">(3,487 ÷ 20,269) × 365</w:t>
            </w:r>
          </w:p>
        </w:tc>
        <w:tc>
          <w:tcPr/>
          <w:p w:rsidR="00000000" w:rsidDel="00000000" w:rsidP="00000000" w:rsidRDefault="00000000" w:rsidRPr="00000000" w14:paraId="000000D6">
            <w:pPr>
              <w:rPr>
                <w:rFonts w:ascii="Arial" w:cs="Arial" w:eastAsia="Arial" w:hAnsi="Arial"/>
              </w:rPr>
            </w:pPr>
            <w:r w:rsidDel="00000000" w:rsidR="00000000" w:rsidRPr="00000000">
              <w:rPr>
                <w:rFonts w:ascii="Arial" w:cs="Arial" w:eastAsia="Arial" w:hAnsi="Arial"/>
                <w:rtl w:val="0"/>
              </w:rPr>
              <w:t xml:space="preserve">63</w:t>
            </w:r>
          </w:p>
        </w:tc>
        <w:tc>
          <w:tcPr/>
          <w:p w:rsidR="00000000" w:rsidDel="00000000" w:rsidP="00000000" w:rsidRDefault="00000000" w:rsidRPr="00000000" w14:paraId="000000D7">
            <w:pPr>
              <w:rPr>
                <w:rFonts w:ascii="Arial" w:cs="Arial" w:eastAsia="Arial" w:hAnsi="Arial"/>
              </w:rPr>
            </w:pPr>
            <w:r w:rsidDel="00000000" w:rsidR="00000000" w:rsidRPr="00000000">
              <w:rPr>
                <w:rFonts w:ascii="Arial" w:cs="Arial" w:eastAsia="Arial" w:hAnsi="Arial"/>
                <w:rtl w:val="0"/>
              </w:rPr>
              <w:t xml:space="preserve">+0</w:t>
            </w:r>
          </w:p>
        </w:tc>
      </w:tr>
      <w:tr>
        <w:trPr>
          <w:cantSplit w:val="0"/>
          <w:trHeight w:val="1249" w:hRule="atLeast"/>
          <w:tblHeader w:val="0"/>
        </w:trPr>
        <w:tc>
          <w:tcPr/>
          <w:p w:rsidR="00000000" w:rsidDel="00000000" w:rsidP="00000000" w:rsidRDefault="00000000" w:rsidRPr="00000000" w14:paraId="000000D8">
            <w:pPr>
              <w:rPr>
                <w:rFonts w:ascii="Arial" w:cs="Arial" w:eastAsia="Arial" w:hAnsi="Arial"/>
              </w:rPr>
            </w:pPr>
            <w:r w:rsidDel="00000000" w:rsidR="00000000" w:rsidRPr="00000000">
              <w:rPr>
                <w:rFonts w:ascii="Arial" w:cs="Arial" w:eastAsia="Arial" w:hAnsi="Arial"/>
                <w:rtl w:val="0"/>
              </w:rPr>
              <w:t xml:space="preserve">Payables Turnover (Days)</w:t>
            </w:r>
          </w:p>
        </w:tc>
        <w:tc>
          <w:tcPr/>
          <w:p w:rsidR="00000000" w:rsidDel="00000000" w:rsidP="00000000" w:rsidRDefault="00000000" w:rsidRPr="00000000" w14:paraId="000000D9">
            <w:pPr>
              <w:rPr>
                <w:rFonts w:ascii="Arial" w:cs="Arial" w:eastAsia="Arial" w:hAnsi="Arial"/>
              </w:rPr>
            </w:pPr>
            <w:r w:rsidDel="00000000" w:rsidR="00000000" w:rsidRPr="00000000">
              <w:rPr>
                <w:rFonts w:ascii="Arial" w:cs="Arial" w:eastAsia="Arial" w:hAnsi="Arial"/>
                <w:rtl w:val="0"/>
              </w:rPr>
              <w:t xml:space="preserve">(Trade Payables ÷ Cost of Sales) × 365</w:t>
            </w:r>
          </w:p>
        </w:tc>
        <w:tc>
          <w:tcPr/>
          <w:p w:rsidR="00000000" w:rsidDel="00000000" w:rsidP="00000000" w:rsidRDefault="00000000" w:rsidRPr="00000000" w14:paraId="000000DA">
            <w:pPr>
              <w:rPr>
                <w:rFonts w:ascii="Arial" w:cs="Arial" w:eastAsia="Arial" w:hAnsi="Arial"/>
              </w:rPr>
            </w:pPr>
            <w:r w:rsidDel="00000000" w:rsidR="00000000" w:rsidRPr="00000000">
              <w:rPr>
                <w:rFonts w:ascii="Arial" w:cs="Arial" w:eastAsia="Arial" w:hAnsi="Arial"/>
                <w:rtl w:val="0"/>
              </w:rPr>
              <w:t xml:space="preserve">(6,952 ÷ 8,072) × 365</w:t>
            </w:r>
          </w:p>
        </w:tc>
        <w:tc>
          <w:tcPr/>
          <w:p w:rsidR="00000000" w:rsidDel="00000000" w:rsidP="00000000" w:rsidRDefault="00000000" w:rsidRPr="00000000" w14:paraId="000000DB">
            <w:pPr>
              <w:rPr>
                <w:rFonts w:ascii="Arial" w:cs="Arial" w:eastAsia="Arial" w:hAnsi="Arial"/>
              </w:rPr>
            </w:pPr>
            <w:r w:rsidDel="00000000" w:rsidR="00000000" w:rsidRPr="00000000">
              <w:rPr>
                <w:rFonts w:ascii="Arial" w:cs="Arial" w:eastAsia="Arial" w:hAnsi="Arial"/>
                <w:rtl w:val="0"/>
              </w:rPr>
              <w:t xml:space="preserve">314</w:t>
            </w:r>
          </w:p>
        </w:tc>
        <w:tc>
          <w:tcPr/>
          <w:p w:rsidR="00000000" w:rsidDel="00000000" w:rsidP="00000000" w:rsidRDefault="00000000" w:rsidRPr="00000000" w14:paraId="000000DC">
            <w:pPr>
              <w:rPr>
                <w:rFonts w:ascii="Arial" w:cs="Arial" w:eastAsia="Arial" w:hAnsi="Arial"/>
              </w:rPr>
            </w:pPr>
            <w:r w:rsidDel="00000000" w:rsidR="00000000" w:rsidRPr="00000000">
              <w:rPr>
                <w:rFonts w:ascii="Arial" w:cs="Arial" w:eastAsia="Arial" w:hAnsi="Arial"/>
                <w:rtl w:val="0"/>
              </w:rPr>
              <w:t xml:space="preserve">(6,354 ÷ 8,071) × 365</w:t>
            </w:r>
          </w:p>
        </w:tc>
        <w:tc>
          <w:tcPr/>
          <w:p w:rsidR="00000000" w:rsidDel="00000000" w:rsidP="00000000" w:rsidRDefault="00000000" w:rsidRPr="00000000" w14:paraId="000000DD">
            <w:pPr>
              <w:rPr>
                <w:rFonts w:ascii="Arial" w:cs="Arial" w:eastAsia="Arial" w:hAnsi="Arial"/>
              </w:rPr>
            </w:pPr>
            <w:r w:rsidDel="00000000" w:rsidR="00000000" w:rsidRPr="00000000">
              <w:rPr>
                <w:rFonts w:ascii="Arial" w:cs="Arial" w:eastAsia="Arial" w:hAnsi="Arial"/>
                <w:rtl w:val="0"/>
              </w:rPr>
              <w:t xml:space="preserve">287</w:t>
            </w:r>
          </w:p>
        </w:tc>
        <w:tc>
          <w:tcPr/>
          <w:p w:rsidR="00000000" w:rsidDel="00000000" w:rsidP="00000000" w:rsidRDefault="00000000" w:rsidRPr="00000000" w14:paraId="000000DE">
            <w:pPr>
              <w:rPr>
                <w:rFonts w:ascii="Arial" w:cs="Arial" w:eastAsia="Arial" w:hAnsi="Arial"/>
              </w:rPr>
            </w:pPr>
            <w:r w:rsidDel="00000000" w:rsidR="00000000" w:rsidRPr="00000000">
              <w:rPr>
                <w:rFonts w:ascii="Arial" w:cs="Arial" w:eastAsia="Arial" w:hAnsi="Arial"/>
                <w:rtl w:val="0"/>
              </w:rPr>
              <w:t xml:space="preserve">+27</w:t>
            </w:r>
          </w:p>
        </w:tc>
      </w:tr>
      <w:tr>
        <w:trPr>
          <w:cantSplit w:val="0"/>
          <w:trHeight w:val="836" w:hRule="atLeast"/>
          <w:tblHeader w:val="0"/>
        </w:trPr>
        <w:tc>
          <w:tcPr/>
          <w:p w:rsidR="00000000" w:rsidDel="00000000" w:rsidP="00000000" w:rsidRDefault="00000000" w:rsidRPr="00000000" w14:paraId="000000DF">
            <w:pPr>
              <w:rPr>
                <w:rFonts w:ascii="Arial" w:cs="Arial" w:eastAsia="Arial" w:hAnsi="Arial"/>
              </w:rPr>
            </w:pPr>
            <w:r w:rsidDel="00000000" w:rsidR="00000000" w:rsidRPr="00000000">
              <w:rPr>
                <w:rFonts w:ascii="Arial" w:cs="Arial" w:eastAsia="Arial" w:hAnsi="Arial"/>
                <w:rtl w:val="0"/>
              </w:rPr>
              <w:t xml:space="preserve">Asset Turnover</w:t>
            </w:r>
          </w:p>
        </w:tc>
        <w:tc>
          <w:tcPr/>
          <w:p w:rsidR="00000000" w:rsidDel="00000000" w:rsidP="00000000" w:rsidRDefault="00000000" w:rsidRPr="00000000" w14:paraId="000000E0">
            <w:pPr>
              <w:rPr>
                <w:rFonts w:ascii="Arial" w:cs="Arial" w:eastAsia="Arial" w:hAnsi="Arial"/>
              </w:rPr>
            </w:pPr>
            <w:r w:rsidDel="00000000" w:rsidR="00000000" w:rsidRPr="00000000">
              <w:rPr>
                <w:rFonts w:ascii="Arial" w:cs="Arial" w:eastAsia="Arial" w:hAnsi="Arial"/>
                <w:rtl w:val="0"/>
              </w:rPr>
              <w:t xml:space="preserve">Net Sales ÷ Total Assets</w:t>
            </w:r>
          </w:p>
        </w:tc>
        <w:tc>
          <w:tcPr/>
          <w:p w:rsidR="00000000" w:rsidDel="00000000" w:rsidP="00000000" w:rsidRDefault="00000000" w:rsidRPr="00000000" w14:paraId="000000E1">
            <w:pPr>
              <w:rPr>
                <w:rFonts w:ascii="Arial" w:cs="Arial" w:eastAsia="Arial" w:hAnsi="Arial"/>
              </w:rPr>
            </w:pPr>
            <w:r w:rsidDel="00000000" w:rsidR="00000000" w:rsidRPr="00000000">
              <w:rPr>
                <w:rFonts w:ascii="Arial" w:cs="Arial" w:eastAsia="Arial" w:hAnsi="Arial"/>
                <w:rtl w:val="0"/>
              </w:rPr>
              <w:t xml:space="preserve">20,245 ÷ 49,322</w:t>
            </w:r>
          </w:p>
        </w:tc>
        <w:tc>
          <w:tcPr/>
          <w:p w:rsidR="00000000" w:rsidDel="00000000" w:rsidP="00000000" w:rsidRDefault="00000000" w:rsidRPr="00000000" w14:paraId="000000E2">
            <w:pPr>
              <w:rPr>
                <w:rFonts w:ascii="Arial" w:cs="Arial" w:eastAsia="Arial" w:hAnsi="Arial"/>
              </w:rPr>
            </w:pPr>
            <w:r w:rsidDel="00000000" w:rsidR="00000000" w:rsidRPr="00000000">
              <w:rPr>
                <w:rFonts w:ascii="Arial" w:cs="Arial" w:eastAsia="Arial" w:hAnsi="Arial"/>
                <w:rtl w:val="0"/>
              </w:rPr>
              <w:t xml:space="preserve">0.41</w:t>
            </w:r>
          </w:p>
        </w:tc>
        <w:tc>
          <w:tcPr/>
          <w:p w:rsidR="00000000" w:rsidDel="00000000" w:rsidP="00000000" w:rsidRDefault="00000000" w:rsidRPr="00000000" w14:paraId="000000E3">
            <w:pPr>
              <w:rPr>
                <w:rFonts w:ascii="Arial" w:cs="Arial" w:eastAsia="Arial" w:hAnsi="Arial"/>
              </w:rPr>
            </w:pPr>
            <w:r w:rsidDel="00000000" w:rsidR="00000000" w:rsidRPr="00000000">
              <w:rPr>
                <w:rFonts w:ascii="Arial" w:cs="Arial" w:eastAsia="Arial" w:hAnsi="Arial"/>
                <w:rtl w:val="0"/>
              </w:rPr>
              <w:t xml:space="preserve">20,269 ÷ 45,474</w:t>
            </w:r>
          </w:p>
        </w:tc>
        <w:tc>
          <w:tcPr/>
          <w:p w:rsidR="00000000" w:rsidDel="00000000" w:rsidP="00000000" w:rsidRDefault="00000000" w:rsidRPr="00000000" w14:paraId="000000E4">
            <w:pPr>
              <w:rPr>
                <w:rFonts w:ascii="Arial" w:cs="Arial" w:eastAsia="Arial" w:hAnsi="Arial"/>
              </w:rPr>
            </w:pPr>
            <w:r w:rsidDel="00000000" w:rsidR="00000000" w:rsidRPr="00000000">
              <w:rPr>
                <w:rFonts w:ascii="Arial" w:cs="Arial" w:eastAsia="Arial" w:hAnsi="Arial"/>
                <w:rtl w:val="0"/>
              </w:rPr>
              <w:t xml:space="preserve">0.45</w:t>
            </w:r>
          </w:p>
        </w:tc>
        <w:tc>
          <w:tcPr/>
          <w:p w:rsidR="00000000" w:rsidDel="00000000" w:rsidP="00000000" w:rsidRDefault="00000000" w:rsidRPr="00000000" w14:paraId="000000E5">
            <w:pPr>
              <w:rPr>
                <w:rFonts w:ascii="Arial" w:cs="Arial" w:eastAsia="Arial" w:hAnsi="Arial"/>
              </w:rPr>
            </w:pPr>
            <w:r w:rsidDel="00000000" w:rsidR="00000000" w:rsidRPr="00000000">
              <w:rPr>
                <w:rFonts w:ascii="Arial" w:cs="Arial" w:eastAsia="Arial" w:hAnsi="Arial"/>
                <w:rtl w:val="0"/>
              </w:rPr>
              <w:t xml:space="preserve">−0.04</w:t>
            </w:r>
          </w:p>
        </w:tc>
      </w:tr>
      <w:tr>
        <w:trPr>
          <w:cantSplit w:val="0"/>
          <w:trHeight w:val="1249" w:hRule="atLeast"/>
          <w:tblHeader w:val="0"/>
        </w:trPr>
        <w:tc>
          <w:tcPr/>
          <w:p w:rsidR="00000000" w:rsidDel="00000000" w:rsidP="00000000" w:rsidRDefault="00000000" w:rsidRPr="00000000" w14:paraId="000000E6">
            <w:pPr>
              <w:rPr>
                <w:rFonts w:ascii="Arial" w:cs="Arial" w:eastAsia="Arial" w:hAnsi="Arial"/>
              </w:rPr>
            </w:pPr>
            <w:r w:rsidDel="00000000" w:rsidR="00000000" w:rsidRPr="00000000">
              <w:rPr>
                <w:rFonts w:ascii="Arial" w:cs="Arial" w:eastAsia="Arial" w:hAnsi="Arial"/>
                <w:rtl w:val="0"/>
              </w:rPr>
              <w:t xml:space="preserve">Fixed Asset Turnover</w:t>
            </w:r>
          </w:p>
        </w:tc>
        <w:tc>
          <w:tcPr/>
          <w:p w:rsidR="00000000" w:rsidDel="00000000" w:rsidP="00000000" w:rsidRDefault="00000000" w:rsidRPr="00000000" w14:paraId="000000E7">
            <w:pPr>
              <w:rPr>
                <w:rFonts w:ascii="Arial" w:cs="Arial" w:eastAsia="Arial" w:hAnsi="Arial"/>
              </w:rPr>
            </w:pPr>
            <w:r w:rsidDel="00000000" w:rsidR="00000000" w:rsidRPr="00000000">
              <w:rPr>
                <w:rFonts w:ascii="Arial" w:cs="Arial" w:eastAsia="Arial" w:hAnsi="Arial"/>
                <w:rtl w:val="0"/>
              </w:rPr>
              <w:t xml:space="preserve">Net Sales ÷ Operating Fixed Assets</w:t>
            </w:r>
          </w:p>
        </w:tc>
        <w:tc>
          <w:tcPr/>
          <w:p w:rsidR="00000000" w:rsidDel="00000000" w:rsidP="00000000" w:rsidRDefault="00000000" w:rsidRPr="00000000" w14:paraId="000000E8">
            <w:pPr>
              <w:rPr>
                <w:rFonts w:ascii="Arial" w:cs="Arial" w:eastAsia="Arial" w:hAnsi="Arial"/>
              </w:rPr>
            </w:pPr>
            <w:r w:rsidDel="00000000" w:rsidR="00000000" w:rsidRPr="00000000">
              <w:rPr>
                <w:rFonts w:ascii="Arial" w:cs="Arial" w:eastAsia="Arial" w:hAnsi="Arial"/>
                <w:rtl w:val="0"/>
              </w:rPr>
              <w:t xml:space="preserve">20,245 ÷ (14,776 + 9,528 + 176)</w:t>
            </w:r>
          </w:p>
        </w:tc>
        <w:tc>
          <w:tcPr/>
          <w:p w:rsidR="00000000" w:rsidDel="00000000" w:rsidP="00000000" w:rsidRDefault="00000000" w:rsidRPr="00000000" w14:paraId="000000E9">
            <w:pPr>
              <w:rPr>
                <w:rFonts w:ascii="Arial" w:cs="Arial" w:eastAsia="Arial" w:hAnsi="Arial"/>
              </w:rPr>
            </w:pPr>
            <w:r w:rsidDel="00000000" w:rsidR="00000000" w:rsidRPr="00000000">
              <w:rPr>
                <w:rFonts w:ascii="Arial" w:cs="Arial" w:eastAsia="Arial" w:hAnsi="Arial"/>
                <w:rtl w:val="0"/>
              </w:rPr>
              <w:t xml:space="preserve">0.83</w:t>
            </w:r>
          </w:p>
        </w:tc>
        <w:tc>
          <w:tcPr/>
          <w:p w:rsidR="00000000" w:rsidDel="00000000" w:rsidP="00000000" w:rsidRDefault="00000000" w:rsidRPr="00000000" w14:paraId="000000EA">
            <w:pPr>
              <w:rPr>
                <w:rFonts w:ascii="Arial" w:cs="Arial" w:eastAsia="Arial" w:hAnsi="Arial"/>
              </w:rPr>
            </w:pPr>
            <w:r w:rsidDel="00000000" w:rsidR="00000000" w:rsidRPr="00000000">
              <w:rPr>
                <w:rFonts w:ascii="Arial" w:cs="Arial" w:eastAsia="Arial" w:hAnsi="Arial"/>
                <w:rtl w:val="0"/>
              </w:rPr>
              <w:t xml:space="preserve">20,269 ÷ (14,814 + 8,509 + 199)</w:t>
            </w:r>
          </w:p>
        </w:tc>
        <w:tc>
          <w:tcPr/>
          <w:p w:rsidR="00000000" w:rsidDel="00000000" w:rsidP="00000000" w:rsidRDefault="00000000" w:rsidRPr="00000000" w14:paraId="000000EB">
            <w:pPr>
              <w:rPr>
                <w:rFonts w:ascii="Arial" w:cs="Arial" w:eastAsia="Arial" w:hAnsi="Arial"/>
              </w:rPr>
            </w:pPr>
            <w:r w:rsidDel="00000000" w:rsidR="00000000" w:rsidRPr="00000000">
              <w:rPr>
                <w:rFonts w:ascii="Arial" w:cs="Arial" w:eastAsia="Arial" w:hAnsi="Arial"/>
                <w:rtl w:val="0"/>
              </w:rPr>
              <w:t xml:space="preserve">0.86</w:t>
            </w:r>
          </w:p>
        </w:tc>
        <w:tc>
          <w:tcPr/>
          <w:p w:rsidR="00000000" w:rsidDel="00000000" w:rsidP="00000000" w:rsidRDefault="00000000" w:rsidRPr="00000000" w14:paraId="000000EC">
            <w:pPr>
              <w:rPr>
                <w:rFonts w:ascii="Arial" w:cs="Arial" w:eastAsia="Arial" w:hAnsi="Arial"/>
              </w:rPr>
            </w:pPr>
            <w:r w:rsidDel="00000000" w:rsidR="00000000" w:rsidRPr="00000000">
              <w:rPr>
                <w:rFonts w:ascii="Arial" w:cs="Arial" w:eastAsia="Arial" w:hAnsi="Arial"/>
                <w:rtl w:val="0"/>
              </w:rPr>
              <w:t xml:space="preserve">−0.03</w:t>
            </w:r>
          </w:p>
        </w:tc>
      </w:tr>
    </w:tbl>
    <w:p w:rsidR="00000000" w:rsidDel="00000000" w:rsidP="00000000" w:rsidRDefault="00000000" w:rsidRPr="00000000" w14:paraId="000000ED">
      <w:pPr>
        <w:rPr>
          <w:rFonts w:ascii="Arial" w:cs="Arial" w:eastAsia="Arial" w:hAnsi="Arial"/>
        </w:rPr>
      </w:pPr>
      <w:r w:rsidDel="00000000" w:rsidR="00000000" w:rsidRPr="00000000">
        <w:rPr>
          <w:rtl w:val="0"/>
        </w:rPr>
      </w:r>
    </w:p>
    <w:p w:rsidR="00000000" w:rsidDel="00000000" w:rsidP="00000000" w:rsidRDefault="00000000" w:rsidRPr="00000000" w14:paraId="000000EE">
      <w:pPr>
        <w:rPr>
          <w:rFonts w:ascii="Arial" w:cs="Arial" w:eastAsia="Arial" w:hAnsi="Arial"/>
        </w:rPr>
      </w:pPr>
      <w:r w:rsidDel="00000000" w:rsidR="00000000" w:rsidRPr="00000000">
        <w:rPr>
          <w:rFonts w:ascii="Arial" w:cs="Arial" w:eastAsia="Arial" w:hAnsi="Arial"/>
          <w:rtl w:val="0"/>
        </w:rPr>
        <w:t xml:space="preserve">The efficiency ratios indicate that there is a tendency toward the decline in the operational efficiency of Diageo during 2024-2025. The inventory turnover days went up from 440 days in 2024 to 482 days in 2025, which meant that the inventory was held longer before being moved to sales (Fernando, 2022). This growth indicates less momentum of stock movement, possibly due to low demand, excess production, or strategic stock build-up in preparation for sales in future. In a capital-intensive brand-sensitive industry like the beverages, an increase in the inventory level can also indicate the prematureness of the premium spirits; though, the long holding duration may also bind the working capital and exposure to storage and obsolescence. There was no fluctuation in the receivable’s turnover days in both years since the two years recorded a constant turnover of 63 days, which means that the company is well managed in terms of its credit management and collection efficiency (Nguyen et al., 2020). Such consistency indicates that Diageo had good control over its accounts and had not changed its terms of credit and its collections policy radically. Constant receivables performance is especially required during times of falling profitability, since it helps to maintain the cash flow and the liquidity risk is minimised. The turnover days of payables have increased by 287 days in 2024 and 314 days in 2025, which shows that Diageo has delayed in settling trade payables. This lengthening of payment periods can be an intention to operate cash flows in a more conservative manner in a difficult financial year. Even though payment delays might enhance short-term liquidity, overly relying on the extension of credit terms may result in a poor relationship with suppliers or create less favourable trading terms in future. </w:t>
      </w:r>
    </w:p>
    <w:p w:rsidR="00000000" w:rsidDel="00000000" w:rsidP="00000000" w:rsidRDefault="00000000" w:rsidRPr="00000000" w14:paraId="000000EF">
      <w:pPr>
        <w:keepNext w:val="1"/>
        <w:jc w:val="center"/>
        <w:rPr>
          <w:rFonts w:ascii="Arial" w:cs="Arial" w:eastAsia="Arial" w:hAnsi="Arial"/>
        </w:rPr>
      </w:pPr>
      <w:r w:rsidDel="00000000" w:rsidR="00000000" w:rsidRPr="00000000">
        <w:rPr>
          <w:rFonts w:ascii="Arial" w:cs="Arial" w:eastAsia="Arial" w:hAnsi="Arial"/>
        </w:rPr>
        <w:drawing>
          <wp:inline distB="0" distT="0" distL="0" distR="0">
            <wp:extent cx="4572000" cy="2743200"/>
            <wp:effectExtent b="0" l="0" r="0" t="0"/>
            <wp:docPr id="5" name=""/>
            <a:graphic>
              <a:graphicData uri="http://schemas.openxmlformats.org/drawingml/2006/chart">
                <c:chart r:id="rId11"/>
              </a:graphicData>
            </a:graphic>
          </wp:inline>
        </w:drawing>
      </w:r>
      <w:r w:rsidDel="00000000" w:rsidR="00000000" w:rsidRPr="00000000">
        <w:rPr>
          <w:rtl w:val="0"/>
        </w:rPr>
      </w:r>
    </w:p>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1"/>
          <w:bCs w:val="1"/>
          <w:i w:val="1"/>
          <w:iCs w:val="1"/>
          <w:smallCaps w:val="0"/>
          <w:strike w:val="0"/>
          <w:color w:val="44546a"/>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5: Efficiency Ratios</w:t>
      </w:r>
      <w:r w:rsidDel="00000000" w:rsidR="00000000" w:rsidRPr="00000000">
        <w:rPr>
          <w:rtl w:val="0"/>
        </w:rPr>
      </w:r>
    </w:p>
    <w:p w:rsidR="00000000" w:rsidDel="00000000" w:rsidP="00000000" w:rsidRDefault="00000000" w:rsidRPr="00000000" w14:paraId="000000F1">
      <w:pPr>
        <w:rPr>
          <w:rFonts w:ascii="Arial" w:cs="Arial" w:eastAsia="Arial" w:hAnsi="Arial"/>
        </w:rPr>
      </w:pPr>
      <w:r w:rsidDel="00000000" w:rsidR="00000000" w:rsidRPr="00000000">
        <w:rPr>
          <w:rFonts w:ascii="Arial" w:cs="Arial" w:eastAsia="Arial" w:hAnsi="Arial"/>
          <w:rtl w:val="0"/>
        </w:rPr>
        <w:t xml:space="preserve">From the graph, it is evident that the asset turnover decreased from 0.45 to 0.41, which means that the company earned less sales in comparison to the total asset base in 2025. This decrease indicates a sluggish growth in using assets to bring in the revenue; this may be because of underutilization of the production power or the new capital investments, which have not yet brought in an equivalent sales growth (Bakhtiyar Mammadov, 2025). Likewise, the fixed asset turnover declined by 0.86 to 0.83, which supports the opinion that the long-term operating assets were inefficiently utilised.</w:t>
      </w:r>
    </w:p>
    <w:p w:rsidR="00000000" w:rsidDel="00000000" w:rsidP="00000000" w:rsidRDefault="00000000" w:rsidRPr="00000000" w14:paraId="000000F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Investment Ratios</w:t>
      </w:r>
    </w:p>
    <w:p w:rsidR="00000000" w:rsidDel="00000000" w:rsidP="00000000" w:rsidRDefault="00000000" w:rsidRPr="00000000" w14:paraId="000000F3">
      <w:pPr>
        <w:rPr>
          <w:rFonts w:ascii="Arial" w:cs="Arial" w:eastAsia="Arial" w:hAnsi="Arial"/>
        </w:rPr>
      </w:pPr>
      <w:r w:rsidDel="00000000" w:rsidR="00000000" w:rsidRPr="00000000">
        <w:rPr>
          <w:rFonts w:ascii="Arial" w:cs="Arial" w:eastAsia="Arial" w:hAnsi="Arial"/>
          <w:rtl w:val="0"/>
        </w:rPr>
        <w:t xml:space="preserve">These investment ratios show that there is a decline in shareholder returns between 2024 and 2025, although, in the market-based measures, partially, there is an improvement (Yuliarti and Diyani, 2018). Basic and diluted earnings per share were down sharply, though the basic EPS dropped by 173.2 cents in 2024 to 105.9 cents in 2025. This is a material decrease in profitability to the shareholders, which is probably due to poorer operating performance, increased cost of finance, and the effect of unusual items. The drop in the EPS implies the lesser earning power and the weak generation of internal value throughout the year.</w:t>
      </w:r>
    </w:p>
    <w:tbl>
      <w:tblPr>
        <w:tblStyle w:val="Table6"/>
        <w:tblW w:w="9350.0" w:type="dxa"/>
        <w:jc w:val="left"/>
        <w:tblBorders>
          <w:top w:color="c5e0b3" w:space="0" w:sz="4" w:val="single"/>
          <w:left w:color="c5e0b3" w:space="0" w:sz="4" w:val="single"/>
          <w:bottom w:color="c5e0b3" w:space="0" w:sz="4" w:val="single"/>
          <w:right w:color="c5e0b3" w:space="0" w:sz="4" w:val="single"/>
          <w:insideH w:color="c5e0b3" w:space="0" w:sz="4" w:val="single"/>
          <w:insideV w:color="c5e0b3" w:space="0" w:sz="4" w:val="single"/>
        </w:tblBorders>
        <w:tblLayout w:type="fixed"/>
        <w:tblLook w:val="04A0"/>
      </w:tblPr>
      <w:tblGrid>
        <w:gridCol w:w="1609"/>
        <w:gridCol w:w="1746"/>
        <w:gridCol w:w="1632"/>
        <w:gridCol w:w="817"/>
        <w:gridCol w:w="1632"/>
        <w:gridCol w:w="817"/>
        <w:gridCol w:w="1097"/>
        <w:tblGridChange w:id="0">
          <w:tblGrid>
            <w:gridCol w:w="1609"/>
            <w:gridCol w:w="1746"/>
            <w:gridCol w:w="1632"/>
            <w:gridCol w:w="817"/>
            <w:gridCol w:w="1632"/>
            <w:gridCol w:w="817"/>
            <w:gridCol w:w="1097"/>
          </w:tblGrid>
        </w:tblGridChange>
      </w:tblGrid>
      <w:tr>
        <w:trPr>
          <w:cantSplit w:val="0"/>
          <w:tblHeader w:val="0"/>
        </w:trPr>
        <w:tc>
          <w:tcPr/>
          <w:p w:rsidR="00000000" w:rsidDel="00000000" w:rsidP="00000000" w:rsidRDefault="00000000" w:rsidRPr="00000000" w14:paraId="000000F4">
            <w:pPr>
              <w:rPr>
                <w:rFonts w:ascii="Arial" w:cs="Arial" w:eastAsia="Arial" w:hAnsi="Arial"/>
              </w:rPr>
            </w:pPr>
            <w:r w:rsidDel="00000000" w:rsidR="00000000" w:rsidRPr="00000000">
              <w:rPr>
                <w:rFonts w:ascii="Arial" w:cs="Arial" w:eastAsia="Arial" w:hAnsi="Arial"/>
                <w:rtl w:val="0"/>
              </w:rPr>
              <w:t xml:space="preserve">Ratio</w:t>
            </w:r>
          </w:p>
        </w:tc>
        <w:tc>
          <w:tcPr/>
          <w:p w:rsidR="00000000" w:rsidDel="00000000" w:rsidP="00000000" w:rsidRDefault="00000000" w:rsidRPr="00000000" w14:paraId="000000F5">
            <w:pPr>
              <w:rPr>
                <w:rFonts w:ascii="Arial" w:cs="Arial" w:eastAsia="Arial" w:hAnsi="Arial"/>
              </w:rPr>
            </w:pPr>
            <w:r w:rsidDel="00000000" w:rsidR="00000000" w:rsidRPr="00000000">
              <w:rPr>
                <w:rFonts w:ascii="Arial" w:cs="Arial" w:eastAsia="Arial" w:hAnsi="Arial"/>
                <w:rtl w:val="0"/>
              </w:rPr>
              <w:t xml:space="preserve">Formula</w:t>
            </w:r>
          </w:p>
        </w:tc>
        <w:tc>
          <w:tcPr/>
          <w:p w:rsidR="00000000" w:rsidDel="00000000" w:rsidP="00000000" w:rsidRDefault="00000000" w:rsidRPr="00000000" w14:paraId="000000F6">
            <w:pPr>
              <w:rPr>
                <w:rFonts w:ascii="Arial" w:cs="Arial" w:eastAsia="Arial" w:hAnsi="Arial"/>
              </w:rPr>
            </w:pPr>
            <w:r w:rsidDel="00000000" w:rsidR="00000000" w:rsidRPr="00000000">
              <w:rPr>
                <w:rFonts w:ascii="Arial" w:cs="Arial" w:eastAsia="Arial" w:hAnsi="Arial"/>
                <w:rtl w:val="0"/>
              </w:rPr>
              <w:t xml:space="preserve">2025 Calculation</w:t>
            </w:r>
          </w:p>
        </w:tc>
        <w:tc>
          <w:tcPr/>
          <w:p w:rsidR="00000000" w:rsidDel="00000000" w:rsidP="00000000" w:rsidRDefault="00000000" w:rsidRPr="00000000" w14:paraId="000000F7">
            <w:pPr>
              <w:rPr>
                <w:rFonts w:ascii="Arial" w:cs="Arial" w:eastAsia="Arial" w:hAnsi="Arial"/>
              </w:rPr>
            </w:pPr>
            <w:r w:rsidDel="00000000" w:rsidR="00000000" w:rsidRPr="00000000">
              <w:rPr>
                <w:rFonts w:ascii="Arial" w:cs="Arial" w:eastAsia="Arial" w:hAnsi="Arial"/>
                <w:rtl w:val="0"/>
              </w:rPr>
              <w:t xml:space="preserve">2025</w:t>
            </w:r>
          </w:p>
        </w:tc>
        <w:tc>
          <w:tcPr/>
          <w:p w:rsidR="00000000" w:rsidDel="00000000" w:rsidP="00000000" w:rsidRDefault="00000000" w:rsidRPr="00000000" w14:paraId="000000F8">
            <w:pPr>
              <w:rPr>
                <w:rFonts w:ascii="Arial" w:cs="Arial" w:eastAsia="Arial" w:hAnsi="Arial"/>
              </w:rPr>
            </w:pPr>
            <w:r w:rsidDel="00000000" w:rsidR="00000000" w:rsidRPr="00000000">
              <w:rPr>
                <w:rFonts w:ascii="Arial" w:cs="Arial" w:eastAsia="Arial" w:hAnsi="Arial"/>
                <w:rtl w:val="0"/>
              </w:rPr>
              <w:t xml:space="preserve">2024 Calculation</w:t>
            </w:r>
          </w:p>
        </w:tc>
        <w:tc>
          <w:tcPr/>
          <w:p w:rsidR="00000000" w:rsidDel="00000000" w:rsidP="00000000" w:rsidRDefault="00000000" w:rsidRPr="00000000" w14:paraId="000000F9">
            <w:pP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0FA">
            <w:pPr>
              <w:rPr>
                <w:rFonts w:ascii="Arial" w:cs="Arial" w:eastAsia="Arial" w:hAnsi="Arial"/>
              </w:rPr>
            </w:pPr>
            <w:r w:rsidDel="00000000" w:rsidR="00000000" w:rsidRPr="00000000">
              <w:rPr>
                <w:rFonts w:ascii="Arial" w:cs="Arial" w:eastAsia="Arial" w:hAnsi="Arial"/>
                <w:rtl w:val="0"/>
              </w:rPr>
              <w:t xml:space="preserve">Change</w:t>
            </w:r>
          </w:p>
        </w:tc>
      </w:tr>
      <w:tr>
        <w:trPr>
          <w:cantSplit w:val="0"/>
          <w:tblHeader w:val="0"/>
        </w:trPr>
        <w:tc>
          <w:tcPr/>
          <w:p w:rsidR="00000000" w:rsidDel="00000000" w:rsidP="00000000" w:rsidRDefault="00000000" w:rsidRPr="00000000" w14:paraId="000000FB">
            <w:pPr>
              <w:rPr>
                <w:rFonts w:ascii="Arial" w:cs="Arial" w:eastAsia="Arial" w:hAnsi="Arial"/>
              </w:rPr>
            </w:pPr>
            <w:r w:rsidDel="00000000" w:rsidR="00000000" w:rsidRPr="00000000">
              <w:rPr>
                <w:rFonts w:ascii="Arial" w:cs="Arial" w:eastAsia="Arial" w:hAnsi="Arial"/>
                <w:rtl w:val="0"/>
              </w:rPr>
              <w:t xml:space="preserve">Earnings Per Share (Basic)</w:t>
            </w:r>
          </w:p>
        </w:tc>
        <w:tc>
          <w:tcPr/>
          <w:p w:rsidR="00000000" w:rsidDel="00000000" w:rsidP="00000000" w:rsidRDefault="00000000" w:rsidRPr="00000000" w14:paraId="000000FC">
            <w:pPr>
              <w:rPr>
                <w:rFonts w:ascii="Arial" w:cs="Arial" w:eastAsia="Arial" w:hAnsi="Arial"/>
              </w:rPr>
            </w:pPr>
            <w:r w:rsidDel="00000000" w:rsidR="00000000" w:rsidRPr="00000000">
              <w:rPr>
                <w:rFonts w:ascii="Arial" w:cs="Arial" w:eastAsia="Arial" w:hAnsi="Arial"/>
                <w:rtl w:val="0"/>
              </w:rPr>
              <w:t xml:space="preserve">As reported in the Annual Report</w:t>
            </w:r>
          </w:p>
        </w:tc>
        <w:tc>
          <w:tcPr/>
          <w:p w:rsidR="00000000" w:rsidDel="00000000" w:rsidP="00000000" w:rsidRDefault="00000000" w:rsidRPr="00000000" w14:paraId="000000FD">
            <w:pPr>
              <w:rPr>
                <w:rFonts w:ascii="Arial" w:cs="Arial" w:eastAsia="Arial" w:hAnsi="Arial"/>
              </w:rPr>
            </w:pPr>
            <w:r w:rsidDel="00000000" w:rsidR="00000000" w:rsidRPr="00000000">
              <w:rPr>
                <w:rFonts w:ascii="Arial" w:cs="Arial" w:eastAsia="Arial" w:hAnsi="Arial"/>
                <w:rtl w:val="0"/>
              </w:rPr>
              <w:t xml:space="preserve">105.9 cents</w:t>
            </w:r>
          </w:p>
        </w:tc>
        <w:tc>
          <w:tcPr/>
          <w:p w:rsidR="00000000" w:rsidDel="00000000" w:rsidP="00000000" w:rsidRDefault="00000000" w:rsidRPr="00000000" w14:paraId="000000FE">
            <w:pPr>
              <w:rPr>
                <w:rFonts w:ascii="Arial" w:cs="Arial" w:eastAsia="Arial" w:hAnsi="Arial"/>
              </w:rPr>
            </w:pPr>
            <w:r w:rsidDel="00000000" w:rsidR="00000000" w:rsidRPr="00000000">
              <w:rPr>
                <w:rFonts w:ascii="Arial" w:cs="Arial" w:eastAsia="Arial" w:hAnsi="Arial"/>
                <w:rtl w:val="0"/>
              </w:rPr>
              <w:t xml:space="preserve">105.9</w:t>
            </w:r>
          </w:p>
        </w:tc>
        <w:tc>
          <w:tcPr/>
          <w:p w:rsidR="00000000" w:rsidDel="00000000" w:rsidP="00000000" w:rsidRDefault="00000000" w:rsidRPr="00000000" w14:paraId="000000FF">
            <w:pPr>
              <w:rPr>
                <w:rFonts w:ascii="Arial" w:cs="Arial" w:eastAsia="Arial" w:hAnsi="Arial"/>
              </w:rPr>
            </w:pPr>
            <w:r w:rsidDel="00000000" w:rsidR="00000000" w:rsidRPr="00000000">
              <w:rPr>
                <w:rFonts w:ascii="Arial" w:cs="Arial" w:eastAsia="Arial" w:hAnsi="Arial"/>
                <w:rtl w:val="0"/>
              </w:rPr>
              <w:t xml:space="preserve">173.2 cents</w:t>
            </w:r>
          </w:p>
        </w:tc>
        <w:tc>
          <w:tcPr/>
          <w:p w:rsidR="00000000" w:rsidDel="00000000" w:rsidP="00000000" w:rsidRDefault="00000000" w:rsidRPr="00000000" w14:paraId="00000100">
            <w:pPr>
              <w:rPr>
                <w:rFonts w:ascii="Arial" w:cs="Arial" w:eastAsia="Arial" w:hAnsi="Arial"/>
              </w:rPr>
            </w:pPr>
            <w:r w:rsidDel="00000000" w:rsidR="00000000" w:rsidRPr="00000000">
              <w:rPr>
                <w:rFonts w:ascii="Arial" w:cs="Arial" w:eastAsia="Arial" w:hAnsi="Arial"/>
                <w:rtl w:val="0"/>
              </w:rPr>
              <w:t xml:space="preserve">173.2</w:t>
            </w:r>
          </w:p>
        </w:tc>
        <w:tc>
          <w:tcPr/>
          <w:p w:rsidR="00000000" w:rsidDel="00000000" w:rsidP="00000000" w:rsidRDefault="00000000" w:rsidRPr="00000000" w14:paraId="00000101">
            <w:pPr>
              <w:rPr>
                <w:rFonts w:ascii="Arial" w:cs="Arial" w:eastAsia="Arial" w:hAnsi="Arial"/>
              </w:rPr>
            </w:pPr>
            <w:r w:rsidDel="00000000" w:rsidR="00000000" w:rsidRPr="00000000">
              <w:rPr>
                <w:rFonts w:ascii="Arial" w:cs="Arial" w:eastAsia="Arial" w:hAnsi="Arial"/>
                <w:rtl w:val="0"/>
              </w:rPr>
              <w:t xml:space="preserve">−67.3</w:t>
            </w:r>
          </w:p>
        </w:tc>
      </w:tr>
      <w:tr>
        <w:trPr>
          <w:cantSplit w:val="0"/>
          <w:tblHeader w:val="0"/>
        </w:trPr>
        <w:tc>
          <w:tcPr/>
          <w:p w:rsidR="00000000" w:rsidDel="00000000" w:rsidP="00000000" w:rsidRDefault="00000000" w:rsidRPr="00000000" w14:paraId="00000102">
            <w:pPr>
              <w:rPr>
                <w:rFonts w:ascii="Arial" w:cs="Arial" w:eastAsia="Arial" w:hAnsi="Arial"/>
              </w:rPr>
            </w:pPr>
            <w:r w:rsidDel="00000000" w:rsidR="00000000" w:rsidRPr="00000000">
              <w:rPr>
                <w:rFonts w:ascii="Arial" w:cs="Arial" w:eastAsia="Arial" w:hAnsi="Arial"/>
                <w:rtl w:val="0"/>
              </w:rPr>
              <w:t xml:space="preserve">Earnings Per Share (Diluted)</w:t>
            </w:r>
          </w:p>
        </w:tc>
        <w:tc>
          <w:tcPr/>
          <w:p w:rsidR="00000000" w:rsidDel="00000000" w:rsidP="00000000" w:rsidRDefault="00000000" w:rsidRPr="00000000" w14:paraId="00000103">
            <w:pPr>
              <w:rPr>
                <w:rFonts w:ascii="Arial" w:cs="Arial" w:eastAsia="Arial" w:hAnsi="Arial"/>
              </w:rPr>
            </w:pPr>
            <w:r w:rsidDel="00000000" w:rsidR="00000000" w:rsidRPr="00000000">
              <w:rPr>
                <w:rFonts w:ascii="Arial" w:cs="Arial" w:eastAsia="Arial" w:hAnsi="Arial"/>
                <w:rtl w:val="0"/>
              </w:rPr>
              <w:t xml:space="preserve">As reported in the Annual Report</w:t>
            </w:r>
          </w:p>
        </w:tc>
        <w:tc>
          <w:tcPr/>
          <w:p w:rsidR="00000000" w:rsidDel="00000000" w:rsidP="00000000" w:rsidRDefault="00000000" w:rsidRPr="00000000" w14:paraId="00000104">
            <w:pPr>
              <w:rPr>
                <w:rFonts w:ascii="Arial" w:cs="Arial" w:eastAsia="Arial" w:hAnsi="Arial"/>
              </w:rPr>
            </w:pPr>
            <w:r w:rsidDel="00000000" w:rsidR="00000000" w:rsidRPr="00000000">
              <w:rPr>
                <w:rFonts w:ascii="Arial" w:cs="Arial" w:eastAsia="Arial" w:hAnsi="Arial"/>
                <w:rtl w:val="0"/>
              </w:rPr>
              <w:t xml:space="preserve">105.7 cents</w:t>
            </w:r>
          </w:p>
        </w:tc>
        <w:tc>
          <w:tcPr/>
          <w:p w:rsidR="00000000" w:rsidDel="00000000" w:rsidP="00000000" w:rsidRDefault="00000000" w:rsidRPr="00000000" w14:paraId="00000105">
            <w:pPr>
              <w:rPr>
                <w:rFonts w:ascii="Arial" w:cs="Arial" w:eastAsia="Arial" w:hAnsi="Arial"/>
              </w:rPr>
            </w:pPr>
            <w:r w:rsidDel="00000000" w:rsidR="00000000" w:rsidRPr="00000000">
              <w:rPr>
                <w:rFonts w:ascii="Arial" w:cs="Arial" w:eastAsia="Arial" w:hAnsi="Arial"/>
                <w:rtl w:val="0"/>
              </w:rPr>
              <w:t xml:space="preserve">105.7</w:t>
            </w:r>
          </w:p>
        </w:tc>
        <w:tc>
          <w:tcPr/>
          <w:p w:rsidR="00000000" w:rsidDel="00000000" w:rsidP="00000000" w:rsidRDefault="00000000" w:rsidRPr="00000000" w14:paraId="00000106">
            <w:pPr>
              <w:rPr>
                <w:rFonts w:ascii="Arial" w:cs="Arial" w:eastAsia="Arial" w:hAnsi="Arial"/>
              </w:rPr>
            </w:pPr>
            <w:r w:rsidDel="00000000" w:rsidR="00000000" w:rsidRPr="00000000">
              <w:rPr>
                <w:rFonts w:ascii="Arial" w:cs="Arial" w:eastAsia="Arial" w:hAnsi="Arial"/>
                <w:rtl w:val="0"/>
              </w:rPr>
              <w:t xml:space="preserve">172.8 cents</w:t>
            </w:r>
          </w:p>
        </w:tc>
        <w:tc>
          <w:tcPr/>
          <w:p w:rsidR="00000000" w:rsidDel="00000000" w:rsidP="00000000" w:rsidRDefault="00000000" w:rsidRPr="00000000" w14:paraId="00000107">
            <w:pPr>
              <w:rPr>
                <w:rFonts w:ascii="Arial" w:cs="Arial" w:eastAsia="Arial" w:hAnsi="Arial"/>
              </w:rPr>
            </w:pPr>
            <w:r w:rsidDel="00000000" w:rsidR="00000000" w:rsidRPr="00000000">
              <w:rPr>
                <w:rFonts w:ascii="Arial" w:cs="Arial" w:eastAsia="Arial" w:hAnsi="Arial"/>
                <w:rtl w:val="0"/>
              </w:rPr>
              <w:t xml:space="preserve">172.8</w:t>
            </w:r>
          </w:p>
        </w:tc>
        <w:tc>
          <w:tcPr/>
          <w:p w:rsidR="00000000" w:rsidDel="00000000" w:rsidP="00000000" w:rsidRDefault="00000000" w:rsidRPr="00000000" w14:paraId="00000108">
            <w:pPr>
              <w:rPr>
                <w:rFonts w:ascii="Arial" w:cs="Arial" w:eastAsia="Arial" w:hAnsi="Arial"/>
              </w:rPr>
            </w:pPr>
            <w:r w:rsidDel="00000000" w:rsidR="00000000" w:rsidRPr="00000000">
              <w:rPr>
                <w:rFonts w:ascii="Arial" w:cs="Arial" w:eastAsia="Arial" w:hAnsi="Arial"/>
                <w:rtl w:val="0"/>
              </w:rPr>
              <w:t xml:space="preserve">−67.1</w:t>
            </w:r>
          </w:p>
        </w:tc>
      </w:tr>
      <w:tr>
        <w:trPr>
          <w:cantSplit w:val="0"/>
          <w:tblHeader w:val="0"/>
        </w:trPr>
        <w:tc>
          <w:tcPr/>
          <w:p w:rsidR="00000000" w:rsidDel="00000000" w:rsidP="00000000" w:rsidRDefault="00000000" w:rsidRPr="00000000" w14:paraId="00000109">
            <w:pPr>
              <w:rPr>
                <w:rFonts w:ascii="Arial" w:cs="Arial" w:eastAsia="Arial" w:hAnsi="Arial"/>
              </w:rPr>
            </w:pPr>
            <w:r w:rsidDel="00000000" w:rsidR="00000000" w:rsidRPr="00000000">
              <w:rPr>
                <w:rFonts w:ascii="Arial" w:cs="Arial" w:eastAsia="Arial" w:hAnsi="Arial"/>
                <w:rtl w:val="0"/>
              </w:rPr>
              <w:t xml:space="preserve">Price–Earnings Ratio (P/E)</w:t>
            </w:r>
          </w:p>
        </w:tc>
        <w:tc>
          <w:tcPr/>
          <w:p w:rsidR="00000000" w:rsidDel="00000000" w:rsidP="00000000" w:rsidRDefault="00000000" w:rsidRPr="00000000" w14:paraId="0000010A">
            <w:pPr>
              <w:rPr>
                <w:rFonts w:ascii="Arial" w:cs="Arial" w:eastAsia="Arial" w:hAnsi="Arial"/>
              </w:rPr>
            </w:pPr>
            <w:r w:rsidDel="00000000" w:rsidR="00000000" w:rsidRPr="00000000">
              <w:rPr>
                <w:rFonts w:ascii="Arial" w:cs="Arial" w:eastAsia="Arial" w:hAnsi="Arial"/>
                <w:rtl w:val="0"/>
              </w:rPr>
              <w:t xml:space="preserve">Market Price per ADR ÷ EPS per ADR</w:t>
            </w:r>
          </w:p>
        </w:tc>
        <w:tc>
          <w:tcPr/>
          <w:p w:rsidR="00000000" w:rsidDel="00000000" w:rsidP="00000000" w:rsidRDefault="00000000" w:rsidRPr="00000000" w14:paraId="0000010B">
            <w:pPr>
              <w:rPr>
                <w:rFonts w:ascii="Arial" w:cs="Arial" w:eastAsia="Arial" w:hAnsi="Arial"/>
              </w:rPr>
            </w:pPr>
            <w:r w:rsidDel="00000000" w:rsidR="00000000" w:rsidRPr="00000000">
              <w:rPr>
                <w:rFonts w:ascii="Arial" w:cs="Arial" w:eastAsia="Arial" w:hAnsi="Arial"/>
                <w:rtl w:val="0"/>
              </w:rPr>
              <w:t xml:space="preserve">100.84 ÷ (1.059×4)</w:t>
            </w:r>
          </w:p>
        </w:tc>
        <w:tc>
          <w:tcPr/>
          <w:p w:rsidR="00000000" w:rsidDel="00000000" w:rsidP="00000000" w:rsidRDefault="00000000" w:rsidRPr="00000000" w14:paraId="0000010C">
            <w:pPr>
              <w:rPr>
                <w:rFonts w:ascii="Arial" w:cs="Arial" w:eastAsia="Arial" w:hAnsi="Arial"/>
              </w:rPr>
            </w:pPr>
            <w:r w:rsidDel="00000000" w:rsidR="00000000" w:rsidRPr="00000000">
              <w:rPr>
                <w:rFonts w:ascii="Arial" w:cs="Arial" w:eastAsia="Arial" w:hAnsi="Arial"/>
                <w:rtl w:val="0"/>
              </w:rPr>
              <w:t xml:space="preserve">23.81</w:t>
            </w:r>
          </w:p>
        </w:tc>
        <w:tc>
          <w:tcPr/>
          <w:p w:rsidR="00000000" w:rsidDel="00000000" w:rsidP="00000000" w:rsidRDefault="00000000" w:rsidRPr="00000000" w14:paraId="0000010D">
            <w:pPr>
              <w:rPr>
                <w:rFonts w:ascii="Arial" w:cs="Arial" w:eastAsia="Arial" w:hAnsi="Arial"/>
              </w:rPr>
            </w:pPr>
            <w:r w:rsidDel="00000000" w:rsidR="00000000" w:rsidRPr="00000000">
              <w:rPr>
                <w:rFonts w:ascii="Arial" w:cs="Arial" w:eastAsia="Arial" w:hAnsi="Arial"/>
                <w:rtl w:val="0"/>
              </w:rPr>
              <w:t xml:space="preserve">126.08 ÷ (1.732×4)</w:t>
            </w:r>
          </w:p>
        </w:tc>
        <w:tc>
          <w:tcPr/>
          <w:p w:rsidR="00000000" w:rsidDel="00000000" w:rsidP="00000000" w:rsidRDefault="00000000" w:rsidRPr="00000000" w14:paraId="0000010E">
            <w:pPr>
              <w:rPr>
                <w:rFonts w:ascii="Arial" w:cs="Arial" w:eastAsia="Arial" w:hAnsi="Arial"/>
              </w:rPr>
            </w:pPr>
            <w:r w:rsidDel="00000000" w:rsidR="00000000" w:rsidRPr="00000000">
              <w:rPr>
                <w:rFonts w:ascii="Arial" w:cs="Arial" w:eastAsia="Arial" w:hAnsi="Arial"/>
                <w:rtl w:val="0"/>
              </w:rPr>
              <w:t xml:space="preserve">18.20</w:t>
            </w:r>
          </w:p>
        </w:tc>
        <w:tc>
          <w:tcPr/>
          <w:p w:rsidR="00000000" w:rsidDel="00000000" w:rsidP="00000000" w:rsidRDefault="00000000" w:rsidRPr="00000000" w14:paraId="0000010F">
            <w:pPr>
              <w:rPr>
                <w:rFonts w:ascii="Arial" w:cs="Arial" w:eastAsia="Arial" w:hAnsi="Arial"/>
              </w:rPr>
            </w:pPr>
            <w:r w:rsidDel="00000000" w:rsidR="00000000" w:rsidRPr="00000000">
              <w:rPr>
                <w:rFonts w:ascii="Arial" w:cs="Arial" w:eastAsia="Arial" w:hAnsi="Arial"/>
                <w:rtl w:val="0"/>
              </w:rPr>
              <w:t xml:space="preserve">+5.61</w:t>
            </w:r>
          </w:p>
        </w:tc>
      </w:tr>
      <w:tr>
        <w:trPr>
          <w:cantSplit w:val="0"/>
          <w:tblHeader w:val="0"/>
        </w:trPr>
        <w:tc>
          <w:tcPr/>
          <w:p w:rsidR="00000000" w:rsidDel="00000000" w:rsidP="00000000" w:rsidRDefault="00000000" w:rsidRPr="00000000" w14:paraId="00000110">
            <w:pPr>
              <w:rPr>
                <w:rFonts w:ascii="Arial" w:cs="Arial" w:eastAsia="Arial" w:hAnsi="Arial"/>
              </w:rPr>
            </w:pPr>
            <w:r w:rsidDel="00000000" w:rsidR="00000000" w:rsidRPr="00000000">
              <w:rPr>
                <w:rFonts w:ascii="Arial" w:cs="Arial" w:eastAsia="Arial" w:hAnsi="Arial"/>
                <w:rtl w:val="0"/>
              </w:rPr>
              <w:t xml:space="preserve">Dividend Yield</w:t>
            </w:r>
          </w:p>
        </w:tc>
        <w:tc>
          <w:tcPr/>
          <w:p w:rsidR="00000000" w:rsidDel="00000000" w:rsidP="00000000" w:rsidRDefault="00000000" w:rsidRPr="00000000" w14:paraId="00000111">
            <w:pPr>
              <w:rPr>
                <w:rFonts w:ascii="Arial" w:cs="Arial" w:eastAsia="Arial" w:hAnsi="Arial"/>
              </w:rPr>
            </w:pPr>
            <w:r w:rsidDel="00000000" w:rsidR="00000000" w:rsidRPr="00000000">
              <w:rPr>
                <w:rFonts w:ascii="Arial" w:cs="Arial" w:eastAsia="Arial" w:hAnsi="Arial"/>
                <w:rtl w:val="0"/>
              </w:rPr>
              <w:t xml:space="preserve">Dividend per ADR ÷ Market Price per ADR</w:t>
            </w:r>
          </w:p>
        </w:tc>
        <w:tc>
          <w:tcPr/>
          <w:p w:rsidR="00000000" w:rsidDel="00000000" w:rsidP="00000000" w:rsidRDefault="00000000" w:rsidRPr="00000000" w14:paraId="00000112">
            <w:pPr>
              <w:rPr>
                <w:rFonts w:ascii="Arial" w:cs="Arial" w:eastAsia="Arial" w:hAnsi="Arial"/>
              </w:rPr>
            </w:pPr>
            <w:r w:rsidDel="00000000" w:rsidR="00000000" w:rsidRPr="00000000">
              <w:rPr>
                <w:rFonts w:ascii="Arial" w:cs="Arial" w:eastAsia="Arial" w:hAnsi="Arial"/>
                <w:rtl w:val="0"/>
              </w:rPr>
              <w:t xml:space="preserve">4.14 ÷ 100.84</w:t>
            </w:r>
          </w:p>
        </w:tc>
        <w:tc>
          <w:tcPr/>
          <w:p w:rsidR="00000000" w:rsidDel="00000000" w:rsidP="00000000" w:rsidRDefault="00000000" w:rsidRPr="00000000" w14:paraId="00000113">
            <w:pPr>
              <w:rPr>
                <w:rFonts w:ascii="Arial" w:cs="Arial" w:eastAsia="Arial" w:hAnsi="Arial"/>
              </w:rPr>
            </w:pPr>
            <w:r w:rsidDel="00000000" w:rsidR="00000000" w:rsidRPr="00000000">
              <w:rPr>
                <w:rFonts w:ascii="Arial" w:cs="Arial" w:eastAsia="Arial" w:hAnsi="Arial"/>
                <w:rtl w:val="0"/>
              </w:rPr>
              <w:t xml:space="preserve">0.04</w:t>
            </w:r>
          </w:p>
        </w:tc>
        <w:tc>
          <w:tcPr/>
          <w:p w:rsidR="00000000" w:rsidDel="00000000" w:rsidP="00000000" w:rsidRDefault="00000000" w:rsidRPr="00000000" w14:paraId="00000114">
            <w:pPr>
              <w:rPr>
                <w:rFonts w:ascii="Arial" w:cs="Arial" w:eastAsia="Arial" w:hAnsi="Arial"/>
              </w:rPr>
            </w:pPr>
            <w:r w:rsidDel="00000000" w:rsidR="00000000" w:rsidRPr="00000000">
              <w:rPr>
                <w:rFonts w:ascii="Arial" w:cs="Arial" w:eastAsia="Arial" w:hAnsi="Arial"/>
                <w:rtl w:val="0"/>
              </w:rPr>
              <w:t xml:space="preserve">4.14 ÷ 126.08</w:t>
            </w:r>
          </w:p>
        </w:tc>
        <w:tc>
          <w:tcPr/>
          <w:p w:rsidR="00000000" w:rsidDel="00000000" w:rsidP="00000000" w:rsidRDefault="00000000" w:rsidRPr="00000000" w14:paraId="00000115">
            <w:pPr>
              <w:rPr>
                <w:rFonts w:ascii="Arial" w:cs="Arial" w:eastAsia="Arial" w:hAnsi="Arial"/>
              </w:rPr>
            </w:pPr>
            <w:r w:rsidDel="00000000" w:rsidR="00000000" w:rsidRPr="00000000">
              <w:rPr>
                <w:rFonts w:ascii="Arial" w:cs="Arial" w:eastAsia="Arial" w:hAnsi="Arial"/>
                <w:rtl w:val="0"/>
              </w:rPr>
              <w:t xml:space="preserve">0.03</w:t>
            </w:r>
          </w:p>
        </w:tc>
        <w:tc>
          <w:tcPr/>
          <w:p w:rsidR="00000000" w:rsidDel="00000000" w:rsidP="00000000" w:rsidRDefault="00000000" w:rsidRPr="00000000" w14:paraId="00000116">
            <w:pPr>
              <w:rPr>
                <w:rFonts w:ascii="Arial" w:cs="Arial" w:eastAsia="Arial" w:hAnsi="Arial"/>
              </w:rPr>
            </w:pPr>
            <w:r w:rsidDel="00000000" w:rsidR="00000000" w:rsidRPr="00000000">
              <w:rPr>
                <w:rFonts w:ascii="Arial" w:cs="Arial" w:eastAsia="Arial" w:hAnsi="Arial"/>
                <w:rtl w:val="0"/>
              </w:rPr>
              <w:t xml:space="preserve">+0.01</w:t>
            </w:r>
          </w:p>
        </w:tc>
      </w:tr>
    </w:tbl>
    <w:p w:rsidR="00000000" w:rsidDel="00000000" w:rsidP="00000000" w:rsidRDefault="00000000" w:rsidRPr="00000000" w14:paraId="00000117">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18">
      <w:pPr>
        <w:keepNext w:val="1"/>
        <w:jc w:val="center"/>
        <w:rPr>
          <w:rFonts w:ascii="Arial" w:cs="Arial" w:eastAsia="Arial" w:hAnsi="Arial"/>
        </w:rPr>
      </w:pPr>
      <w:r w:rsidDel="00000000" w:rsidR="00000000" w:rsidRPr="00000000">
        <w:rPr>
          <w:rFonts w:ascii="Arial" w:cs="Arial" w:eastAsia="Arial" w:hAnsi="Arial"/>
        </w:rPr>
        <w:drawing>
          <wp:inline distB="0" distT="0" distL="0" distR="0">
            <wp:extent cx="4572000" cy="2935942"/>
            <wp:effectExtent b="17145" l="0" r="0" t="0"/>
            <wp:docPr id="4" name=""/>
            <a:graphic>
              <a:graphicData uri="http://schemas.openxmlformats.org/drawingml/2006/chart">
                <c:chart r:id="rId12"/>
              </a:graphicData>
            </a:graphic>
          </wp:inline>
        </w:drawing>
      </w:r>
      <w:r w:rsidDel="00000000" w:rsidR="00000000" w:rsidRPr="00000000">
        <w:rPr>
          <w:rtl w:val="0"/>
        </w:rPr>
      </w:r>
    </w:p>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1"/>
          <w:bCs w:val="1"/>
          <w:i w:val="1"/>
          <w:iCs w:val="1"/>
          <w:smallCaps w:val="0"/>
          <w:strike w:val="0"/>
          <w:color w:val="44546a"/>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6: Investment Ratios</w:t>
      </w:r>
      <w:r w:rsidDel="00000000" w:rsidR="00000000" w:rsidRPr="00000000">
        <w:rPr>
          <w:rtl w:val="0"/>
        </w:rPr>
      </w:r>
    </w:p>
    <w:p w:rsidR="00000000" w:rsidDel="00000000" w:rsidP="00000000" w:rsidRDefault="00000000" w:rsidRPr="00000000" w14:paraId="0000011A">
      <w:pPr>
        <w:rPr>
          <w:rFonts w:ascii="Arial" w:cs="Arial" w:eastAsia="Arial" w:hAnsi="Arial"/>
        </w:rPr>
      </w:pPr>
      <w:r w:rsidDel="00000000" w:rsidR="00000000" w:rsidRPr="00000000">
        <w:rPr>
          <w:rFonts w:ascii="Arial" w:cs="Arial" w:eastAsia="Arial" w:hAnsi="Arial"/>
          <w:rtl w:val="0"/>
        </w:rPr>
        <w:t xml:space="preserve">Conversely, the price-to-earnings ratio rose by 18.20 to 23.81, which means that the market considered Diageo to be more valuable in comparison to the earnings it was making in 2025. This growth could be indicative of investor confidence in the long-term outlook of the firm, good brand portfolio, or future recovery of the company, even though there is weak performance in the short term earnings. An increase in P/E ratio and a decrease in EPS can also represent the fact that the share price has not decreased in proportion to the earnings (Fernando, 2016). The dividend yield rose slightly to 4% against 3%, mainly because of the decrease in the market value per ADR, and not because of the growth of the dividend per share, which was the same. This indicates that Diageo had the need to focus on dividend stability over falling earnings, which might serve the purpose of supporting investor confidence but may strain the sustainability of future dividend payments in the event that the profitability fails to pick up.</w:t>
      </w:r>
    </w:p>
    <w:p w:rsidR="00000000" w:rsidDel="00000000" w:rsidP="00000000" w:rsidRDefault="00000000" w:rsidRPr="00000000" w14:paraId="0000011B">
      <w:pPr>
        <w:pStyle w:val="Heading2"/>
        <w:rPr>
          <w:rFonts w:ascii="Arial" w:cs="Arial" w:eastAsia="Arial" w:hAnsi="Arial"/>
        </w:rPr>
      </w:pPr>
      <w:bookmarkStart w:colFirst="0" w:colLast="0" w:name="_66pvq3xaypzi" w:id="4"/>
      <w:bookmarkEnd w:id="4"/>
      <w:r w:rsidDel="00000000" w:rsidR="00000000" w:rsidRPr="00000000">
        <w:rPr>
          <w:rFonts w:ascii="Arial" w:cs="Arial" w:eastAsia="Arial" w:hAnsi="Arial"/>
          <w:rtl w:val="0"/>
        </w:rPr>
        <w:t xml:space="preserve">3. Limitations of Ratio Analysis </w:t>
      </w:r>
    </w:p>
    <w:p w:rsidR="00000000" w:rsidDel="00000000" w:rsidP="00000000" w:rsidRDefault="00000000" w:rsidRPr="00000000" w14:paraId="0000011C">
      <w:pPr>
        <w:rPr>
          <w:rFonts w:ascii="Arial" w:cs="Arial" w:eastAsia="Arial" w:hAnsi="Arial"/>
        </w:rPr>
      </w:pPr>
      <w:r w:rsidDel="00000000" w:rsidR="00000000" w:rsidRPr="00000000">
        <w:rPr>
          <w:rFonts w:ascii="Arial" w:cs="Arial" w:eastAsia="Arial" w:hAnsi="Arial"/>
          <w:rtl w:val="0"/>
        </w:rPr>
        <w:t xml:space="preserve">The ratio analysis has a number of limitations that can diminish the accuracy of findings based on ratio analysis. Ratios are founded on past-based financial information, hence they could not be a true representation of present or future performance. The accounting policies and accounting estimates also influence them, and may vary across companies or vary over time, restricting comparability (Lugovskу and Kuter, 2019). Besides that, ratios fail to reflect on qualitative elements like quality of management, strength of the brand or market dynamics that can have a big impact on performance. Ratio results may also be distorted by inflation and currency fluctuations. Ratio analysis must therefore be applied as a complement to other non-financial and financial data.</w:t>
      </w:r>
    </w:p>
    <w:p w:rsidR="00000000" w:rsidDel="00000000" w:rsidP="00000000" w:rsidRDefault="00000000" w:rsidRPr="00000000" w14:paraId="0000011D">
      <w:pPr>
        <w:pStyle w:val="Heading2"/>
        <w:rPr>
          <w:rFonts w:ascii="Arial" w:cs="Arial" w:eastAsia="Arial" w:hAnsi="Arial"/>
        </w:rPr>
      </w:pPr>
      <w:bookmarkStart w:colFirst="0" w:colLast="0" w:name="_i199ly9iymk4" w:id="5"/>
      <w:bookmarkEnd w:id="5"/>
      <w:r w:rsidDel="00000000" w:rsidR="00000000" w:rsidRPr="00000000">
        <w:rPr>
          <w:rFonts w:ascii="Arial" w:cs="Arial" w:eastAsia="Arial" w:hAnsi="Arial"/>
          <w:rtl w:val="0"/>
        </w:rPr>
        <w:t xml:space="preserve">4. Recommendations for Improving Financial Management</w:t>
      </w:r>
    </w:p>
    <w:p w:rsidR="00000000" w:rsidDel="00000000" w:rsidP="00000000" w:rsidRDefault="00000000" w:rsidRPr="00000000" w14:paraId="0000011E">
      <w:pPr>
        <w:rPr>
          <w:rFonts w:ascii="Arial" w:cs="Arial" w:eastAsia="Arial" w:hAnsi="Arial"/>
        </w:rPr>
      </w:pPr>
      <w:r w:rsidDel="00000000" w:rsidR="00000000" w:rsidRPr="00000000">
        <w:rPr>
          <w:rFonts w:ascii="Arial" w:cs="Arial" w:eastAsia="Arial" w:hAnsi="Arial"/>
          <w:rtl w:val="0"/>
        </w:rPr>
        <w:t xml:space="preserve">According to the financial analysis, there are various recommendations that can be given to enhance the financial management at Diageo. To begin with, the company ought to consider boosting operating efficiency as a solution to deal with the fallen profitability. This can be achieved through stricter management of operating costs, especially marketing, administrative and distribution costs, to make sure that the cost increase is not higher than the revenue. Enhancing the cost discipline would assist in reviving the operating and net profit margins (Sinaga and Hermawan, 2023). Secondly, inventory control ought to be enhanced since the number of days spent on holding inventory is showing inefficiencies (Muhammad Barwa, 2015). Diageo may embrace better demand forecasting, better production planning, and minimise stocks to release working capital and create lower storage costs. Simultaneously, it will be necessary to keep the receivable management efficient to ensure a stable cash flow. Thirdly, the company ought to make good use of its capital structure. Even though the levels of gearing are stable, the interest coverage is decreasing, which indicates high financial risk. Diageo can look at the option to reduce the debt dependence by deleveraging over time or refinancing current debts using better interest rates, where applicable. Lastly, dividend stability helps in keeping investors confident, although the dividend policy in the future needs to be pegged with earnings performance to make it sustainable (Baker and Weigand, 2015). In general, better cost efficiency, management of working capital and wise decisions on financing will enhance the financial performance and financial health of Diageo in the long run.</w:t>
      </w:r>
    </w:p>
    <w:p w:rsidR="00000000" w:rsidDel="00000000" w:rsidP="00000000" w:rsidRDefault="00000000" w:rsidRPr="00000000" w14:paraId="0000011F">
      <w:pPr>
        <w:spacing w:line="259" w:lineRule="auto"/>
        <w:jc w:val="left"/>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120">
      <w:pPr>
        <w:pStyle w:val="Heading1"/>
        <w:rPr>
          <w:rFonts w:ascii="Arial" w:cs="Arial" w:eastAsia="Arial" w:hAnsi="Arial"/>
        </w:rPr>
      </w:pPr>
      <w:bookmarkStart w:colFirst="0" w:colLast="0" w:name="_e0nrsa7c483i" w:id="6"/>
      <w:bookmarkEnd w:id="6"/>
      <w:r w:rsidDel="00000000" w:rsidR="00000000" w:rsidRPr="00000000">
        <w:rPr>
          <w:rFonts w:ascii="Arial" w:cs="Arial" w:eastAsia="Arial" w:hAnsi="Arial"/>
          <w:rtl w:val="0"/>
        </w:rPr>
        <w:t xml:space="preserve">Part 02</w:t>
      </w:r>
    </w:p>
    <w:p w:rsidR="00000000" w:rsidDel="00000000" w:rsidP="00000000" w:rsidRDefault="00000000" w:rsidRPr="00000000" w14:paraId="00000121">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Business Report to the Directors of Westward plc</w:t>
      </w:r>
    </w:p>
    <w:p w:rsidR="00000000" w:rsidDel="00000000" w:rsidP="00000000" w:rsidRDefault="00000000" w:rsidRPr="00000000" w14:paraId="00000122">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Investment Appraisal for a Four-Year Strategic Plan</w:t>
      </w:r>
    </w:p>
    <w:p w:rsidR="00000000" w:rsidDel="00000000" w:rsidP="00000000" w:rsidRDefault="00000000" w:rsidRPr="00000000" w14:paraId="00000123">
      <w:pPr>
        <w:pStyle w:val="Heading1"/>
        <w:numPr>
          <w:ilvl w:val="0"/>
          <w:numId w:val="6"/>
        </w:numPr>
        <w:ind w:left="720" w:hanging="360"/>
        <w:rPr>
          <w:rFonts w:ascii="Arial" w:cs="Arial" w:eastAsia="Arial" w:hAnsi="Arial"/>
        </w:rPr>
      </w:pPr>
      <w:bookmarkStart w:colFirst="0" w:colLast="0" w:name="_brq4vgy98kuj" w:id="7"/>
      <w:bookmarkEnd w:id="7"/>
      <w:r w:rsidDel="00000000" w:rsidR="00000000" w:rsidRPr="00000000">
        <w:rPr>
          <w:rFonts w:ascii="Arial" w:cs="Arial" w:eastAsia="Arial" w:hAnsi="Arial"/>
          <w:rtl w:val="0"/>
        </w:rPr>
        <w:t xml:space="preserve">Introduction </w:t>
      </w:r>
    </w:p>
    <w:p w:rsidR="00000000" w:rsidDel="00000000" w:rsidP="00000000" w:rsidRDefault="00000000" w:rsidRPr="00000000" w14:paraId="00000124">
      <w:pPr>
        <w:rPr>
          <w:rFonts w:ascii="Arial" w:cs="Arial" w:eastAsia="Arial" w:hAnsi="Arial"/>
        </w:rPr>
      </w:pPr>
      <w:r w:rsidDel="00000000" w:rsidR="00000000" w:rsidRPr="00000000">
        <w:rPr>
          <w:rFonts w:ascii="Arial" w:cs="Arial" w:eastAsia="Arial" w:hAnsi="Arial"/>
          <w:rtl w:val="0"/>
        </w:rPr>
        <w:t xml:space="preserve">Westward plc is a manufacturer of various quality curtains, and it is discussing the possibility of investing in the expansion of its business. The directors have come up with 3 mutually exclusive investment choices as a four-year strategic plan. These alternatives include a growth in the retail store, introducing online stores, or production diversification to include wooden and Roman blinds. Both alternatives will be pre-invested in the form of a huge capital outlay and are likely to yield cash flows in a period of four years. This report is aimed at testing the financial feasibility of the three available investments and at advising the directors on whether the company should take up any of the projects or seek other opportunities. The report uses discounted cash flow methods, especially the Net Present Value (NPV), a cost of capital of 6%, a discounted cash flow, as well as an estimate of the Internal Rate of Return (IRR) of the preferred choice (Fernando, 2022b). The report also explains the theoretical foundation of the investment appraisal techniques, justification of the further use of non-discounting techniques, and rationing of capital, and concludes with recommendations on the financing of a project.</w:t>
      </w:r>
    </w:p>
    <w:p w:rsidR="00000000" w:rsidDel="00000000" w:rsidP="00000000" w:rsidRDefault="00000000" w:rsidRPr="00000000" w14:paraId="00000125">
      <w:pPr>
        <w:pStyle w:val="Heading2"/>
        <w:rPr>
          <w:rFonts w:ascii="Arial" w:cs="Arial" w:eastAsia="Arial" w:hAnsi="Arial"/>
        </w:rPr>
      </w:pPr>
      <w:bookmarkStart w:colFirst="0" w:colLast="0" w:name="_jf6gq6g3p78g" w:id="8"/>
      <w:bookmarkEnd w:id="8"/>
      <w:r w:rsidDel="00000000" w:rsidR="00000000" w:rsidRPr="00000000">
        <w:rPr>
          <w:rFonts w:ascii="Arial" w:cs="Arial" w:eastAsia="Arial" w:hAnsi="Arial"/>
          <w:rtl w:val="0"/>
        </w:rPr>
        <w:t xml:space="preserve">2. Overview of Investment Options</w:t>
      </w:r>
    </w:p>
    <w:p w:rsidR="00000000" w:rsidDel="00000000" w:rsidP="00000000" w:rsidRDefault="00000000" w:rsidRPr="00000000" w14:paraId="00000126">
      <w:pPr>
        <w:rPr>
          <w:rFonts w:ascii="Arial" w:cs="Arial" w:eastAsia="Arial" w:hAnsi="Arial"/>
        </w:rPr>
      </w:pPr>
      <w:r w:rsidDel="00000000" w:rsidR="00000000" w:rsidRPr="00000000">
        <w:rPr>
          <w:rFonts w:ascii="Arial" w:cs="Arial" w:eastAsia="Arial" w:hAnsi="Arial"/>
          <w:rtl w:val="0"/>
        </w:rPr>
        <w:t xml:space="preserve">The three investment options under consideration are summarised below:</w:t>
      </w:r>
    </w:p>
    <w:p w:rsidR="00000000" w:rsidDel="00000000" w:rsidP="00000000" w:rsidRDefault="00000000" w:rsidRPr="00000000" w14:paraId="00000127">
      <w:pPr>
        <w:numPr>
          <w:ilvl w:val="0"/>
          <w:numId w:val="7"/>
        </w:numPr>
        <w:ind w:left="720" w:hanging="360"/>
        <w:rPr/>
      </w:pPr>
      <w:r w:rsidDel="00000000" w:rsidR="00000000" w:rsidRPr="00000000">
        <w:rPr>
          <w:rFonts w:ascii="Arial" w:cs="Arial" w:eastAsia="Arial" w:hAnsi="Arial"/>
          <w:b w:val="1"/>
          <w:bCs w:val="1"/>
          <w:rtl w:val="0"/>
        </w:rPr>
        <w:t xml:space="preserve">Option A:</w:t>
      </w:r>
      <w:r w:rsidDel="00000000" w:rsidR="00000000" w:rsidRPr="00000000">
        <w:rPr>
          <w:rFonts w:ascii="Arial" w:cs="Arial" w:eastAsia="Arial" w:hAnsi="Arial"/>
          <w:rtl w:val="0"/>
        </w:rPr>
        <w:t xml:space="preserve"> Expansion of the existing retail outlet to include all products, requiring an initial investment of £600,000.</w:t>
      </w:r>
    </w:p>
    <w:p w:rsidR="00000000" w:rsidDel="00000000" w:rsidP="00000000" w:rsidRDefault="00000000" w:rsidRPr="00000000" w14:paraId="00000128">
      <w:pPr>
        <w:numPr>
          <w:ilvl w:val="0"/>
          <w:numId w:val="7"/>
        </w:numPr>
        <w:ind w:left="720" w:hanging="360"/>
        <w:rPr/>
      </w:pPr>
      <w:r w:rsidDel="00000000" w:rsidR="00000000" w:rsidRPr="00000000">
        <w:rPr>
          <w:rFonts w:ascii="Arial" w:cs="Arial" w:eastAsia="Arial" w:hAnsi="Arial"/>
          <w:b w:val="1"/>
          <w:bCs w:val="1"/>
          <w:rtl w:val="0"/>
        </w:rPr>
        <w:t xml:space="preserve">Option B:</w:t>
      </w:r>
      <w:r w:rsidDel="00000000" w:rsidR="00000000" w:rsidRPr="00000000">
        <w:rPr>
          <w:rFonts w:ascii="Arial" w:cs="Arial" w:eastAsia="Arial" w:hAnsi="Arial"/>
          <w:rtl w:val="0"/>
        </w:rPr>
        <w:t xml:space="preserve"> Development of internet sales channels, requiring an initial investment of £1,000,000.</w:t>
      </w:r>
    </w:p>
    <w:p w:rsidR="00000000" w:rsidDel="00000000" w:rsidP="00000000" w:rsidRDefault="00000000" w:rsidRPr="00000000" w14:paraId="00000129">
      <w:pPr>
        <w:numPr>
          <w:ilvl w:val="0"/>
          <w:numId w:val="7"/>
        </w:numPr>
        <w:ind w:left="720" w:hanging="360"/>
        <w:rPr/>
      </w:pPr>
      <w:r w:rsidDel="00000000" w:rsidR="00000000" w:rsidRPr="00000000">
        <w:rPr>
          <w:rFonts w:ascii="Arial" w:cs="Arial" w:eastAsia="Arial" w:hAnsi="Arial"/>
          <w:b w:val="1"/>
          <w:bCs w:val="1"/>
          <w:rtl w:val="0"/>
        </w:rPr>
        <w:t xml:space="preserve">Option C:</w:t>
      </w:r>
      <w:r w:rsidDel="00000000" w:rsidR="00000000" w:rsidRPr="00000000">
        <w:rPr>
          <w:rFonts w:ascii="Arial" w:cs="Arial" w:eastAsia="Arial" w:hAnsi="Arial"/>
          <w:rtl w:val="0"/>
        </w:rPr>
        <w:t xml:space="preserve"> Production of wooden blinds and Roman blinds, requiring an initial investment of £1,600,000</w:t>
      </w:r>
    </w:p>
    <w:p w:rsidR="00000000" w:rsidDel="00000000" w:rsidP="00000000" w:rsidRDefault="00000000" w:rsidRPr="00000000" w14:paraId="0000012A">
      <w:pPr>
        <w:rPr>
          <w:rFonts w:ascii="Arial" w:cs="Arial" w:eastAsia="Arial" w:hAnsi="Arial"/>
        </w:rPr>
      </w:pPr>
      <w:r w:rsidDel="00000000" w:rsidR="00000000" w:rsidRPr="00000000">
        <w:rPr>
          <w:rtl w:val="0"/>
        </w:rPr>
      </w:r>
    </w:p>
    <w:p w:rsidR="00000000" w:rsidDel="00000000" w:rsidP="00000000" w:rsidRDefault="00000000" w:rsidRPr="00000000" w14:paraId="0000012B">
      <w:pPr>
        <w:rPr>
          <w:rFonts w:ascii="Arial" w:cs="Arial" w:eastAsia="Arial" w:hAnsi="Arial"/>
        </w:rPr>
      </w:pPr>
      <w:r w:rsidDel="00000000" w:rsidR="00000000" w:rsidRPr="00000000">
        <w:rPr>
          <w:rtl w:val="0"/>
        </w:rPr>
      </w:r>
    </w:p>
    <w:p w:rsidR="00000000" w:rsidDel="00000000" w:rsidP="00000000" w:rsidRDefault="00000000" w:rsidRPr="00000000" w14:paraId="0000012C">
      <w:pPr>
        <w:pStyle w:val="Heading2"/>
        <w:rPr>
          <w:rFonts w:ascii="Arial" w:cs="Arial" w:eastAsia="Arial" w:hAnsi="Arial"/>
        </w:rPr>
      </w:pPr>
      <w:bookmarkStart w:colFirst="0" w:colLast="0" w:name="_7i2ekpfneoj1" w:id="9"/>
      <w:bookmarkEnd w:id="9"/>
      <w:r w:rsidDel="00000000" w:rsidR="00000000" w:rsidRPr="00000000">
        <w:rPr>
          <w:rFonts w:ascii="Arial" w:cs="Arial" w:eastAsia="Arial" w:hAnsi="Arial"/>
          <w:rtl w:val="0"/>
        </w:rPr>
        <w:t xml:space="preserve">3. Net Present Value (NPV) Analysis</w:t>
      </w:r>
    </w:p>
    <w:p w:rsidR="00000000" w:rsidDel="00000000" w:rsidP="00000000" w:rsidRDefault="00000000" w:rsidRPr="00000000" w14:paraId="0000012D">
      <w:pPr>
        <w:pStyle w:val="Heading3"/>
        <w:rPr>
          <w:rFonts w:ascii="Arial" w:cs="Arial" w:eastAsia="Arial" w:hAnsi="Arial"/>
        </w:rPr>
      </w:pPr>
      <w:bookmarkStart w:colFirst="0" w:colLast="0" w:name="_8k52s077l2cp" w:id="10"/>
      <w:bookmarkEnd w:id="10"/>
      <w:r w:rsidDel="00000000" w:rsidR="00000000" w:rsidRPr="00000000">
        <w:rPr>
          <w:rFonts w:ascii="Arial" w:cs="Arial" w:eastAsia="Arial" w:hAnsi="Arial"/>
          <w:rtl w:val="0"/>
        </w:rPr>
        <w:t xml:space="preserve">3.1 Methodology</w:t>
      </w:r>
    </w:p>
    <w:p w:rsidR="00000000" w:rsidDel="00000000" w:rsidP="00000000" w:rsidRDefault="00000000" w:rsidRPr="00000000" w14:paraId="0000012E">
      <w:pPr>
        <w:rPr>
          <w:rFonts w:ascii="Arial" w:cs="Arial" w:eastAsia="Arial" w:hAnsi="Arial"/>
        </w:rPr>
      </w:pPr>
      <w:r w:rsidDel="00000000" w:rsidR="00000000" w:rsidRPr="00000000">
        <w:rPr>
          <w:rFonts w:ascii="Arial" w:cs="Arial" w:eastAsia="Arial" w:hAnsi="Arial"/>
          <w:rtl w:val="0"/>
        </w:rPr>
        <w:t xml:space="preserve">The Net Present Value (NPV) is a calculation of the discounted present value of future cash flows at the cost of capital to the company, less the initial investment (Corporate Finance Institute, 2025). When NPV is positive, then the project is likely to raise the shareholder wealth and ought to be accepted, whereas when it is negative, then the project ought to be rejected. </w:t>
      </w:r>
    </w:p>
    <w:p w:rsidR="00000000" w:rsidDel="00000000" w:rsidP="00000000" w:rsidRDefault="00000000" w:rsidRPr="00000000" w14:paraId="0000012F">
      <w:pPr>
        <w:rPr>
          <w:rFonts w:ascii="Arial" w:cs="Arial" w:eastAsia="Arial" w:hAnsi="Arial"/>
        </w:rPr>
      </w:pPr>
      <w:r w:rsidDel="00000000" w:rsidR="00000000" w:rsidRPr="00000000">
        <w:rPr>
          <w:rFonts w:ascii="Arial" w:cs="Arial" w:eastAsia="Arial" w:hAnsi="Arial"/>
          <w:b w:val="1"/>
          <w:bCs w:val="1"/>
          <w:rtl w:val="0"/>
        </w:rPr>
        <w:t xml:space="preserve">Assumptions </w:t>
      </w:r>
      <w:r w:rsidDel="00000000" w:rsidR="00000000" w:rsidRPr="00000000">
        <w:rPr>
          <w:rtl w:val="0"/>
        </w:rPr>
      </w:r>
    </w:p>
    <w:p w:rsidR="00000000" w:rsidDel="00000000" w:rsidP="00000000" w:rsidRDefault="00000000" w:rsidRPr="00000000" w14:paraId="00000130">
      <w:pPr>
        <w:numPr>
          <w:ilvl w:val="0"/>
          <w:numId w:val="8"/>
        </w:numPr>
        <w:ind w:left="720" w:hanging="360"/>
        <w:rPr/>
      </w:pPr>
      <w:r w:rsidDel="00000000" w:rsidR="00000000" w:rsidRPr="00000000">
        <w:rPr>
          <w:rFonts w:ascii="Arial" w:cs="Arial" w:eastAsia="Arial" w:hAnsi="Arial"/>
          <w:rtl w:val="0"/>
        </w:rPr>
        <w:t xml:space="preserve">Corporation tax rate: 25%</w:t>
      </w:r>
    </w:p>
    <w:p w:rsidR="00000000" w:rsidDel="00000000" w:rsidP="00000000" w:rsidRDefault="00000000" w:rsidRPr="00000000" w14:paraId="00000131">
      <w:pPr>
        <w:numPr>
          <w:ilvl w:val="0"/>
          <w:numId w:val="8"/>
        </w:numPr>
        <w:ind w:left="720" w:hanging="360"/>
        <w:rPr/>
      </w:pPr>
      <w:r w:rsidDel="00000000" w:rsidR="00000000" w:rsidRPr="00000000">
        <w:rPr>
          <w:rFonts w:ascii="Arial" w:cs="Arial" w:eastAsia="Arial" w:hAnsi="Arial"/>
          <w:rtl w:val="0"/>
        </w:rPr>
        <w:t xml:space="preserve">Capital allowances: 20% straight line</w:t>
      </w:r>
    </w:p>
    <w:p w:rsidR="00000000" w:rsidDel="00000000" w:rsidP="00000000" w:rsidRDefault="00000000" w:rsidRPr="00000000" w14:paraId="00000132">
      <w:pPr>
        <w:numPr>
          <w:ilvl w:val="0"/>
          <w:numId w:val="8"/>
        </w:numPr>
        <w:ind w:left="720" w:hanging="360"/>
        <w:rPr/>
      </w:pPr>
      <w:r w:rsidDel="00000000" w:rsidR="00000000" w:rsidRPr="00000000">
        <w:rPr>
          <w:rFonts w:ascii="Arial" w:cs="Arial" w:eastAsia="Arial" w:hAnsi="Arial"/>
          <w:rtl w:val="0"/>
        </w:rPr>
        <w:t xml:space="preserve">Discount rate (cost of capital): 6%</w:t>
      </w:r>
    </w:p>
    <w:p w:rsidR="00000000" w:rsidDel="00000000" w:rsidP="00000000" w:rsidRDefault="00000000" w:rsidRPr="00000000" w14:paraId="00000133">
      <w:pPr>
        <w:numPr>
          <w:ilvl w:val="0"/>
          <w:numId w:val="8"/>
        </w:numPr>
        <w:ind w:left="720" w:hanging="360"/>
        <w:rPr/>
      </w:pPr>
      <w:r w:rsidDel="00000000" w:rsidR="00000000" w:rsidRPr="00000000">
        <w:rPr>
          <w:rFonts w:ascii="Arial" w:cs="Arial" w:eastAsia="Arial" w:hAnsi="Arial"/>
          <w:rtl w:val="0"/>
        </w:rPr>
        <w:t xml:space="preserve">All cash flows occur at year-end</w:t>
      </w:r>
    </w:p>
    <w:p w:rsidR="00000000" w:rsidDel="00000000" w:rsidP="00000000" w:rsidRDefault="00000000" w:rsidRPr="00000000" w14:paraId="00000134">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Capital Allowances (per year)</w:t>
      </w:r>
    </w:p>
    <w:tbl>
      <w:tblPr>
        <w:tblStyle w:val="Table7"/>
        <w:tblW w:w="6653.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24"/>
        <w:gridCol w:w="2097"/>
        <w:gridCol w:w="3632"/>
        <w:tblGridChange w:id="0">
          <w:tblGrid>
            <w:gridCol w:w="924"/>
            <w:gridCol w:w="2097"/>
            <w:gridCol w:w="3632"/>
          </w:tblGrid>
        </w:tblGridChange>
      </w:tblGrid>
      <w:tr>
        <w:trPr>
          <w:cantSplit w:val="0"/>
          <w:tblHeader w:val="0"/>
        </w:trPr>
        <w:tc>
          <w:tcPr/>
          <w:p w:rsidR="00000000" w:rsidDel="00000000" w:rsidP="00000000" w:rsidRDefault="00000000" w:rsidRPr="00000000" w14:paraId="00000135">
            <w:pPr>
              <w:rPr>
                <w:rFonts w:ascii="Arial" w:cs="Arial" w:eastAsia="Arial" w:hAnsi="Arial"/>
              </w:rPr>
            </w:pPr>
            <w:r w:rsidDel="00000000" w:rsidR="00000000" w:rsidRPr="00000000">
              <w:rPr>
                <w:rFonts w:ascii="Arial" w:cs="Arial" w:eastAsia="Arial" w:hAnsi="Arial"/>
                <w:rtl w:val="0"/>
              </w:rPr>
              <w:t xml:space="preserve">Option</w:t>
            </w:r>
          </w:p>
        </w:tc>
        <w:tc>
          <w:tcPr/>
          <w:p w:rsidR="00000000" w:rsidDel="00000000" w:rsidP="00000000" w:rsidRDefault="00000000" w:rsidRPr="00000000" w14:paraId="00000136">
            <w:pPr>
              <w:rPr>
                <w:rFonts w:ascii="Arial" w:cs="Arial" w:eastAsia="Arial" w:hAnsi="Arial"/>
              </w:rPr>
            </w:pPr>
            <w:r w:rsidDel="00000000" w:rsidR="00000000" w:rsidRPr="00000000">
              <w:rPr>
                <w:rFonts w:ascii="Arial" w:cs="Arial" w:eastAsia="Arial" w:hAnsi="Arial"/>
                <w:rtl w:val="0"/>
              </w:rPr>
              <w:t xml:space="preserve">Initial Cost (£000)</w:t>
            </w:r>
          </w:p>
        </w:tc>
        <w:tc>
          <w:tcPr/>
          <w:p w:rsidR="00000000" w:rsidDel="00000000" w:rsidP="00000000" w:rsidRDefault="00000000" w:rsidRPr="00000000" w14:paraId="00000137">
            <w:pPr>
              <w:rPr>
                <w:rFonts w:ascii="Arial" w:cs="Arial" w:eastAsia="Arial" w:hAnsi="Arial"/>
              </w:rPr>
            </w:pPr>
            <w:r w:rsidDel="00000000" w:rsidR="00000000" w:rsidRPr="00000000">
              <w:rPr>
                <w:rFonts w:ascii="Arial" w:cs="Arial" w:eastAsia="Arial" w:hAnsi="Arial"/>
                <w:rtl w:val="0"/>
              </w:rPr>
              <w:t xml:space="preserve">Annual Capital Allowance (20%)</w:t>
            </w:r>
          </w:p>
        </w:tc>
      </w:tr>
      <w:tr>
        <w:trPr>
          <w:cantSplit w:val="0"/>
          <w:tblHeader w:val="0"/>
        </w:trPr>
        <w:tc>
          <w:tcPr/>
          <w:p w:rsidR="00000000" w:rsidDel="00000000" w:rsidP="00000000" w:rsidRDefault="00000000" w:rsidRPr="00000000" w14:paraId="00000138">
            <w:pPr>
              <w:rPr>
                <w:rFonts w:ascii="Arial" w:cs="Arial" w:eastAsia="Arial" w:hAnsi="Arial"/>
              </w:rPr>
            </w:pPr>
            <w:r w:rsidDel="00000000" w:rsidR="00000000" w:rsidRPr="00000000">
              <w:rPr>
                <w:rFonts w:ascii="Arial" w:cs="Arial" w:eastAsia="Arial" w:hAnsi="Arial"/>
                <w:rtl w:val="0"/>
              </w:rPr>
              <w:t xml:space="preserve">A</w:t>
            </w:r>
          </w:p>
        </w:tc>
        <w:tc>
          <w:tcPr/>
          <w:p w:rsidR="00000000" w:rsidDel="00000000" w:rsidP="00000000" w:rsidRDefault="00000000" w:rsidRPr="00000000" w14:paraId="00000139">
            <w:pPr>
              <w:rPr>
                <w:rFonts w:ascii="Arial" w:cs="Arial" w:eastAsia="Arial" w:hAnsi="Arial"/>
              </w:rPr>
            </w:pPr>
            <w:r w:rsidDel="00000000" w:rsidR="00000000" w:rsidRPr="00000000">
              <w:rPr>
                <w:rFonts w:ascii="Arial" w:cs="Arial" w:eastAsia="Arial" w:hAnsi="Arial"/>
                <w:rtl w:val="0"/>
              </w:rPr>
              <w:t xml:space="preserve">600</w:t>
            </w:r>
          </w:p>
        </w:tc>
        <w:tc>
          <w:tcPr/>
          <w:p w:rsidR="00000000" w:rsidDel="00000000" w:rsidP="00000000" w:rsidRDefault="00000000" w:rsidRPr="00000000" w14:paraId="0000013A">
            <w:pPr>
              <w:rPr>
                <w:rFonts w:ascii="Arial" w:cs="Arial" w:eastAsia="Arial" w:hAnsi="Arial"/>
              </w:rPr>
            </w:pPr>
            <w:r w:rsidDel="00000000" w:rsidR="00000000" w:rsidRPr="00000000">
              <w:rPr>
                <w:rFonts w:ascii="Arial" w:cs="Arial" w:eastAsia="Arial" w:hAnsi="Arial"/>
                <w:rtl w:val="0"/>
              </w:rPr>
              <w:t xml:space="preserve">600*20%= 120</w:t>
            </w:r>
          </w:p>
        </w:tc>
      </w:tr>
      <w:tr>
        <w:trPr>
          <w:cantSplit w:val="0"/>
          <w:tblHeader w:val="0"/>
        </w:trPr>
        <w:tc>
          <w:tcPr/>
          <w:p w:rsidR="00000000" w:rsidDel="00000000" w:rsidP="00000000" w:rsidRDefault="00000000" w:rsidRPr="00000000" w14:paraId="0000013B">
            <w:pPr>
              <w:rPr>
                <w:rFonts w:ascii="Arial" w:cs="Arial" w:eastAsia="Arial" w:hAnsi="Arial"/>
              </w:rPr>
            </w:pPr>
            <w:r w:rsidDel="00000000" w:rsidR="00000000" w:rsidRPr="00000000">
              <w:rPr>
                <w:rFonts w:ascii="Arial" w:cs="Arial" w:eastAsia="Arial" w:hAnsi="Arial"/>
                <w:rtl w:val="0"/>
              </w:rPr>
              <w:t xml:space="preserve">B</w:t>
            </w:r>
          </w:p>
        </w:tc>
        <w:tc>
          <w:tcPr/>
          <w:p w:rsidR="00000000" w:rsidDel="00000000" w:rsidP="00000000" w:rsidRDefault="00000000" w:rsidRPr="00000000" w14:paraId="0000013C">
            <w:pPr>
              <w:rPr>
                <w:rFonts w:ascii="Arial" w:cs="Arial" w:eastAsia="Arial" w:hAnsi="Arial"/>
              </w:rPr>
            </w:pPr>
            <w:r w:rsidDel="00000000" w:rsidR="00000000" w:rsidRPr="00000000">
              <w:rPr>
                <w:rFonts w:ascii="Arial" w:cs="Arial" w:eastAsia="Arial" w:hAnsi="Arial"/>
                <w:rtl w:val="0"/>
              </w:rPr>
              <w:t xml:space="preserve">1,000</w:t>
            </w:r>
          </w:p>
        </w:tc>
        <w:tc>
          <w:tcPr/>
          <w:p w:rsidR="00000000" w:rsidDel="00000000" w:rsidP="00000000" w:rsidRDefault="00000000" w:rsidRPr="00000000" w14:paraId="0000013D">
            <w:pPr>
              <w:rPr>
                <w:rFonts w:ascii="Arial" w:cs="Arial" w:eastAsia="Arial" w:hAnsi="Arial"/>
              </w:rPr>
            </w:pPr>
            <w:r w:rsidDel="00000000" w:rsidR="00000000" w:rsidRPr="00000000">
              <w:rPr>
                <w:rFonts w:ascii="Arial" w:cs="Arial" w:eastAsia="Arial" w:hAnsi="Arial"/>
                <w:rtl w:val="0"/>
              </w:rPr>
              <w:t xml:space="preserve">1,000*20%= 200</w:t>
            </w:r>
          </w:p>
        </w:tc>
      </w:tr>
      <w:tr>
        <w:trPr>
          <w:cantSplit w:val="0"/>
          <w:tblHeader w:val="0"/>
        </w:trPr>
        <w:tc>
          <w:tcPr/>
          <w:p w:rsidR="00000000" w:rsidDel="00000000" w:rsidP="00000000" w:rsidRDefault="00000000" w:rsidRPr="00000000" w14:paraId="0000013E">
            <w:pPr>
              <w:rPr>
                <w:rFonts w:ascii="Arial" w:cs="Arial" w:eastAsia="Arial" w:hAnsi="Arial"/>
              </w:rPr>
            </w:pPr>
            <w:r w:rsidDel="00000000" w:rsidR="00000000" w:rsidRPr="00000000">
              <w:rPr>
                <w:rFonts w:ascii="Arial" w:cs="Arial" w:eastAsia="Arial" w:hAnsi="Arial"/>
                <w:rtl w:val="0"/>
              </w:rPr>
              <w:t xml:space="preserve">C</w:t>
            </w:r>
          </w:p>
        </w:tc>
        <w:tc>
          <w:tcPr/>
          <w:p w:rsidR="00000000" w:rsidDel="00000000" w:rsidP="00000000" w:rsidRDefault="00000000" w:rsidRPr="00000000" w14:paraId="0000013F">
            <w:pPr>
              <w:rPr>
                <w:rFonts w:ascii="Arial" w:cs="Arial" w:eastAsia="Arial" w:hAnsi="Arial"/>
              </w:rPr>
            </w:pPr>
            <w:r w:rsidDel="00000000" w:rsidR="00000000" w:rsidRPr="00000000">
              <w:rPr>
                <w:rFonts w:ascii="Arial" w:cs="Arial" w:eastAsia="Arial" w:hAnsi="Arial"/>
                <w:rtl w:val="0"/>
              </w:rPr>
              <w:t xml:space="preserve">1,600</w:t>
            </w:r>
          </w:p>
        </w:tc>
        <w:tc>
          <w:tcPr/>
          <w:p w:rsidR="00000000" w:rsidDel="00000000" w:rsidP="00000000" w:rsidRDefault="00000000" w:rsidRPr="00000000" w14:paraId="00000140">
            <w:pPr>
              <w:rPr>
                <w:rFonts w:ascii="Arial" w:cs="Arial" w:eastAsia="Arial" w:hAnsi="Arial"/>
              </w:rPr>
            </w:pPr>
            <w:r w:rsidDel="00000000" w:rsidR="00000000" w:rsidRPr="00000000">
              <w:rPr>
                <w:rFonts w:ascii="Arial" w:cs="Arial" w:eastAsia="Arial" w:hAnsi="Arial"/>
                <w:rtl w:val="0"/>
              </w:rPr>
              <w:t xml:space="preserve">1,600*20%= 320</w:t>
            </w:r>
          </w:p>
        </w:tc>
      </w:tr>
    </w:tbl>
    <w:p w:rsidR="00000000" w:rsidDel="00000000" w:rsidP="00000000" w:rsidRDefault="00000000" w:rsidRPr="00000000" w14:paraId="00000141">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Net Present Value (NPV) Calculations</w:t>
      </w:r>
    </w:p>
    <w:tbl>
      <w:tblPr>
        <w:tblStyle w:val="Table8"/>
        <w:tblW w:w="6311.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06"/>
        <w:gridCol w:w="2214"/>
        <w:gridCol w:w="2991"/>
        <w:tblGridChange w:id="0">
          <w:tblGrid>
            <w:gridCol w:w="1106"/>
            <w:gridCol w:w="2214"/>
            <w:gridCol w:w="2991"/>
          </w:tblGrid>
        </w:tblGridChange>
      </w:tblGrid>
      <w:tr>
        <w:trPr>
          <w:cantSplit w:val="0"/>
          <w:trHeight w:val="438" w:hRule="atLeast"/>
          <w:tblHeader w:val="0"/>
        </w:trPr>
        <w:tc>
          <w:tcPr/>
          <w:p w:rsidR="00000000" w:rsidDel="00000000" w:rsidP="00000000" w:rsidRDefault="00000000" w:rsidRPr="00000000" w14:paraId="00000142">
            <w:pP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143">
            <w:pPr>
              <w:rPr>
                <w:rFonts w:ascii="Arial" w:cs="Arial" w:eastAsia="Arial" w:hAnsi="Arial"/>
              </w:rPr>
            </w:pPr>
            <w:r w:rsidDel="00000000" w:rsidR="00000000" w:rsidRPr="00000000">
              <w:rPr>
                <w:rFonts w:ascii="Arial" w:cs="Arial" w:eastAsia="Arial" w:hAnsi="Arial"/>
                <w:rtl w:val="0"/>
              </w:rPr>
              <w:t xml:space="preserve">Calculation</w:t>
            </w:r>
          </w:p>
        </w:tc>
        <w:tc>
          <w:tcPr/>
          <w:p w:rsidR="00000000" w:rsidDel="00000000" w:rsidP="00000000" w:rsidRDefault="00000000" w:rsidRPr="00000000" w14:paraId="00000144">
            <w:pPr>
              <w:rPr>
                <w:rFonts w:ascii="Arial" w:cs="Arial" w:eastAsia="Arial" w:hAnsi="Arial"/>
              </w:rPr>
            </w:pPr>
            <w:r w:rsidDel="00000000" w:rsidR="00000000" w:rsidRPr="00000000">
              <w:rPr>
                <w:rFonts w:ascii="Arial" w:cs="Arial" w:eastAsia="Arial" w:hAnsi="Arial"/>
                <w:rtl w:val="0"/>
              </w:rPr>
              <w:t xml:space="preserve">Discount Factor</w:t>
            </w:r>
          </w:p>
        </w:tc>
      </w:tr>
      <w:tr>
        <w:trPr>
          <w:cantSplit w:val="0"/>
          <w:trHeight w:val="735" w:hRule="atLeast"/>
          <w:tblHeader w:val="0"/>
        </w:trPr>
        <w:tc>
          <w:tcPr/>
          <w:p w:rsidR="00000000" w:rsidDel="00000000" w:rsidP="00000000" w:rsidRDefault="00000000" w:rsidRPr="00000000" w14:paraId="00000145">
            <w:pPr>
              <w:rPr>
                <w:rFonts w:ascii="Arial" w:cs="Arial" w:eastAsia="Arial" w:hAnsi="Arial"/>
              </w:rPr>
            </w:pPr>
            <w:r w:rsidDel="00000000" w:rsidR="00000000" w:rsidRPr="00000000">
              <w:rPr>
                <w:rFonts w:ascii="Arial" w:cs="Arial" w:eastAsia="Arial" w:hAnsi="Arial"/>
                <w:rtl w:val="0"/>
              </w:rPr>
              <w:t xml:space="preserve">1</w:t>
            </w:r>
          </w:p>
        </w:tc>
        <w:tc>
          <w:tcPr/>
          <w:p w:rsidR="00000000" w:rsidDel="00000000" w:rsidP="00000000" w:rsidRDefault="00000000" w:rsidRPr="00000000" w14:paraId="00000146">
            <w:pPr>
              <w:jc w:val="center"/>
              <w:rPr>
                <w:rFonts w:ascii="Cambria Math" w:cs="Cambria Math" w:eastAsia="Cambria Math" w:hAnsi="Cambria Math"/>
              </w:rPr>
            </w:pPr>
            <m:oMath>
              <m:f>
                <m:fPr>
                  <m:ctrlPr>
                    <w:rPr>
                      <w:rFonts w:ascii="Cambria Math" w:cs="Cambria Math" w:eastAsia="Cambria Math" w:hAnsi="Cambria Math"/>
                    </w:rPr>
                  </m:ctrlPr>
                </m:fPr>
                <m:num>
                  <m:r>
                    <w:rPr>
                      <w:rFonts w:ascii="Cambria Math" w:cs="Cambria Math" w:eastAsia="Cambria Math" w:hAnsi="Cambria Math"/>
                    </w:rPr>
                    <m:t xml:space="preserve">1</m:t>
                  </m:r>
                </m:num>
                <m:den>
                  <m:sSup>
                    <m:sSupPr>
                      <m:ctrlPr>
                        <w:rPr>
                          <w:rFonts w:ascii="Cambria Math" w:cs="Cambria Math" w:eastAsia="Cambria Math" w:hAnsi="Cambria Math"/>
                        </w:rPr>
                      </m:ctrlPr>
                    </m:sSupPr>
                    <m:e>
                      <m:r>
                        <w:rPr>
                          <w:rFonts w:ascii="Cambria Math" w:cs="Cambria Math" w:eastAsia="Cambria Math" w:hAnsi="Cambria Math"/>
                        </w:rPr>
                        <m:t xml:space="preserve">1.06</m:t>
                      </m:r>
                    </m:e>
                    <m:sup>
                      <m:r>
                        <w:rPr>
                          <w:rFonts w:ascii="Cambria Math" w:cs="Cambria Math" w:eastAsia="Cambria Math" w:hAnsi="Cambria Math"/>
                        </w:rPr>
                        <m:t xml:space="preserve">1</m:t>
                      </m:r>
                    </m:sup>
                  </m:sSup>
                </m:den>
              </m:f>
            </m:oMath>
            <w:r w:rsidDel="00000000" w:rsidR="00000000" w:rsidRPr="00000000">
              <w:rPr>
                <w:rtl w:val="0"/>
              </w:rPr>
            </w:r>
          </w:p>
        </w:tc>
        <w:tc>
          <w:tcPr/>
          <w:p w:rsidR="00000000" w:rsidDel="00000000" w:rsidP="00000000" w:rsidRDefault="00000000" w:rsidRPr="00000000" w14:paraId="00000147">
            <w:pPr>
              <w:rPr>
                <w:rFonts w:ascii="Arial" w:cs="Arial" w:eastAsia="Arial" w:hAnsi="Arial"/>
              </w:rPr>
            </w:pPr>
            <w:r w:rsidDel="00000000" w:rsidR="00000000" w:rsidRPr="00000000">
              <w:rPr>
                <w:rFonts w:ascii="Arial" w:cs="Arial" w:eastAsia="Arial" w:hAnsi="Arial"/>
                <w:rtl w:val="0"/>
              </w:rPr>
              <w:t xml:space="preserve">0.943</w:t>
            </w:r>
          </w:p>
        </w:tc>
      </w:tr>
      <w:tr>
        <w:trPr>
          <w:cantSplit w:val="0"/>
          <w:trHeight w:val="735" w:hRule="atLeast"/>
          <w:tblHeader w:val="0"/>
        </w:trPr>
        <w:tc>
          <w:tcPr/>
          <w:p w:rsidR="00000000" w:rsidDel="00000000" w:rsidP="00000000" w:rsidRDefault="00000000" w:rsidRPr="00000000" w14:paraId="00000148">
            <w:pPr>
              <w:rPr>
                <w:rFonts w:ascii="Arial" w:cs="Arial" w:eastAsia="Arial" w:hAnsi="Arial"/>
              </w:rPr>
            </w:pPr>
            <w:r w:rsidDel="00000000" w:rsidR="00000000" w:rsidRPr="00000000">
              <w:rPr>
                <w:rFonts w:ascii="Arial" w:cs="Arial" w:eastAsia="Arial" w:hAnsi="Arial"/>
                <w:rtl w:val="0"/>
              </w:rPr>
              <w:t xml:space="preserve">2</w:t>
            </w:r>
          </w:p>
        </w:tc>
        <w:tc>
          <w:tcPr/>
          <w:p w:rsidR="00000000" w:rsidDel="00000000" w:rsidP="00000000" w:rsidRDefault="00000000" w:rsidRPr="00000000" w14:paraId="00000149">
            <w:pPr>
              <w:jc w:val="center"/>
              <w:rPr>
                <w:rFonts w:ascii="Cambria Math" w:cs="Cambria Math" w:eastAsia="Cambria Math" w:hAnsi="Cambria Math"/>
              </w:rPr>
            </w:pPr>
            <m:oMath>
              <m:f>
                <m:fPr>
                  <m:ctrlPr>
                    <w:rPr>
                      <w:rFonts w:ascii="Cambria Math" w:cs="Cambria Math" w:eastAsia="Cambria Math" w:hAnsi="Cambria Math"/>
                    </w:rPr>
                  </m:ctrlPr>
                </m:fPr>
                <m:num>
                  <m:r>
                    <w:rPr>
                      <w:rFonts w:ascii="Cambria Math" w:cs="Cambria Math" w:eastAsia="Cambria Math" w:hAnsi="Cambria Math"/>
                    </w:rPr>
                    <m:t xml:space="preserve">1</m:t>
                  </m:r>
                </m:num>
                <m:den>
                  <m:sSup>
                    <m:sSupPr>
                      <m:ctrlPr>
                        <w:rPr>
                          <w:rFonts w:ascii="Cambria Math" w:cs="Cambria Math" w:eastAsia="Cambria Math" w:hAnsi="Cambria Math"/>
                        </w:rPr>
                      </m:ctrlPr>
                    </m:sSupPr>
                    <m:e>
                      <m:r>
                        <w:rPr>
                          <w:rFonts w:ascii="Cambria Math" w:cs="Cambria Math" w:eastAsia="Cambria Math" w:hAnsi="Cambria Math"/>
                        </w:rPr>
                        <m:t xml:space="preserve">1.06</m:t>
                      </m:r>
                    </m:e>
                    <m:sup>
                      <m:r>
                        <w:rPr>
                          <w:rFonts w:ascii="Cambria Math" w:cs="Cambria Math" w:eastAsia="Cambria Math" w:hAnsi="Cambria Math"/>
                        </w:rPr>
                        <m:t xml:space="preserve">2</m:t>
                      </m:r>
                    </m:sup>
                  </m:sSup>
                </m:den>
              </m:f>
            </m:oMath>
            <w:r w:rsidDel="00000000" w:rsidR="00000000" w:rsidRPr="00000000">
              <w:rPr>
                <w:rtl w:val="0"/>
              </w:rPr>
            </w:r>
          </w:p>
        </w:tc>
        <w:tc>
          <w:tcPr/>
          <w:p w:rsidR="00000000" w:rsidDel="00000000" w:rsidP="00000000" w:rsidRDefault="00000000" w:rsidRPr="00000000" w14:paraId="0000014A">
            <w:pPr>
              <w:rPr>
                <w:rFonts w:ascii="Arial" w:cs="Arial" w:eastAsia="Arial" w:hAnsi="Arial"/>
              </w:rPr>
            </w:pPr>
            <w:r w:rsidDel="00000000" w:rsidR="00000000" w:rsidRPr="00000000">
              <w:rPr>
                <w:rFonts w:ascii="Arial" w:cs="Arial" w:eastAsia="Arial" w:hAnsi="Arial"/>
                <w:rtl w:val="0"/>
              </w:rPr>
              <w:t xml:space="preserve">0.890</w:t>
            </w:r>
          </w:p>
        </w:tc>
      </w:tr>
      <w:tr>
        <w:trPr>
          <w:cantSplit w:val="0"/>
          <w:trHeight w:val="722" w:hRule="atLeast"/>
          <w:tblHeader w:val="0"/>
        </w:trPr>
        <w:tc>
          <w:tcPr/>
          <w:p w:rsidR="00000000" w:rsidDel="00000000" w:rsidP="00000000" w:rsidRDefault="00000000" w:rsidRPr="00000000" w14:paraId="0000014B">
            <w:pP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14C">
            <w:pPr>
              <w:jc w:val="center"/>
              <w:rPr>
                <w:rFonts w:ascii="Cambria Math" w:cs="Cambria Math" w:eastAsia="Cambria Math" w:hAnsi="Cambria Math"/>
              </w:rPr>
            </w:pPr>
            <m:oMath>
              <m:f>
                <m:fPr>
                  <m:ctrlPr>
                    <w:rPr>
                      <w:rFonts w:ascii="Cambria Math" w:cs="Cambria Math" w:eastAsia="Cambria Math" w:hAnsi="Cambria Math"/>
                    </w:rPr>
                  </m:ctrlPr>
                </m:fPr>
                <m:num>
                  <m:r>
                    <w:rPr>
                      <w:rFonts w:ascii="Cambria Math" w:cs="Cambria Math" w:eastAsia="Cambria Math" w:hAnsi="Cambria Math"/>
                    </w:rPr>
                    <m:t xml:space="preserve">1</m:t>
                  </m:r>
                </m:num>
                <m:den>
                  <m:sSup>
                    <m:sSupPr>
                      <m:ctrlPr>
                        <w:rPr>
                          <w:rFonts w:ascii="Cambria Math" w:cs="Cambria Math" w:eastAsia="Cambria Math" w:hAnsi="Cambria Math"/>
                        </w:rPr>
                      </m:ctrlPr>
                    </m:sSupPr>
                    <m:e>
                      <m:r>
                        <w:rPr>
                          <w:rFonts w:ascii="Cambria Math" w:cs="Cambria Math" w:eastAsia="Cambria Math" w:hAnsi="Cambria Math"/>
                        </w:rPr>
                        <m:t xml:space="preserve">1.06</m:t>
                      </m:r>
                    </m:e>
                    <m:sup>
                      <m:r>
                        <w:rPr>
                          <w:rFonts w:ascii="Cambria Math" w:cs="Cambria Math" w:eastAsia="Cambria Math" w:hAnsi="Cambria Math"/>
                        </w:rPr>
                        <m:t xml:space="preserve">3</m:t>
                      </m:r>
                    </m:sup>
                  </m:sSup>
                </m:den>
              </m:f>
            </m:oMath>
            <w:r w:rsidDel="00000000" w:rsidR="00000000" w:rsidRPr="00000000">
              <w:rPr>
                <w:rtl w:val="0"/>
              </w:rPr>
            </w:r>
          </w:p>
        </w:tc>
        <w:tc>
          <w:tcPr/>
          <w:p w:rsidR="00000000" w:rsidDel="00000000" w:rsidP="00000000" w:rsidRDefault="00000000" w:rsidRPr="00000000" w14:paraId="0000014D">
            <w:pPr>
              <w:rPr>
                <w:rFonts w:ascii="Arial" w:cs="Arial" w:eastAsia="Arial" w:hAnsi="Arial"/>
              </w:rPr>
            </w:pPr>
            <w:r w:rsidDel="00000000" w:rsidR="00000000" w:rsidRPr="00000000">
              <w:rPr>
                <w:rFonts w:ascii="Arial" w:cs="Arial" w:eastAsia="Arial" w:hAnsi="Arial"/>
                <w:rtl w:val="0"/>
              </w:rPr>
              <w:t xml:space="preserve">0.840</w:t>
            </w:r>
          </w:p>
        </w:tc>
      </w:tr>
      <w:tr>
        <w:trPr>
          <w:cantSplit w:val="0"/>
          <w:trHeight w:val="735" w:hRule="atLeast"/>
          <w:tblHeader w:val="0"/>
        </w:trPr>
        <w:tc>
          <w:tcPr/>
          <w:p w:rsidR="00000000" w:rsidDel="00000000" w:rsidP="00000000" w:rsidRDefault="00000000" w:rsidRPr="00000000" w14:paraId="0000014E">
            <w:pP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14F">
            <w:pPr>
              <w:jc w:val="center"/>
              <w:rPr>
                <w:rFonts w:ascii="Cambria Math" w:cs="Cambria Math" w:eastAsia="Cambria Math" w:hAnsi="Cambria Math"/>
              </w:rPr>
            </w:pPr>
            <m:oMath>
              <m:f>
                <m:fPr>
                  <m:ctrlPr>
                    <w:rPr>
                      <w:rFonts w:ascii="Cambria Math" w:cs="Cambria Math" w:eastAsia="Cambria Math" w:hAnsi="Cambria Math"/>
                    </w:rPr>
                  </m:ctrlPr>
                </m:fPr>
                <m:num>
                  <m:r>
                    <w:rPr>
                      <w:rFonts w:ascii="Cambria Math" w:cs="Cambria Math" w:eastAsia="Cambria Math" w:hAnsi="Cambria Math"/>
                    </w:rPr>
                    <m:t xml:space="preserve">1</m:t>
                  </m:r>
                </m:num>
                <m:den>
                  <m:sSup>
                    <m:sSupPr>
                      <m:ctrlPr>
                        <w:rPr>
                          <w:rFonts w:ascii="Cambria Math" w:cs="Cambria Math" w:eastAsia="Cambria Math" w:hAnsi="Cambria Math"/>
                        </w:rPr>
                      </m:ctrlPr>
                    </m:sSupPr>
                    <m:e>
                      <m:r>
                        <w:rPr>
                          <w:rFonts w:ascii="Cambria Math" w:cs="Cambria Math" w:eastAsia="Cambria Math" w:hAnsi="Cambria Math"/>
                        </w:rPr>
                        <m:t xml:space="preserve">1.06</m:t>
                      </m:r>
                    </m:e>
                    <m:sup>
                      <m:r>
                        <w:rPr>
                          <w:rFonts w:ascii="Cambria Math" w:cs="Cambria Math" w:eastAsia="Cambria Math" w:hAnsi="Cambria Math"/>
                        </w:rPr>
                        <m:t xml:space="preserve">4</m:t>
                      </m:r>
                    </m:sup>
                  </m:sSup>
                </m:den>
              </m:f>
            </m:oMath>
            <w:r w:rsidDel="00000000" w:rsidR="00000000" w:rsidRPr="00000000">
              <w:rPr>
                <w:rtl w:val="0"/>
              </w:rPr>
            </w:r>
          </w:p>
        </w:tc>
        <w:tc>
          <w:tcPr/>
          <w:p w:rsidR="00000000" w:rsidDel="00000000" w:rsidP="00000000" w:rsidRDefault="00000000" w:rsidRPr="00000000" w14:paraId="00000150">
            <w:pPr>
              <w:rPr>
                <w:rFonts w:ascii="Arial" w:cs="Arial" w:eastAsia="Arial" w:hAnsi="Arial"/>
              </w:rPr>
            </w:pPr>
            <w:r w:rsidDel="00000000" w:rsidR="00000000" w:rsidRPr="00000000">
              <w:rPr>
                <w:rFonts w:ascii="Arial" w:cs="Arial" w:eastAsia="Arial" w:hAnsi="Arial"/>
                <w:rtl w:val="0"/>
              </w:rPr>
              <w:t xml:space="preserve">0.792</w:t>
            </w:r>
          </w:p>
        </w:tc>
      </w:tr>
    </w:tbl>
    <w:p w:rsidR="00000000" w:rsidDel="00000000" w:rsidP="00000000" w:rsidRDefault="00000000" w:rsidRPr="00000000" w14:paraId="00000151">
      <w:pPr>
        <w:rPr>
          <w:rFonts w:ascii="Arial" w:cs="Arial" w:eastAsia="Arial" w:hAnsi="Arial"/>
        </w:rPr>
      </w:pPr>
      <w:r w:rsidDel="00000000" w:rsidR="00000000" w:rsidRPr="00000000">
        <w:rPr>
          <w:rtl w:val="0"/>
        </w:rPr>
      </w:r>
    </w:p>
    <w:p w:rsidR="00000000" w:rsidDel="00000000" w:rsidP="00000000" w:rsidRDefault="00000000" w:rsidRPr="00000000" w14:paraId="00000152">
      <w:pPr>
        <w:pStyle w:val="Heading2"/>
        <w:rPr>
          <w:rFonts w:ascii="Arial" w:cs="Arial" w:eastAsia="Arial" w:hAnsi="Arial"/>
          <w:sz w:val="36"/>
          <w:szCs w:val="36"/>
        </w:rPr>
      </w:pPr>
      <w:bookmarkStart w:colFirst="0" w:colLast="0" w:name="_i1mbb92zd24h" w:id="11"/>
      <w:bookmarkEnd w:id="11"/>
      <w:r w:rsidDel="00000000" w:rsidR="00000000" w:rsidRPr="00000000">
        <w:rPr>
          <w:rFonts w:ascii="Arial" w:cs="Arial" w:eastAsia="Arial" w:hAnsi="Arial"/>
          <w:rtl w:val="0"/>
        </w:rPr>
        <w:t xml:space="preserve">Net Present Value (NPV) Formula</w:t>
      </w:r>
      <w:r w:rsidDel="00000000" w:rsidR="00000000" w:rsidRPr="00000000">
        <w:rPr>
          <w:rtl w:val="0"/>
        </w:rPr>
      </w:r>
    </w:p>
    <w:p w:rsidR="00000000" w:rsidDel="00000000" w:rsidP="00000000" w:rsidRDefault="00000000" w:rsidRPr="00000000" w14:paraId="00000153">
      <w:pPr>
        <w:jc w:val="center"/>
        <w:rPr>
          <w:rFonts w:ascii="Cambria Math" w:cs="Cambria Math" w:eastAsia="Cambria Math" w:hAnsi="Cambria Math"/>
          <w:b w:val="0"/>
          <w:bCs w:val="0"/>
          <w:i w:val="0"/>
          <w:iCs w:val="0"/>
          <w:smallCaps w:val="0"/>
          <w:strike w:val="0"/>
          <w:color w:val="000000"/>
          <w:sz w:val="24"/>
          <w:szCs w:val="24"/>
          <w:u w:val="none"/>
          <w:shd w:fill="auto" w:val="clear"/>
          <w:vertAlign w:val="baseline"/>
        </w:rPr>
      </w:pPr>
      <m:oMath>
        <m:r>
          <w:rPr>
            <w:rFonts w:ascii="Arial" w:cs="Arial" w:eastAsia="Arial" w:hAnsi="Arial"/>
            <w:b w:val="0"/>
            <w:bCs w:val="0"/>
            <w:i w:val="0"/>
            <w:iCs w:val="0"/>
            <w:smallCaps w:val="0"/>
            <w:strike w:val="0"/>
            <w:color w:val="000000"/>
            <w:sz w:val="24"/>
            <w:szCs w:val="24"/>
            <w:u w:val="none"/>
            <w:shd w:fill="auto" w:val="clear"/>
            <w:vertAlign w:val="baseline"/>
          </w:rPr>
          <m:t xml:space="preserve">NPV</m:t>
        </m:r>
        <m:r>
          <w:rPr>
            <w:rFonts w:ascii="Cambria Math" w:cs="Cambria Math" w:eastAsia="Cambria Math" w:hAnsi="Cambria Math"/>
            <w:b w:val="0"/>
            <w:bCs w:val="0"/>
            <w:i w:val="0"/>
            <w:iCs w:val="0"/>
            <w:smallCaps w:val="0"/>
            <w:strike w:val="0"/>
            <w:color w:val="000000"/>
            <w:sz w:val="24"/>
            <w:szCs w:val="24"/>
            <w:u w:val="none"/>
            <w:shd w:fill="auto" w:val="clear"/>
            <w:vertAlign w:val="baseline"/>
          </w:rPr>
          <m:t xml:space="preserve">=</m:t>
        </m:r>
        <m:nary>
          <m:naryPr>
            <m:chr m:val="∑"/>
            <m:ctrlPr>
              <w:rPr>
                <w:rFonts w:ascii="Cambria Math" w:cs="Cambria Math" w:eastAsia="Cambria Math" w:hAnsi="Cambria Math"/>
                <w:b w:val="0"/>
                <w:bCs w:val="0"/>
                <w:i w:val="0"/>
                <w:iCs w:val="0"/>
                <w:smallCaps w:val="0"/>
                <w:strike w:val="0"/>
                <w:color w:val="000000"/>
                <w:sz w:val="24"/>
                <w:szCs w:val="24"/>
                <w:u w:val="none"/>
                <w:shd w:fill="auto" w:val="clear"/>
                <w:vertAlign w:val="baseline"/>
              </w:rPr>
            </m:ctrlPr>
          </m:naryPr>
          <m:sub>
            <m:r>
              <w:rPr>
                <w:rFonts w:ascii="Cambria Math" w:cs="Cambria Math" w:eastAsia="Cambria Math" w:hAnsi="Cambria Math"/>
                <w:b w:val="0"/>
                <w:bCs w:val="0"/>
                <w:i w:val="0"/>
                <w:iCs w:val="0"/>
                <w:smallCaps w:val="0"/>
                <w:strike w:val="0"/>
                <w:color w:val="000000"/>
                <w:sz w:val="24"/>
                <w:szCs w:val="24"/>
                <w:u w:val="none"/>
                <w:shd w:fill="auto" w:val="clear"/>
                <w:vertAlign w:val="baseline"/>
              </w:rPr>
              <m:t xml:space="preserve">t=1</m:t>
            </m:r>
          </m:sub>
          <m:sup>
            <m:r>
              <w:rPr>
                <w:rFonts w:ascii="Cambria Math" w:cs="Cambria Math" w:eastAsia="Cambria Math" w:hAnsi="Cambria Math"/>
                <w:b w:val="0"/>
                <w:bCs w:val="0"/>
                <w:i w:val="0"/>
                <w:iCs w:val="0"/>
                <w:smallCaps w:val="0"/>
                <w:strike w:val="0"/>
                <w:color w:val="000000"/>
                <w:sz w:val="24"/>
                <w:szCs w:val="24"/>
                <w:u w:val="none"/>
                <w:shd w:fill="auto" w:val="clear"/>
                <w:vertAlign w:val="baseline"/>
              </w:rPr>
              <m:t xml:space="preserve">n</m:t>
            </m:r>
          </m:sup>
        </m:nary>
        <m:f>
          <m:fPr>
            <m:ctrlPr>
              <w:rPr>
                <w:rFonts w:ascii="Cambria Math" w:cs="Cambria Math" w:eastAsia="Cambria Math" w:hAnsi="Cambria Math"/>
                <w:b w:val="0"/>
                <w:bCs w:val="0"/>
                <w:i w:val="0"/>
                <w:iCs w:val="0"/>
                <w:smallCaps w:val="0"/>
                <w:strike w:val="0"/>
                <w:color w:val="000000"/>
                <w:sz w:val="24"/>
                <w:szCs w:val="24"/>
                <w:u w:val="none"/>
                <w:shd w:fill="auto" w:val="clear"/>
                <w:vertAlign w:val="baseline"/>
              </w:rPr>
            </m:ctrlPr>
          </m:fPr>
          <m:num>
            <m:r>
              <w:rPr>
                <w:rFonts w:ascii="Cambria Math" w:cs="Cambria Math" w:eastAsia="Cambria Math" w:hAnsi="Cambria Math"/>
                <w:b w:val="0"/>
                <w:bCs w:val="0"/>
                <w:i w:val="0"/>
                <w:iCs w:val="0"/>
                <w:smallCaps w:val="0"/>
                <w:strike w:val="0"/>
                <w:color w:val="000000"/>
                <w:sz w:val="24"/>
                <w:szCs w:val="24"/>
                <w:u w:val="none"/>
                <w:shd w:fill="auto" w:val="clear"/>
                <w:vertAlign w:val="baseline"/>
              </w:rPr>
              <m:t xml:space="preserve">C</m:t>
            </m:r>
            <m:sSub>
              <m:sSubPr>
                <m:ctrlPr>
                  <w:rPr>
                    <w:rFonts w:ascii="Cambria Math" w:cs="Cambria Math" w:eastAsia="Cambria Math" w:hAnsi="Cambria Math"/>
                    <w:b w:val="0"/>
                    <w:bCs w:val="0"/>
                    <w:i w:val="0"/>
                    <w:iCs w:val="0"/>
                    <w:smallCaps w:val="0"/>
                    <w:strike w:val="0"/>
                    <w:color w:val="000000"/>
                    <w:sz w:val="24"/>
                    <w:szCs w:val="24"/>
                    <w:u w:val="none"/>
                    <w:shd w:fill="auto" w:val="clear"/>
                    <w:vertAlign w:val="baseline"/>
                  </w:rPr>
                </m:ctrlPr>
              </m:sSubPr>
              <m:e>
                <m:r>
                  <w:rPr>
                    <w:rFonts w:ascii="Cambria Math" w:cs="Cambria Math" w:eastAsia="Cambria Math" w:hAnsi="Cambria Math"/>
                    <w:b w:val="0"/>
                    <w:bCs w:val="0"/>
                    <w:i w:val="0"/>
                    <w:iCs w:val="0"/>
                    <w:smallCaps w:val="0"/>
                    <w:strike w:val="0"/>
                    <w:color w:val="000000"/>
                    <w:sz w:val="24"/>
                    <w:szCs w:val="24"/>
                    <w:u w:val="none"/>
                    <w:shd w:fill="auto" w:val="clear"/>
                    <w:vertAlign w:val="baseline"/>
                  </w:rPr>
                  <m:t xml:space="preserve">F</m:t>
                </m:r>
              </m:e>
              <m:sub>
                <m:r>
                  <w:rPr>
                    <w:rFonts w:ascii="Cambria Math" w:cs="Cambria Math" w:eastAsia="Cambria Math" w:hAnsi="Cambria Math"/>
                    <w:b w:val="0"/>
                    <w:bCs w:val="0"/>
                    <w:i w:val="0"/>
                    <w:iCs w:val="0"/>
                    <w:smallCaps w:val="0"/>
                    <w:strike w:val="0"/>
                    <w:color w:val="000000"/>
                    <w:sz w:val="24"/>
                    <w:szCs w:val="24"/>
                    <w:u w:val="none"/>
                    <w:shd w:fill="auto" w:val="clear"/>
                    <w:vertAlign w:val="baseline"/>
                  </w:rPr>
                  <m:t xml:space="preserve">t</m:t>
                </m:r>
              </m:sub>
            </m:sSub>
          </m:num>
          <m:den>
            <m:r>
              <w:rPr>
                <w:rFonts w:ascii="Cambria Math" w:cs="Cambria Math" w:eastAsia="Cambria Math" w:hAnsi="Cambria Math"/>
                <w:b w:val="0"/>
                <w:bCs w:val="0"/>
                <w:i w:val="0"/>
                <w:iCs w:val="0"/>
                <w:smallCaps w:val="0"/>
                <w:strike w:val="0"/>
                <w:color w:val="000000"/>
                <w:sz w:val="24"/>
                <w:szCs w:val="24"/>
                <w:u w:val="none"/>
                <w:shd w:fill="auto" w:val="clear"/>
                <w:vertAlign w:val="baseline"/>
              </w:rPr>
              <m:t xml:space="preserve">(1+r</m:t>
            </m:r>
            <m:sSup>
              <m:sSupPr>
                <m:ctrlPr>
                  <w:rPr>
                    <w:rFonts w:ascii="Cambria Math" w:cs="Cambria Math" w:eastAsia="Cambria Math" w:hAnsi="Cambria Math"/>
                    <w:b w:val="0"/>
                    <w:bCs w:val="0"/>
                    <w:i w:val="0"/>
                    <w:iCs w:val="0"/>
                    <w:smallCaps w:val="0"/>
                    <w:strike w:val="0"/>
                    <w:color w:val="000000"/>
                    <w:sz w:val="24"/>
                    <w:szCs w:val="24"/>
                    <w:u w:val="none"/>
                    <w:shd w:fill="auto" w:val="clear"/>
                    <w:vertAlign w:val="baseline"/>
                  </w:rPr>
                </m:ctrlPr>
              </m:sSupPr>
              <m:e>
                <m:r>
                  <w:rPr>
                    <w:rFonts w:ascii="Cambria Math" w:cs="Cambria Math" w:eastAsia="Cambria Math" w:hAnsi="Cambria Math"/>
                    <w:b w:val="0"/>
                    <w:bCs w:val="0"/>
                    <w:i w:val="0"/>
                    <w:iCs w:val="0"/>
                    <w:smallCaps w:val="0"/>
                    <w:strike w:val="0"/>
                    <w:color w:val="000000"/>
                    <w:sz w:val="24"/>
                    <w:szCs w:val="24"/>
                    <w:u w:val="none"/>
                    <w:shd w:fill="auto" w:val="clear"/>
                    <w:vertAlign w:val="baseline"/>
                  </w:rPr>
                  <m:t xml:space="preserve">)</m:t>
                </m:r>
              </m:e>
              <m:sup>
                <m:r>
                  <w:rPr>
                    <w:rFonts w:ascii="Cambria Math" w:cs="Cambria Math" w:eastAsia="Cambria Math" w:hAnsi="Cambria Math"/>
                    <w:b w:val="0"/>
                    <w:bCs w:val="0"/>
                    <w:i w:val="0"/>
                    <w:iCs w:val="0"/>
                    <w:smallCaps w:val="0"/>
                    <w:strike w:val="0"/>
                    <w:color w:val="000000"/>
                    <w:sz w:val="24"/>
                    <w:szCs w:val="24"/>
                    <w:u w:val="none"/>
                    <w:shd w:fill="auto" w:val="clear"/>
                    <w:vertAlign w:val="baseline"/>
                  </w:rPr>
                  <m:t xml:space="preserve">t</m:t>
                </m:r>
              </m:sup>
            </m:sSup>
          </m:den>
        </m:f>
        <m:r>
          <w:rPr>
            <w:rFonts w:ascii="Cambria Math" w:cs="Cambria Math" w:eastAsia="Cambria Math" w:hAnsi="Cambria Math"/>
            <w:b w:val="0"/>
            <w:bCs w:val="0"/>
            <w:i w:val="0"/>
            <w:iCs w:val="0"/>
            <w:smallCaps w:val="0"/>
            <w:strike w:val="0"/>
            <w:color w:val="000000"/>
            <w:sz w:val="24"/>
            <w:szCs w:val="24"/>
            <w:u w:val="none"/>
            <w:shd w:fill="auto" w:val="clear"/>
            <w:vertAlign w:val="baseline"/>
          </w:rPr>
          <m:t xml:space="preserve">-</m:t>
        </m:r>
        <m:sSub>
          <m:sSubPr>
            <m:ctrlPr>
              <w:rPr>
                <w:rFonts w:ascii="Cambria Math" w:cs="Cambria Math" w:eastAsia="Cambria Math" w:hAnsi="Cambria Math"/>
                <w:b w:val="0"/>
                <w:bCs w:val="0"/>
                <w:i w:val="0"/>
                <w:iCs w:val="0"/>
                <w:smallCaps w:val="0"/>
                <w:strike w:val="0"/>
                <w:color w:val="000000"/>
                <w:sz w:val="24"/>
                <w:szCs w:val="24"/>
                <w:u w:val="none"/>
                <w:shd w:fill="auto" w:val="clear"/>
                <w:vertAlign w:val="baseline"/>
              </w:rPr>
            </m:ctrlPr>
          </m:sSubPr>
          <m:e>
            <m:r>
              <w:rPr>
                <w:rFonts w:ascii="Cambria Math" w:cs="Cambria Math" w:eastAsia="Cambria Math" w:hAnsi="Cambria Math"/>
                <w:b w:val="0"/>
                <w:bCs w:val="0"/>
                <w:i w:val="0"/>
                <w:iCs w:val="0"/>
                <w:smallCaps w:val="0"/>
                <w:strike w:val="0"/>
                <w:color w:val="000000"/>
                <w:sz w:val="24"/>
                <w:szCs w:val="24"/>
                <w:u w:val="none"/>
                <w:shd w:fill="auto" w:val="clear"/>
                <w:vertAlign w:val="baseline"/>
              </w:rPr>
              <m:t xml:space="preserve">I</m:t>
            </m:r>
          </m:e>
          <m:sub>
            <m:r>
              <w:rPr>
                <w:rFonts w:ascii="Cambria Math" w:cs="Cambria Math" w:eastAsia="Cambria Math" w:hAnsi="Cambria Math"/>
                <w:b w:val="0"/>
                <w:bCs w:val="0"/>
                <w:i w:val="0"/>
                <w:iCs w:val="0"/>
                <w:smallCaps w:val="0"/>
                <w:strike w:val="0"/>
                <w:color w:val="000000"/>
                <w:sz w:val="24"/>
                <w:szCs w:val="24"/>
                <w:u w:val="none"/>
                <w:shd w:fill="auto" w:val="clear"/>
                <w:vertAlign w:val="baseline"/>
              </w:rPr>
              <m:t xml:space="preserve">0</m:t>
            </m:r>
          </m:sub>
        </m:sSub>
      </m:oMath>
      <w:r w:rsidDel="00000000" w:rsidR="00000000" w:rsidRPr="00000000">
        <w:rPr>
          <w:rtl w:val="0"/>
        </w:rPr>
      </w:r>
    </w:p>
    <w:p w:rsidR="00000000" w:rsidDel="00000000" w:rsidP="00000000" w:rsidRDefault="00000000" w:rsidRPr="00000000" w14:paraId="0000015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Where:</w:t>
      </w:r>
    </w:p>
    <w:p w:rsidR="00000000" w:rsidDel="00000000" w:rsidP="00000000" w:rsidRDefault="00000000" w:rsidRPr="00000000" w14:paraId="00000155">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240" w:lineRule="auto"/>
        <w:ind w:left="720" w:right="0" w:hanging="360"/>
        <w:jc w:val="left"/>
        <w:rPr>
          <w:b w:val="0"/>
          <w:bCs w:val="0"/>
          <w:i w:val="0"/>
          <w:iCs w:val="0"/>
          <w:smallCaps w:val="0"/>
          <w:strike w:val="0"/>
          <w:color w:val="000000"/>
          <w:u w:val="none"/>
          <w:shd w:fill="auto" w:val="clear"/>
          <w:vertAlign w:val="baseline"/>
        </w:rPr>
      </w:pPr>
      <m:oMath>
        <m:r>
          <w:rPr>
            <w:rFonts w:ascii="Cambria Math" w:cs="Cambria Math" w:eastAsia="Cambria Math" w:hAnsi="Cambria Math"/>
            <w:b w:val="0"/>
            <w:bCs w:val="0"/>
            <w:i w:val="0"/>
            <w:iCs w:val="0"/>
            <w:smallCaps w:val="0"/>
            <w:strike w:val="0"/>
            <w:color w:val="000000"/>
            <w:sz w:val="24"/>
            <w:szCs w:val="24"/>
            <w:u w:val="none"/>
            <w:shd w:fill="auto" w:val="clear"/>
            <w:vertAlign w:val="baseline"/>
          </w:rPr>
          <m:t xml:space="preserve">C</m:t>
        </m:r>
        <m:sSub>
          <m:sSubPr>
            <m:ctrlPr>
              <w:rPr>
                <w:rFonts w:ascii="Cambria Math" w:cs="Cambria Math" w:eastAsia="Cambria Math" w:hAnsi="Cambria Math"/>
                <w:b w:val="0"/>
                <w:bCs w:val="0"/>
                <w:i w:val="0"/>
                <w:iCs w:val="0"/>
                <w:smallCaps w:val="0"/>
                <w:strike w:val="0"/>
                <w:color w:val="000000"/>
                <w:sz w:val="24"/>
                <w:szCs w:val="24"/>
                <w:u w:val="none"/>
                <w:shd w:fill="auto" w:val="clear"/>
                <w:vertAlign w:val="baseline"/>
              </w:rPr>
            </m:ctrlPr>
          </m:sSubPr>
          <m:e>
            <m:r>
              <w:rPr>
                <w:rFonts w:ascii="Cambria Math" w:cs="Cambria Math" w:eastAsia="Cambria Math" w:hAnsi="Cambria Math"/>
                <w:b w:val="0"/>
                <w:bCs w:val="0"/>
                <w:i w:val="0"/>
                <w:iCs w:val="0"/>
                <w:smallCaps w:val="0"/>
                <w:strike w:val="0"/>
                <w:color w:val="000000"/>
                <w:sz w:val="24"/>
                <w:szCs w:val="24"/>
                <w:u w:val="none"/>
                <w:shd w:fill="auto" w:val="clear"/>
                <w:vertAlign w:val="baseline"/>
              </w:rPr>
              <m:t xml:space="preserve">F</m:t>
            </m:r>
          </m:e>
          <m:sub>
            <m:r>
              <w:rPr>
                <w:rFonts w:ascii="Cambria Math" w:cs="Cambria Math" w:eastAsia="Cambria Math" w:hAnsi="Cambria Math"/>
                <w:b w:val="0"/>
                <w:bCs w:val="0"/>
                <w:i w:val="0"/>
                <w:iCs w:val="0"/>
                <w:smallCaps w:val="0"/>
                <w:strike w:val="0"/>
                <w:color w:val="000000"/>
                <w:sz w:val="24"/>
                <w:szCs w:val="24"/>
                <w:u w:val="none"/>
                <w:shd w:fill="auto" w:val="clear"/>
                <w:vertAlign w:val="baseline"/>
              </w:rPr>
              <m:t xml:space="preserve">t</m:t>
            </m:r>
          </m:sub>
        </m:sSub>
      </m:oMat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after-tax cash flow in year </w:t>
      </w:r>
      <m:oMath>
        <m:r>
          <w:rPr>
            <w:rFonts w:ascii="Cambria Math" w:cs="Cambria Math" w:eastAsia="Cambria Math" w:hAnsi="Cambria Math"/>
            <w:b w:val="0"/>
            <w:bCs w:val="0"/>
            <w:i w:val="0"/>
            <w:iCs w:val="0"/>
            <w:smallCaps w:val="0"/>
            <w:strike w:val="0"/>
            <w:color w:val="000000"/>
            <w:sz w:val="24"/>
            <w:szCs w:val="24"/>
            <w:u w:val="none"/>
            <w:shd w:fill="auto" w:val="clear"/>
            <w:vertAlign w:val="baseline"/>
          </w:rPr>
          <m:t xml:space="preserve">t</m:t>
        </m:r>
      </m:oMath>
      <w:r w:rsidDel="00000000" w:rsidR="00000000" w:rsidRPr="00000000">
        <w:rPr>
          <w:rtl w:val="0"/>
        </w:rPr>
      </w:r>
    </w:p>
    <w:p w:rsidR="00000000" w:rsidDel="00000000" w:rsidP="00000000" w:rsidRDefault="00000000" w:rsidRPr="00000000" w14:paraId="00000156">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240" w:lineRule="auto"/>
        <w:ind w:left="720" w:right="0" w:hanging="360"/>
        <w:jc w:val="left"/>
        <w:rPr>
          <w:b w:val="0"/>
          <w:bCs w:val="0"/>
          <w:i w:val="0"/>
          <w:iCs w:val="0"/>
          <w:smallCaps w:val="0"/>
          <w:strike w:val="0"/>
          <w:color w:val="000000"/>
          <w:u w:val="none"/>
          <w:shd w:fill="auto" w:val="clear"/>
          <w:vertAlign w:val="baseline"/>
        </w:rPr>
      </w:pPr>
      <m:oMath>
        <m:sSub>
          <m:sSubPr>
            <m:ctrlPr>
              <w:rPr>
                <w:rFonts w:ascii="Cambria Math" w:cs="Cambria Math" w:eastAsia="Cambria Math" w:hAnsi="Cambria Math"/>
                <w:b w:val="0"/>
                <w:bCs w:val="0"/>
                <w:i w:val="0"/>
                <w:iCs w:val="0"/>
                <w:smallCaps w:val="0"/>
                <w:strike w:val="0"/>
                <w:color w:val="000000"/>
                <w:sz w:val="24"/>
                <w:szCs w:val="24"/>
                <w:u w:val="none"/>
                <w:shd w:fill="auto" w:val="clear"/>
                <w:vertAlign w:val="baseline"/>
              </w:rPr>
            </m:ctrlPr>
          </m:sSubPr>
          <m:e>
            <m:r>
              <w:rPr>
                <w:rFonts w:ascii="Cambria Math" w:cs="Cambria Math" w:eastAsia="Cambria Math" w:hAnsi="Cambria Math"/>
                <w:b w:val="0"/>
                <w:bCs w:val="0"/>
                <w:i w:val="0"/>
                <w:iCs w:val="0"/>
                <w:smallCaps w:val="0"/>
                <w:strike w:val="0"/>
                <w:color w:val="000000"/>
                <w:sz w:val="24"/>
                <w:szCs w:val="24"/>
                <w:u w:val="none"/>
                <w:shd w:fill="auto" w:val="clear"/>
                <w:vertAlign w:val="baseline"/>
              </w:rPr>
              <m:t xml:space="preserve">I</m:t>
            </m:r>
          </m:e>
          <m:sub>
            <m:r>
              <w:rPr>
                <w:rFonts w:ascii="Cambria Math" w:cs="Cambria Math" w:eastAsia="Cambria Math" w:hAnsi="Cambria Math"/>
                <w:b w:val="0"/>
                <w:bCs w:val="0"/>
                <w:i w:val="0"/>
                <w:iCs w:val="0"/>
                <w:smallCaps w:val="0"/>
                <w:strike w:val="0"/>
                <w:color w:val="000000"/>
                <w:sz w:val="24"/>
                <w:szCs w:val="24"/>
                <w:u w:val="none"/>
                <w:shd w:fill="auto" w:val="clear"/>
                <w:vertAlign w:val="baseline"/>
              </w:rPr>
              <m:t xml:space="preserve">0</m:t>
            </m:r>
          </m:sub>
        </m:sSub>
      </m:oMat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initial investment</w:t>
      </w:r>
    </w:p>
    <w:p w:rsidR="00000000" w:rsidDel="00000000" w:rsidP="00000000" w:rsidRDefault="00000000" w:rsidRPr="00000000" w14:paraId="00000157">
      <w:pPr>
        <w:rPr>
          <w:rFonts w:ascii="Arial" w:cs="Arial" w:eastAsia="Arial" w:hAnsi="Arial"/>
          <w:b w:val="1"/>
          <w:bCs w:val="1"/>
          <w:sz w:val="36"/>
          <w:szCs w:val="36"/>
        </w:rPr>
      </w:pPr>
      <w:r w:rsidDel="00000000" w:rsidR="00000000" w:rsidRPr="00000000">
        <w:rPr>
          <w:rFonts w:ascii="Arial" w:cs="Arial" w:eastAsia="Arial" w:hAnsi="Arial"/>
          <w:b w:val="1"/>
          <w:bCs w:val="1"/>
          <w:rtl w:val="0"/>
        </w:rPr>
        <w:t xml:space="preserve">Option A – Expand Retail Outlet</w:t>
      </w:r>
      <w:r w:rsidDel="00000000" w:rsidR="00000000" w:rsidRPr="00000000">
        <w:rPr>
          <w:rtl w:val="0"/>
        </w:rPr>
      </w:r>
    </w:p>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Initial investment: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£600,000</w:t>
        <w:br w:type="textWrapping"/>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Capital allowance: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 × 600 = £120,000 per year</w:t>
      </w:r>
    </w:p>
    <w:tbl>
      <w:tblPr>
        <w:tblStyle w:val="Table9"/>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1212"/>
        <w:gridCol w:w="1511"/>
        <w:gridCol w:w="1141"/>
        <w:gridCol w:w="1051"/>
        <w:gridCol w:w="994"/>
        <w:gridCol w:w="1338"/>
        <w:gridCol w:w="1402"/>
        <w:tblGridChange w:id="0">
          <w:tblGrid>
            <w:gridCol w:w="701"/>
            <w:gridCol w:w="1212"/>
            <w:gridCol w:w="1511"/>
            <w:gridCol w:w="1141"/>
            <w:gridCol w:w="1051"/>
            <w:gridCol w:w="994"/>
            <w:gridCol w:w="1338"/>
            <w:gridCol w:w="1402"/>
          </w:tblGrid>
        </w:tblGridChange>
      </w:tblGrid>
      <w:tr>
        <w:trPr>
          <w:cantSplit w:val="0"/>
          <w:tblHeader w:val="0"/>
        </w:trPr>
        <w:tc>
          <w:tcPr/>
          <w:p w:rsidR="00000000" w:rsidDel="00000000" w:rsidP="00000000" w:rsidRDefault="00000000" w:rsidRPr="00000000" w14:paraId="00000159">
            <w:pP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15A">
            <w:pPr>
              <w:rPr>
                <w:rFonts w:ascii="Arial" w:cs="Arial" w:eastAsia="Arial" w:hAnsi="Arial"/>
              </w:rPr>
            </w:pPr>
            <w:r w:rsidDel="00000000" w:rsidR="00000000" w:rsidRPr="00000000">
              <w:rPr>
                <w:rFonts w:ascii="Arial" w:cs="Arial" w:eastAsia="Arial" w:hAnsi="Arial"/>
                <w:rtl w:val="0"/>
              </w:rPr>
              <w:t xml:space="preserve">Cash Flow (£000)</w:t>
            </w:r>
          </w:p>
        </w:tc>
        <w:tc>
          <w:tcPr/>
          <w:p w:rsidR="00000000" w:rsidDel="00000000" w:rsidP="00000000" w:rsidRDefault="00000000" w:rsidRPr="00000000" w14:paraId="0000015B">
            <w:pPr>
              <w:rPr>
                <w:rFonts w:ascii="Arial" w:cs="Arial" w:eastAsia="Arial" w:hAnsi="Arial"/>
              </w:rPr>
            </w:pPr>
            <w:r w:rsidDel="00000000" w:rsidR="00000000" w:rsidRPr="00000000">
              <w:rPr>
                <w:rFonts w:ascii="Arial" w:cs="Arial" w:eastAsia="Arial" w:hAnsi="Arial"/>
                <w:rtl w:val="0"/>
              </w:rPr>
              <w:t xml:space="preserve">Capital Allowance</w:t>
            </w:r>
          </w:p>
        </w:tc>
        <w:tc>
          <w:tcPr/>
          <w:p w:rsidR="00000000" w:rsidDel="00000000" w:rsidP="00000000" w:rsidRDefault="00000000" w:rsidRPr="00000000" w14:paraId="0000015C">
            <w:pPr>
              <w:rPr>
                <w:rFonts w:ascii="Arial" w:cs="Arial" w:eastAsia="Arial" w:hAnsi="Arial"/>
              </w:rPr>
            </w:pPr>
            <w:r w:rsidDel="00000000" w:rsidR="00000000" w:rsidRPr="00000000">
              <w:rPr>
                <w:rFonts w:ascii="Arial" w:cs="Arial" w:eastAsia="Arial" w:hAnsi="Arial"/>
                <w:rtl w:val="0"/>
              </w:rPr>
              <w:t xml:space="preserve">Taxable CF</w:t>
            </w:r>
          </w:p>
        </w:tc>
        <w:tc>
          <w:tcPr/>
          <w:p w:rsidR="00000000" w:rsidDel="00000000" w:rsidP="00000000" w:rsidRDefault="00000000" w:rsidRPr="00000000" w14:paraId="0000015D">
            <w:pPr>
              <w:rPr>
                <w:rFonts w:ascii="Arial" w:cs="Arial" w:eastAsia="Arial" w:hAnsi="Arial"/>
              </w:rPr>
            </w:pPr>
            <w:r w:rsidDel="00000000" w:rsidR="00000000" w:rsidRPr="00000000">
              <w:rPr>
                <w:rFonts w:ascii="Arial" w:cs="Arial" w:eastAsia="Arial" w:hAnsi="Arial"/>
                <w:rtl w:val="0"/>
              </w:rPr>
              <w:t xml:space="preserve">Tax @25%</w:t>
            </w:r>
          </w:p>
        </w:tc>
        <w:tc>
          <w:tcPr/>
          <w:p w:rsidR="00000000" w:rsidDel="00000000" w:rsidP="00000000" w:rsidRDefault="00000000" w:rsidRPr="00000000" w14:paraId="0000015E">
            <w:pPr>
              <w:rPr>
                <w:rFonts w:ascii="Arial" w:cs="Arial" w:eastAsia="Arial" w:hAnsi="Arial"/>
              </w:rPr>
            </w:pPr>
            <w:r w:rsidDel="00000000" w:rsidR="00000000" w:rsidRPr="00000000">
              <w:rPr>
                <w:rFonts w:ascii="Arial" w:cs="Arial" w:eastAsia="Arial" w:hAnsi="Arial"/>
                <w:rtl w:val="0"/>
              </w:rPr>
              <w:t xml:space="preserve">After-Tax CF</w:t>
            </w:r>
          </w:p>
        </w:tc>
        <w:tc>
          <w:tcPr/>
          <w:p w:rsidR="00000000" w:rsidDel="00000000" w:rsidP="00000000" w:rsidRDefault="00000000" w:rsidRPr="00000000" w14:paraId="0000015F">
            <w:pPr>
              <w:rPr>
                <w:rFonts w:ascii="Arial" w:cs="Arial" w:eastAsia="Arial" w:hAnsi="Arial"/>
              </w:rPr>
            </w:pPr>
            <w:r w:rsidDel="00000000" w:rsidR="00000000" w:rsidRPr="00000000">
              <w:rPr>
                <w:rFonts w:ascii="Arial" w:cs="Arial" w:eastAsia="Arial" w:hAnsi="Arial"/>
                <w:rtl w:val="0"/>
              </w:rPr>
              <w:t xml:space="preserve">Discount Factor</w:t>
            </w:r>
          </w:p>
        </w:tc>
        <w:tc>
          <w:tcPr/>
          <w:p w:rsidR="00000000" w:rsidDel="00000000" w:rsidP="00000000" w:rsidRDefault="00000000" w:rsidRPr="00000000" w14:paraId="00000160">
            <w:pPr>
              <w:rPr>
                <w:rFonts w:ascii="Arial" w:cs="Arial" w:eastAsia="Arial" w:hAnsi="Arial"/>
              </w:rPr>
            </w:pPr>
            <w:r w:rsidDel="00000000" w:rsidR="00000000" w:rsidRPr="00000000">
              <w:rPr>
                <w:rFonts w:ascii="Arial" w:cs="Arial" w:eastAsia="Arial" w:hAnsi="Arial"/>
                <w:rtl w:val="0"/>
              </w:rPr>
              <w:t xml:space="preserve">Present Value (£000)</w:t>
            </w:r>
          </w:p>
        </w:tc>
      </w:tr>
      <w:tr>
        <w:trPr>
          <w:cantSplit w:val="0"/>
          <w:tblHeader w:val="0"/>
        </w:trPr>
        <w:tc>
          <w:tcPr/>
          <w:p w:rsidR="00000000" w:rsidDel="00000000" w:rsidP="00000000" w:rsidRDefault="00000000" w:rsidRPr="00000000" w14:paraId="00000161">
            <w:pPr>
              <w:rPr>
                <w:rFonts w:ascii="Arial" w:cs="Arial" w:eastAsia="Arial" w:hAnsi="Arial"/>
              </w:rPr>
            </w:pPr>
            <w:r w:rsidDel="00000000" w:rsidR="00000000" w:rsidRPr="00000000">
              <w:rPr>
                <w:rFonts w:ascii="Arial" w:cs="Arial" w:eastAsia="Arial" w:hAnsi="Arial"/>
                <w:rtl w:val="0"/>
              </w:rPr>
              <w:t xml:space="preserve">1</w:t>
            </w:r>
          </w:p>
        </w:tc>
        <w:tc>
          <w:tcPr/>
          <w:p w:rsidR="00000000" w:rsidDel="00000000" w:rsidP="00000000" w:rsidRDefault="00000000" w:rsidRPr="00000000" w14:paraId="00000162">
            <w:pPr>
              <w:rPr>
                <w:rFonts w:ascii="Arial" w:cs="Arial" w:eastAsia="Arial" w:hAnsi="Arial"/>
              </w:rPr>
            </w:pPr>
            <w:r w:rsidDel="00000000" w:rsidR="00000000" w:rsidRPr="00000000">
              <w:rPr>
                <w:rFonts w:ascii="Arial" w:cs="Arial" w:eastAsia="Arial" w:hAnsi="Arial"/>
                <w:rtl w:val="0"/>
              </w:rPr>
              <w:t xml:space="preserve">200</w:t>
            </w:r>
          </w:p>
        </w:tc>
        <w:tc>
          <w:tcPr/>
          <w:p w:rsidR="00000000" w:rsidDel="00000000" w:rsidP="00000000" w:rsidRDefault="00000000" w:rsidRPr="00000000" w14:paraId="00000163">
            <w:pPr>
              <w:rPr>
                <w:rFonts w:ascii="Arial" w:cs="Arial" w:eastAsia="Arial" w:hAnsi="Arial"/>
              </w:rPr>
            </w:pPr>
            <w:r w:rsidDel="00000000" w:rsidR="00000000" w:rsidRPr="00000000">
              <w:rPr>
                <w:rFonts w:ascii="Arial" w:cs="Arial" w:eastAsia="Arial" w:hAnsi="Arial"/>
                <w:rtl w:val="0"/>
              </w:rPr>
              <w:t xml:space="preserve">120</w:t>
            </w:r>
          </w:p>
        </w:tc>
        <w:tc>
          <w:tcPr/>
          <w:p w:rsidR="00000000" w:rsidDel="00000000" w:rsidP="00000000" w:rsidRDefault="00000000" w:rsidRPr="00000000" w14:paraId="00000164">
            <w:pPr>
              <w:rPr>
                <w:rFonts w:ascii="Arial" w:cs="Arial" w:eastAsia="Arial" w:hAnsi="Arial"/>
              </w:rPr>
            </w:pPr>
            <w:r w:rsidDel="00000000" w:rsidR="00000000" w:rsidRPr="00000000">
              <w:rPr>
                <w:rFonts w:ascii="Arial" w:cs="Arial" w:eastAsia="Arial" w:hAnsi="Arial"/>
                <w:rtl w:val="0"/>
              </w:rPr>
              <w:t xml:space="preserve">80</w:t>
            </w:r>
          </w:p>
        </w:tc>
        <w:tc>
          <w:tcPr/>
          <w:p w:rsidR="00000000" w:rsidDel="00000000" w:rsidP="00000000" w:rsidRDefault="00000000" w:rsidRPr="00000000" w14:paraId="00000165">
            <w:pPr>
              <w:rPr>
                <w:rFonts w:ascii="Arial" w:cs="Arial" w:eastAsia="Arial" w:hAnsi="Arial"/>
              </w:rPr>
            </w:pPr>
            <w:r w:rsidDel="00000000" w:rsidR="00000000" w:rsidRPr="00000000">
              <w:rPr>
                <w:rFonts w:ascii="Arial" w:cs="Arial" w:eastAsia="Arial" w:hAnsi="Arial"/>
                <w:rtl w:val="0"/>
              </w:rPr>
              <w:t xml:space="preserve">20</w:t>
            </w:r>
          </w:p>
        </w:tc>
        <w:tc>
          <w:tcPr/>
          <w:p w:rsidR="00000000" w:rsidDel="00000000" w:rsidP="00000000" w:rsidRDefault="00000000" w:rsidRPr="00000000" w14:paraId="00000166">
            <w:pPr>
              <w:rPr>
                <w:rFonts w:ascii="Arial" w:cs="Arial" w:eastAsia="Arial" w:hAnsi="Arial"/>
              </w:rPr>
            </w:pPr>
            <w:r w:rsidDel="00000000" w:rsidR="00000000" w:rsidRPr="00000000">
              <w:rPr>
                <w:rFonts w:ascii="Arial" w:cs="Arial" w:eastAsia="Arial" w:hAnsi="Arial"/>
                <w:rtl w:val="0"/>
              </w:rPr>
              <w:t xml:space="preserve">180</w:t>
            </w:r>
          </w:p>
        </w:tc>
        <w:tc>
          <w:tcPr/>
          <w:p w:rsidR="00000000" w:rsidDel="00000000" w:rsidP="00000000" w:rsidRDefault="00000000" w:rsidRPr="00000000" w14:paraId="00000167">
            <w:pPr>
              <w:rPr>
                <w:rFonts w:ascii="Arial" w:cs="Arial" w:eastAsia="Arial" w:hAnsi="Arial"/>
              </w:rPr>
            </w:pPr>
            <w:r w:rsidDel="00000000" w:rsidR="00000000" w:rsidRPr="00000000">
              <w:rPr>
                <w:rFonts w:ascii="Arial" w:cs="Arial" w:eastAsia="Arial" w:hAnsi="Arial"/>
                <w:rtl w:val="0"/>
              </w:rPr>
              <w:t xml:space="preserve">0.943</w:t>
            </w:r>
          </w:p>
        </w:tc>
        <w:tc>
          <w:tcPr/>
          <w:p w:rsidR="00000000" w:rsidDel="00000000" w:rsidP="00000000" w:rsidRDefault="00000000" w:rsidRPr="00000000" w14:paraId="00000168">
            <w:pPr>
              <w:rPr>
                <w:rFonts w:ascii="Arial" w:cs="Arial" w:eastAsia="Arial" w:hAnsi="Arial"/>
              </w:rPr>
            </w:pPr>
            <w:r w:rsidDel="00000000" w:rsidR="00000000" w:rsidRPr="00000000">
              <w:rPr>
                <w:rFonts w:ascii="Arial" w:cs="Arial" w:eastAsia="Arial" w:hAnsi="Arial"/>
                <w:rtl w:val="0"/>
              </w:rPr>
              <w:t xml:space="preserve">169.7</w:t>
            </w:r>
          </w:p>
        </w:tc>
      </w:tr>
      <w:tr>
        <w:trPr>
          <w:cantSplit w:val="0"/>
          <w:tblHeader w:val="0"/>
        </w:trPr>
        <w:tc>
          <w:tcPr/>
          <w:p w:rsidR="00000000" w:rsidDel="00000000" w:rsidP="00000000" w:rsidRDefault="00000000" w:rsidRPr="00000000" w14:paraId="00000169">
            <w:pPr>
              <w:rPr>
                <w:rFonts w:ascii="Arial" w:cs="Arial" w:eastAsia="Arial" w:hAnsi="Arial"/>
              </w:rPr>
            </w:pPr>
            <w:r w:rsidDel="00000000" w:rsidR="00000000" w:rsidRPr="00000000">
              <w:rPr>
                <w:rFonts w:ascii="Arial" w:cs="Arial" w:eastAsia="Arial" w:hAnsi="Arial"/>
                <w:rtl w:val="0"/>
              </w:rPr>
              <w:t xml:space="preserve">2</w:t>
            </w:r>
          </w:p>
        </w:tc>
        <w:tc>
          <w:tcPr/>
          <w:p w:rsidR="00000000" w:rsidDel="00000000" w:rsidP="00000000" w:rsidRDefault="00000000" w:rsidRPr="00000000" w14:paraId="0000016A">
            <w:pPr>
              <w:rPr>
                <w:rFonts w:ascii="Arial" w:cs="Arial" w:eastAsia="Arial" w:hAnsi="Arial"/>
              </w:rPr>
            </w:pPr>
            <w:r w:rsidDel="00000000" w:rsidR="00000000" w:rsidRPr="00000000">
              <w:rPr>
                <w:rFonts w:ascii="Arial" w:cs="Arial" w:eastAsia="Arial" w:hAnsi="Arial"/>
                <w:rtl w:val="0"/>
              </w:rPr>
              <w:t xml:space="preserve">400</w:t>
            </w:r>
          </w:p>
        </w:tc>
        <w:tc>
          <w:tcPr/>
          <w:p w:rsidR="00000000" w:rsidDel="00000000" w:rsidP="00000000" w:rsidRDefault="00000000" w:rsidRPr="00000000" w14:paraId="0000016B">
            <w:pPr>
              <w:rPr>
                <w:rFonts w:ascii="Arial" w:cs="Arial" w:eastAsia="Arial" w:hAnsi="Arial"/>
              </w:rPr>
            </w:pPr>
            <w:r w:rsidDel="00000000" w:rsidR="00000000" w:rsidRPr="00000000">
              <w:rPr>
                <w:rFonts w:ascii="Arial" w:cs="Arial" w:eastAsia="Arial" w:hAnsi="Arial"/>
                <w:rtl w:val="0"/>
              </w:rPr>
              <w:t xml:space="preserve">120</w:t>
            </w:r>
          </w:p>
        </w:tc>
        <w:tc>
          <w:tcPr/>
          <w:p w:rsidR="00000000" w:rsidDel="00000000" w:rsidP="00000000" w:rsidRDefault="00000000" w:rsidRPr="00000000" w14:paraId="0000016C">
            <w:pPr>
              <w:rPr>
                <w:rFonts w:ascii="Arial" w:cs="Arial" w:eastAsia="Arial" w:hAnsi="Arial"/>
              </w:rPr>
            </w:pPr>
            <w:r w:rsidDel="00000000" w:rsidR="00000000" w:rsidRPr="00000000">
              <w:rPr>
                <w:rFonts w:ascii="Arial" w:cs="Arial" w:eastAsia="Arial" w:hAnsi="Arial"/>
                <w:rtl w:val="0"/>
              </w:rPr>
              <w:t xml:space="preserve">280</w:t>
            </w:r>
          </w:p>
        </w:tc>
        <w:tc>
          <w:tcPr/>
          <w:p w:rsidR="00000000" w:rsidDel="00000000" w:rsidP="00000000" w:rsidRDefault="00000000" w:rsidRPr="00000000" w14:paraId="0000016D">
            <w:pPr>
              <w:rPr>
                <w:rFonts w:ascii="Arial" w:cs="Arial" w:eastAsia="Arial" w:hAnsi="Arial"/>
              </w:rPr>
            </w:pPr>
            <w:r w:rsidDel="00000000" w:rsidR="00000000" w:rsidRPr="00000000">
              <w:rPr>
                <w:rFonts w:ascii="Arial" w:cs="Arial" w:eastAsia="Arial" w:hAnsi="Arial"/>
                <w:rtl w:val="0"/>
              </w:rPr>
              <w:t xml:space="preserve">70</w:t>
            </w:r>
          </w:p>
        </w:tc>
        <w:tc>
          <w:tcPr/>
          <w:p w:rsidR="00000000" w:rsidDel="00000000" w:rsidP="00000000" w:rsidRDefault="00000000" w:rsidRPr="00000000" w14:paraId="0000016E">
            <w:pPr>
              <w:rPr>
                <w:rFonts w:ascii="Arial" w:cs="Arial" w:eastAsia="Arial" w:hAnsi="Arial"/>
              </w:rPr>
            </w:pPr>
            <w:r w:rsidDel="00000000" w:rsidR="00000000" w:rsidRPr="00000000">
              <w:rPr>
                <w:rFonts w:ascii="Arial" w:cs="Arial" w:eastAsia="Arial" w:hAnsi="Arial"/>
                <w:rtl w:val="0"/>
              </w:rPr>
              <w:t xml:space="preserve">330</w:t>
            </w:r>
          </w:p>
        </w:tc>
        <w:tc>
          <w:tcPr/>
          <w:p w:rsidR="00000000" w:rsidDel="00000000" w:rsidP="00000000" w:rsidRDefault="00000000" w:rsidRPr="00000000" w14:paraId="0000016F">
            <w:pPr>
              <w:rPr>
                <w:rFonts w:ascii="Arial" w:cs="Arial" w:eastAsia="Arial" w:hAnsi="Arial"/>
              </w:rPr>
            </w:pPr>
            <w:r w:rsidDel="00000000" w:rsidR="00000000" w:rsidRPr="00000000">
              <w:rPr>
                <w:rFonts w:ascii="Arial" w:cs="Arial" w:eastAsia="Arial" w:hAnsi="Arial"/>
                <w:rtl w:val="0"/>
              </w:rPr>
              <w:t xml:space="preserve">0.890</w:t>
            </w:r>
          </w:p>
        </w:tc>
        <w:tc>
          <w:tcPr/>
          <w:p w:rsidR="00000000" w:rsidDel="00000000" w:rsidP="00000000" w:rsidRDefault="00000000" w:rsidRPr="00000000" w14:paraId="00000170">
            <w:pPr>
              <w:rPr>
                <w:rFonts w:ascii="Arial" w:cs="Arial" w:eastAsia="Arial" w:hAnsi="Arial"/>
              </w:rPr>
            </w:pPr>
            <w:r w:rsidDel="00000000" w:rsidR="00000000" w:rsidRPr="00000000">
              <w:rPr>
                <w:rFonts w:ascii="Arial" w:cs="Arial" w:eastAsia="Arial" w:hAnsi="Arial"/>
                <w:rtl w:val="0"/>
              </w:rPr>
              <w:t xml:space="preserve">293.7</w:t>
            </w:r>
          </w:p>
        </w:tc>
      </w:tr>
      <w:tr>
        <w:trPr>
          <w:cantSplit w:val="0"/>
          <w:tblHeader w:val="0"/>
        </w:trPr>
        <w:tc>
          <w:tcPr/>
          <w:p w:rsidR="00000000" w:rsidDel="00000000" w:rsidP="00000000" w:rsidRDefault="00000000" w:rsidRPr="00000000" w14:paraId="00000171">
            <w:pP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172">
            <w:pPr>
              <w:rPr>
                <w:rFonts w:ascii="Arial" w:cs="Arial" w:eastAsia="Arial" w:hAnsi="Arial"/>
              </w:rPr>
            </w:pPr>
            <w:r w:rsidDel="00000000" w:rsidR="00000000" w:rsidRPr="00000000">
              <w:rPr>
                <w:rFonts w:ascii="Arial" w:cs="Arial" w:eastAsia="Arial" w:hAnsi="Arial"/>
                <w:rtl w:val="0"/>
              </w:rPr>
              <w:t xml:space="preserve">500</w:t>
            </w:r>
          </w:p>
        </w:tc>
        <w:tc>
          <w:tcPr/>
          <w:p w:rsidR="00000000" w:rsidDel="00000000" w:rsidP="00000000" w:rsidRDefault="00000000" w:rsidRPr="00000000" w14:paraId="00000173">
            <w:pPr>
              <w:rPr>
                <w:rFonts w:ascii="Arial" w:cs="Arial" w:eastAsia="Arial" w:hAnsi="Arial"/>
              </w:rPr>
            </w:pPr>
            <w:r w:rsidDel="00000000" w:rsidR="00000000" w:rsidRPr="00000000">
              <w:rPr>
                <w:rFonts w:ascii="Arial" w:cs="Arial" w:eastAsia="Arial" w:hAnsi="Arial"/>
                <w:rtl w:val="0"/>
              </w:rPr>
              <w:t xml:space="preserve">120</w:t>
            </w:r>
          </w:p>
        </w:tc>
        <w:tc>
          <w:tcPr/>
          <w:p w:rsidR="00000000" w:rsidDel="00000000" w:rsidP="00000000" w:rsidRDefault="00000000" w:rsidRPr="00000000" w14:paraId="00000174">
            <w:pPr>
              <w:rPr>
                <w:rFonts w:ascii="Arial" w:cs="Arial" w:eastAsia="Arial" w:hAnsi="Arial"/>
              </w:rPr>
            </w:pPr>
            <w:r w:rsidDel="00000000" w:rsidR="00000000" w:rsidRPr="00000000">
              <w:rPr>
                <w:rFonts w:ascii="Arial" w:cs="Arial" w:eastAsia="Arial" w:hAnsi="Arial"/>
                <w:rtl w:val="0"/>
              </w:rPr>
              <w:t xml:space="preserve">380</w:t>
            </w:r>
          </w:p>
        </w:tc>
        <w:tc>
          <w:tcPr/>
          <w:p w:rsidR="00000000" w:rsidDel="00000000" w:rsidP="00000000" w:rsidRDefault="00000000" w:rsidRPr="00000000" w14:paraId="00000175">
            <w:pPr>
              <w:rPr>
                <w:rFonts w:ascii="Arial" w:cs="Arial" w:eastAsia="Arial" w:hAnsi="Arial"/>
              </w:rPr>
            </w:pPr>
            <w:r w:rsidDel="00000000" w:rsidR="00000000" w:rsidRPr="00000000">
              <w:rPr>
                <w:rFonts w:ascii="Arial" w:cs="Arial" w:eastAsia="Arial" w:hAnsi="Arial"/>
                <w:rtl w:val="0"/>
              </w:rPr>
              <w:t xml:space="preserve">95</w:t>
            </w:r>
          </w:p>
        </w:tc>
        <w:tc>
          <w:tcPr/>
          <w:p w:rsidR="00000000" w:rsidDel="00000000" w:rsidP="00000000" w:rsidRDefault="00000000" w:rsidRPr="00000000" w14:paraId="00000176">
            <w:pPr>
              <w:rPr>
                <w:rFonts w:ascii="Arial" w:cs="Arial" w:eastAsia="Arial" w:hAnsi="Arial"/>
              </w:rPr>
            </w:pPr>
            <w:r w:rsidDel="00000000" w:rsidR="00000000" w:rsidRPr="00000000">
              <w:rPr>
                <w:rFonts w:ascii="Arial" w:cs="Arial" w:eastAsia="Arial" w:hAnsi="Arial"/>
                <w:rtl w:val="0"/>
              </w:rPr>
              <w:t xml:space="preserve">405</w:t>
            </w:r>
          </w:p>
        </w:tc>
        <w:tc>
          <w:tcPr/>
          <w:p w:rsidR="00000000" w:rsidDel="00000000" w:rsidP="00000000" w:rsidRDefault="00000000" w:rsidRPr="00000000" w14:paraId="00000177">
            <w:pPr>
              <w:rPr>
                <w:rFonts w:ascii="Arial" w:cs="Arial" w:eastAsia="Arial" w:hAnsi="Arial"/>
              </w:rPr>
            </w:pPr>
            <w:r w:rsidDel="00000000" w:rsidR="00000000" w:rsidRPr="00000000">
              <w:rPr>
                <w:rFonts w:ascii="Arial" w:cs="Arial" w:eastAsia="Arial" w:hAnsi="Arial"/>
                <w:rtl w:val="0"/>
              </w:rPr>
              <w:t xml:space="preserve">0.840</w:t>
            </w:r>
          </w:p>
        </w:tc>
        <w:tc>
          <w:tcPr/>
          <w:p w:rsidR="00000000" w:rsidDel="00000000" w:rsidP="00000000" w:rsidRDefault="00000000" w:rsidRPr="00000000" w14:paraId="00000178">
            <w:pPr>
              <w:rPr>
                <w:rFonts w:ascii="Arial" w:cs="Arial" w:eastAsia="Arial" w:hAnsi="Arial"/>
              </w:rPr>
            </w:pPr>
            <w:r w:rsidDel="00000000" w:rsidR="00000000" w:rsidRPr="00000000">
              <w:rPr>
                <w:rFonts w:ascii="Arial" w:cs="Arial" w:eastAsia="Arial" w:hAnsi="Arial"/>
                <w:rtl w:val="0"/>
              </w:rPr>
              <w:t xml:space="preserve">340.2</w:t>
            </w:r>
          </w:p>
        </w:tc>
      </w:tr>
      <w:tr>
        <w:trPr>
          <w:cantSplit w:val="0"/>
          <w:tblHeader w:val="0"/>
        </w:trPr>
        <w:tc>
          <w:tcPr/>
          <w:p w:rsidR="00000000" w:rsidDel="00000000" w:rsidP="00000000" w:rsidRDefault="00000000" w:rsidRPr="00000000" w14:paraId="00000179">
            <w:pP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17A">
            <w:pPr>
              <w:rPr>
                <w:rFonts w:ascii="Arial" w:cs="Arial" w:eastAsia="Arial" w:hAnsi="Arial"/>
              </w:rPr>
            </w:pPr>
            <w:r w:rsidDel="00000000" w:rsidR="00000000" w:rsidRPr="00000000">
              <w:rPr>
                <w:rFonts w:ascii="Arial" w:cs="Arial" w:eastAsia="Arial" w:hAnsi="Arial"/>
                <w:rtl w:val="0"/>
              </w:rPr>
              <w:t xml:space="preserve">700</w:t>
            </w:r>
          </w:p>
        </w:tc>
        <w:tc>
          <w:tcPr/>
          <w:p w:rsidR="00000000" w:rsidDel="00000000" w:rsidP="00000000" w:rsidRDefault="00000000" w:rsidRPr="00000000" w14:paraId="0000017B">
            <w:pPr>
              <w:rPr>
                <w:rFonts w:ascii="Arial" w:cs="Arial" w:eastAsia="Arial" w:hAnsi="Arial"/>
              </w:rPr>
            </w:pPr>
            <w:r w:rsidDel="00000000" w:rsidR="00000000" w:rsidRPr="00000000">
              <w:rPr>
                <w:rFonts w:ascii="Arial" w:cs="Arial" w:eastAsia="Arial" w:hAnsi="Arial"/>
                <w:rtl w:val="0"/>
              </w:rPr>
              <w:t xml:space="preserve">120</w:t>
            </w:r>
          </w:p>
        </w:tc>
        <w:tc>
          <w:tcPr/>
          <w:p w:rsidR="00000000" w:rsidDel="00000000" w:rsidP="00000000" w:rsidRDefault="00000000" w:rsidRPr="00000000" w14:paraId="0000017C">
            <w:pPr>
              <w:rPr>
                <w:rFonts w:ascii="Arial" w:cs="Arial" w:eastAsia="Arial" w:hAnsi="Arial"/>
              </w:rPr>
            </w:pPr>
            <w:r w:rsidDel="00000000" w:rsidR="00000000" w:rsidRPr="00000000">
              <w:rPr>
                <w:rFonts w:ascii="Arial" w:cs="Arial" w:eastAsia="Arial" w:hAnsi="Arial"/>
                <w:rtl w:val="0"/>
              </w:rPr>
              <w:t xml:space="preserve">580</w:t>
            </w:r>
          </w:p>
        </w:tc>
        <w:tc>
          <w:tcPr/>
          <w:p w:rsidR="00000000" w:rsidDel="00000000" w:rsidP="00000000" w:rsidRDefault="00000000" w:rsidRPr="00000000" w14:paraId="0000017D">
            <w:pPr>
              <w:rPr>
                <w:rFonts w:ascii="Arial" w:cs="Arial" w:eastAsia="Arial" w:hAnsi="Arial"/>
              </w:rPr>
            </w:pPr>
            <w:r w:rsidDel="00000000" w:rsidR="00000000" w:rsidRPr="00000000">
              <w:rPr>
                <w:rFonts w:ascii="Arial" w:cs="Arial" w:eastAsia="Arial" w:hAnsi="Arial"/>
                <w:rtl w:val="0"/>
              </w:rPr>
              <w:t xml:space="preserve">145</w:t>
            </w:r>
          </w:p>
        </w:tc>
        <w:tc>
          <w:tcPr/>
          <w:p w:rsidR="00000000" w:rsidDel="00000000" w:rsidP="00000000" w:rsidRDefault="00000000" w:rsidRPr="00000000" w14:paraId="0000017E">
            <w:pPr>
              <w:rPr>
                <w:rFonts w:ascii="Arial" w:cs="Arial" w:eastAsia="Arial" w:hAnsi="Arial"/>
              </w:rPr>
            </w:pPr>
            <w:r w:rsidDel="00000000" w:rsidR="00000000" w:rsidRPr="00000000">
              <w:rPr>
                <w:rFonts w:ascii="Arial" w:cs="Arial" w:eastAsia="Arial" w:hAnsi="Arial"/>
                <w:rtl w:val="0"/>
              </w:rPr>
              <w:t xml:space="preserve">555</w:t>
            </w:r>
          </w:p>
        </w:tc>
        <w:tc>
          <w:tcPr/>
          <w:p w:rsidR="00000000" w:rsidDel="00000000" w:rsidP="00000000" w:rsidRDefault="00000000" w:rsidRPr="00000000" w14:paraId="0000017F">
            <w:pPr>
              <w:rPr>
                <w:rFonts w:ascii="Arial" w:cs="Arial" w:eastAsia="Arial" w:hAnsi="Arial"/>
              </w:rPr>
            </w:pPr>
            <w:r w:rsidDel="00000000" w:rsidR="00000000" w:rsidRPr="00000000">
              <w:rPr>
                <w:rFonts w:ascii="Arial" w:cs="Arial" w:eastAsia="Arial" w:hAnsi="Arial"/>
                <w:rtl w:val="0"/>
              </w:rPr>
              <w:t xml:space="preserve">0.792</w:t>
            </w:r>
          </w:p>
        </w:tc>
        <w:tc>
          <w:tcPr/>
          <w:p w:rsidR="00000000" w:rsidDel="00000000" w:rsidP="00000000" w:rsidRDefault="00000000" w:rsidRPr="00000000" w14:paraId="00000180">
            <w:pPr>
              <w:rPr>
                <w:rFonts w:ascii="Arial" w:cs="Arial" w:eastAsia="Arial" w:hAnsi="Arial"/>
              </w:rPr>
            </w:pPr>
            <w:r w:rsidDel="00000000" w:rsidR="00000000" w:rsidRPr="00000000">
              <w:rPr>
                <w:rFonts w:ascii="Arial" w:cs="Arial" w:eastAsia="Arial" w:hAnsi="Arial"/>
                <w:rtl w:val="0"/>
              </w:rPr>
              <w:t xml:space="preserve">439.6</w:t>
            </w:r>
          </w:p>
        </w:tc>
      </w:tr>
    </w:tbl>
    <w:p w:rsidR="00000000" w:rsidDel="00000000" w:rsidP="00000000" w:rsidRDefault="00000000" w:rsidRPr="00000000" w14:paraId="00000181">
      <w:pPr>
        <w:rPr>
          <w:rFonts w:ascii="Arial" w:cs="Arial" w:eastAsia="Arial" w:hAnsi="Arial"/>
        </w:rPr>
      </w:pPr>
      <w:r w:rsidDel="00000000" w:rsidR="00000000" w:rsidRPr="00000000">
        <w:rPr>
          <w:rtl w:val="0"/>
        </w:rPr>
      </w:r>
    </w:p>
    <w:p w:rsidR="00000000" w:rsidDel="00000000" w:rsidP="00000000" w:rsidRDefault="00000000" w:rsidRPr="00000000" w14:paraId="00000182">
      <w:pPr>
        <w:rPr>
          <w:rFonts w:ascii="Arial" w:cs="Arial" w:eastAsia="Arial" w:hAnsi="Arial"/>
          <w:b w:val="1"/>
          <w:bCs w:val="1"/>
        </w:rPr>
      </w:pPr>
      <w:r w:rsidDel="00000000" w:rsidR="00000000" w:rsidRPr="00000000">
        <w:rPr>
          <w:rFonts w:ascii="Arial" w:cs="Arial" w:eastAsia="Arial" w:hAnsi="Arial"/>
          <w:b w:val="0"/>
          <w:bCs w:val="0"/>
          <w:rtl w:val="0"/>
        </w:rPr>
        <w:t xml:space="preserve">Total PV of inflows = £1,243.2k</w:t>
      </w:r>
      <w:r w:rsidDel="00000000" w:rsidR="00000000" w:rsidRPr="00000000">
        <w:rPr>
          <w:rtl w:val="0"/>
        </w:rPr>
      </w:r>
    </w:p>
    <w:p w:rsidR="00000000" w:rsidDel="00000000" w:rsidP="00000000" w:rsidRDefault="00000000" w:rsidRPr="00000000" w14:paraId="00000183">
      <w:pPr>
        <w:rPr>
          <w:rFonts w:ascii="Arial" w:cs="Arial" w:eastAsia="Arial" w:hAnsi="Arial"/>
          <w:b w:val="0"/>
          <w:bCs w:val="0"/>
        </w:rPr>
      </w:pPr>
      <w:r w:rsidDel="00000000" w:rsidR="00000000" w:rsidRPr="00000000">
        <w:rPr>
          <w:rFonts w:ascii="Arial" w:cs="Arial" w:eastAsia="Arial" w:hAnsi="Arial"/>
          <w:b w:val="0"/>
          <w:bCs w:val="0"/>
          <w:rtl w:val="0"/>
        </w:rPr>
        <w:t xml:space="preserve">NPV (Option A) = 1,243.2 − 600 = £643.2k</w:t>
      </w:r>
    </w:p>
    <w:p w:rsidR="00000000" w:rsidDel="00000000" w:rsidP="00000000" w:rsidRDefault="00000000" w:rsidRPr="00000000" w14:paraId="00000184">
      <w:pPr>
        <w:rPr>
          <w:rFonts w:ascii="Arial" w:cs="Arial" w:eastAsia="Arial" w:hAnsi="Arial"/>
          <w:b w:val="1"/>
          <w:bCs w:val="1"/>
        </w:rPr>
      </w:pPr>
      <w:r w:rsidDel="00000000" w:rsidR="00000000" w:rsidRPr="00000000">
        <w:rPr>
          <w:rFonts w:ascii="Arial" w:cs="Arial" w:eastAsia="Arial" w:hAnsi="Arial"/>
          <w:b w:val="1"/>
          <w:bCs w:val="1"/>
          <w:rtl w:val="0"/>
        </w:rPr>
        <w:t xml:space="preserve">Option B – Internet Sales</w:t>
      </w:r>
    </w:p>
    <w:p w:rsidR="00000000" w:rsidDel="00000000" w:rsidP="00000000" w:rsidRDefault="00000000" w:rsidRPr="00000000" w14:paraId="00000185">
      <w:pPr>
        <w:rPr>
          <w:rFonts w:ascii="Arial" w:cs="Arial" w:eastAsia="Arial" w:hAnsi="Arial"/>
        </w:rPr>
      </w:pPr>
      <w:r w:rsidDel="00000000" w:rsidR="00000000" w:rsidRPr="00000000">
        <w:rPr>
          <w:rFonts w:ascii="Arial" w:cs="Arial" w:eastAsia="Arial" w:hAnsi="Arial"/>
          <w:b w:val="1"/>
          <w:bCs w:val="1"/>
          <w:rtl w:val="0"/>
        </w:rPr>
        <w:t xml:space="preserve">Initial investment:</w:t>
      </w:r>
      <w:r w:rsidDel="00000000" w:rsidR="00000000" w:rsidRPr="00000000">
        <w:rPr>
          <w:rFonts w:ascii="Arial" w:cs="Arial" w:eastAsia="Arial" w:hAnsi="Arial"/>
          <w:rtl w:val="0"/>
        </w:rPr>
        <w:t xml:space="preserve"> £1,000,000</w:t>
      </w:r>
    </w:p>
    <w:p w:rsidR="00000000" w:rsidDel="00000000" w:rsidP="00000000" w:rsidRDefault="00000000" w:rsidRPr="00000000" w14:paraId="00000186">
      <w:pPr>
        <w:rPr>
          <w:rFonts w:ascii="Arial" w:cs="Arial" w:eastAsia="Arial" w:hAnsi="Arial"/>
          <w:b w:val="1"/>
          <w:bCs w:val="1"/>
        </w:rPr>
      </w:pPr>
      <w:r w:rsidDel="00000000" w:rsidR="00000000" w:rsidRPr="00000000">
        <w:rPr>
          <w:rFonts w:ascii="Arial" w:cs="Arial" w:eastAsia="Arial" w:hAnsi="Arial"/>
          <w:b w:val="1"/>
          <w:bCs w:val="1"/>
          <w:rtl w:val="0"/>
        </w:rPr>
        <w:t xml:space="preserve">Capital allowance:</w:t>
      </w:r>
      <w:r w:rsidDel="00000000" w:rsidR="00000000" w:rsidRPr="00000000">
        <w:rPr>
          <w:rFonts w:ascii="Arial" w:cs="Arial" w:eastAsia="Arial" w:hAnsi="Arial"/>
          <w:rtl w:val="0"/>
        </w:rPr>
        <w:t xml:space="preserve"> 20% × 1,000 = £200,000 per year</w:t>
      </w:r>
      <w:r w:rsidDel="00000000" w:rsidR="00000000" w:rsidRPr="00000000">
        <w:rPr>
          <w:rtl w:val="0"/>
        </w:rPr>
      </w:r>
    </w:p>
    <w:tbl>
      <w:tblPr>
        <w:tblStyle w:val="Table10"/>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983"/>
        <w:gridCol w:w="1598"/>
        <w:gridCol w:w="1183"/>
        <w:gridCol w:w="1099"/>
        <w:gridCol w:w="1085"/>
        <w:gridCol w:w="1419"/>
        <w:gridCol w:w="1282"/>
        <w:tblGridChange w:id="0">
          <w:tblGrid>
            <w:gridCol w:w="701"/>
            <w:gridCol w:w="983"/>
            <w:gridCol w:w="1598"/>
            <w:gridCol w:w="1183"/>
            <w:gridCol w:w="1099"/>
            <w:gridCol w:w="1085"/>
            <w:gridCol w:w="1419"/>
            <w:gridCol w:w="1282"/>
          </w:tblGrid>
        </w:tblGridChange>
      </w:tblGrid>
      <w:tr>
        <w:trPr>
          <w:cantSplit w:val="0"/>
          <w:tblHeader w:val="0"/>
        </w:trPr>
        <w:tc>
          <w:tcPr/>
          <w:p w:rsidR="00000000" w:rsidDel="00000000" w:rsidP="00000000" w:rsidRDefault="00000000" w:rsidRPr="00000000" w14:paraId="00000187">
            <w:pP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188">
            <w:pPr>
              <w:rPr>
                <w:rFonts w:ascii="Arial" w:cs="Arial" w:eastAsia="Arial" w:hAnsi="Arial"/>
              </w:rPr>
            </w:pPr>
            <w:r w:rsidDel="00000000" w:rsidR="00000000" w:rsidRPr="00000000">
              <w:rPr>
                <w:rFonts w:ascii="Arial" w:cs="Arial" w:eastAsia="Arial" w:hAnsi="Arial"/>
                <w:rtl w:val="0"/>
              </w:rPr>
              <w:t xml:space="preserve">Cash Flow</w:t>
            </w:r>
          </w:p>
        </w:tc>
        <w:tc>
          <w:tcPr/>
          <w:p w:rsidR="00000000" w:rsidDel="00000000" w:rsidP="00000000" w:rsidRDefault="00000000" w:rsidRPr="00000000" w14:paraId="00000189">
            <w:pPr>
              <w:rPr>
                <w:rFonts w:ascii="Arial" w:cs="Arial" w:eastAsia="Arial" w:hAnsi="Arial"/>
              </w:rPr>
            </w:pPr>
            <w:r w:rsidDel="00000000" w:rsidR="00000000" w:rsidRPr="00000000">
              <w:rPr>
                <w:rFonts w:ascii="Arial" w:cs="Arial" w:eastAsia="Arial" w:hAnsi="Arial"/>
                <w:rtl w:val="0"/>
              </w:rPr>
              <w:t xml:space="preserve">Capital Allowance</w:t>
            </w:r>
          </w:p>
        </w:tc>
        <w:tc>
          <w:tcPr/>
          <w:p w:rsidR="00000000" w:rsidDel="00000000" w:rsidP="00000000" w:rsidRDefault="00000000" w:rsidRPr="00000000" w14:paraId="0000018A">
            <w:pPr>
              <w:rPr>
                <w:rFonts w:ascii="Arial" w:cs="Arial" w:eastAsia="Arial" w:hAnsi="Arial"/>
              </w:rPr>
            </w:pPr>
            <w:r w:rsidDel="00000000" w:rsidR="00000000" w:rsidRPr="00000000">
              <w:rPr>
                <w:rFonts w:ascii="Arial" w:cs="Arial" w:eastAsia="Arial" w:hAnsi="Arial"/>
                <w:rtl w:val="0"/>
              </w:rPr>
              <w:t xml:space="preserve">Taxable CF</w:t>
            </w:r>
          </w:p>
        </w:tc>
        <w:tc>
          <w:tcPr/>
          <w:p w:rsidR="00000000" w:rsidDel="00000000" w:rsidP="00000000" w:rsidRDefault="00000000" w:rsidRPr="00000000" w14:paraId="0000018B">
            <w:pPr>
              <w:rPr>
                <w:rFonts w:ascii="Arial" w:cs="Arial" w:eastAsia="Arial" w:hAnsi="Arial"/>
              </w:rPr>
            </w:pPr>
            <w:r w:rsidDel="00000000" w:rsidR="00000000" w:rsidRPr="00000000">
              <w:rPr>
                <w:rFonts w:ascii="Arial" w:cs="Arial" w:eastAsia="Arial" w:hAnsi="Arial"/>
                <w:rtl w:val="0"/>
              </w:rPr>
              <w:t xml:space="preserve">Tax @25%</w:t>
            </w:r>
          </w:p>
        </w:tc>
        <w:tc>
          <w:tcPr/>
          <w:p w:rsidR="00000000" w:rsidDel="00000000" w:rsidP="00000000" w:rsidRDefault="00000000" w:rsidRPr="00000000" w14:paraId="0000018C">
            <w:pPr>
              <w:rPr>
                <w:rFonts w:ascii="Arial" w:cs="Arial" w:eastAsia="Arial" w:hAnsi="Arial"/>
              </w:rPr>
            </w:pPr>
            <w:r w:rsidDel="00000000" w:rsidR="00000000" w:rsidRPr="00000000">
              <w:rPr>
                <w:rFonts w:ascii="Arial" w:cs="Arial" w:eastAsia="Arial" w:hAnsi="Arial"/>
                <w:rtl w:val="0"/>
              </w:rPr>
              <w:t xml:space="preserve">After-Tax CF</w:t>
            </w:r>
          </w:p>
        </w:tc>
        <w:tc>
          <w:tcPr/>
          <w:p w:rsidR="00000000" w:rsidDel="00000000" w:rsidP="00000000" w:rsidRDefault="00000000" w:rsidRPr="00000000" w14:paraId="0000018D">
            <w:pPr>
              <w:rPr>
                <w:rFonts w:ascii="Arial" w:cs="Arial" w:eastAsia="Arial" w:hAnsi="Arial"/>
              </w:rPr>
            </w:pPr>
            <w:r w:rsidDel="00000000" w:rsidR="00000000" w:rsidRPr="00000000">
              <w:rPr>
                <w:rFonts w:ascii="Arial" w:cs="Arial" w:eastAsia="Arial" w:hAnsi="Arial"/>
                <w:rtl w:val="0"/>
              </w:rPr>
              <w:t xml:space="preserve">Discount Factor</w:t>
            </w:r>
          </w:p>
        </w:tc>
        <w:tc>
          <w:tcPr/>
          <w:p w:rsidR="00000000" w:rsidDel="00000000" w:rsidP="00000000" w:rsidRDefault="00000000" w:rsidRPr="00000000" w14:paraId="0000018E">
            <w:pPr>
              <w:rPr>
                <w:rFonts w:ascii="Arial" w:cs="Arial" w:eastAsia="Arial" w:hAnsi="Arial"/>
              </w:rPr>
            </w:pPr>
            <w:r w:rsidDel="00000000" w:rsidR="00000000" w:rsidRPr="00000000">
              <w:rPr>
                <w:rFonts w:ascii="Arial" w:cs="Arial" w:eastAsia="Arial" w:hAnsi="Arial"/>
                <w:rtl w:val="0"/>
              </w:rPr>
              <w:t xml:space="preserve">Present Value</w:t>
            </w:r>
          </w:p>
        </w:tc>
      </w:tr>
      <w:tr>
        <w:trPr>
          <w:cantSplit w:val="0"/>
          <w:tblHeader w:val="0"/>
        </w:trPr>
        <w:tc>
          <w:tcPr/>
          <w:p w:rsidR="00000000" w:rsidDel="00000000" w:rsidP="00000000" w:rsidRDefault="00000000" w:rsidRPr="00000000" w14:paraId="0000018F">
            <w:pPr>
              <w:rPr>
                <w:rFonts w:ascii="Arial" w:cs="Arial" w:eastAsia="Arial" w:hAnsi="Arial"/>
              </w:rPr>
            </w:pPr>
            <w:r w:rsidDel="00000000" w:rsidR="00000000" w:rsidRPr="00000000">
              <w:rPr>
                <w:rFonts w:ascii="Arial" w:cs="Arial" w:eastAsia="Arial" w:hAnsi="Arial"/>
                <w:rtl w:val="0"/>
              </w:rPr>
              <w:t xml:space="preserve">1</w:t>
            </w:r>
          </w:p>
        </w:tc>
        <w:tc>
          <w:tcPr/>
          <w:p w:rsidR="00000000" w:rsidDel="00000000" w:rsidP="00000000" w:rsidRDefault="00000000" w:rsidRPr="00000000" w14:paraId="00000190">
            <w:pPr>
              <w:rPr>
                <w:rFonts w:ascii="Arial" w:cs="Arial" w:eastAsia="Arial" w:hAnsi="Arial"/>
              </w:rPr>
            </w:pPr>
            <w:r w:rsidDel="00000000" w:rsidR="00000000" w:rsidRPr="00000000">
              <w:rPr>
                <w:rFonts w:ascii="Arial" w:cs="Arial" w:eastAsia="Arial" w:hAnsi="Arial"/>
                <w:rtl w:val="0"/>
              </w:rPr>
              <w:t xml:space="preserve">400</w:t>
            </w:r>
          </w:p>
        </w:tc>
        <w:tc>
          <w:tcPr/>
          <w:p w:rsidR="00000000" w:rsidDel="00000000" w:rsidP="00000000" w:rsidRDefault="00000000" w:rsidRPr="00000000" w14:paraId="00000191">
            <w:pPr>
              <w:rPr>
                <w:rFonts w:ascii="Arial" w:cs="Arial" w:eastAsia="Arial" w:hAnsi="Arial"/>
              </w:rPr>
            </w:pPr>
            <w:r w:rsidDel="00000000" w:rsidR="00000000" w:rsidRPr="00000000">
              <w:rPr>
                <w:rFonts w:ascii="Arial" w:cs="Arial" w:eastAsia="Arial" w:hAnsi="Arial"/>
                <w:rtl w:val="0"/>
              </w:rPr>
              <w:t xml:space="preserve">200</w:t>
            </w:r>
          </w:p>
        </w:tc>
        <w:tc>
          <w:tcPr/>
          <w:p w:rsidR="00000000" w:rsidDel="00000000" w:rsidP="00000000" w:rsidRDefault="00000000" w:rsidRPr="00000000" w14:paraId="00000192">
            <w:pPr>
              <w:rPr>
                <w:rFonts w:ascii="Arial" w:cs="Arial" w:eastAsia="Arial" w:hAnsi="Arial"/>
              </w:rPr>
            </w:pPr>
            <w:r w:rsidDel="00000000" w:rsidR="00000000" w:rsidRPr="00000000">
              <w:rPr>
                <w:rFonts w:ascii="Arial" w:cs="Arial" w:eastAsia="Arial" w:hAnsi="Arial"/>
                <w:rtl w:val="0"/>
              </w:rPr>
              <w:t xml:space="preserve">200</w:t>
            </w:r>
          </w:p>
        </w:tc>
        <w:tc>
          <w:tcPr/>
          <w:p w:rsidR="00000000" w:rsidDel="00000000" w:rsidP="00000000" w:rsidRDefault="00000000" w:rsidRPr="00000000" w14:paraId="00000193">
            <w:pPr>
              <w:rPr>
                <w:rFonts w:ascii="Arial" w:cs="Arial" w:eastAsia="Arial" w:hAnsi="Arial"/>
              </w:rPr>
            </w:pPr>
            <w:r w:rsidDel="00000000" w:rsidR="00000000" w:rsidRPr="00000000">
              <w:rPr>
                <w:rFonts w:ascii="Arial" w:cs="Arial" w:eastAsia="Arial" w:hAnsi="Arial"/>
                <w:rtl w:val="0"/>
              </w:rPr>
              <w:t xml:space="preserve">50</w:t>
            </w:r>
          </w:p>
        </w:tc>
        <w:tc>
          <w:tcPr/>
          <w:p w:rsidR="00000000" w:rsidDel="00000000" w:rsidP="00000000" w:rsidRDefault="00000000" w:rsidRPr="00000000" w14:paraId="00000194">
            <w:pPr>
              <w:rPr>
                <w:rFonts w:ascii="Arial" w:cs="Arial" w:eastAsia="Arial" w:hAnsi="Arial"/>
              </w:rPr>
            </w:pPr>
            <w:r w:rsidDel="00000000" w:rsidR="00000000" w:rsidRPr="00000000">
              <w:rPr>
                <w:rFonts w:ascii="Arial" w:cs="Arial" w:eastAsia="Arial" w:hAnsi="Arial"/>
                <w:rtl w:val="0"/>
              </w:rPr>
              <w:t xml:space="preserve">350</w:t>
            </w:r>
          </w:p>
        </w:tc>
        <w:tc>
          <w:tcPr/>
          <w:p w:rsidR="00000000" w:rsidDel="00000000" w:rsidP="00000000" w:rsidRDefault="00000000" w:rsidRPr="00000000" w14:paraId="00000195">
            <w:pPr>
              <w:rPr>
                <w:rFonts w:ascii="Arial" w:cs="Arial" w:eastAsia="Arial" w:hAnsi="Arial"/>
              </w:rPr>
            </w:pPr>
            <w:r w:rsidDel="00000000" w:rsidR="00000000" w:rsidRPr="00000000">
              <w:rPr>
                <w:rFonts w:ascii="Arial" w:cs="Arial" w:eastAsia="Arial" w:hAnsi="Arial"/>
                <w:rtl w:val="0"/>
              </w:rPr>
              <w:t xml:space="preserve">0.943</w:t>
            </w:r>
          </w:p>
        </w:tc>
        <w:tc>
          <w:tcPr/>
          <w:p w:rsidR="00000000" w:rsidDel="00000000" w:rsidP="00000000" w:rsidRDefault="00000000" w:rsidRPr="00000000" w14:paraId="00000196">
            <w:pPr>
              <w:rPr>
                <w:rFonts w:ascii="Arial" w:cs="Arial" w:eastAsia="Arial" w:hAnsi="Arial"/>
              </w:rPr>
            </w:pPr>
            <w:r w:rsidDel="00000000" w:rsidR="00000000" w:rsidRPr="00000000">
              <w:rPr>
                <w:rFonts w:ascii="Arial" w:cs="Arial" w:eastAsia="Arial" w:hAnsi="Arial"/>
                <w:rtl w:val="0"/>
              </w:rPr>
              <w:t xml:space="preserve">330.1</w:t>
            </w:r>
          </w:p>
        </w:tc>
      </w:tr>
      <w:tr>
        <w:trPr>
          <w:cantSplit w:val="0"/>
          <w:tblHeader w:val="0"/>
        </w:trPr>
        <w:tc>
          <w:tcPr/>
          <w:p w:rsidR="00000000" w:rsidDel="00000000" w:rsidP="00000000" w:rsidRDefault="00000000" w:rsidRPr="00000000" w14:paraId="00000197">
            <w:pPr>
              <w:rPr>
                <w:rFonts w:ascii="Arial" w:cs="Arial" w:eastAsia="Arial" w:hAnsi="Arial"/>
              </w:rPr>
            </w:pPr>
            <w:r w:rsidDel="00000000" w:rsidR="00000000" w:rsidRPr="00000000">
              <w:rPr>
                <w:rFonts w:ascii="Arial" w:cs="Arial" w:eastAsia="Arial" w:hAnsi="Arial"/>
                <w:rtl w:val="0"/>
              </w:rPr>
              <w:t xml:space="preserve">2</w:t>
            </w:r>
          </w:p>
        </w:tc>
        <w:tc>
          <w:tcPr/>
          <w:p w:rsidR="00000000" w:rsidDel="00000000" w:rsidP="00000000" w:rsidRDefault="00000000" w:rsidRPr="00000000" w14:paraId="00000198">
            <w:pPr>
              <w:rPr>
                <w:rFonts w:ascii="Arial" w:cs="Arial" w:eastAsia="Arial" w:hAnsi="Arial"/>
              </w:rPr>
            </w:pPr>
            <w:r w:rsidDel="00000000" w:rsidR="00000000" w:rsidRPr="00000000">
              <w:rPr>
                <w:rFonts w:ascii="Arial" w:cs="Arial" w:eastAsia="Arial" w:hAnsi="Arial"/>
                <w:rtl w:val="0"/>
              </w:rPr>
              <w:t xml:space="preserve">450</w:t>
            </w:r>
          </w:p>
        </w:tc>
        <w:tc>
          <w:tcPr/>
          <w:p w:rsidR="00000000" w:rsidDel="00000000" w:rsidP="00000000" w:rsidRDefault="00000000" w:rsidRPr="00000000" w14:paraId="00000199">
            <w:pPr>
              <w:rPr>
                <w:rFonts w:ascii="Arial" w:cs="Arial" w:eastAsia="Arial" w:hAnsi="Arial"/>
              </w:rPr>
            </w:pPr>
            <w:r w:rsidDel="00000000" w:rsidR="00000000" w:rsidRPr="00000000">
              <w:rPr>
                <w:rFonts w:ascii="Arial" w:cs="Arial" w:eastAsia="Arial" w:hAnsi="Arial"/>
                <w:rtl w:val="0"/>
              </w:rPr>
              <w:t xml:space="preserve">200</w:t>
            </w:r>
          </w:p>
        </w:tc>
        <w:tc>
          <w:tcPr/>
          <w:p w:rsidR="00000000" w:rsidDel="00000000" w:rsidP="00000000" w:rsidRDefault="00000000" w:rsidRPr="00000000" w14:paraId="0000019A">
            <w:pPr>
              <w:rPr>
                <w:rFonts w:ascii="Arial" w:cs="Arial" w:eastAsia="Arial" w:hAnsi="Arial"/>
              </w:rPr>
            </w:pPr>
            <w:r w:rsidDel="00000000" w:rsidR="00000000" w:rsidRPr="00000000">
              <w:rPr>
                <w:rFonts w:ascii="Arial" w:cs="Arial" w:eastAsia="Arial" w:hAnsi="Arial"/>
                <w:rtl w:val="0"/>
              </w:rPr>
              <w:t xml:space="preserve">250</w:t>
            </w:r>
          </w:p>
        </w:tc>
        <w:tc>
          <w:tcPr/>
          <w:p w:rsidR="00000000" w:rsidDel="00000000" w:rsidP="00000000" w:rsidRDefault="00000000" w:rsidRPr="00000000" w14:paraId="0000019B">
            <w:pPr>
              <w:rPr>
                <w:rFonts w:ascii="Arial" w:cs="Arial" w:eastAsia="Arial" w:hAnsi="Arial"/>
              </w:rPr>
            </w:pPr>
            <w:r w:rsidDel="00000000" w:rsidR="00000000" w:rsidRPr="00000000">
              <w:rPr>
                <w:rFonts w:ascii="Arial" w:cs="Arial" w:eastAsia="Arial" w:hAnsi="Arial"/>
                <w:rtl w:val="0"/>
              </w:rPr>
              <w:t xml:space="preserve">62.5</w:t>
            </w:r>
          </w:p>
        </w:tc>
        <w:tc>
          <w:tcPr/>
          <w:p w:rsidR="00000000" w:rsidDel="00000000" w:rsidP="00000000" w:rsidRDefault="00000000" w:rsidRPr="00000000" w14:paraId="0000019C">
            <w:pPr>
              <w:rPr>
                <w:rFonts w:ascii="Arial" w:cs="Arial" w:eastAsia="Arial" w:hAnsi="Arial"/>
              </w:rPr>
            </w:pPr>
            <w:r w:rsidDel="00000000" w:rsidR="00000000" w:rsidRPr="00000000">
              <w:rPr>
                <w:rFonts w:ascii="Arial" w:cs="Arial" w:eastAsia="Arial" w:hAnsi="Arial"/>
                <w:rtl w:val="0"/>
              </w:rPr>
              <w:t xml:space="preserve">387.5</w:t>
            </w:r>
          </w:p>
        </w:tc>
        <w:tc>
          <w:tcPr/>
          <w:p w:rsidR="00000000" w:rsidDel="00000000" w:rsidP="00000000" w:rsidRDefault="00000000" w:rsidRPr="00000000" w14:paraId="0000019D">
            <w:pPr>
              <w:rPr>
                <w:rFonts w:ascii="Arial" w:cs="Arial" w:eastAsia="Arial" w:hAnsi="Arial"/>
              </w:rPr>
            </w:pPr>
            <w:r w:rsidDel="00000000" w:rsidR="00000000" w:rsidRPr="00000000">
              <w:rPr>
                <w:rFonts w:ascii="Arial" w:cs="Arial" w:eastAsia="Arial" w:hAnsi="Arial"/>
                <w:rtl w:val="0"/>
              </w:rPr>
              <w:t xml:space="preserve">0.890</w:t>
            </w:r>
          </w:p>
        </w:tc>
        <w:tc>
          <w:tcPr/>
          <w:p w:rsidR="00000000" w:rsidDel="00000000" w:rsidP="00000000" w:rsidRDefault="00000000" w:rsidRPr="00000000" w14:paraId="0000019E">
            <w:pPr>
              <w:rPr>
                <w:rFonts w:ascii="Arial" w:cs="Arial" w:eastAsia="Arial" w:hAnsi="Arial"/>
              </w:rPr>
            </w:pPr>
            <w:r w:rsidDel="00000000" w:rsidR="00000000" w:rsidRPr="00000000">
              <w:rPr>
                <w:rFonts w:ascii="Arial" w:cs="Arial" w:eastAsia="Arial" w:hAnsi="Arial"/>
                <w:rtl w:val="0"/>
              </w:rPr>
              <w:t xml:space="preserve">344.9</w:t>
            </w:r>
          </w:p>
        </w:tc>
      </w:tr>
      <w:tr>
        <w:trPr>
          <w:cantSplit w:val="0"/>
          <w:tblHeader w:val="0"/>
        </w:trPr>
        <w:tc>
          <w:tcPr/>
          <w:p w:rsidR="00000000" w:rsidDel="00000000" w:rsidP="00000000" w:rsidRDefault="00000000" w:rsidRPr="00000000" w14:paraId="0000019F">
            <w:pP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1A0">
            <w:pPr>
              <w:rPr>
                <w:rFonts w:ascii="Arial" w:cs="Arial" w:eastAsia="Arial" w:hAnsi="Arial"/>
              </w:rPr>
            </w:pPr>
            <w:r w:rsidDel="00000000" w:rsidR="00000000" w:rsidRPr="00000000">
              <w:rPr>
                <w:rFonts w:ascii="Arial" w:cs="Arial" w:eastAsia="Arial" w:hAnsi="Arial"/>
                <w:rtl w:val="0"/>
              </w:rPr>
              <w:t xml:space="preserve">720</w:t>
            </w:r>
          </w:p>
        </w:tc>
        <w:tc>
          <w:tcPr/>
          <w:p w:rsidR="00000000" w:rsidDel="00000000" w:rsidP="00000000" w:rsidRDefault="00000000" w:rsidRPr="00000000" w14:paraId="000001A1">
            <w:pPr>
              <w:rPr>
                <w:rFonts w:ascii="Arial" w:cs="Arial" w:eastAsia="Arial" w:hAnsi="Arial"/>
              </w:rPr>
            </w:pPr>
            <w:r w:rsidDel="00000000" w:rsidR="00000000" w:rsidRPr="00000000">
              <w:rPr>
                <w:rFonts w:ascii="Arial" w:cs="Arial" w:eastAsia="Arial" w:hAnsi="Arial"/>
                <w:rtl w:val="0"/>
              </w:rPr>
              <w:t xml:space="preserve">200</w:t>
            </w:r>
          </w:p>
        </w:tc>
        <w:tc>
          <w:tcPr/>
          <w:p w:rsidR="00000000" w:rsidDel="00000000" w:rsidP="00000000" w:rsidRDefault="00000000" w:rsidRPr="00000000" w14:paraId="000001A2">
            <w:pPr>
              <w:rPr>
                <w:rFonts w:ascii="Arial" w:cs="Arial" w:eastAsia="Arial" w:hAnsi="Arial"/>
              </w:rPr>
            </w:pPr>
            <w:r w:rsidDel="00000000" w:rsidR="00000000" w:rsidRPr="00000000">
              <w:rPr>
                <w:rFonts w:ascii="Arial" w:cs="Arial" w:eastAsia="Arial" w:hAnsi="Arial"/>
                <w:rtl w:val="0"/>
              </w:rPr>
              <w:t xml:space="preserve">520</w:t>
            </w:r>
          </w:p>
        </w:tc>
        <w:tc>
          <w:tcPr/>
          <w:p w:rsidR="00000000" w:rsidDel="00000000" w:rsidP="00000000" w:rsidRDefault="00000000" w:rsidRPr="00000000" w14:paraId="000001A3">
            <w:pPr>
              <w:rPr>
                <w:rFonts w:ascii="Arial" w:cs="Arial" w:eastAsia="Arial" w:hAnsi="Arial"/>
              </w:rPr>
            </w:pPr>
            <w:r w:rsidDel="00000000" w:rsidR="00000000" w:rsidRPr="00000000">
              <w:rPr>
                <w:rFonts w:ascii="Arial" w:cs="Arial" w:eastAsia="Arial" w:hAnsi="Arial"/>
                <w:rtl w:val="0"/>
              </w:rPr>
              <w:t xml:space="preserve">130</w:t>
            </w:r>
          </w:p>
        </w:tc>
        <w:tc>
          <w:tcPr/>
          <w:p w:rsidR="00000000" w:rsidDel="00000000" w:rsidP="00000000" w:rsidRDefault="00000000" w:rsidRPr="00000000" w14:paraId="000001A4">
            <w:pPr>
              <w:rPr>
                <w:rFonts w:ascii="Arial" w:cs="Arial" w:eastAsia="Arial" w:hAnsi="Arial"/>
              </w:rPr>
            </w:pPr>
            <w:r w:rsidDel="00000000" w:rsidR="00000000" w:rsidRPr="00000000">
              <w:rPr>
                <w:rFonts w:ascii="Arial" w:cs="Arial" w:eastAsia="Arial" w:hAnsi="Arial"/>
                <w:rtl w:val="0"/>
              </w:rPr>
              <w:t xml:space="preserve">590</w:t>
            </w:r>
          </w:p>
        </w:tc>
        <w:tc>
          <w:tcPr/>
          <w:p w:rsidR="00000000" w:rsidDel="00000000" w:rsidP="00000000" w:rsidRDefault="00000000" w:rsidRPr="00000000" w14:paraId="000001A5">
            <w:pPr>
              <w:rPr>
                <w:rFonts w:ascii="Arial" w:cs="Arial" w:eastAsia="Arial" w:hAnsi="Arial"/>
              </w:rPr>
            </w:pPr>
            <w:r w:rsidDel="00000000" w:rsidR="00000000" w:rsidRPr="00000000">
              <w:rPr>
                <w:rFonts w:ascii="Arial" w:cs="Arial" w:eastAsia="Arial" w:hAnsi="Arial"/>
                <w:rtl w:val="0"/>
              </w:rPr>
              <w:t xml:space="preserve">0.840</w:t>
            </w:r>
          </w:p>
        </w:tc>
        <w:tc>
          <w:tcPr/>
          <w:p w:rsidR="00000000" w:rsidDel="00000000" w:rsidP="00000000" w:rsidRDefault="00000000" w:rsidRPr="00000000" w14:paraId="000001A6">
            <w:pPr>
              <w:rPr>
                <w:rFonts w:ascii="Arial" w:cs="Arial" w:eastAsia="Arial" w:hAnsi="Arial"/>
              </w:rPr>
            </w:pPr>
            <w:r w:rsidDel="00000000" w:rsidR="00000000" w:rsidRPr="00000000">
              <w:rPr>
                <w:rFonts w:ascii="Arial" w:cs="Arial" w:eastAsia="Arial" w:hAnsi="Arial"/>
                <w:rtl w:val="0"/>
              </w:rPr>
              <w:t xml:space="preserve">495.6</w:t>
            </w:r>
          </w:p>
        </w:tc>
      </w:tr>
      <w:tr>
        <w:trPr>
          <w:cantSplit w:val="0"/>
          <w:tblHeader w:val="0"/>
        </w:trPr>
        <w:tc>
          <w:tcPr/>
          <w:p w:rsidR="00000000" w:rsidDel="00000000" w:rsidP="00000000" w:rsidRDefault="00000000" w:rsidRPr="00000000" w14:paraId="000001A7">
            <w:pP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1A8">
            <w:pPr>
              <w:rPr>
                <w:rFonts w:ascii="Arial" w:cs="Arial" w:eastAsia="Arial" w:hAnsi="Arial"/>
              </w:rPr>
            </w:pPr>
            <w:r w:rsidDel="00000000" w:rsidR="00000000" w:rsidRPr="00000000">
              <w:rPr>
                <w:rFonts w:ascii="Arial" w:cs="Arial" w:eastAsia="Arial" w:hAnsi="Arial"/>
                <w:rtl w:val="0"/>
              </w:rPr>
              <w:t xml:space="preserve">980</w:t>
            </w:r>
          </w:p>
        </w:tc>
        <w:tc>
          <w:tcPr/>
          <w:p w:rsidR="00000000" w:rsidDel="00000000" w:rsidP="00000000" w:rsidRDefault="00000000" w:rsidRPr="00000000" w14:paraId="000001A9">
            <w:pPr>
              <w:rPr>
                <w:rFonts w:ascii="Arial" w:cs="Arial" w:eastAsia="Arial" w:hAnsi="Arial"/>
              </w:rPr>
            </w:pPr>
            <w:r w:rsidDel="00000000" w:rsidR="00000000" w:rsidRPr="00000000">
              <w:rPr>
                <w:rFonts w:ascii="Arial" w:cs="Arial" w:eastAsia="Arial" w:hAnsi="Arial"/>
                <w:rtl w:val="0"/>
              </w:rPr>
              <w:t xml:space="preserve">200</w:t>
            </w:r>
          </w:p>
        </w:tc>
        <w:tc>
          <w:tcPr/>
          <w:p w:rsidR="00000000" w:rsidDel="00000000" w:rsidP="00000000" w:rsidRDefault="00000000" w:rsidRPr="00000000" w14:paraId="000001AA">
            <w:pPr>
              <w:rPr>
                <w:rFonts w:ascii="Arial" w:cs="Arial" w:eastAsia="Arial" w:hAnsi="Arial"/>
              </w:rPr>
            </w:pPr>
            <w:r w:rsidDel="00000000" w:rsidR="00000000" w:rsidRPr="00000000">
              <w:rPr>
                <w:rFonts w:ascii="Arial" w:cs="Arial" w:eastAsia="Arial" w:hAnsi="Arial"/>
                <w:rtl w:val="0"/>
              </w:rPr>
              <w:t xml:space="preserve">780</w:t>
            </w:r>
          </w:p>
        </w:tc>
        <w:tc>
          <w:tcPr/>
          <w:p w:rsidR="00000000" w:rsidDel="00000000" w:rsidP="00000000" w:rsidRDefault="00000000" w:rsidRPr="00000000" w14:paraId="000001AB">
            <w:pPr>
              <w:rPr>
                <w:rFonts w:ascii="Arial" w:cs="Arial" w:eastAsia="Arial" w:hAnsi="Arial"/>
              </w:rPr>
            </w:pPr>
            <w:r w:rsidDel="00000000" w:rsidR="00000000" w:rsidRPr="00000000">
              <w:rPr>
                <w:rFonts w:ascii="Arial" w:cs="Arial" w:eastAsia="Arial" w:hAnsi="Arial"/>
                <w:rtl w:val="0"/>
              </w:rPr>
              <w:t xml:space="preserve">195</w:t>
            </w:r>
          </w:p>
        </w:tc>
        <w:tc>
          <w:tcPr/>
          <w:p w:rsidR="00000000" w:rsidDel="00000000" w:rsidP="00000000" w:rsidRDefault="00000000" w:rsidRPr="00000000" w14:paraId="000001AC">
            <w:pPr>
              <w:rPr>
                <w:rFonts w:ascii="Arial" w:cs="Arial" w:eastAsia="Arial" w:hAnsi="Arial"/>
              </w:rPr>
            </w:pPr>
            <w:r w:rsidDel="00000000" w:rsidR="00000000" w:rsidRPr="00000000">
              <w:rPr>
                <w:rFonts w:ascii="Arial" w:cs="Arial" w:eastAsia="Arial" w:hAnsi="Arial"/>
                <w:rtl w:val="0"/>
              </w:rPr>
              <w:t xml:space="preserve">785</w:t>
            </w:r>
          </w:p>
        </w:tc>
        <w:tc>
          <w:tcPr/>
          <w:p w:rsidR="00000000" w:rsidDel="00000000" w:rsidP="00000000" w:rsidRDefault="00000000" w:rsidRPr="00000000" w14:paraId="000001AD">
            <w:pPr>
              <w:rPr>
                <w:rFonts w:ascii="Arial" w:cs="Arial" w:eastAsia="Arial" w:hAnsi="Arial"/>
              </w:rPr>
            </w:pPr>
            <w:r w:rsidDel="00000000" w:rsidR="00000000" w:rsidRPr="00000000">
              <w:rPr>
                <w:rFonts w:ascii="Arial" w:cs="Arial" w:eastAsia="Arial" w:hAnsi="Arial"/>
                <w:rtl w:val="0"/>
              </w:rPr>
              <w:t xml:space="preserve">0.792</w:t>
            </w:r>
          </w:p>
        </w:tc>
        <w:tc>
          <w:tcPr/>
          <w:p w:rsidR="00000000" w:rsidDel="00000000" w:rsidP="00000000" w:rsidRDefault="00000000" w:rsidRPr="00000000" w14:paraId="000001AE">
            <w:pPr>
              <w:rPr>
                <w:rFonts w:ascii="Arial" w:cs="Arial" w:eastAsia="Arial" w:hAnsi="Arial"/>
              </w:rPr>
            </w:pPr>
            <w:r w:rsidDel="00000000" w:rsidR="00000000" w:rsidRPr="00000000">
              <w:rPr>
                <w:rFonts w:ascii="Arial" w:cs="Arial" w:eastAsia="Arial" w:hAnsi="Arial"/>
                <w:rtl w:val="0"/>
              </w:rPr>
              <w:t xml:space="preserve">621.7</w:t>
            </w:r>
          </w:p>
        </w:tc>
      </w:tr>
    </w:tbl>
    <w:p w:rsidR="00000000" w:rsidDel="00000000" w:rsidP="00000000" w:rsidRDefault="00000000" w:rsidRPr="00000000" w14:paraId="000001AF">
      <w:pPr>
        <w:rPr>
          <w:rFonts w:ascii="Arial" w:cs="Arial" w:eastAsia="Arial" w:hAnsi="Arial"/>
          <w:b w:val="0"/>
          <w:bCs w:val="0"/>
        </w:rPr>
      </w:pPr>
      <w:r w:rsidDel="00000000" w:rsidR="00000000" w:rsidRPr="00000000">
        <w:rPr>
          <w:rtl w:val="0"/>
        </w:rPr>
      </w:r>
    </w:p>
    <w:p w:rsidR="00000000" w:rsidDel="00000000" w:rsidP="00000000" w:rsidRDefault="00000000" w:rsidRPr="00000000" w14:paraId="000001B0">
      <w:pPr>
        <w:rPr>
          <w:rFonts w:ascii="Arial" w:cs="Arial" w:eastAsia="Arial" w:hAnsi="Arial"/>
        </w:rPr>
      </w:pPr>
      <w:r w:rsidDel="00000000" w:rsidR="00000000" w:rsidRPr="00000000">
        <w:rPr>
          <w:rFonts w:ascii="Arial" w:cs="Arial" w:eastAsia="Arial" w:hAnsi="Arial"/>
          <w:rtl w:val="0"/>
        </w:rPr>
        <w:t xml:space="preserve">Total PV of inflows = £1,792.3k</w:t>
      </w:r>
    </w:p>
    <w:p w:rsidR="00000000" w:rsidDel="00000000" w:rsidP="00000000" w:rsidRDefault="00000000" w:rsidRPr="00000000" w14:paraId="000001B1">
      <w:pPr>
        <w:rPr>
          <w:rFonts w:ascii="Arial" w:cs="Arial" w:eastAsia="Arial" w:hAnsi="Arial"/>
          <w:b w:val="1"/>
          <w:bCs w:val="1"/>
        </w:rPr>
      </w:pPr>
      <w:r w:rsidDel="00000000" w:rsidR="00000000" w:rsidRPr="00000000">
        <w:rPr>
          <w:rFonts w:ascii="Arial" w:cs="Arial" w:eastAsia="Arial" w:hAnsi="Arial"/>
          <w:rtl w:val="0"/>
        </w:rPr>
        <w:t xml:space="preserve">NPV (Option B) = 1,792.3 − 1,000 = £792.3k</w:t>
      </w:r>
      <w:r w:rsidDel="00000000" w:rsidR="00000000" w:rsidRPr="00000000">
        <w:rPr>
          <w:rtl w:val="0"/>
        </w:rPr>
      </w:r>
    </w:p>
    <w:p w:rsidR="00000000" w:rsidDel="00000000" w:rsidP="00000000" w:rsidRDefault="00000000" w:rsidRPr="00000000" w14:paraId="000001B2">
      <w:pPr>
        <w:rPr>
          <w:rFonts w:ascii="Arial" w:cs="Arial" w:eastAsia="Arial" w:hAnsi="Arial"/>
          <w:b w:val="1"/>
          <w:bCs w:val="1"/>
        </w:rPr>
      </w:pPr>
      <w:r w:rsidDel="00000000" w:rsidR="00000000" w:rsidRPr="00000000">
        <w:rPr>
          <w:rFonts w:ascii="Arial" w:cs="Arial" w:eastAsia="Arial" w:hAnsi="Arial"/>
          <w:b w:val="1"/>
          <w:bCs w:val="1"/>
          <w:rtl w:val="0"/>
        </w:rPr>
        <w:t xml:space="preserve">Option C – Wooden and Roman Blinds</w:t>
      </w:r>
    </w:p>
    <w:p w:rsidR="00000000" w:rsidDel="00000000" w:rsidP="00000000" w:rsidRDefault="00000000" w:rsidRPr="00000000" w14:paraId="000001B3">
      <w:pPr>
        <w:rPr>
          <w:rFonts w:ascii="Arial" w:cs="Arial" w:eastAsia="Arial" w:hAnsi="Arial"/>
        </w:rPr>
      </w:pPr>
      <w:r w:rsidDel="00000000" w:rsidR="00000000" w:rsidRPr="00000000">
        <w:rPr>
          <w:rFonts w:ascii="Arial" w:cs="Arial" w:eastAsia="Arial" w:hAnsi="Arial"/>
          <w:rtl w:val="0"/>
        </w:rPr>
        <w:t xml:space="preserve">Initial investment: £1,600,000</w:t>
      </w:r>
    </w:p>
    <w:p w:rsidR="00000000" w:rsidDel="00000000" w:rsidP="00000000" w:rsidRDefault="00000000" w:rsidRPr="00000000" w14:paraId="000001B4">
      <w:pPr>
        <w:rPr>
          <w:rFonts w:ascii="Arial" w:cs="Arial" w:eastAsia="Arial" w:hAnsi="Arial"/>
        </w:rPr>
      </w:pPr>
      <w:r w:rsidDel="00000000" w:rsidR="00000000" w:rsidRPr="00000000">
        <w:rPr>
          <w:rFonts w:ascii="Arial" w:cs="Arial" w:eastAsia="Arial" w:hAnsi="Arial"/>
          <w:rtl w:val="0"/>
        </w:rPr>
        <w:t xml:space="preserve">Capital allowance: 20% × 1,600 = £320,000 per year</w:t>
      </w:r>
    </w:p>
    <w:tbl>
      <w:tblPr>
        <w:tblStyle w:val="Table1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1006"/>
        <w:gridCol w:w="1593"/>
        <w:gridCol w:w="1181"/>
        <w:gridCol w:w="1096"/>
        <w:gridCol w:w="1081"/>
        <w:gridCol w:w="1414"/>
        <w:gridCol w:w="1278"/>
        <w:tblGridChange w:id="0">
          <w:tblGrid>
            <w:gridCol w:w="701"/>
            <w:gridCol w:w="1006"/>
            <w:gridCol w:w="1593"/>
            <w:gridCol w:w="1181"/>
            <w:gridCol w:w="1096"/>
            <w:gridCol w:w="1081"/>
            <w:gridCol w:w="1414"/>
            <w:gridCol w:w="1278"/>
          </w:tblGrid>
        </w:tblGridChange>
      </w:tblGrid>
      <w:tr>
        <w:trPr>
          <w:cantSplit w:val="0"/>
          <w:tblHeader w:val="0"/>
        </w:trPr>
        <w:tc>
          <w:tcPr/>
          <w:p w:rsidR="00000000" w:rsidDel="00000000" w:rsidP="00000000" w:rsidRDefault="00000000" w:rsidRPr="00000000" w14:paraId="000001B5">
            <w:pP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1B6">
            <w:pPr>
              <w:rPr>
                <w:rFonts w:ascii="Arial" w:cs="Arial" w:eastAsia="Arial" w:hAnsi="Arial"/>
              </w:rPr>
            </w:pPr>
            <w:r w:rsidDel="00000000" w:rsidR="00000000" w:rsidRPr="00000000">
              <w:rPr>
                <w:rFonts w:ascii="Arial" w:cs="Arial" w:eastAsia="Arial" w:hAnsi="Arial"/>
                <w:rtl w:val="0"/>
              </w:rPr>
              <w:t xml:space="preserve">Cash Flow</w:t>
            </w:r>
          </w:p>
        </w:tc>
        <w:tc>
          <w:tcPr/>
          <w:p w:rsidR="00000000" w:rsidDel="00000000" w:rsidP="00000000" w:rsidRDefault="00000000" w:rsidRPr="00000000" w14:paraId="000001B7">
            <w:pPr>
              <w:rPr>
                <w:rFonts w:ascii="Arial" w:cs="Arial" w:eastAsia="Arial" w:hAnsi="Arial"/>
              </w:rPr>
            </w:pPr>
            <w:r w:rsidDel="00000000" w:rsidR="00000000" w:rsidRPr="00000000">
              <w:rPr>
                <w:rFonts w:ascii="Arial" w:cs="Arial" w:eastAsia="Arial" w:hAnsi="Arial"/>
                <w:rtl w:val="0"/>
              </w:rPr>
              <w:t xml:space="preserve">Capital Allowance</w:t>
            </w:r>
          </w:p>
        </w:tc>
        <w:tc>
          <w:tcPr/>
          <w:p w:rsidR="00000000" w:rsidDel="00000000" w:rsidP="00000000" w:rsidRDefault="00000000" w:rsidRPr="00000000" w14:paraId="000001B8">
            <w:pPr>
              <w:rPr>
                <w:rFonts w:ascii="Arial" w:cs="Arial" w:eastAsia="Arial" w:hAnsi="Arial"/>
              </w:rPr>
            </w:pPr>
            <w:r w:rsidDel="00000000" w:rsidR="00000000" w:rsidRPr="00000000">
              <w:rPr>
                <w:rFonts w:ascii="Arial" w:cs="Arial" w:eastAsia="Arial" w:hAnsi="Arial"/>
                <w:rtl w:val="0"/>
              </w:rPr>
              <w:t xml:space="preserve">Taxable CF</w:t>
            </w:r>
          </w:p>
        </w:tc>
        <w:tc>
          <w:tcPr/>
          <w:p w:rsidR="00000000" w:rsidDel="00000000" w:rsidP="00000000" w:rsidRDefault="00000000" w:rsidRPr="00000000" w14:paraId="000001B9">
            <w:pPr>
              <w:rPr>
                <w:rFonts w:ascii="Arial" w:cs="Arial" w:eastAsia="Arial" w:hAnsi="Arial"/>
              </w:rPr>
            </w:pPr>
            <w:r w:rsidDel="00000000" w:rsidR="00000000" w:rsidRPr="00000000">
              <w:rPr>
                <w:rFonts w:ascii="Arial" w:cs="Arial" w:eastAsia="Arial" w:hAnsi="Arial"/>
                <w:rtl w:val="0"/>
              </w:rPr>
              <w:t xml:space="preserve">Tax @25%</w:t>
            </w:r>
          </w:p>
        </w:tc>
        <w:tc>
          <w:tcPr/>
          <w:p w:rsidR="00000000" w:rsidDel="00000000" w:rsidP="00000000" w:rsidRDefault="00000000" w:rsidRPr="00000000" w14:paraId="000001BA">
            <w:pPr>
              <w:rPr>
                <w:rFonts w:ascii="Arial" w:cs="Arial" w:eastAsia="Arial" w:hAnsi="Arial"/>
              </w:rPr>
            </w:pPr>
            <w:r w:rsidDel="00000000" w:rsidR="00000000" w:rsidRPr="00000000">
              <w:rPr>
                <w:rFonts w:ascii="Arial" w:cs="Arial" w:eastAsia="Arial" w:hAnsi="Arial"/>
                <w:rtl w:val="0"/>
              </w:rPr>
              <w:t xml:space="preserve">After-Tax CF</w:t>
            </w:r>
          </w:p>
        </w:tc>
        <w:tc>
          <w:tcPr/>
          <w:p w:rsidR="00000000" w:rsidDel="00000000" w:rsidP="00000000" w:rsidRDefault="00000000" w:rsidRPr="00000000" w14:paraId="000001BB">
            <w:pPr>
              <w:rPr>
                <w:rFonts w:ascii="Arial" w:cs="Arial" w:eastAsia="Arial" w:hAnsi="Arial"/>
              </w:rPr>
            </w:pPr>
            <w:r w:rsidDel="00000000" w:rsidR="00000000" w:rsidRPr="00000000">
              <w:rPr>
                <w:rFonts w:ascii="Arial" w:cs="Arial" w:eastAsia="Arial" w:hAnsi="Arial"/>
                <w:rtl w:val="0"/>
              </w:rPr>
              <w:t xml:space="preserve">Discount Factor</w:t>
            </w:r>
          </w:p>
        </w:tc>
        <w:tc>
          <w:tcPr/>
          <w:p w:rsidR="00000000" w:rsidDel="00000000" w:rsidP="00000000" w:rsidRDefault="00000000" w:rsidRPr="00000000" w14:paraId="000001BC">
            <w:pPr>
              <w:rPr>
                <w:rFonts w:ascii="Arial" w:cs="Arial" w:eastAsia="Arial" w:hAnsi="Arial"/>
              </w:rPr>
            </w:pPr>
            <w:r w:rsidDel="00000000" w:rsidR="00000000" w:rsidRPr="00000000">
              <w:rPr>
                <w:rFonts w:ascii="Arial" w:cs="Arial" w:eastAsia="Arial" w:hAnsi="Arial"/>
                <w:rtl w:val="0"/>
              </w:rPr>
              <w:t xml:space="preserve">Present Value</w:t>
            </w:r>
          </w:p>
        </w:tc>
      </w:tr>
      <w:tr>
        <w:trPr>
          <w:cantSplit w:val="0"/>
          <w:tblHeader w:val="0"/>
        </w:trPr>
        <w:tc>
          <w:tcPr/>
          <w:p w:rsidR="00000000" w:rsidDel="00000000" w:rsidP="00000000" w:rsidRDefault="00000000" w:rsidRPr="00000000" w14:paraId="000001BD">
            <w:pPr>
              <w:rPr>
                <w:rFonts w:ascii="Arial" w:cs="Arial" w:eastAsia="Arial" w:hAnsi="Arial"/>
              </w:rPr>
            </w:pPr>
            <w:r w:rsidDel="00000000" w:rsidR="00000000" w:rsidRPr="00000000">
              <w:rPr>
                <w:rFonts w:ascii="Arial" w:cs="Arial" w:eastAsia="Arial" w:hAnsi="Arial"/>
                <w:rtl w:val="0"/>
              </w:rPr>
              <w:t xml:space="preserve">1</w:t>
            </w:r>
          </w:p>
        </w:tc>
        <w:tc>
          <w:tcPr/>
          <w:p w:rsidR="00000000" w:rsidDel="00000000" w:rsidP="00000000" w:rsidRDefault="00000000" w:rsidRPr="00000000" w14:paraId="000001BE">
            <w:pPr>
              <w:rPr>
                <w:rFonts w:ascii="Arial" w:cs="Arial" w:eastAsia="Arial" w:hAnsi="Arial"/>
              </w:rPr>
            </w:pPr>
            <w:r w:rsidDel="00000000" w:rsidR="00000000" w:rsidRPr="00000000">
              <w:rPr>
                <w:rFonts w:ascii="Arial" w:cs="Arial" w:eastAsia="Arial" w:hAnsi="Arial"/>
                <w:rtl w:val="0"/>
              </w:rPr>
              <w:t xml:space="preserve">450</w:t>
            </w:r>
          </w:p>
        </w:tc>
        <w:tc>
          <w:tcPr/>
          <w:p w:rsidR="00000000" w:rsidDel="00000000" w:rsidP="00000000" w:rsidRDefault="00000000" w:rsidRPr="00000000" w14:paraId="000001BF">
            <w:pPr>
              <w:rPr>
                <w:rFonts w:ascii="Arial" w:cs="Arial" w:eastAsia="Arial" w:hAnsi="Arial"/>
              </w:rPr>
            </w:pPr>
            <w:r w:rsidDel="00000000" w:rsidR="00000000" w:rsidRPr="00000000">
              <w:rPr>
                <w:rFonts w:ascii="Arial" w:cs="Arial" w:eastAsia="Arial" w:hAnsi="Arial"/>
                <w:rtl w:val="0"/>
              </w:rPr>
              <w:t xml:space="preserve">320</w:t>
            </w:r>
          </w:p>
        </w:tc>
        <w:tc>
          <w:tcPr/>
          <w:p w:rsidR="00000000" w:rsidDel="00000000" w:rsidP="00000000" w:rsidRDefault="00000000" w:rsidRPr="00000000" w14:paraId="000001C0">
            <w:pPr>
              <w:rPr>
                <w:rFonts w:ascii="Arial" w:cs="Arial" w:eastAsia="Arial" w:hAnsi="Arial"/>
              </w:rPr>
            </w:pPr>
            <w:r w:rsidDel="00000000" w:rsidR="00000000" w:rsidRPr="00000000">
              <w:rPr>
                <w:rFonts w:ascii="Arial" w:cs="Arial" w:eastAsia="Arial" w:hAnsi="Arial"/>
                <w:rtl w:val="0"/>
              </w:rPr>
              <w:t xml:space="preserve">130</w:t>
            </w:r>
          </w:p>
        </w:tc>
        <w:tc>
          <w:tcPr/>
          <w:p w:rsidR="00000000" w:rsidDel="00000000" w:rsidP="00000000" w:rsidRDefault="00000000" w:rsidRPr="00000000" w14:paraId="000001C1">
            <w:pPr>
              <w:rPr>
                <w:rFonts w:ascii="Arial" w:cs="Arial" w:eastAsia="Arial" w:hAnsi="Arial"/>
              </w:rPr>
            </w:pPr>
            <w:r w:rsidDel="00000000" w:rsidR="00000000" w:rsidRPr="00000000">
              <w:rPr>
                <w:rFonts w:ascii="Arial" w:cs="Arial" w:eastAsia="Arial" w:hAnsi="Arial"/>
                <w:rtl w:val="0"/>
              </w:rPr>
              <w:t xml:space="preserve">32.5</w:t>
            </w:r>
          </w:p>
        </w:tc>
        <w:tc>
          <w:tcPr/>
          <w:p w:rsidR="00000000" w:rsidDel="00000000" w:rsidP="00000000" w:rsidRDefault="00000000" w:rsidRPr="00000000" w14:paraId="000001C2">
            <w:pPr>
              <w:rPr>
                <w:rFonts w:ascii="Arial" w:cs="Arial" w:eastAsia="Arial" w:hAnsi="Arial"/>
              </w:rPr>
            </w:pPr>
            <w:r w:rsidDel="00000000" w:rsidR="00000000" w:rsidRPr="00000000">
              <w:rPr>
                <w:rFonts w:ascii="Arial" w:cs="Arial" w:eastAsia="Arial" w:hAnsi="Arial"/>
                <w:rtl w:val="0"/>
              </w:rPr>
              <w:t xml:space="preserve">417.5</w:t>
            </w:r>
          </w:p>
        </w:tc>
        <w:tc>
          <w:tcPr/>
          <w:p w:rsidR="00000000" w:rsidDel="00000000" w:rsidP="00000000" w:rsidRDefault="00000000" w:rsidRPr="00000000" w14:paraId="000001C3">
            <w:pPr>
              <w:rPr>
                <w:rFonts w:ascii="Arial" w:cs="Arial" w:eastAsia="Arial" w:hAnsi="Arial"/>
              </w:rPr>
            </w:pPr>
            <w:r w:rsidDel="00000000" w:rsidR="00000000" w:rsidRPr="00000000">
              <w:rPr>
                <w:rFonts w:ascii="Arial" w:cs="Arial" w:eastAsia="Arial" w:hAnsi="Arial"/>
                <w:rtl w:val="0"/>
              </w:rPr>
              <w:t xml:space="preserve">0.943</w:t>
            </w:r>
          </w:p>
        </w:tc>
        <w:tc>
          <w:tcPr/>
          <w:p w:rsidR="00000000" w:rsidDel="00000000" w:rsidP="00000000" w:rsidRDefault="00000000" w:rsidRPr="00000000" w14:paraId="000001C4">
            <w:pPr>
              <w:rPr>
                <w:rFonts w:ascii="Arial" w:cs="Arial" w:eastAsia="Arial" w:hAnsi="Arial"/>
              </w:rPr>
            </w:pPr>
            <w:r w:rsidDel="00000000" w:rsidR="00000000" w:rsidRPr="00000000">
              <w:rPr>
                <w:rFonts w:ascii="Arial" w:cs="Arial" w:eastAsia="Arial" w:hAnsi="Arial"/>
                <w:rtl w:val="0"/>
              </w:rPr>
              <w:t xml:space="preserve">393.8</w:t>
            </w:r>
          </w:p>
        </w:tc>
      </w:tr>
      <w:tr>
        <w:trPr>
          <w:cantSplit w:val="0"/>
          <w:tblHeader w:val="0"/>
        </w:trPr>
        <w:tc>
          <w:tcPr/>
          <w:p w:rsidR="00000000" w:rsidDel="00000000" w:rsidP="00000000" w:rsidRDefault="00000000" w:rsidRPr="00000000" w14:paraId="000001C5">
            <w:pPr>
              <w:rPr>
                <w:rFonts w:ascii="Arial" w:cs="Arial" w:eastAsia="Arial" w:hAnsi="Arial"/>
              </w:rPr>
            </w:pPr>
            <w:r w:rsidDel="00000000" w:rsidR="00000000" w:rsidRPr="00000000">
              <w:rPr>
                <w:rFonts w:ascii="Arial" w:cs="Arial" w:eastAsia="Arial" w:hAnsi="Arial"/>
                <w:rtl w:val="0"/>
              </w:rPr>
              <w:t xml:space="preserve">2</w:t>
            </w:r>
          </w:p>
        </w:tc>
        <w:tc>
          <w:tcPr/>
          <w:p w:rsidR="00000000" w:rsidDel="00000000" w:rsidP="00000000" w:rsidRDefault="00000000" w:rsidRPr="00000000" w14:paraId="000001C6">
            <w:pPr>
              <w:rPr>
                <w:rFonts w:ascii="Arial" w:cs="Arial" w:eastAsia="Arial" w:hAnsi="Arial"/>
              </w:rPr>
            </w:pPr>
            <w:r w:rsidDel="00000000" w:rsidR="00000000" w:rsidRPr="00000000">
              <w:rPr>
                <w:rFonts w:ascii="Arial" w:cs="Arial" w:eastAsia="Arial" w:hAnsi="Arial"/>
                <w:rtl w:val="0"/>
              </w:rPr>
              <w:t xml:space="preserve">700</w:t>
            </w:r>
          </w:p>
        </w:tc>
        <w:tc>
          <w:tcPr/>
          <w:p w:rsidR="00000000" w:rsidDel="00000000" w:rsidP="00000000" w:rsidRDefault="00000000" w:rsidRPr="00000000" w14:paraId="000001C7">
            <w:pPr>
              <w:rPr>
                <w:rFonts w:ascii="Arial" w:cs="Arial" w:eastAsia="Arial" w:hAnsi="Arial"/>
              </w:rPr>
            </w:pPr>
            <w:r w:rsidDel="00000000" w:rsidR="00000000" w:rsidRPr="00000000">
              <w:rPr>
                <w:rFonts w:ascii="Arial" w:cs="Arial" w:eastAsia="Arial" w:hAnsi="Arial"/>
                <w:rtl w:val="0"/>
              </w:rPr>
              <w:t xml:space="preserve">320</w:t>
            </w:r>
          </w:p>
        </w:tc>
        <w:tc>
          <w:tcPr/>
          <w:p w:rsidR="00000000" w:rsidDel="00000000" w:rsidP="00000000" w:rsidRDefault="00000000" w:rsidRPr="00000000" w14:paraId="000001C8">
            <w:pPr>
              <w:rPr>
                <w:rFonts w:ascii="Arial" w:cs="Arial" w:eastAsia="Arial" w:hAnsi="Arial"/>
              </w:rPr>
            </w:pPr>
            <w:r w:rsidDel="00000000" w:rsidR="00000000" w:rsidRPr="00000000">
              <w:rPr>
                <w:rFonts w:ascii="Arial" w:cs="Arial" w:eastAsia="Arial" w:hAnsi="Arial"/>
                <w:rtl w:val="0"/>
              </w:rPr>
              <w:t xml:space="preserve">380</w:t>
            </w:r>
          </w:p>
        </w:tc>
        <w:tc>
          <w:tcPr/>
          <w:p w:rsidR="00000000" w:rsidDel="00000000" w:rsidP="00000000" w:rsidRDefault="00000000" w:rsidRPr="00000000" w14:paraId="000001C9">
            <w:pPr>
              <w:rPr>
                <w:rFonts w:ascii="Arial" w:cs="Arial" w:eastAsia="Arial" w:hAnsi="Arial"/>
              </w:rPr>
            </w:pPr>
            <w:r w:rsidDel="00000000" w:rsidR="00000000" w:rsidRPr="00000000">
              <w:rPr>
                <w:rFonts w:ascii="Arial" w:cs="Arial" w:eastAsia="Arial" w:hAnsi="Arial"/>
                <w:rtl w:val="0"/>
              </w:rPr>
              <w:t xml:space="preserve">95</w:t>
            </w:r>
          </w:p>
        </w:tc>
        <w:tc>
          <w:tcPr/>
          <w:p w:rsidR="00000000" w:rsidDel="00000000" w:rsidP="00000000" w:rsidRDefault="00000000" w:rsidRPr="00000000" w14:paraId="000001CA">
            <w:pPr>
              <w:rPr>
                <w:rFonts w:ascii="Arial" w:cs="Arial" w:eastAsia="Arial" w:hAnsi="Arial"/>
              </w:rPr>
            </w:pPr>
            <w:r w:rsidDel="00000000" w:rsidR="00000000" w:rsidRPr="00000000">
              <w:rPr>
                <w:rFonts w:ascii="Arial" w:cs="Arial" w:eastAsia="Arial" w:hAnsi="Arial"/>
                <w:rtl w:val="0"/>
              </w:rPr>
              <w:t xml:space="preserve">605</w:t>
            </w:r>
          </w:p>
        </w:tc>
        <w:tc>
          <w:tcPr/>
          <w:p w:rsidR="00000000" w:rsidDel="00000000" w:rsidP="00000000" w:rsidRDefault="00000000" w:rsidRPr="00000000" w14:paraId="000001CB">
            <w:pPr>
              <w:rPr>
                <w:rFonts w:ascii="Arial" w:cs="Arial" w:eastAsia="Arial" w:hAnsi="Arial"/>
              </w:rPr>
            </w:pPr>
            <w:r w:rsidDel="00000000" w:rsidR="00000000" w:rsidRPr="00000000">
              <w:rPr>
                <w:rFonts w:ascii="Arial" w:cs="Arial" w:eastAsia="Arial" w:hAnsi="Arial"/>
                <w:rtl w:val="0"/>
              </w:rPr>
              <w:t xml:space="preserve">0.890</w:t>
            </w:r>
          </w:p>
        </w:tc>
        <w:tc>
          <w:tcPr/>
          <w:p w:rsidR="00000000" w:rsidDel="00000000" w:rsidP="00000000" w:rsidRDefault="00000000" w:rsidRPr="00000000" w14:paraId="000001CC">
            <w:pPr>
              <w:rPr>
                <w:rFonts w:ascii="Arial" w:cs="Arial" w:eastAsia="Arial" w:hAnsi="Arial"/>
              </w:rPr>
            </w:pPr>
            <w:r w:rsidDel="00000000" w:rsidR="00000000" w:rsidRPr="00000000">
              <w:rPr>
                <w:rFonts w:ascii="Arial" w:cs="Arial" w:eastAsia="Arial" w:hAnsi="Arial"/>
                <w:rtl w:val="0"/>
              </w:rPr>
              <w:t xml:space="preserve">538.5</w:t>
            </w:r>
          </w:p>
        </w:tc>
      </w:tr>
      <w:tr>
        <w:trPr>
          <w:cantSplit w:val="0"/>
          <w:tblHeader w:val="0"/>
        </w:trPr>
        <w:tc>
          <w:tcPr/>
          <w:p w:rsidR="00000000" w:rsidDel="00000000" w:rsidP="00000000" w:rsidRDefault="00000000" w:rsidRPr="00000000" w14:paraId="000001CD">
            <w:pP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1CE">
            <w:pPr>
              <w:rPr>
                <w:rFonts w:ascii="Arial" w:cs="Arial" w:eastAsia="Arial" w:hAnsi="Arial"/>
              </w:rPr>
            </w:pPr>
            <w:r w:rsidDel="00000000" w:rsidR="00000000" w:rsidRPr="00000000">
              <w:rPr>
                <w:rFonts w:ascii="Arial" w:cs="Arial" w:eastAsia="Arial" w:hAnsi="Arial"/>
                <w:rtl w:val="0"/>
              </w:rPr>
              <w:t xml:space="preserve">900</w:t>
            </w:r>
          </w:p>
        </w:tc>
        <w:tc>
          <w:tcPr/>
          <w:p w:rsidR="00000000" w:rsidDel="00000000" w:rsidP="00000000" w:rsidRDefault="00000000" w:rsidRPr="00000000" w14:paraId="000001CF">
            <w:pPr>
              <w:rPr>
                <w:rFonts w:ascii="Arial" w:cs="Arial" w:eastAsia="Arial" w:hAnsi="Arial"/>
              </w:rPr>
            </w:pPr>
            <w:r w:rsidDel="00000000" w:rsidR="00000000" w:rsidRPr="00000000">
              <w:rPr>
                <w:rFonts w:ascii="Arial" w:cs="Arial" w:eastAsia="Arial" w:hAnsi="Arial"/>
                <w:rtl w:val="0"/>
              </w:rPr>
              <w:t xml:space="preserve">320</w:t>
            </w:r>
          </w:p>
        </w:tc>
        <w:tc>
          <w:tcPr/>
          <w:p w:rsidR="00000000" w:rsidDel="00000000" w:rsidP="00000000" w:rsidRDefault="00000000" w:rsidRPr="00000000" w14:paraId="000001D0">
            <w:pPr>
              <w:rPr>
                <w:rFonts w:ascii="Arial" w:cs="Arial" w:eastAsia="Arial" w:hAnsi="Arial"/>
              </w:rPr>
            </w:pPr>
            <w:r w:rsidDel="00000000" w:rsidR="00000000" w:rsidRPr="00000000">
              <w:rPr>
                <w:rFonts w:ascii="Arial" w:cs="Arial" w:eastAsia="Arial" w:hAnsi="Arial"/>
                <w:rtl w:val="0"/>
              </w:rPr>
              <w:t xml:space="preserve">580</w:t>
            </w:r>
          </w:p>
        </w:tc>
        <w:tc>
          <w:tcPr/>
          <w:p w:rsidR="00000000" w:rsidDel="00000000" w:rsidP="00000000" w:rsidRDefault="00000000" w:rsidRPr="00000000" w14:paraId="000001D1">
            <w:pPr>
              <w:rPr>
                <w:rFonts w:ascii="Arial" w:cs="Arial" w:eastAsia="Arial" w:hAnsi="Arial"/>
              </w:rPr>
            </w:pPr>
            <w:r w:rsidDel="00000000" w:rsidR="00000000" w:rsidRPr="00000000">
              <w:rPr>
                <w:rFonts w:ascii="Arial" w:cs="Arial" w:eastAsia="Arial" w:hAnsi="Arial"/>
                <w:rtl w:val="0"/>
              </w:rPr>
              <w:t xml:space="preserve">145</w:t>
            </w:r>
          </w:p>
        </w:tc>
        <w:tc>
          <w:tcPr/>
          <w:p w:rsidR="00000000" w:rsidDel="00000000" w:rsidP="00000000" w:rsidRDefault="00000000" w:rsidRPr="00000000" w14:paraId="000001D2">
            <w:pPr>
              <w:rPr>
                <w:rFonts w:ascii="Arial" w:cs="Arial" w:eastAsia="Arial" w:hAnsi="Arial"/>
              </w:rPr>
            </w:pPr>
            <w:r w:rsidDel="00000000" w:rsidR="00000000" w:rsidRPr="00000000">
              <w:rPr>
                <w:rFonts w:ascii="Arial" w:cs="Arial" w:eastAsia="Arial" w:hAnsi="Arial"/>
                <w:rtl w:val="0"/>
              </w:rPr>
              <w:t xml:space="preserve">755</w:t>
            </w:r>
          </w:p>
        </w:tc>
        <w:tc>
          <w:tcPr/>
          <w:p w:rsidR="00000000" w:rsidDel="00000000" w:rsidP="00000000" w:rsidRDefault="00000000" w:rsidRPr="00000000" w14:paraId="000001D3">
            <w:pPr>
              <w:rPr>
                <w:rFonts w:ascii="Arial" w:cs="Arial" w:eastAsia="Arial" w:hAnsi="Arial"/>
              </w:rPr>
            </w:pPr>
            <w:r w:rsidDel="00000000" w:rsidR="00000000" w:rsidRPr="00000000">
              <w:rPr>
                <w:rFonts w:ascii="Arial" w:cs="Arial" w:eastAsia="Arial" w:hAnsi="Arial"/>
                <w:rtl w:val="0"/>
              </w:rPr>
              <w:t xml:space="preserve">0.840</w:t>
            </w:r>
          </w:p>
        </w:tc>
        <w:tc>
          <w:tcPr/>
          <w:p w:rsidR="00000000" w:rsidDel="00000000" w:rsidP="00000000" w:rsidRDefault="00000000" w:rsidRPr="00000000" w14:paraId="000001D4">
            <w:pPr>
              <w:rPr>
                <w:rFonts w:ascii="Arial" w:cs="Arial" w:eastAsia="Arial" w:hAnsi="Arial"/>
              </w:rPr>
            </w:pPr>
            <w:r w:rsidDel="00000000" w:rsidR="00000000" w:rsidRPr="00000000">
              <w:rPr>
                <w:rFonts w:ascii="Arial" w:cs="Arial" w:eastAsia="Arial" w:hAnsi="Arial"/>
                <w:rtl w:val="0"/>
              </w:rPr>
              <w:t xml:space="preserve">634.2</w:t>
            </w:r>
          </w:p>
        </w:tc>
      </w:tr>
      <w:tr>
        <w:trPr>
          <w:cantSplit w:val="0"/>
          <w:tblHeader w:val="0"/>
        </w:trPr>
        <w:tc>
          <w:tcPr/>
          <w:p w:rsidR="00000000" w:rsidDel="00000000" w:rsidP="00000000" w:rsidRDefault="00000000" w:rsidRPr="00000000" w14:paraId="000001D5">
            <w:pP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1D6">
            <w:pPr>
              <w:rPr>
                <w:rFonts w:ascii="Arial" w:cs="Arial" w:eastAsia="Arial" w:hAnsi="Arial"/>
              </w:rPr>
            </w:pPr>
            <w:r w:rsidDel="00000000" w:rsidR="00000000" w:rsidRPr="00000000">
              <w:rPr>
                <w:rFonts w:ascii="Arial" w:cs="Arial" w:eastAsia="Arial" w:hAnsi="Arial"/>
                <w:rtl w:val="0"/>
              </w:rPr>
              <w:t xml:space="preserve">1,200</w:t>
            </w:r>
          </w:p>
        </w:tc>
        <w:tc>
          <w:tcPr/>
          <w:p w:rsidR="00000000" w:rsidDel="00000000" w:rsidP="00000000" w:rsidRDefault="00000000" w:rsidRPr="00000000" w14:paraId="000001D7">
            <w:pPr>
              <w:rPr>
                <w:rFonts w:ascii="Arial" w:cs="Arial" w:eastAsia="Arial" w:hAnsi="Arial"/>
              </w:rPr>
            </w:pPr>
            <w:r w:rsidDel="00000000" w:rsidR="00000000" w:rsidRPr="00000000">
              <w:rPr>
                <w:rFonts w:ascii="Arial" w:cs="Arial" w:eastAsia="Arial" w:hAnsi="Arial"/>
                <w:rtl w:val="0"/>
              </w:rPr>
              <w:t xml:space="preserve">320</w:t>
            </w:r>
          </w:p>
        </w:tc>
        <w:tc>
          <w:tcPr/>
          <w:p w:rsidR="00000000" w:rsidDel="00000000" w:rsidP="00000000" w:rsidRDefault="00000000" w:rsidRPr="00000000" w14:paraId="000001D8">
            <w:pPr>
              <w:rPr>
                <w:rFonts w:ascii="Arial" w:cs="Arial" w:eastAsia="Arial" w:hAnsi="Arial"/>
              </w:rPr>
            </w:pPr>
            <w:r w:rsidDel="00000000" w:rsidR="00000000" w:rsidRPr="00000000">
              <w:rPr>
                <w:rFonts w:ascii="Arial" w:cs="Arial" w:eastAsia="Arial" w:hAnsi="Arial"/>
                <w:rtl w:val="0"/>
              </w:rPr>
              <w:t xml:space="preserve">880</w:t>
            </w:r>
          </w:p>
        </w:tc>
        <w:tc>
          <w:tcPr/>
          <w:p w:rsidR="00000000" w:rsidDel="00000000" w:rsidP="00000000" w:rsidRDefault="00000000" w:rsidRPr="00000000" w14:paraId="000001D9">
            <w:pPr>
              <w:rPr>
                <w:rFonts w:ascii="Arial" w:cs="Arial" w:eastAsia="Arial" w:hAnsi="Arial"/>
              </w:rPr>
            </w:pPr>
            <w:r w:rsidDel="00000000" w:rsidR="00000000" w:rsidRPr="00000000">
              <w:rPr>
                <w:rFonts w:ascii="Arial" w:cs="Arial" w:eastAsia="Arial" w:hAnsi="Arial"/>
                <w:rtl w:val="0"/>
              </w:rPr>
              <w:t xml:space="preserve">220</w:t>
            </w:r>
          </w:p>
        </w:tc>
        <w:tc>
          <w:tcPr/>
          <w:p w:rsidR="00000000" w:rsidDel="00000000" w:rsidP="00000000" w:rsidRDefault="00000000" w:rsidRPr="00000000" w14:paraId="000001DA">
            <w:pPr>
              <w:rPr>
                <w:rFonts w:ascii="Arial" w:cs="Arial" w:eastAsia="Arial" w:hAnsi="Arial"/>
              </w:rPr>
            </w:pPr>
            <w:r w:rsidDel="00000000" w:rsidR="00000000" w:rsidRPr="00000000">
              <w:rPr>
                <w:rFonts w:ascii="Arial" w:cs="Arial" w:eastAsia="Arial" w:hAnsi="Arial"/>
                <w:rtl w:val="0"/>
              </w:rPr>
              <w:t xml:space="preserve">980</w:t>
            </w:r>
          </w:p>
        </w:tc>
        <w:tc>
          <w:tcPr/>
          <w:p w:rsidR="00000000" w:rsidDel="00000000" w:rsidP="00000000" w:rsidRDefault="00000000" w:rsidRPr="00000000" w14:paraId="000001DB">
            <w:pPr>
              <w:rPr>
                <w:rFonts w:ascii="Arial" w:cs="Arial" w:eastAsia="Arial" w:hAnsi="Arial"/>
              </w:rPr>
            </w:pPr>
            <w:r w:rsidDel="00000000" w:rsidR="00000000" w:rsidRPr="00000000">
              <w:rPr>
                <w:rFonts w:ascii="Arial" w:cs="Arial" w:eastAsia="Arial" w:hAnsi="Arial"/>
                <w:rtl w:val="0"/>
              </w:rPr>
              <w:t xml:space="preserve">0.792</w:t>
            </w:r>
          </w:p>
        </w:tc>
        <w:tc>
          <w:tcPr/>
          <w:p w:rsidR="00000000" w:rsidDel="00000000" w:rsidP="00000000" w:rsidRDefault="00000000" w:rsidRPr="00000000" w14:paraId="000001DC">
            <w:pPr>
              <w:rPr>
                <w:rFonts w:ascii="Arial" w:cs="Arial" w:eastAsia="Arial" w:hAnsi="Arial"/>
              </w:rPr>
            </w:pPr>
            <w:r w:rsidDel="00000000" w:rsidR="00000000" w:rsidRPr="00000000">
              <w:rPr>
                <w:rFonts w:ascii="Arial" w:cs="Arial" w:eastAsia="Arial" w:hAnsi="Arial"/>
                <w:rtl w:val="0"/>
              </w:rPr>
              <w:t xml:space="preserve">776.2</w:t>
            </w:r>
          </w:p>
        </w:tc>
      </w:tr>
    </w:tbl>
    <w:p w:rsidR="00000000" w:rsidDel="00000000" w:rsidP="00000000" w:rsidRDefault="00000000" w:rsidRPr="00000000" w14:paraId="000001DD">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DE">
      <w:pPr>
        <w:rPr>
          <w:rFonts w:ascii="Arial" w:cs="Arial" w:eastAsia="Arial" w:hAnsi="Arial"/>
          <w:b w:val="1"/>
          <w:bCs w:val="1"/>
        </w:rPr>
      </w:pPr>
      <w:r w:rsidDel="00000000" w:rsidR="00000000" w:rsidRPr="00000000">
        <w:rPr>
          <w:rFonts w:ascii="Arial" w:cs="Arial" w:eastAsia="Arial" w:hAnsi="Arial"/>
          <w:b w:val="0"/>
          <w:bCs w:val="0"/>
          <w:rtl w:val="0"/>
        </w:rPr>
        <w:t xml:space="preserve">Total PV of inflows = £2,342.7k</w:t>
      </w:r>
      <w:r w:rsidDel="00000000" w:rsidR="00000000" w:rsidRPr="00000000">
        <w:rPr>
          <w:rtl w:val="0"/>
        </w:rPr>
      </w:r>
    </w:p>
    <w:p w:rsidR="00000000" w:rsidDel="00000000" w:rsidP="00000000" w:rsidRDefault="00000000" w:rsidRPr="00000000" w14:paraId="000001DF">
      <w:pPr>
        <w:rPr>
          <w:rFonts w:ascii="Arial" w:cs="Arial" w:eastAsia="Arial" w:hAnsi="Arial"/>
          <w:b w:val="0"/>
          <w:bCs w:val="0"/>
        </w:rPr>
      </w:pPr>
      <w:r w:rsidDel="00000000" w:rsidR="00000000" w:rsidRPr="00000000">
        <w:rPr>
          <w:rFonts w:ascii="Arial" w:cs="Arial" w:eastAsia="Arial" w:hAnsi="Arial"/>
          <w:b w:val="0"/>
          <w:bCs w:val="0"/>
          <w:rtl w:val="0"/>
        </w:rPr>
        <w:t xml:space="preserve">NPV (Option C) = 2,342.7 − 1,600 = £742.7k</w:t>
      </w:r>
    </w:p>
    <w:p w:rsidR="00000000" w:rsidDel="00000000" w:rsidP="00000000" w:rsidRDefault="00000000" w:rsidRPr="00000000" w14:paraId="000001E0">
      <w:pPr>
        <w:rPr>
          <w:rFonts w:ascii="Arial" w:cs="Arial" w:eastAsia="Arial" w:hAnsi="Arial"/>
          <w:b w:val="1"/>
          <w:bCs w:val="1"/>
        </w:rPr>
      </w:pPr>
      <w:r w:rsidDel="00000000" w:rsidR="00000000" w:rsidRPr="00000000">
        <w:rPr>
          <w:rFonts w:ascii="Arial" w:cs="Arial" w:eastAsia="Arial" w:hAnsi="Arial"/>
          <w:b w:val="1"/>
          <w:bCs w:val="1"/>
          <w:rtl w:val="0"/>
        </w:rPr>
        <w:t xml:space="preserve">NPV Decision Summary</w:t>
      </w:r>
    </w:p>
    <w:tbl>
      <w:tblPr>
        <w:tblStyle w:val="Table12"/>
        <w:tblW w:w="6335.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24"/>
        <w:gridCol w:w="2097"/>
        <w:gridCol w:w="1470"/>
        <w:gridCol w:w="1844"/>
        <w:tblGridChange w:id="0">
          <w:tblGrid>
            <w:gridCol w:w="924"/>
            <w:gridCol w:w="2097"/>
            <w:gridCol w:w="1470"/>
            <w:gridCol w:w="1844"/>
          </w:tblGrid>
        </w:tblGridChange>
      </w:tblGrid>
      <w:tr>
        <w:trPr>
          <w:cantSplit w:val="0"/>
          <w:tblHeader w:val="0"/>
        </w:trPr>
        <w:tc>
          <w:tcPr/>
          <w:p w:rsidR="00000000" w:rsidDel="00000000" w:rsidP="00000000" w:rsidRDefault="00000000" w:rsidRPr="00000000" w14:paraId="000001E1">
            <w:pPr>
              <w:rPr>
                <w:rFonts w:ascii="Arial" w:cs="Arial" w:eastAsia="Arial" w:hAnsi="Arial"/>
              </w:rPr>
            </w:pPr>
            <w:r w:rsidDel="00000000" w:rsidR="00000000" w:rsidRPr="00000000">
              <w:rPr>
                <w:rFonts w:ascii="Arial" w:cs="Arial" w:eastAsia="Arial" w:hAnsi="Arial"/>
                <w:rtl w:val="0"/>
              </w:rPr>
              <w:t xml:space="preserve">Option</w:t>
            </w:r>
          </w:p>
        </w:tc>
        <w:tc>
          <w:tcPr/>
          <w:p w:rsidR="00000000" w:rsidDel="00000000" w:rsidP="00000000" w:rsidRDefault="00000000" w:rsidRPr="00000000" w14:paraId="000001E2">
            <w:pPr>
              <w:rPr>
                <w:rFonts w:ascii="Arial" w:cs="Arial" w:eastAsia="Arial" w:hAnsi="Arial"/>
              </w:rPr>
            </w:pPr>
            <w:r w:rsidDel="00000000" w:rsidR="00000000" w:rsidRPr="00000000">
              <w:rPr>
                <w:rFonts w:ascii="Arial" w:cs="Arial" w:eastAsia="Arial" w:hAnsi="Arial"/>
                <w:rtl w:val="0"/>
              </w:rPr>
              <w:t xml:space="preserve">Initial Cost (£000)</w:t>
            </w:r>
          </w:p>
        </w:tc>
        <w:tc>
          <w:tcPr/>
          <w:p w:rsidR="00000000" w:rsidDel="00000000" w:rsidP="00000000" w:rsidRDefault="00000000" w:rsidRPr="00000000" w14:paraId="000001E3">
            <w:pPr>
              <w:rPr>
                <w:rFonts w:ascii="Arial" w:cs="Arial" w:eastAsia="Arial" w:hAnsi="Arial"/>
              </w:rPr>
            </w:pPr>
            <w:r w:rsidDel="00000000" w:rsidR="00000000" w:rsidRPr="00000000">
              <w:rPr>
                <w:rFonts w:ascii="Arial" w:cs="Arial" w:eastAsia="Arial" w:hAnsi="Arial"/>
                <w:rtl w:val="0"/>
              </w:rPr>
              <w:t xml:space="preserve">NPV (£000)</w:t>
            </w:r>
          </w:p>
        </w:tc>
        <w:tc>
          <w:tcPr/>
          <w:p w:rsidR="00000000" w:rsidDel="00000000" w:rsidP="00000000" w:rsidRDefault="00000000" w:rsidRPr="00000000" w14:paraId="000001E4">
            <w:pPr>
              <w:rPr>
                <w:rFonts w:ascii="Arial" w:cs="Arial" w:eastAsia="Arial" w:hAnsi="Arial"/>
              </w:rPr>
            </w:pPr>
            <w:r w:rsidDel="00000000" w:rsidR="00000000" w:rsidRPr="00000000">
              <w:rPr>
                <w:rFonts w:ascii="Arial" w:cs="Arial" w:eastAsia="Arial" w:hAnsi="Arial"/>
                <w:rtl w:val="0"/>
              </w:rPr>
              <w:t xml:space="preserve">Decision</w:t>
            </w:r>
          </w:p>
        </w:tc>
      </w:tr>
      <w:tr>
        <w:trPr>
          <w:cantSplit w:val="0"/>
          <w:tblHeader w:val="0"/>
        </w:trPr>
        <w:tc>
          <w:tcPr/>
          <w:p w:rsidR="00000000" w:rsidDel="00000000" w:rsidP="00000000" w:rsidRDefault="00000000" w:rsidRPr="00000000" w14:paraId="000001E5">
            <w:pPr>
              <w:rPr>
                <w:rFonts w:ascii="Arial" w:cs="Arial" w:eastAsia="Arial" w:hAnsi="Arial"/>
              </w:rPr>
            </w:pPr>
            <w:r w:rsidDel="00000000" w:rsidR="00000000" w:rsidRPr="00000000">
              <w:rPr>
                <w:rFonts w:ascii="Arial" w:cs="Arial" w:eastAsia="Arial" w:hAnsi="Arial"/>
                <w:rtl w:val="0"/>
              </w:rPr>
              <w:t xml:space="preserve">A</w:t>
            </w:r>
          </w:p>
        </w:tc>
        <w:tc>
          <w:tcPr/>
          <w:p w:rsidR="00000000" w:rsidDel="00000000" w:rsidP="00000000" w:rsidRDefault="00000000" w:rsidRPr="00000000" w14:paraId="000001E6">
            <w:pPr>
              <w:rPr>
                <w:rFonts w:ascii="Arial" w:cs="Arial" w:eastAsia="Arial" w:hAnsi="Arial"/>
              </w:rPr>
            </w:pPr>
            <w:r w:rsidDel="00000000" w:rsidR="00000000" w:rsidRPr="00000000">
              <w:rPr>
                <w:rFonts w:ascii="Arial" w:cs="Arial" w:eastAsia="Arial" w:hAnsi="Arial"/>
                <w:rtl w:val="0"/>
              </w:rPr>
              <w:t xml:space="preserve">600</w:t>
            </w:r>
          </w:p>
        </w:tc>
        <w:tc>
          <w:tcPr/>
          <w:p w:rsidR="00000000" w:rsidDel="00000000" w:rsidP="00000000" w:rsidRDefault="00000000" w:rsidRPr="00000000" w14:paraId="000001E7">
            <w:pPr>
              <w:rPr>
                <w:rFonts w:ascii="Arial" w:cs="Arial" w:eastAsia="Arial" w:hAnsi="Arial"/>
              </w:rPr>
            </w:pPr>
            <w:r w:rsidDel="00000000" w:rsidR="00000000" w:rsidRPr="00000000">
              <w:rPr>
                <w:rFonts w:ascii="Arial" w:cs="Arial" w:eastAsia="Arial" w:hAnsi="Arial"/>
                <w:rtl w:val="0"/>
              </w:rPr>
              <w:t xml:space="preserve">643.2</w:t>
            </w:r>
          </w:p>
        </w:tc>
        <w:tc>
          <w:tcPr/>
          <w:p w:rsidR="00000000" w:rsidDel="00000000" w:rsidP="00000000" w:rsidRDefault="00000000" w:rsidRPr="00000000" w14:paraId="000001E8">
            <w:pPr>
              <w:rPr>
                <w:rFonts w:ascii="Arial" w:cs="Arial" w:eastAsia="Arial" w:hAnsi="Arial"/>
              </w:rPr>
            </w:pPr>
            <w:r w:rsidDel="00000000" w:rsidR="00000000" w:rsidRPr="00000000">
              <w:rPr>
                <w:rFonts w:ascii="Arial" w:cs="Arial" w:eastAsia="Arial" w:hAnsi="Arial"/>
                <w:rtl w:val="0"/>
              </w:rPr>
              <w:t xml:space="preserve">Accept</w:t>
            </w:r>
          </w:p>
        </w:tc>
      </w:tr>
      <w:tr>
        <w:trPr>
          <w:cantSplit w:val="0"/>
          <w:tblHeader w:val="0"/>
        </w:trPr>
        <w:tc>
          <w:tcPr/>
          <w:p w:rsidR="00000000" w:rsidDel="00000000" w:rsidP="00000000" w:rsidRDefault="00000000" w:rsidRPr="00000000" w14:paraId="000001E9">
            <w:pPr>
              <w:rPr>
                <w:rFonts w:ascii="Arial" w:cs="Arial" w:eastAsia="Arial" w:hAnsi="Arial"/>
              </w:rPr>
            </w:pPr>
            <w:r w:rsidDel="00000000" w:rsidR="00000000" w:rsidRPr="00000000">
              <w:rPr>
                <w:rFonts w:ascii="Arial" w:cs="Arial" w:eastAsia="Arial" w:hAnsi="Arial"/>
                <w:rtl w:val="0"/>
              </w:rPr>
              <w:t xml:space="preserve">B</w:t>
            </w:r>
          </w:p>
        </w:tc>
        <w:tc>
          <w:tcPr/>
          <w:p w:rsidR="00000000" w:rsidDel="00000000" w:rsidP="00000000" w:rsidRDefault="00000000" w:rsidRPr="00000000" w14:paraId="000001EA">
            <w:pPr>
              <w:rPr>
                <w:rFonts w:ascii="Arial" w:cs="Arial" w:eastAsia="Arial" w:hAnsi="Arial"/>
              </w:rPr>
            </w:pPr>
            <w:r w:rsidDel="00000000" w:rsidR="00000000" w:rsidRPr="00000000">
              <w:rPr>
                <w:rFonts w:ascii="Arial" w:cs="Arial" w:eastAsia="Arial" w:hAnsi="Arial"/>
                <w:rtl w:val="0"/>
              </w:rPr>
              <w:t xml:space="preserve">1,000</w:t>
            </w:r>
          </w:p>
        </w:tc>
        <w:tc>
          <w:tcPr/>
          <w:p w:rsidR="00000000" w:rsidDel="00000000" w:rsidP="00000000" w:rsidRDefault="00000000" w:rsidRPr="00000000" w14:paraId="000001EB">
            <w:pPr>
              <w:rPr>
                <w:rFonts w:ascii="Arial" w:cs="Arial" w:eastAsia="Arial" w:hAnsi="Arial"/>
              </w:rPr>
            </w:pPr>
            <w:r w:rsidDel="00000000" w:rsidR="00000000" w:rsidRPr="00000000">
              <w:rPr>
                <w:rFonts w:ascii="Arial" w:cs="Arial" w:eastAsia="Arial" w:hAnsi="Arial"/>
                <w:rtl w:val="0"/>
              </w:rPr>
              <w:t xml:space="preserve">792.3</w:t>
            </w:r>
          </w:p>
        </w:tc>
        <w:tc>
          <w:tcPr/>
          <w:p w:rsidR="00000000" w:rsidDel="00000000" w:rsidP="00000000" w:rsidRDefault="00000000" w:rsidRPr="00000000" w14:paraId="000001EC">
            <w:pPr>
              <w:rPr>
                <w:rFonts w:ascii="Arial" w:cs="Arial" w:eastAsia="Arial" w:hAnsi="Arial"/>
              </w:rPr>
            </w:pPr>
            <w:r w:rsidDel="00000000" w:rsidR="00000000" w:rsidRPr="00000000">
              <w:rPr>
                <w:rFonts w:ascii="Arial" w:cs="Arial" w:eastAsia="Arial" w:hAnsi="Arial"/>
                <w:rtl w:val="0"/>
              </w:rPr>
              <w:t xml:space="preserve">Recommended</w:t>
            </w:r>
          </w:p>
        </w:tc>
      </w:tr>
      <w:tr>
        <w:trPr>
          <w:cantSplit w:val="0"/>
          <w:tblHeader w:val="0"/>
        </w:trPr>
        <w:tc>
          <w:tcPr/>
          <w:p w:rsidR="00000000" w:rsidDel="00000000" w:rsidP="00000000" w:rsidRDefault="00000000" w:rsidRPr="00000000" w14:paraId="000001ED">
            <w:pPr>
              <w:rPr>
                <w:rFonts w:ascii="Arial" w:cs="Arial" w:eastAsia="Arial" w:hAnsi="Arial"/>
              </w:rPr>
            </w:pPr>
            <w:r w:rsidDel="00000000" w:rsidR="00000000" w:rsidRPr="00000000">
              <w:rPr>
                <w:rFonts w:ascii="Arial" w:cs="Arial" w:eastAsia="Arial" w:hAnsi="Arial"/>
                <w:rtl w:val="0"/>
              </w:rPr>
              <w:t xml:space="preserve">C</w:t>
            </w:r>
          </w:p>
        </w:tc>
        <w:tc>
          <w:tcPr/>
          <w:p w:rsidR="00000000" w:rsidDel="00000000" w:rsidP="00000000" w:rsidRDefault="00000000" w:rsidRPr="00000000" w14:paraId="000001EE">
            <w:pPr>
              <w:rPr>
                <w:rFonts w:ascii="Arial" w:cs="Arial" w:eastAsia="Arial" w:hAnsi="Arial"/>
              </w:rPr>
            </w:pPr>
            <w:r w:rsidDel="00000000" w:rsidR="00000000" w:rsidRPr="00000000">
              <w:rPr>
                <w:rFonts w:ascii="Arial" w:cs="Arial" w:eastAsia="Arial" w:hAnsi="Arial"/>
                <w:rtl w:val="0"/>
              </w:rPr>
              <w:t xml:space="preserve">1,600</w:t>
            </w:r>
          </w:p>
        </w:tc>
        <w:tc>
          <w:tcPr/>
          <w:p w:rsidR="00000000" w:rsidDel="00000000" w:rsidP="00000000" w:rsidRDefault="00000000" w:rsidRPr="00000000" w14:paraId="000001EF">
            <w:pPr>
              <w:rPr>
                <w:rFonts w:ascii="Arial" w:cs="Arial" w:eastAsia="Arial" w:hAnsi="Arial"/>
              </w:rPr>
            </w:pPr>
            <w:r w:rsidDel="00000000" w:rsidR="00000000" w:rsidRPr="00000000">
              <w:rPr>
                <w:rFonts w:ascii="Arial" w:cs="Arial" w:eastAsia="Arial" w:hAnsi="Arial"/>
                <w:rtl w:val="0"/>
              </w:rPr>
              <w:t xml:space="preserve">742.7</w:t>
            </w:r>
          </w:p>
        </w:tc>
        <w:tc>
          <w:tcPr/>
          <w:p w:rsidR="00000000" w:rsidDel="00000000" w:rsidP="00000000" w:rsidRDefault="00000000" w:rsidRPr="00000000" w14:paraId="000001F0">
            <w:pPr>
              <w:rPr>
                <w:rFonts w:ascii="Arial" w:cs="Arial" w:eastAsia="Arial" w:hAnsi="Arial"/>
              </w:rPr>
            </w:pPr>
            <w:r w:rsidDel="00000000" w:rsidR="00000000" w:rsidRPr="00000000">
              <w:rPr>
                <w:rFonts w:ascii="Arial" w:cs="Arial" w:eastAsia="Arial" w:hAnsi="Arial"/>
                <w:rtl w:val="0"/>
              </w:rPr>
              <w:t xml:space="preserve">Accept</w:t>
            </w:r>
          </w:p>
        </w:tc>
      </w:tr>
    </w:tbl>
    <w:p w:rsidR="00000000" w:rsidDel="00000000" w:rsidP="00000000" w:rsidRDefault="00000000" w:rsidRPr="00000000" w14:paraId="000001F1">
      <w:pPr>
        <w:rPr>
          <w:rFonts w:ascii="Arial" w:cs="Arial" w:eastAsia="Arial" w:hAnsi="Arial"/>
        </w:rPr>
      </w:pPr>
      <w:r w:rsidDel="00000000" w:rsidR="00000000" w:rsidRPr="00000000">
        <w:rPr>
          <w:rFonts w:ascii="Arial" w:cs="Arial" w:eastAsia="Arial" w:hAnsi="Arial"/>
          <w:rtl w:val="0"/>
        </w:rPr>
        <w:t xml:space="preserve">Even though, the absolute cash inflows of Option C are the largest, those of Option B are the largest giving the highest NPV and hence the maximum shareholder wealth. Option B can be suggested on NPV grounds.</w:t>
      </w:r>
    </w:p>
    <w:p w:rsidR="00000000" w:rsidDel="00000000" w:rsidP="00000000" w:rsidRDefault="00000000" w:rsidRPr="00000000" w14:paraId="000001F2">
      <w:pPr>
        <w:spacing w:line="259" w:lineRule="auto"/>
        <w:jc w:val="left"/>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1F3">
      <w:pPr>
        <w:pStyle w:val="Heading2"/>
        <w:rPr>
          <w:rFonts w:ascii="Arial" w:cs="Arial" w:eastAsia="Arial" w:hAnsi="Arial"/>
        </w:rPr>
      </w:pPr>
      <w:bookmarkStart w:colFirst="0" w:colLast="0" w:name="_4m2a2ldesac2" w:id="12"/>
      <w:bookmarkEnd w:id="12"/>
      <w:r w:rsidDel="00000000" w:rsidR="00000000" w:rsidRPr="00000000">
        <w:rPr>
          <w:rFonts w:ascii="Arial" w:cs="Arial" w:eastAsia="Arial" w:hAnsi="Arial"/>
          <w:rtl w:val="0"/>
        </w:rPr>
        <w:t xml:space="preserve">4. Internal Rate of Return (IRR) – Option B</w:t>
      </w:r>
    </w:p>
    <w:p w:rsidR="00000000" w:rsidDel="00000000" w:rsidP="00000000" w:rsidRDefault="00000000" w:rsidRPr="00000000" w14:paraId="000001F4">
      <w:pPr>
        <w:rPr>
          <w:rFonts w:ascii="Arial" w:cs="Arial" w:eastAsia="Arial" w:hAnsi="Arial"/>
        </w:rPr>
      </w:pPr>
      <w:r w:rsidDel="00000000" w:rsidR="00000000" w:rsidRPr="00000000">
        <w:rPr>
          <w:rFonts w:ascii="Arial" w:cs="Arial" w:eastAsia="Arial" w:hAnsi="Arial"/>
          <w:rtl w:val="0"/>
        </w:rPr>
        <w:t xml:space="preserve">IRR is the discount rate that makes NPV = 0.</w:t>
      </w:r>
    </w:p>
    <w:p w:rsidR="00000000" w:rsidDel="00000000" w:rsidP="00000000" w:rsidRDefault="00000000" w:rsidRPr="00000000" w14:paraId="000001F5">
      <w:pPr>
        <w:rPr>
          <w:rFonts w:ascii="Arial" w:cs="Arial" w:eastAsia="Arial" w:hAnsi="Arial"/>
        </w:rPr>
      </w:pPr>
      <w:r w:rsidDel="00000000" w:rsidR="00000000" w:rsidRPr="00000000">
        <w:rPr>
          <w:rFonts w:ascii="Arial" w:cs="Arial" w:eastAsia="Arial" w:hAnsi="Arial"/>
          <w:rtl w:val="0"/>
        </w:rPr>
        <w:t xml:space="preserve">Option B – NPV at 10% Discount Rate</w:t>
      </w:r>
    </w:p>
    <w:tbl>
      <w:tblPr>
        <w:tblStyle w:val="Table13"/>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911"/>
        <w:gridCol w:w="1498"/>
        <w:gridCol w:w="1135"/>
        <w:gridCol w:w="1043"/>
        <w:gridCol w:w="992"/>
        <w:gridCol w:w="1491"/>
        <w:gridCol w:w="1579"/>
        <w:tblGridChange w:id="0">
          <w:tblGrid>
            <w:gridCol w:w="701"/>
            <w:gridCol w:w="911"/>
            <w:gridCol w:w="1498"/>
            <w:gridCol w:w="1135"/>
            <w:gridCol w:w="1043"/>
            <w:gridCol w:w="992"/>
            <w:gridCol w:w="1491"/>
            <w:gridCol w:w="1579"/>
          </w:tblGrid>
        </w:tblGridChange>
      </w:tblGrid>
      <w:tr>
        <w:trPr>
          <w:cantSplit w:val="0"/>
          <w:tblHeader w:val="0"/>
        </w:trPr>
        <w:tc>
          <w:tcPr/>
          <w:p w:rsidR="00000000" w:rsidDel="00000000" w:rsidP="00000000" w:rsidRDefault="00000000" w:rsidRPr="00000000" w14:paraId="000001F6">
            <w:pP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1F7">
            <w:pPr>
              <w:rPr>
                <w:rFonts w:ascii="Arial" w:cs="Arial" w:eastAsia="Arial" w:hAnsi="Arial"/>
              </w:rPr>
            </w:pPr>
            <w:r w:rsidDel="00000000" w:rsidR="00000000" w:rsidRPr="00000000">
              <w:rPr>
                <w:rFonts w:ascii="Arial" w:cs="Arial" w:eastAsia="Arial" w:hAnsi="Arial"/>
                <w:rtl w:val="0"/>
              </w:rPr>
              <w:t xml:space="preserve">Cash Flow</w:t>
            </w:r>
          </w:p>
        </w:tc>
        <w:tc>
          <w:tcPr/>
          <w:p w:rsidR="00000000" w:rsidDel="00000000" w:rsidP="00000000" w:rsidRDefault="00000000" w:rsidRPr="00000000" w14:paraId="000001F8">
            <w:pPr>
              <w:rPr>
                <w:rFonts w:ascii="Arial" w:cs="Arial" w:eastAsia="Arial" w:hAnsi="Arial"/>
              </w:rPr>
            </w:pPr>
            <w:r w:rsidDel="00000000" w:rsidR="00000000" w:rsidRPr="00000000">
              <w:rPr>
                <w:rFonts w:ascii="Arial" w:cs="Arial" w:eastAsia="Arial" w:hAnsi="Arial"/>
                <w:rtl w:val="0"/>
              </w:rPr>
              <w:t xml:space="preserve">Capital Allowance</w:t>
            </w:r>
          </w:p>
        </w:tc>
        <w:tc>
          <w:tcPr/>
          <w:p w:rsidR="00000000" w:rsidDel="00000000" w:rsidP="00000000" w:rsidRDefault="00000000" w:rsidRPr="00000000" w14:paraId="000001F9">
            <w:pPr>
              <w:rPr>
                <w:rFonts w:ascii="Arial" w:cs="Arial" w:eastAsia="Arial" w:hAnsi="Arial"/>
              </w:rPr>
            </w:pPr>
            <w:r w:rsidDel="00000000" w:rsidR="00000000" w:rsidRPr="00000000">
              <w:rPr>
                <w:rFonts w:ascii="Arial" w:cs="Arial" w:eastAsia="Arial" w:hAnsi="Arial"/>
                <w:rtl w:val="0"/>
              </w:rPr>
              <w:t xml:space="preserve">Taxable CF</w:t>
            </w:r>
          </w:p>
        </w:tc>
        <w:tc>
          <w:tcPr/>
          <w:p w:rsidR="00000000" w:rsidDel="00000000" w:rsidP="00000000" w:rsidRDefault="00000000" w:rsidRPr="00000000" w14:paraId="000001FA">
            <w:pPr>
              <w:rPr>
                <w:rFonts w:ascii="Arial" w:cs="Arial" w:eastAsia="Arial" w:hAnsi="Arial"/>
              </w:rPr>
            </w:pPr>
            <w:r w:rsidDel="00000000" w:rsidR="00000000" w:rsidRPr="00000000">
              <w:rPr>
                <w:rFonts w:ascii="Arial" w:cs="Arial" w:eastAsia="Arial" w:hAnsi="Arial"/>
                <w:rtl w:val="0"/>
              </w:rPr>
              <w:t xml:space="preserve">Tax @25%</w:t>
            </w:r>
          </w:p>
        </w:tc>
        <w:tc>
          <w:tcPr/>
          <w:p w:rsidR="00000000" w:rsidDel="00000000" w:rsidP="00000000" w:rsidRDefault="00000000" w:rsidRPr="00000000" w14:paraId="000001FB">
            <w:pPr>
              <w:rPr>
                <w:rFonts w:ascii="Arial" w:cs="Arial" w:eastAsia="Arial" w:hAnsi="Arial"/>
              </w:rPr>
            </w:pPr>
            <w:r w:rsidDel="00000000" w:rsidR="00000000" w:rsidRPr="00000000">
              <w:rPr>
                <w:rFonts w:ascii="Arial" w:cs="Arial" w:eastAsia="Arial" w:hAnsi="Arial"/>
                <w:rtl w:val="0"/>
              </w:rPr>
              <w:t xml:space="preserve">After-Tax CF</w:t>
            </w:r>
          </w:p>
        </w:tc>
        <w:tc>
          <w:tcPr/>
          <w:p w:rsidR="00000000" w:rsidDel="00000000" w:rsidP="00000000" w:rsidRDefault="00000000" w:rsidRPr="00000000" w14:paraId="000001FC">
            <w:pPr>
              <w:rPr>
                <w:rFonts w:ascii="Arial" w:cs="Arial" w:eastAsia="Arial" w:hAnsi="Arial"/>
              </w:rPr>
            </w:pPr>
            <w:r w:rsidDel="00000000" w:rsidR="00000000" w:rsidRPr="00000000">
              <w:rPr>
                <w:rFonts w:ascii="Arial" w:cs="Arial" w:eastAsia="Arial" w:hAnsi="Arial"/>
                <w:rtl w:val="0"/>
              </w:rPr>
              <w:t xml:space="preserve">Discount Factor (10%)</w:t>
            </w:r>
          </w:p>
        </w:tc>
        <w:tc>
          <w:tcPr/>
          <w:p w:rsidR="00000000" w:rsidDel="00000000" w:rsidP="00000000" w:rsidRDefault="00000000" w:rsidRPr="00000000" w14:paraId="000001FD">
            <w:pPr>
              <w:rPr>
                <w:rFonts w:ascii="Arial" w:cs="Arial" w:eastAsia="Arial" w:hAnsi="Arial"/>
              </w:rPr>
            </w:pPr>
            <w:r w:rsidDel="00000000" w:rsidR="00000000" w:rsidRPr="00000000">
              <w:rPr>
                <w:rFonts w:ascii="Arial" w:cs="Arial" w:eastAsia="Arial" w:hAnsi="Arial"/>
                <w:rtl w:val="0"/>
              </w:rPr>
              <w:t xml:space="preserve">Present Value (£’000)</w:t>
            </w:r>
          </w:p>
        </w:tc>
      </w:tr>
      <w:tr>
        <w:trPr>
          <w:cantSplit w:val="0"/>
          <w:tblHeader w:val="0"/>
        </w:trPr>
        <w:tc>
          <w:tcPr/>
          <w:p w:rsidR="00000000" w:rsidDel="00000000" w:rsidP="00000000" w:rsidRDefault="00000000" w:rsidRPr="00000000" w14:paraId="000001FE">
            <w:pPr>
              <w:rPr>
                <w:rFonts w:ascii="Arial" w:cs="Arial" w:eastAsia="Arial" w:hAnsi="Arial"/>
              </w:rPr>
            </w:pPr>
            <w:r w:rsidDel="00000000" w:rsidR="00000000" w:rsidRPr="00000000">
              <w:rPr>
                <w:rFonts w:ascii="Arial" w:cs="Arial" w:eastAsia="Arial" w:hAnsi="Arial"/>
                <w:rtl w:val="0"/>
              </w:rPr>
              <w:t xml:space="preserve">0</w:t>
            </w:r>
          </w:p>
        </w:tc>
        <w:tc>
          <w:tcPr/>
          <w:p w:rsidR="00000000" w:rsidDel="00000000" w:rsidP="00000000" w:rsidRDefault="00000000" w:rsidRPr="00000000" w14:paraId="000001FF">
            <w:pPr>
              <w:rPr>
                <w:rFonts w:ascii="Arial" w:cs="Arial" w:eastAsia="Arial" w:hAnsi="Arial"/>
              </w:rPr>
            </w:pPr>
            <w:r w:rsidDel="00000000" w:rsidR="00000000" w:rsidRPr="00000000">
              <w:rPr>
                <w:rFonts w:ascii="Arial" w:cs="Arial" w:eastAsia="Arial" w:hAnsi="Arial"/>
                <w:rtl w:val="0"/>
              </w:rPr>
              <w:t xml:space="preserve">–</w:t>
            </w:r>
          </w:p>
        </w:tc>
        <w:tc>
          <w:tcPr/>
          <w:p w:rsidR="00000000" w:rsidDel="00000000" w:rsidP="00000000" w:rsidRDefault="00000000" w:rsidRPr="00000000" w14:paraId="00000200">
            <w:pPr>
              <w:rPr>
                <w:rFonts w:ascii="Arial" w:cs="Arial" w:eastAsia="Arial" w:hAnsi="Arial"/>
              </w:rPr>
            </w:pPr>
            <w:r w:rsidDel="00000000" w:rsidR="00000000" w:rsidRPr="00000000">
              <w:rPr>
                <w:rFonts w:ascii="Arial" w:cs="Arial" w:eastAsia="Arial" w:hAnsi="Arial"/>
                <w:rtl w:val="0"/>
              </w:rPr>
              <w:t xml:space="preserve">–</w:t>
            </w:r>
          </w:p>
        </w:tc>
        <w:tc>
          <w:tcPr/>
          <w:p w:rsidR="00000000" w:rsidDel="00000000" w:rsidP="00000000" w:rsidRDefault="00000000" w:rsidRPr="00000000" w14:paraId="00000201">
            <w:pPr>
              <w:rPr>
                <w:rFonts w:ascii="Arial" w:cs="Arial" w:eastAsia="Arial" w:hAnsi="Arial"/>
              </w:rPr>
            </w:pPr>
            <w:r w:rsidDel="00000000" w:rsidR="00000000" w:rsidRPr="00000000">
              <w:rPr>
                <w:rFonts w:ascii="Arial" w:cs="Arial" w:eastAsia="Arial" w:hAnsi="Arial"/>
                <w:rtl w:val="0"/>
              </w:rPr>
              <w:t xml:space="preserve">–</w:t>
            </w:r>
          </w:p>
        </w:tc>
        <w:tc>
          <w:tcPr/>
          <w:p w:rsidR="00000000" w:rsidDel="00000000" w:rsidP="00000000" w:rsidRDefault="00000000" w:rsidRPr="00000000" w14:paraId="00000202">
            <w:pPr>
              <w:rPr>
                <w:rFonts w:ascii="Arial" w:cs="Arial" w:eastAsia="Arial" w:hAnsi="Arial"/>
              </w:rPr>
            </w:pPr>
            <w:r w:rsidDel="00000000" w:rsidR="00000000" w:rsidRPr="00000000">
              <w:rPr>
                <w:rFonts w:ascii="Arial" w:cs="Arial" w:eastAsia="Arial" w:hAnsi="Arial"/>
                <w:rtl w:val="0"/>
              </w:rPr>
              <w:t xml:space="preserve">–</w:t>
            </w:r>
          </w:p>
        </w:tc>
        <w:tc>
          <w:tcPr/>
          <w:p w:rsidR="00000000" w:rsidDel="00000000" w:rsidP="00000000" w:rsidRDefault="00000000" w:rsidRPr="00000000" w14:paraId="00000203">
            <w:pPr>
              <w:rPr>
                <w:rFonts w:ascii="Arial" w:cs="Arial" w:eastAsia="Arial" w:hAnsi="Arial"/>
              </w:rPr>
            </w:pPr>
            <w:r w:rsidDel="00000000" w:rsidR="00000000" w:rsidRPr="00000000">
              <w:rPr>
                <w:rFonts w:ascii="Arial" w:cs="Arial" w:eastAsia="Arial" w:hAnsi="Arial"/>
                <w:rtl w:val="0"/>
              </w:rPr>
              <w:t xml:space="preserve">–</w:t>
            </w:r>
          </w:p>
        </w:tc>
        <w:tc>
          <w:tcPr/>
          <w:p w:rsidR="00000000" w:rsidDel="00000000" w:rsidP="00000000" w:rsidRDefault="00000000" w:rsidRPr="00000000" w14:paraId="00000204">
            <w:pPr>
              <w:rPr>
                <w:rFonts w:ascii="Arial" w:cs="Arial" w:eastAsia="Arial" w:hAnsi="Arial"/>
              </w:rPr>
            </w:pPr>
            <w:r w:rsidDel="00000000" w:rsidR="00000000" w:rsidRPr="00000000">
              <w:rPr>
                <w:rFonts w:ascii="Arial" w:cs="Arial" w:eastAsia="Arial" w:hAnsi="Arial"/>
                <w:rtl w:val="0"/>
              </w:rPr>
              <w:t xml:space="preserve">1.000</w:t>
            </w:r>
          </w:p>
        </w:tc>
        <w:tc>
          <w:tcPr/>
          <w:p w:rsidR="00000000" w:rsidDel="00000000" w:rsidP="00000000" w:rsidRDefault="00000000" w:rsidRPr="00000000" w14:paraId="00000205">
            <w:pPr>
              <w:rPr>
                <w:rFonts w:ascii="Arial" w:cs="Arial" w:eastAsia="Arial" w:hAnsi="Arial"/>
              </w:rPr>
            </w:pPr>
            <w:r w:rsidDel="00000000" w:rsidR="00000000" w:rsidRPr="00000000">
              <w:rPr>
                <w:rFonts w:ascii="Arial" w:cs="Arial" w:eastAsia="Arial" w:hAnsi="Arial"/>
                <w:rtl w:val="0"/>
              </w:rPr>
              <w:t xml:space="preserve">−1,000.00</w:t>
            </w:r>
          </w:p>
        </w:tc>
      </w:tr>
      <w:tr>
        <w:trPr>
          <w:cantSplit w:val="0"/>
          <w:tblHeader w:val="0"/>
        </w:trPr>
        <w:tc>
          <w:tcPr/>
          <w:p w:rsidR="00000000" w:rsidDel="00000000" w:rsidP="00000000" w:rsidRDefault="00000000" w:rsidRPr="00000000" w14:paraId="00000206">
            <w:pPr>
              <w:rPr>
                <w:rFonts w:ascii="Arial" w:cs="Arial" w:eastAsia="Arial" w:hAnsi="Arial"/>
              </w:rPr>
            </w:pPr>
            <w:r w:rsidDel="00000000" w:rsidR="00000000" w:rsidRPr="00000000">
              <w:rPr>
                <w:rFonts w:ascii="Arial" w:cs="Arial" w:eastAsia="Arial" w:hAnsi="Arial"/>
                <w:rtl w:val="0"/>
              </w:rPr>
              <w:t xml:space="preserve">1</w:t>
            </w:r>
          </w:p>
        </w:tc>
        <w:tc>
          <w:tcPr/>
          <w:p w:rsidR="00000000" w:rsidDel="00000000" w:rsidP="00000000" w:rsidRDefault="00000000" w:rsidRPr="00000000" w14:paraId="00000207">
            <w:pPr>
              <w:rPr>
                <w:rFonts w:ascii="Arial" w:cs="Arial" w:eastAsia="Arial" w:hAnsi="Arial"/>
              </w:rPr>
            </w:pPr>
            <w:r w:rsidDel="00000000" w:rsidR="00000000" w:rsidRPr="00000000">
              <w:rPr>
                <w:rFonts w:ascii="Arial" w:cs="Arial" w:eastAsia="Arial" w:hAnsi="Arial"/>
                <w:rtl w:val="0"/>
              </w:rPr>
              <w:t xml:space="preserve">400</w:t>
            </w:r>
          </w:p>
        </w:tc>
        <w:tc>
          <w:tcPr/>
          <w:p w:rsidR="00000000" w:rsidDel="00000000" w:rsidP="00000000" w:rsidRDefault="00000000" w:rsidRPr="00000000" w14:paraId="00000208">
            <w:pPr>
              <w:rPr>
                <w:rFonts w:ascii="Arial" w:cs="Arial" w:eastAsia="Arial" w:hAnsi="Arial"/>
              </w:rPr>
            </w:pPr>
            <w:r w:rsidDel="00000000" w:rsidR="00000000" w:rsidRPr="00000000">
              <w:rPr>
                <w:rFonts w:ascii="Arial" w:cs="Arial" w:eastAsia="Arial" w:hAnsi="Arial"/>
                <w:rtl w:val="0"/>
              </w:rPr>
              <w:t xml:space="preserve">200</w:t>
            </w:r>
          </w:p>
        </w:tc>
        <w:tc>
          <w:tcPr/>
          <w:p w:rsidR="00000000" w:rsidDel="00000000" w:rsidP="00000000" w:rsidRDefault="00000000" w:rsidRPr="00000000" w14:paraId="00000209">
            <w:pPr>
              <w:rPr>
                <w:rFonts w:ascii="Arial" w:cs="Arial" w:eastAsia="Arial" w:hAnsi="Arial"/>
              </w:rPr>
            </w:pPr>
            <w:r w:rsidDel="00000000" w:rsidR="00000000" w:rsidRPr="00000000">
              <w:rPr>
                <w:rFonts w:ascii="Arial" w:cs="Arial" w:eastAsia="Arial" w:hAnsi="Arial"/>
                <w:rtl w:val="0"/>
              </w:rPr>
              <w:t xml:space="preserve">200</w:t>
            </w:r>
          </w:p>
        </w:tc>
        <w:tc>
          <w:tcPr/>
          <w:p w:rsidR="00000000" w:rsidDel="00000000" w:rsidP="00000000" w:rsidRDefault="00000000" w:rsidRPr="00000000" w14:paraId="0000020A">
            <w:pPr>
              <w:rPr>
                <w:rFonts w:ascii="Arial" w:cs="Arial" w:eastAsia="Arial" w:hAnsi="Arial"/>
              </w:rPr>
            </w:pPr>
            <w:r w:rsidDel="00000000" w:rsidR="00000000" w:rsidRPr="00000000">
              <w:rPr>
                <w:rFonts w:ascii="Arial" w:cs="Arial" w:eastAsia="Arial" w:hAnsi="Arial"/>
                <w:rtl w:val="0"/>
              </w:rPr>
              <w:t xml:space="preserve">50.0</w:t>
            </w:r>
          </w:p>
        </w:tc>
        <w:tc>
          <w:tcPr/>
          <w:p w:rsidR="00000000" w:rsidDel="00000000" w:rsidP="00000000" w:rsidRDefault="00000000" w:rsidRPr="00000000" w14:paraId="0000020B">
            <w:pPr>
              <w:rPr>
                <w:rFonts w:ascii="Arial" w:cs="Arial" w:eastAsia="Arial" w:hAnsi="Arial"/>
              </w:rPr>
            </w:pPr>
            <w:r w:rsidDel="00000000" w:rsidR="00000000" w:rsidRPr="00000000">
              <w:rPr>
                <w:rFonts w:ascii="Arial" w:cs="Arial" w:eastAsia="Arial" w:hAnsi="Arial"/>
                <w:rtl w:val="0"/>
              </w:rPr>
              <w:t xml:space="preserve">350.0</w:t>
            </w:r>
          </w:p>
        </w:tc>
        <w:tc>
          <w:tcPr/>
          <w:p w:rsidR="00000000" w:rsidDel="00000000" w:rsidP="00000000" w:rsidRDefault="00000000" w:rsidRPr="00000000" w14:paraId="0000020C">
            <w:pPr>
              <w:rPr>
                <w:rFonts w:ascii="Arial" w:cs="Arial" w:eastAsia="Arial" w:hAnsi="Arial"/>
              </w:rPr>
            </w:pPr>
            <w:r w:rsidDel="00000000" w:rsidR="00000000" w:rsidRPr="00000000">
              <w:rPr>
                <w:rFonts w:ascii="Arial" w:cs="Arial" w:eastAsia="Arial" w:hAnsi="Arial"/>
                <w:rtl w:val="0"/>
              </w:rPr>
              <w:t xml:space="preserve">0.91</w:t>
            </w:r>
          </w:p>
        </w:tc>
        <w:tc>
          <w:tcPr/>
          <w:p w:rsidR="00000000" w:rsidDel="00000000" w:rsidP="00000000" w:rsidRDefault="00000000" w:rsidRPr="00000000" w14:paraId="0000020D">
            <w:pPr>
              <w:rPr>
                <w:rFonts w:ascii="Arial" w:cs="Arial" w:eastAsia="Arial" w:hAnsi="Arial"/>
              </w:rPr>
            </w:pPr>
            <w:r w:rsidDel="00000000" w:rsidR="00000000" w:rsidRPr="00000000">
              <w:rPr>
                <w:rFonts w:ascii="Arial" w:cs="Arial" w:eastAsia="Arial" w:hAnsi="Arial"/>
                <w:rtl w:val="0"/>
              </w:rPr>
              <w:t xml:space="preserve">318.18</w:t>
            </w:r>
          </w:p>
        </w:tc>
      </w:tr>
      <w:tr>
        <w:trPr>
          <w:cantSplit w:val="0"/>
          <w:tblHeader w:val="0"/>
        </w:trPr>
        <w:tc>
          <w:tcPr/>
          <w:p w:rsidR="00000000" w:rsidDel="00000000" w:rsidP="00000000" w:rsidRDefault="00000000" w:rsidRPr="00000000" w14:paraId="0000020E">
            <w:pPr>
              <w:rPr>
                <w:rFonts w:ascii="Arial" w:cs="Arial" w:eastAsia="Arial" w:hAnsi="Arial"/>
              </w:rPr>
            </w:pPr>
            <w:r w:rsidDel="00000000" w:rsidR="00000000" w:rsidRPr="00000000">
              <w:rPr>
                <w:rFonts w:ascii="Arial" w:cs="Arial" w:eastAsia="Arial" w:hAnsi="Arial"/>
                <w:rtl w:val="0"/>
              </w:rPr>
              <w:t xml:space="preserve">2</w:t>
            </w:r>
          </w:p>
        </w:tc>
        <w:tc>
          <w:tcPr/>
          <w:p w:rsidR="00000000" w:rsidDel="00000000" w:rsidP="00000000" w:rsidRDefault="00000000" w:rsidRPr="00000000" w14:paraId="0000020F">
            <w:pPr>
              <w:rPr>
                <w:rFonts w:ascii="Arial" w:cs="Arial" w:eastAsia="Arial" w:hAnsi="Arial"/>
              </w:rPr>
            </w:pPr>
            <w:r w:rsidDel="00000000" w:rsidR="00000000" w:rsidRPr="00000000">
              <w:rPr>
                <w:rFonts w:ascii="Arial" w:cs="Arial" w:eastAsia="Arial" w:hAnsi="Arial"/>
                <w:rtl w:val="0"/>
              </w:rPr>
              <w:t xml:space="preserve">450</w:t>
            </w:r>
          </w:p>
        </w:tc>
        <w:tc>
          <w:tcPr/>
          <w:p w:rsidR="00000000" w:rsidDel="00000000" w:rsidP="00000000" w:rsidRDefault="00000000" w:rsidRPr="00000000" w14:paraId="00000210">
            <w:pPr>
              <w:rPr>
                <w:rFonts w:ascii="Arial" w:cs="Arial" w:eastAsia="Arial" w:hAnsi="Arial"/>
              </w:rPr>
            </w:pPr>
            <w:r w:rsidDel="00000000" w:rsidR="00000000" w:rsidRPr="00000000">
              <w:rPr>
                <w:rFonts w:ascii="Arial" w:cs="Arial" w:eastAsia="Arial" w:hAnsi="Arial"/>
                <w:rtl w:val="0"/>
              </w:rPr>
              <w:t xml:space="preserve">200</w:t>
            </w:r>
          </w:p>
        </w:tc>
        <w:tc>
          <w:tcPr/>
          <w:p w:rsidR="00000000" w:rsidDel="00000000" w:rsidP="00000000" w:rsidRDefault="00000000" w:rsidRPr="00000000" w14:paraId="00000211">
            <w:pPr>
              <w:rPr>
                <w:rFonts w:ascii="Arial" w:cs="Arial" w:eastAsia="Arial" w:hAnsi="Arial"/>
              </w:rPr>
            </w:pPr>
            <w:r w:rsidDel="00000000" w:rsidR="00000000" w:rsidRPr="00000000">
              <w:rPr>
                <w:rFonts w:ascii="Arial" w:cs="Arial" w:eastAsia="Arial" w:hAnsi="Arial"/>
                <w:rtl w:val="0"/>
              </w:rPr>
              <w:t xml:space="preserve">250</w:t>
            </w:r>
          </w:p>
        </w:tc>
        <w:tc>
          <w:tcPr/>
          <w:p w:rsidR="00000000" w:rsidDel="00000000" w:rsidP="00000000" w:rsidRDefault="00000000" w:rsidRPr="00000000" w14:paraId="00000212">
            <w:pPr>
              <w:rPr>
                <w:rFonts w:ascii="Arial" w:cs="Arial" w:eastAsia="Arial" w:hAnsi="Arial"/>
              </w:rPr>
            </w:pPr>
            <w:r w:rsidDel="00000000" w:rsidR="00000000" w:rsidRPr="00000000">
              <w:rPr>
                <w:rFonts w:ascii="Arial" w:cs="Arial" w:eastAsia="Arial" w:hAnsi="Arial"/>
                <w:rtl w:val="0"/>
              </w:rPr>
              <w:t xml:space="preserve">62.5</w:t>
            </w:r>
          </w:p>
        </w:tc>
        <w:tc>
          <w:tcPr/>
          <w:p w:rsidR="00000000" w:rsidDel="00000000" w:rsidP="00000000" w:rsidRDefault="00000000" w:rsidRPr="00000000" w14:paraId="00000213">
            <w:pPr>
              <w:rPr>
                <w:rFonts w:ascii="Arial" w:cs="Arial" w:eastAsia="Arial" w:hAnsi="Arial"/>
              </w:rPr>
            </w:pPr>
            <w:r w:rsidDel="00000000" w:rsidR="00000000" w:rsidRPr="00000000">
              <w:rPr>
                <w:rFonts w:ascii="Arial" w:cs="Arial" w:eastAsia="Arial" w:hAnsi="Arial"/>
                <w:rtl w:val="0"/>
              </w:rPr>
              <w:t xml:space="preserve">387.5</w:t>
            </w:r>
          </w:p>
        </w:tc>
        <w:tc>
          <w:tcPr/>
          <w:p w:rsidR="00000000" w:rsidDel="00000000" w:rsidP="00000000" w:rsidRDefault="00000000" w:rsidRPr="00000000" w14:paraId="00000214">
            <w:pPr>
              <w:rPr>
                <w:rFonts w:ascii="Arial" w:cs="Arial" w:eastAsia="Arial" w:hAnsi="Arial"/>
              </w:rPr>
            </w:pPr>
            <w:r w:rsidDel="00000000" w:rsidR="00000000" w:rsidRPr="00000000">
              <w:rPr>
                <w:rFonts w:ascii="Arial" w:cs="Arial" w:eastAsia="Arial" w:hAnsi="Arial"/>
                <w:rtl w:val="0"/>
              </w:rPr>
              <w:t xml:space="preserve">0.83</w:t>
            </w:r>
          </w:p>
        </w:tc>
        <w:tc>
          <w:tcPr/>
          <w:p w:rsidR="00000000" w:rsidDel="00000000" w:rsidP="00000000" w:rsidRDefault="00000000" w:rsidRPr="00000000" w14:paraId="00000215">
            <w:pPr>
              <w:rPr>
                <w:rFonts w:ascii="Arial" w:cs="Arial" w:eastAsia="Arial" w:hAnsi="Arial"/>
              </w:rPr>
            </w:pPr>
            <w:r w:rsidDel="00000000" w:rsidR="00000000" w:rsidRPr="00000000">
              <w:rPr>
                <w:rFonts w:ascii="Arial" w:cs="Arial" w:eastAsia="Arial" w:hAnsi="Arial"/>
                <w:rtl w:val="0"/>
              </w:rPr>
              <w:t xml:space="preserve">320.25</w:t>
            </w:r>
          </w:p>
        </w:tc>
      </w:tr>
      <w:tr>
        <w:trPr>
          <w:cantSplit w:val="0"/>
          <w:tblHeader w:val="0"/>
        </w:trPr>
        <w:tc>
          <w:tcPr/>
          <w:p w:rsidR="00000000" w:rsidDel="00000000" w:rsidP="00000000" w:rsidRDefault="00000000" w:rsidRPr="00000000" w14:paraId="00000216">
            <w:pP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217">
            <w:pPr>
              <w:rPr>
                <w:rFonts w:ascii="Arial" w:cs="Arial" w:eastAsia="Arial" w:hAnsi="Arial"/>
              </w:rPr>
            </w:pPr>
            <w:r w:rsidDel="00000000" w:rsidR="00000000" w:rsidRPr="00000000">
              <w:rPr>
                <w:rFonts w:ascii="Arial" w:cs="Arial" w:eastAsia="Arial" w:hAnsi="Arial"/>
                <w:rtl w:val="0"/>
              </w:rPr>
              <w:t xml:space="preserve">720</w:t>
            </w:r>
          </w:p>
        </w:tc>
        <w:tc>
          <w:tcPr/>
          <w:p w:rsidR="00000000" w:rsidDel="00000000" w:rsidP="00000000" w:rsidRDefault="00000000" w:rsidRPr="00000000" w14:paraId="00000218">
            <w:pPr>
              <w:rPr>
                <w:rFonts w:ascii="Arial" w:cs="Arial" w:eastAsia="Arial" w:hAnsi="Arial"/>
              </w:rPr>
            </w:pPr>
            <w:r w:rsidDel="00000000" w:rsidR="00000000" w:rsidRPr="00000000">
              <w:rPr>
                <w:rFonts w:ascii="Arial" w:cs="Arial" w:eastAsia="Arial" w:hAnsi="Arial"/>
                <w:rtl w:val="0"/>
              </w:rPr>
              <w:t xml:space="preserve">200</w:t>
            </w:r>
          </w:p>
        </w:tc>
        <w:tc>
          <w:tcPr/>
          <w:p w:rsidR="00000000" w:rsidDel="00000000" w:rsidP="00000000" w:rsidRDefault="00000000" w:rsidRPr="00000000" w14:paraId="00000219">
            <w:pPr>
              <w:rPr>
                <w:rFonts w:ascii="Arial" w:cs="Arial" w:eastAsia="Arial" w:hAnsi="Arial"/>
              </w:rPr>
            </w:pPr>
            <w:r w:rsidDel="00000000" w:rsidR="00000000" w:rsidRPr="00000000">
              <w:rPr>
                <w:rFonts w:ascii="Arial" w:cs="Arial" w:eastAsia="Arial" w:hAnsi="Arial"/>
                <w:rtl w:val="0"/>
              </w:rPr>
              <w:t xml:space="preserve">520</w:t>
            </w:r>
          </w:p>
        </w:tc>
        <w:tc>
          <w:tcPr/>
          <w:p w:rsidR="00000000" w:rsidDel="00000000" w:rsidP="00000000" w:rsidRDefault="00000000" w:rsidRPr="00000000" w14:paraId="0000021A">
            <w:pPr>
              <w:rPr>
                <w:rFonts w:ascii="Arial" w:cs="Arial" w:eastAsia="Arial" w:hAnsi="Arial"/>
              </w:rPr>
            </w:pPr>
            <w:r w:rsidDel="00000000" w:rsidR="00000000" w:rsidRPr="00000000">
              <w:rPr>
                <w:rFonts w:ascii="Arial" w:cs="Arial" w:eastAsia="Arial" w:hAnsi="Arial"/>
                <w:rtl w:val="0"/>
              </w:rPr>
              <w:t xml:space="preserve">130.0</w:t>
            </w:r>
          </w:p>
        </w:tc>
        <w:tc>
          <w:tcPr/>
          <w:p w:rsidR="00000000" w:rsidDel="00000000" w:rsidP="00000000" w:rsidRDefault="00000000" w:rsidRPr="00000000" w14:paraId="0000021B">
            <w:pPr>
              <w:rPr>
                <w:rFonts w:ascii="Arial" w:cs="Arial" w:eastAsia="Arial" w:hAnsi="Arial"/>
              </w:rPr>
            </w:pPr>
            <w:r w:rsidDel="00000000" w:rsidR="00000000" w:rsidRPr="00000000">
              <w:rPr>
                <w:rFonts w:ascii="Arial" w:cs="Arial" w:eastAsia="Arial" w:hAnsi="Arial"/>
                <w:rtl w:val="0"/>
              </w:rPr>
              <w:t xml:space="preserve">590.0</w:t>
            </w:r>
          </w:p>
        </w:tc>
        <w:tc>
          <w:tcPr/>
          <w:p w:rsidR="00000000" w:rsidDel="00000000" w:rsidP="00000000" w:rsidRDefault="00000000" w:rsidRPr="00000000" w14:paraId="0000021C">
            <w:pPr>
              <w:rPr>
                <w:rFonts w:ascii="Arial" w:cs="Arial" w:eastAsia="Arial" w:hAnsi="Arial"/>
              </w:rPr>
            </w:pPr>
            <w:r w:rsidDel="00000000" w:rsidR="00000000" w:rsidRPr="00000000">
              <w:rPr>
                <w:rFonts w:ascii="Arial" w:cs="Arial" w:eastAsia="Arial" w:hAnsi="Arial"/>
                <w:rtl w:val="0"/>
              </w:rPr>
              <w:t xml:space="preserve">0.75</w:t>
            </w:r>
          </w:p>
        </w:tc>
        <w:tc>
          <w:tcPr/>
          <w:p w:rsidR="00000000" w:rsidDel="00000000" w:rsidP="00000000" w:rsidRDefault="00000000" w:rsidRPr="00000000" w14:paraId="0000021D">
            <w:pPr>
              <w:rPr>
                <w:rFonts w:ascii="Arial" w:cs="Arial" w:eastAsia="Arial" w:hAnsi="Arial"/>
              </w:rPr>
            </w:pPr>
            <w:r w:rsidDel="00000000" w:rsidR="00000000" w:rsidRPr="00000000">
              <w:rPr>
                <w:rFonts w:ascii="Arial" w:cs="Arial" w:eastAsia="Arial" w:hAnsi="Arial"/>
                <w:rtl w:val="0"/>
              </w:rPr>
              <w:t xml:space="preserve">443.28</w:t>
            </w:r>
          </w:p>
        </w:tc>
      </w:tr>
      <w:tr>
        <w:trPr>
          <w:cantSplit w:val="0"/>
          <w:tblHeader w:val="0"/>
        </w:trPr>
        <w:tc>
          <w:tcPr/>
          <w:p w:rsidR="00000000" w:rsidDel="00000000" w:rsidP="00000000" w:rsidRDefault="00000000" w:rsidRPr="00000000" w14:paraId="0000021E">
            <w:pP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21F">
            <w:pPr>
              <w:rPr>
                <w:rFonts w:ascii="Arial" w:cs="Arial" w:eastAsia="Arial" w:hAnsi="Arial"/>
              </w:rPr>
            </w:pPr>
            <w:r w:rsidDel="00000000" w:rsidR="00000000" w:rsidRPr="00000000">
              <w:rPr>
                <w:rFonts w:ascii="Arial" w:cs="Arial" w:eastAsia="Arial" w:hAnsi="Arial"/>
                <w:rtl w:val="0"/>
              </w:rPr>
              <w:t xml:space="preserve">980</w:t>
            </w:r>
          </w:p>
        </w:tc>
        <w:tc>
          <w:tcPr/>
          <w:p w:rsidR="00000000" w:rsidDel="00000000" w:rsidP="00000000" w:rsidRDefault="00000000" w:rsidRPr="00000000" w14:paraId="00000220">
            <w:pPr>
              <w:rPr>
                <w:rFonts w:ascii="Arial" w:cs="Arial" w:eastAsia="Arial" w:hAnsi="Arial"/>
              </w:rPr>
            </w:pPr>
            <w:r w:rsidDel="00000000" w:rsidR="00000000" w:rsidRPr="00000000">
              <w:rPr>
                <w:rFonts w:ascii="Arial" w:cs="Arial" w:eastAsia="Arial" w:hAnsi="Arial"/>
                <w:rtl w:val="0"/>
              </w:rPr>
              <w:t xml:space="preserve">200</w:t>
            </w:r>
          </w:p>
        </w:tc>
        <w:tc>
          <w:tcPr/>
          <w:p w:rsidR="00000000" w:rsidDel="00000000" w:rsidP="00000000" w:rsidRDefault="00000000" w:rsidRPr="00000000" w14:paraId="00000221">
            <w:pPr>
              <w:rPr>
                <w:rFonts w:ascii="Arial" w:cs="Arial" w:eastAsia="Arial" w:hAnsi="Arial"/>
              </w:rPr>
            </w:pPr>
            <w:r w:rsidDel="00000000" w:rsidR="00000000" w:rsidRPr="00000000">
              <w:rPr>
                <w:rFonts w:ascii="Arial" w:cs="Arial" w:eastAsia="Arial" w:hAnsi="Arial"/>
                <w:rtl w:val="0"/>
              </w:rPr>
              <w:t xml:space="preserve">780</w:t>
            </w:r>
          </w:p>
        </w:tc>
        <w:tc>
          <w:tcPr/>
          <w:p w:rsidR="00000000" w:rsidDel="00000000" w:rsidP="00000000" w:rsidRDefault="00000000" w:rsidRPr="00000000" w14:paraId="00000222">
            <w:pPr>
              <w:rPr>
                <w:rFonts w:ascii="Arial" w:cs="Arial" w:eastAsia="Arial" w:hAnsi="Arial"/>
              </w:rPr>
            </w:pPr>
            <w:r w:rsidDel="00000000" w:rsidR="00000000" w:rsidRPr="00000000">
              <w:rPr>
                <w:rFonts w:ascii="Arial" w:cs="Arial" w:eastAsia="Arial" w:hAnsi="Arial"/>
                <w:rtl w:val="0"/>
              </w:rPr>
              <w:t xml:space="preserve">195.0</w:t>
            </w:r>
          </w:p>
        </w:tc>
        <w:tc>
          <w:tcPr/>
          <w:p w:rsidR="00000000" w:rsidDel="00000000" w:rsidP="00000000" w:rsidRDefault="00000000" w:rsidRPr="00000000" w14:paraId="00000223">
            <w:pPr>
              <w:rPr>
                <w:rFonts w:ascii="Arial" w:cs="Arial" w:eastAsia="Arial" w:hAnsi="Arial"/>
              </w:rPr>
            </w:pPr>
            <w:r w:rsidDel="00000000" w:rsidR="00000000" w:rsidRPr="00000000">
              <w:rPr>
                <w:rFonts w:ascii="Arial" w:cs="Arial" w:eastAsia="Arial" w:hAnsi="Arial"/>
                <w:rtl w:val="0"/>
              </w:rPr>
              <w:t xml:space="preserve">785.0</w:t>
            </w:r>
          </w:p>
        </w:tc>
        <w:tc>
          <w:tcPr/>
          <w:p w:rsidR="00000000" w:rsidDel="00000000" w:rsidP="00000000" w:rsidRDefault="00000000" w:rsidRPr="00000000" w14:paraId="00000224">
            <w:pPr>
              <w:rPr>
                <w:rFonts w:ascii="Arial" w:cs="Arial" w:eastAsia="Arial" w:hAnsi="Arial"/>
              </w:rPr>
            </w:pPr>
            <w:r w:rsidDel="00000000" w:rsidR="00000000" w:rsidRPr="00000000">
              <w:rPr>
                <w:rFonts w:ascii="Arial" w:cs="Arial" w:eastAsia="Arial" w:hAnsi="Arial"/>
                <w:rtl w:val="0"/>
              </w:rPr>
              <w:t xml:space="preserve">0.68</w:t>
            </w:r>
          </w:p>
        </w:tc>
        <w:tc>
          <w:tcPr/>
          <w:p w:rsidR="00000000" w:rsidDel="00000000" w:rsidP="00000000" w:rsidRDefault="00000000" w:rsidRPr="00000000" w14:paraId="00000225">
            <w:pPr>
              <w:rPr>
                <w:rFonts w:ascii="Arial" w:cs="Arial" w:eastAsia="Arial" w:hAnsi="Arial"/>
              </w:rPr>
            </w:pPr>
            <w:r w:rsidDel="00000000" w:rsidR="00000000" w:rsidRPr="00000000">
              <w:rPr>
                <w:rFonts w:ascii="Arial" w:cs="Arial" w:eastAsia="Arial" w:hAnsi="Arial"/>
                <w:rtl w:val="0"/>
              </w:rPr>
              <w:t xml:space="preserve">536.17</w:t>
            </w:r>
          </w:p>
        </w:tc>
      </w:tr>
    </w:tbl>
    <w:p w:rsidR="00000000" w:rsidDel="00000000" w:rsidP="00000000" w:rsidRDefault="00000000" w:rsidRPr="00000000" w14:paraId="00000226">
      <w:pPr>
        <w:rPr>
          <w:rFonts w:ascii="Arial" w:cs="Arial" w:eastAsia="Arial" w:hAnsi="Arial"/>
        </w:rPr>
      </w:pPr>
      <w:r w:rsidDel="00000000" w:rsidR="00000000" w:rsidRPr="00000000">
        <w:rPr>
          <w:rtl w:val="0"/>
        </w:rPr>
      </w:r>
    </w:p>
    <w:p w:rsidR="00000000" w:rsidDel="00000000" w:rsidP="00000000" w:rsidRDefault="00000000" w:rsidRPr="00000000" w14:paraId="00000227">
      <w:pPr>
        <w:rPr>
          <w:rFonts w:ascii="Arial" w:cs="Arial" w:eastAsia="Arial" w:hAnsi="Arial"/>
        </w:rPr>
      </w:pPr>
      <w:r w:rsidDel="00000000" w:rsidR="00000000" w:rsidRPr="00000000">
        <w:rPr>
          <w:rFonts w:ascii="Arial" w:cs="Arial" w:eastAsia="Arial" w:hAnsi="Arial"/>
          <w:rtl w:val="0"/>
        </w:rPr>
        <w:t xml:space="preserve">NPV @ 10% = +£617.87k</w:t>
      </w:r>
    </w:p>
    <w:p w:rsidR="00000000" w:rsidDel="00000000" w:rsidP="00000000" w:rsidRDefault="00000000" w:rsidRPr="00000000" w14:paraId="00000228">
      <w:pPr>
        <w:rPr>
          <w:rFonts w:ascii="Arial" w:cs="Arial" w:eastAsia="Arial" w:hAnsi="Arial"/>
          <w:b w:val="0"/>
          <w:bCs w:val="0"/>
        </w:rPr>
      </w:pPr>
      <w:r w:rsidDel="00000000" w:rsidR="00000000" w:rsidRPr="00000000">
        <w:rPr>
          <w:rFonts w:ascii="Arial" w:cs="Arial" w:eastAsia="Arial" w:hAnsi="Arial"/>
          <w:rtl w:val="0"/>
        </w:rPr>
        <w:t xml:space="preserve">Option B – NPV at</w:t>
      </w: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b w:val="0"/>
          <w:bCs w:val="0"/>
          <w:rtl w:val="0"/>
        </w:rPr>
        <w:t xml:space="preserve">40% Discount Rate</w:t>
      </w:r>
    </w:p>
    <w:tbl>
      <w:tblPr>
        <w:tblStyle w:val="Table14"/>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911"/>
        <w:gridCol w:w="1498"/>
        <w:gridCol w:w="1135"/>
        <w:gridCol w:w="1043"/>
        <w:gridCol w:w="992"/>
        <w:gridCol w:w="1491"/>
        <w:gridCol w:w="1579"/>
        <w:tblGridChange w:id="0">
          <w:tblGrid>
            <w:gridCol w:w="701"/>
            <w:gridCol w:w="911"/>
            <w:gridCol w:w="1498"/>
            <w:gridCol w:w="1135"/>
            <w:gridCol w:w="1043"/>
            <w:gridCol w:w="992"/>
            <w:gridCol w:w="1491"/>
            <w:gridCol w:w="1579"/>
          </w:tblGrid>
        </w:tblGridChange>
      </w:tblGrid>
      <w:tr>
        <w:trPr>
          <w:cantSplit w:val="0"/>
          <w:tblHeader w:val="0"/>
        </w:trPr>
        <w:tc>
          <w:tcPr/>
          <w:p w:rsidR="00000000" w:rsidDel="00000000" w:rsidP="00000000" w:rsidRDefault="00000000" w:rsidRPr="00000000" w14:paraId="00000229">
            <w:pP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22A">
            <w:pPr>
              <w:rPr>
                <w:rFonts w:ascii="Arial" w:cs="Arial" w:eastAsia="Arial" w:hAnsi="Arial"/>
              </w:rPr>
            </w:pPr>
            <w:r w:rsidDel="00000000" w:rsidR="00000000" w:rsidRPr="00000000">
              <w:rPr>
                <w:rFonts w:ascii="Arial" w:cs="Arial" w:eastAsia="Arial" w:hAnsi="Arial"/>
                <w:rtl w:val="0"/>
              </w:rPr>
              <w:t xml:space="preserve">Cash Flow</w:t>
            </w:r>
          </w:p>
        </w:tc>
        <w:tc>
          <w:tcPr/>
          <w:p w:rsidR="00000000" w:rsidDel="00000000" w:rsidP="00000000" w:rsidRDefault="00000000" w:rsidRPr="00000000" w14:paraId="0000022B">
            <w:pPr>
              <w:rPr>
                <w:rFonts w:ascii="Arial" w:cs="Arial" w:eastAsia="Arial" w:hAnsi="Arial"/>
              </w:rPr>
            </w:pPr>
            <w:r w:rsidDel="00000000" w:rsidR="00000000" w:rsidRPr="00000000">
              <w:rPr>
                <w:rFonts w:ascii="Arial" w:cs="Arial" w:eastAsia="Arial" w:hAnsi="Arial"/>
                <w:rtl w:val="0"/>
              </w:rPr>
              <w:t xml:space="preserve">Capital Allowance</w:t>
            </w:r>
          </w:p>
        </w:tc>
        <w:tc>
          <w:tcPr/>
          <w:p w:rsidR="00000000" w:rsidDel="00000000" w:rsidP="00000000" w:rsidRDefault="00000000" w:rsidRPr="00000000" w14:paraId="0000022C">
            <w:pPr>
              <w:rPr>
                <w:rFonts w:ascii="Arial" w:cs="Arial" w:eastAsia="Arial" w:hAnsi="Arial"/>
              </w:rPr>
            </w:pPr>
            <w:r w:rsidDel="00000000" w:rsidR="00000000" w:rsidRPr="00000000">
              <w:rPr>
                <w:rFonts w:ascii="Arial" w:cs="Arial" w:eastAsia="Arial" w:hAnsi="Arial"/>
                <w:rtl w:val="0"/>
              </w:rPr>
              <w:t xml:space="preserve">Taxable CF</w:t>
            </w:r>
          </w:p>
        </w:tc>
        <w:tc>
          <w:tcPr/>
          <w:p w:rsidR="00000000" w:rsidDel="00000000" w:rsidP="00000000" w:rsidRDefault="00000000" w:rsidRPr="00000000" w14:paraId="0000022D">
            <w:pPr>
              <w:rPr>
                <w:rFonts w:ascii="Arial" w:cs="Arial" w:eastAsia="Arial" w:hAnsi="Arial"/>
              </w:rPr>
            </w:pPr>
            <w:r w:rsidDel="00000000" w:rsidR="00000000" w:rsidRPr="00000000">
              <w:rPr>
                <w:rFonts w:ascii="Arial" w:cs="Arial" w:eastAsia="Arial" w:hAnsi="Arial"/>
                <w:rtl w:val="0"/>
              </w:rPr>
              <w:t xml:space="preserve">Tax @25%</w:t>
            </w:r>
          </w:p>
        </w:tc>
        <w:tc>
          <w:tcPr/>
          <w:p w:rsidR="00000000" w:rsidDel="00000000" w:rsidP="00000000" w:rsidRDefault="00000000" w:rsidRPr="00000000" w14:paraId="0000022E">
            <w:pPr>
              <w:rPr>
                <w:rFonts w:ascii="Arial" w:cs="Arial" w:eastAsia="Arial" w:hAnsi="Arial"/>
              </w:rPr>
            </w:pPr>
            <w:r w:rsidDel="00000000" w:rsidR="00000000" w:rsidRPr="00000000">
              <w:rPr>
                <w:rFonts w:ascii="Arial" w:cs="Arial" w:eastAsia="Arial" w:hAnsi="Arial"/>
                <w:rtl w:val="0"/>
              </w:rPr>
              <w:t xml:space="preserve">After-Tax CF</w:t>
            </w:r>
          </w:p>
        </w:tc>
        <w:tc>
          <w:tcPr/>
          <w:p w:rsidR="00000000" w:rsidDel="00000000" w:rsidP="00000000" w:rsidRDefault="00000000" w:rsidRPr="00000000" w14:paraId="0000022F">
            <w:pPr>
              <w:rPr>
                <w:rFonts w:ascii="Arial" w:cs="Arial" w:eastAsia="Arial" w:hAnsi="Arial"/>
              </w:rPr>
            </w:pPr>
            <w:r w:rsidDel="00000000" w:rsidR="00000000" w:rsidRPr="00000000">
              <w:rPr>
                <w:rFonts w:ascii="Arial" w:cs="Arial" w:eastAsia="Arial" w:hAnsi="Arial"/>
                <w:rtl w:val="0"/>
              </w:rPr>
              <w:t xml:space="preserve">Discount Factor (40%)</w:t>
            </w:r>
          </w:p>
        </w:tc>
        <w:tc>
          <w:tcPr/>
          <w:p w:rsidR="00000000" w:rsidDel="00000000" w:rsidP="00000000" w:rsidRDefault="00000000" w:rsidRPr="00000000" w14:paraId="00000230">
            <w:pPr>
              <w:rPr>
                <w:rFonts w:ascii="Arial" w:cs="Arial" w:eastAsia="Arial" w:hAnsi="Arial"/>
              </w:rPr>
            </w:pPr>
            <w:r w:rsidDel="00000000" w:rsidR="00000000" w:rsidRPr="00000000">
              <w:rPr>
                <w:rFonts w:ascii="Arial" w:cs="Arial" w:eastAsia="Arial" w:hAnsi="Arial"/>
                <w:rtl w:val="0"/>
              </w:rPr>
              <w:t xml:space="preserve">Present Value (£’000)</w:t>
            </w:r>
          </w:p>
        </w:tc>
      </w:tr>
      <w:tr>
        <w:trPr>
          <w:cantSplit w:val="0"/>
          <w:tblHeader w:val="0"/>
        </w:trPr>
        <w:tc>
          <w:tcPr/>
          <w:p w:rsidR="00000000" w:rsidDel="00000000" w:rsidP="00000000" w:rsidRDefault="00000000" w:rsidRPr="00000000" w14:paraId="00000231">
            <w:pPr>
              <w:rPr>
                <w:rFonts w:ascii="Arial" w:cs="Arial" w:eastAsia="Arial" w:hAnsi="Arial"/>
              </w:rPr>
            </w:pPr>
            <w:r w:rsidDel="00000000" w:rsidR="00000000" w:rsidRPr="00000000">
              <w:rPr>
                <w:rFonts w:ascii="Arial" w:cs="Arial" w:eastAsia="Arial" w:hAnsi="Arial"/>
                <w:rtl w:val="0"/>
              </w:rPr>
              <w:t xml:space="preserve">0</w:t>
            </w:r>
          </w:p>
        </w:tc>
        <w:tc>
          <w:tcPr/>
          <w:p w:rsidR="00000000" w:rsidDel="00000000" w:rsidP="00000000" w:rsidRDefault="00000000" w:rsidRPr="00000000" w14:paraId="00000232">
            <w:pPr>
              <w:rPr>
                <w:rFonts w:ascii="Arial" w:cs="Arial" w:eastAsia="Arial" w:hAnsi="Arial"/>
              </w:rPr>
            </w:pPr>
            <w:r w:rsidDel="00000000" w:rsidR="00000000" w:rsidRPr="00000000">
              <w:rPr>
                <w:rFonts w:ascii="Arial" w:cs="Arial" w:eastAsia="Arial" w:hAnsi="Arial"/>
                <w:rtl w:val="0"/>
              </w:rPr>
              <w:t xml:space="preserve">–</w:t>
            </w:r>
          </w:p>
        </w:tc>
        <w:tc>
          <w:tcPr/>
          <w:p w:rsidR="00000000" w:rsidDel="00000000" w:rsidP="00000000" w:rsidRDefault="00000000" w:rsidRPr="00000000" w14:paraId="00000233">
            <w:pPr>
              <w:rPr>
                <w:rFonts w:ascii="Arial" w:cs="Arial" w:eastAsia="Arial" w:hAnsi="Arial"/>
              </w:rPr>
            </w:pPr>
            <w:r w:rsidDel="00000000" w:rsidR="00000000" w:rsidRPr="00000000">
              <w:rPr>
                <w:rFonts w:ascii="Arial" w:cs="Arial" w:eastAsia="Arial" w:hAnsi="Arial"/>
                <w:rtl w:val="0"/>
              </w:rPr>
              <w:t xml:space="preserve">–</w:t>
            </w:r>
          </w:p>
        </w:tc>
        <w:tc>
          <w:tcPr/>
          <w:p w:rsidR="00000000" w:rsidDel="00000000" w:rsidP="00000000" w:rsidRDefault="00000000" w:rsidRPr="00000000" w14:paraId="00000234">
            <w:pPr>
              <w:rPr>
                <w:rFonts w:ascii="Arial" w:cs="Arial" w:eastAsia="Arial" w:hAnsi="Arial"/>
              </w:rPr>
            </w:pPr>
            <w:r w:rsidDel="00000000" w:rsidR="00000000" w:rsidRPr="00000000">
              <w:rPr>
                <w:rFonts w:ascii="Arial" w:cs="Arial" w:eastAsia="Arial" w:hAnsi="Arial"/>
                <w:rtl w:val="0"/>
              </w:rPr>
              <w:t xml:space="preserve">–</w:t>
            </w:r>
          </w:p>
        </w:tc>
        <w:tc>
          <w:tcPr/>
          <w:p w:rsidR="00000000" w:rsidDel="00000000" w:rsidP="00000000" w:rsidRDefault="00000000" w:rsidRPr="00000000" w14:paraId="00000235">
            <w:pPr>
              <w:rPr>
                <w:rFonts w:ascii="Arial" w:cs="Arial" w:eastAsia="Arial" w:hAnsi="Arial"/>
              </w:rPr>
            </w:pPr>
            <w:r w:rsidDel="00000000" w:rsidR="00000000" w:rsidRPr="00000000">
              <w:rPr>
                <w:rFonts w:ascii="Arial" w:cs="Arial" w:eastAsia="Arial" w:hAnsi="Arial"/>
                <w:rtl w:val="0"/>
              </w:rPr>
              <w:t xml:space="preserve">–</w:t>
            </w:r>
          </w:p>
        </w:tc>
        <w:tc>
          <w:tcPr/>
          <w:p w:rsidR="00000000" w:rsidDel="00000000" w:rsidP="00000000" w:rsidRDefault="00000000" w:rsidRPr="00000000" w14:paraId="00000236">
            <w:pPr>
              <w:rPr>
                <w:rFonts w:ascii="Arial" w:cs="Arial" w:eastAsia="Arial" w:hAnsi="Arial"/>
              </w:rPr>
            </w:pPr>
            <w:r w:rsidDel="00000000" w:rsidR="00000000" w:rsidRPr="00000000">
              <w:rPr>
                <w:rFonts w:ascii="Arial" w:cs="Arial" w:eastAsia="Arial" w:hAnsi="Arial"/>
                <w:rtl w:val="0"/>
              </w:rPr>
              <w:t xml:space="preserve">–</w:t>
            </w:r>
          </w:p>
        </w:tc>
        <w:tc>
          <w:tcPr/>
          <w:p w:rsidR="00000000" w:rsidDel="00000000" w:rsidP="00000000" w:rsidRDefault="00000000" w:rsidRPr="00000000" w14:paraId="00000237">
            <w:pPr>
              <w:rPr>
                <w:rFonts w:ascii="Arial" w:cs="Arial" w:eastAsia="Arial" w:hAnsi="Arial"/>
              </w:rPr>
            </w:pPr>
            <w:r w:rsidDel="00000000" w:rsidR="00000000" w:rsidRPr="00000000">
              <w:rPr>
                <w:rFonts w:ascii="Arial" w:cs="Arial" w:eastAsia="Arial" w:hAnsi="Arial"/>
                <w:rtl w:val="0"/>
              </w:rPr>
              <w:t xml:space="preserve">1.000</w:t>
            </w:r>
          </w:p>
        </w:tc>
        <w:tc>
          <w:tcPr/>
          <w:p w:rsidR="00000000" w:rsidDel="00000000" w:rsidP="00000000" w:rsidRDefault="00000000" w:rsidRPr="00000000" w14:paraId="00000238">
            <w:pPr>
              <w:rPr>
                <w:rFonts w:ascii="Arial" w:cs="Arial" w:eastAsia="Arial" w:hAnsi="Arial"/>
              </w:rPr>
            </w:pPr>
            <w:r w:rsidDel="00000000" w:rsidR="00000000" w:rsidRPr="00000000">
              <w:rPr>
                <w:rFonts w:ascii="Arial" w:cs="Arial" w:eastAsia="Arial" w:hAnsi="Arial"/>
                <w:rtl w:val="0"/>
              </w:rPr>
              <w:t xml:space="preserve">−1,000.00</w:t>
            </w:r>
          </w:p>
        </w:tc>
      </w:tr>
      <w:tr>
        <w:trPr>
          <w:cantSplit w:val="0"/>
          <w:tblHeader w:val="0"/>
        </w:trPr>
        <w:tc>
          <w:tcPr/>
          <w:p w:rsidR="00000000" w:rsidDel="00000000" w:rsidP="00000000" w:rsidRDefault="00000000" w:rsidRPr="00000000" w14:paraId="00000239">
            <w:pPr>
              <w:rPr>
                <w:rFonts w:ascii="Arial" w:cs="Arial" w:eastAsia="Arial" w:hAnsi="Arial"/>
              </w:rPr>
            </w:pPr>
            <w:r w:rsidDel="00000000" w:rsidR="00000000" w:rsidRPr="00000000">
              <w:rPr>
                <w:rFonts w:ascii="Arial" w:cs="Arial" w:eastAsia="Arial" w:hAnsi="Arial"/>
                <w:rtl w:val="0"/>
              </w:rPr>
              <w:t xml:space="preserve">1</w:t>
            </w:r>
          </w:p>
        </w:tc>
        <w:tc>
          <w:tcPr/>
          <w:p w:rsidR="00000000" w:rsidDel="00000000" w:rsidP="00000000" w:rsidRDefault="00000000" w:rsidRPr="00000000" w14:paraId="0000023A">
            <w:pPr>
              <w:rPr>
                <w:rFonts w:ascii="Arial" w:cs="Arial" w:eastAsia="Arial" w:hAnsi="Arial"/>
              </w:rPr>
            </w:pPr>
            <w:r w:rsidDel="00000000" w:rsidR="00000000" w:rsidRPr="00000000">
              <w:rPr>
                <w:rFonts w:ascii="Arial" w:cs="Arial" w:eastAsia="Arial" w:hAnsi="Arial"/>
                <w:rtl w:val="0"/>
              </w:rPr>
              <w:t xml:space="preserve">400</w:t>
            </w:r>
          </w:p>
        </w:tc>
        <w:tc>
          <w:tcPr/>
          <w:p w:rsidR="00000000" w:rsidDel="00000000" w:rsidP="00000000" w:rsidRDefault="00000000" w:rsidRPr="00000000" w14:paraId="0000023B">
            <w:pPr>
              <w:rPr>
                <w:rFonts w:ascii="Arial" w:cs="Arial" w:eastAsia="Arial" w:hAnsi="Arial"/>
              </w:rPr>
            </w:pPr>
            <w:r w:rsidDel="00000000" w:rsidR="00000000" w:rsidRPr="00000000">
              <w:rPr>
                <w:rFonts w:ascii="Arial" w:cs="Arial" w:eastAsia="Arial" w:hAnsi="Arial"/>
                <w:rtl w:val="0"/>
              </w:rPr>
              <w:t xml:space="preserve">200</w:t>
            </w:r>
          </w:p>
        </w:tc>
        <w:tc>
          <w:tcPr/>
          <w:p w:rsidR="00000000" w:rsidDel="00000000" w:rsidP="00000000" w:rsidRDefault="00000000" w:rsidRPr="00000000" w14:paraId="0000023C">
            <w:pPr>
              <w:rPr>
                <w:rFonts w:ascii="Arial" w:cs="Arial" w:eastAsia="Arial" w:hAnsi="Arial"/>
              </w:rPr>
            </w:pPr>
            <w:r w:rsidDel="00000000" w:rsidR="00000000" w:rsidRPr="00000000">
              <w:rPr>
                <w:rFonts w:ascii="Arial" w:cs="Arial" w:eastAsia="Arial" w:hAnsi="Arial"/>
                <w:rtl w:val="0"/>
              </w:rPr>
              <w:t xml:space="preserve">200</w:t>
            </w:r>
          </w:p>
        </w:tc>
        <w:tc>
          <w:tcPr/>
          <w:p w:rsidR="00000000" w:rsidDel="00000000" w:rsidP="00000000" w:rsidRDefault="00000000" w:rsidRPr="00000000" w14:paraId="0000023D">
            <w:pPr>
              <w:rPr>
                <w:rFonts w:ascii="Arial" w:cs="Arial" w:eastAsia="Arial" w:hAnsi="Arial"/>
              </w:rPr>
            </w:pPr>
            <w:r w:rsidDel="00000000" w:rsidR="00000000" w:rsidRPr="00000000">
              <w:rPr>
                <w:rFonts w:ascii="Arial" w:cs="Arial" w:eastAsia="Arial" w:hAnsi="Arial"/>
                <w:rtl w:val="0"/>
              </w:rPr>
              <w:t xml:space="preserve">50.0</w:t>
            </w:r>
          </w:p>
        </w:tc>
        <w:tc>
          <w:tcPr/>
          <w:p w:rsidR="00000000" w:rsidDel="00000000" w:rsidP="00000000" w:rsidRDefault="00000000" w:rsidRPr="00000000" w14:paraId="0000023E">
            <w:pPr>
              <w:rPr>
                <w:rFonts w:ascii="Arial" w:cs="Arial" w:eastAsia="Arial" w:hAnsi="Arial"/>
              </w:rPr>
            </w:pPr>
            <w:r w:rsidDel="00000000" w:rsidR="00000000" w:rsidRPr="00000000">
              <w:rPr>
                <w:rFonts w:ascii="Arial" w:cs="Arial" w:eastAsia="Arial" w:hAnsi="Arial"/>
                <w:rtl w:val="0"/>
              </w:rPr>
              <w:t xml:space="preserve">350.0</w:t>
            </w:r>
          </w:p>
        </w:tc>
        <w:tc>
          <w:tcPr/>
          <w:p w:rsidR="00000000" w:rsidDel="00000000" w:rsidP="00000000" w:rsidRDefault="00000000" w:rsidRPr="00000000" w14:paraId="0000023F">
            <w:pPr>
              <w:rPr>
                <w:rFonts w:ascii="Arial" w:cs="Arial" w:eastAsia="Arial" w:hAnsi="Arial"/>
              </w:rPr>
            </w:pPr>
            <w:r w:rsidDel="00000000" w:rsidR="00000000" w:rsidRPr="00000000">
              <w:rPr>
                <w:rFonts w:ascii="Arial" w:cs="Arial" w:eastAsia="Arial" w:hAnsi="Arial"/>
                <w:rtl w:val="0"/>
              </w:rPr>
              <w:t xml:space="preserve">0.71</w:t>
            </w:r>
          </w:p>
        </w:tc>
        <w:tc>
          <w:tcPr/>
          <w:p w:rsidR="00000000" w:rsidDel="00000000" w:rsidP="00000000" w:rsidRDefault="00000000" w:rsidRPr="00000000" w14:paraId="00000240">
            <w:pPr>
              <w:rPr>
                <w:rFonts w:ascii="Arial" w:cs="Arial" w:eastAsia="Arial" w:hAnsi="Arial"/>
              </w:rPr>
            </w:pPr>
            <w:r w:rsidDel="00000000" w:rsidR="00000000" w:rsidRPr="00000000">
              <w:rPr>
                <w:rFonts w:ascii="Arial" w:cs="Arial" w:eastAsia="Arial" w:hAnsi="Arial"/>
                <w:rtl w:val="0"/>
              </w:rPr>
              <w:t xml:space="preserve">250.00</w:t>
            </w:r>
          </w:p>
        </w:tc>
      </w:tr>
      <w:tr>
        <w:trPr>
          <w:cantSplit w:val="0"/>
          <w:tblHeader w:val="0"/>
        </w:trPr>
        <w:tc>
          <w:tcPr/>
          <w:p w:rsidR="00000000" w:rsidDel="00000000" w:rsidP="00000000" w:rsidRDefault="00000000" w:rsidRPr="00000000" w14:paraId="00000241">
            <w:pPr>
              <w:rPr>
                <w:rFonts w:ascii="Arial" w:cs="Arial" w:eastAsia="Arial" w:hAnsi="Arial"/>
              </w:rPr>
            </w:pPr>
            <w:r w:rsidDel="00000000" w:rsidR="00000000" w:rsidRPr="00000000">
              <w:rPr>
                <w:rFonts w:ascii="Arial" w:cs="Arial" w:eastAsia="Arial" w:hAnsi="Arial"/>
                <w:rtl w:val="0"/>
              </w:rPr>
              <w:t xml:space="preserve">2</w:t>
            </w:r>
          </w:p>
        </w:tc>
        <w:tc>
          <w:tcPr/>
          <w:p w:rsidR="00000000" w:rsidDel="00000000" w:rsidP="00000000" w:rsidRDefault="00000000" w:rsidRPr="00000000" w14:paraId="00000242">
            <w:pPr>
              <w:rPr>
                <w:rFonts w:ascii="Arial" w:cs="Arial" w:eastAsia="Arial" w:hAnsi="Arial"/>
              </w:rPr>
            </w:pPr>
            <w:r w:rsidDel="00000000" w:rsidR="00000000" w:rsidRPr="00000000">
              <w:rPr>
                <w:rFonts w:ascii="Arial" w:cs="Arial" w:eastAsia="Arial" w:hAnsi="Arial"/>
                <w:rtl w:val="0"/>
              </w:rPr>
              <w:t xml:space="preserve">450</w:t>
            </w:r>
          </w:p>
        </w:tc>
        <w:tc>
          <w:tcPr/>
          <w:p w:rsidR="00000000" w:rsidDel="00000000" w:rsidP="00000000" w:rsidRDefault="00000000" w:rsidRPr="00000000" w14:paraId="00000243">
            <w:pPr>
              <w:rPr>
                <w:rFonts w:ascii="Arial" w:cs="Arial" w:eastAsia="Arial" w:hAnsi="Arial"/>
              </w:rPr>
            </w:pPr>
            <w:r w:rsidDel="00000000" w:rsidR="00000000" w:rsidRPr="00000000">
              <w:rPr>
                <w:rFonts w:ascii="Arial" w:cs="Arial" w:eastAsia="Arial" w:hAnsi="Arial"/>
                <w:rtl w:val="0"/>
              </w:rPr>
              <w:t xml:space="preserve">200</w:t>
            </w:r>
          </w:p>
        </w:tc>
        <w:tc>
          <w:tcPr/>
          <w:p w:rsidR="00000000" w:rsidDel="00000000" w:rsidP="00000000" w:rsidRDefault="00000000" w:rsidRPr="00000000" w14:paraId="00000244">
            <w:pPr>
              <w:rPr>
                <w:rFonts w:ascii="Arial" w:cs="Arial" w:eastAsia="Arial" w:hAnsi="Arial"/>
              </w:rPr>
            </w:pPr>
            <w:r w:rsidDel="00000000" w:rsidR="00000000" w:rsidRPr="00000000">
              <w:rPr>
                <w:rFonts w:ascii="Arial" w:cs="Arial" w:eastAsia="Arial" w:hAnsi="Arial"/>
                <w:rtl w:val="0"/>
              </w:rPr>
              <w:t xml:space="preserve">250</w:t>
            </w:r>
          </w:p>
        </w:tc>
        <w:tc>
          <w:tcPr/>
          <w:p w:rsidR="00000000" w:rsidDel="00000000" w:rsidP="00000000" w:rsidRDefault="00000000" w:rsidRPr="00000000" w14:paraId="00000245">
            <w:pPr>
              <w:rPr>
                <w:rFonts w:ascii="Arial" w:cs="Arial" w:eastAsia="Arial" w:hAnsi="Arial"/>
              </w:rPr>
            </w:pPr>
            <w:r w:rsidDel="00000000" w:rsidR="00000000" w:rsidRPr="00000000">
              <w:rPr>
                <w:rFonts w:ascii="Arial" w:cs="Arial" w:eastAsia="Arial" w:hAnsi="Arial"/>
                <w:rtl w:val="0"/>
              </w:rPr>
              <w:t xml:space="preserve">62.5</w:t>
            </w:r>
          </w:p>
        </w:tc>
        <w:tc>
          <w:tcPr/>
          <w:p w:rsidR="00000000" w:rsidDel="00000000" w:rsidP="00000000" w:rsidRDefault="00000000" w:rsidRPr="00000000" w14:paraId="00000246">
            <w:pPr>
              <w:rPr>
                <w:rFonts w:ascii="Arial" w:cs="Arial" w:eastAsia="Arial" w:hAnsi="Arial"/>
              </w:rPr>
            </w:pPr>
            <w:r w:rsidDel="00000000" w:rsidR="00000000" w:rsidRPr="00000000">
              <w:rPr>
                <w:rFonts w:ascii="Arial" w:cs="Arial" w:eastAsia="Arial" w:hAnsi="Arial"/>
                <w:rtl w:val="0"/>
              </w:rPr>
              <w:t xml:space="preserve">387.5</w:t>
            </w:r>
          </w:p>
        </w:tc>
        <w:tc>
          <w:tcPr/>
          <w:p w:rsidR="00000000" w:rsidDel="00000000" w:rsidP="00000000" w:rsidRDefault="00000000" w:rsidRPr="00000000" w14:paraId="00000247">
            <w:pPr>
              <w:rPr>
                <w:rFonts w:ascii="Arial" w:cs="Arial" w:eastAsia="Arial" w:hAnsi="Arial"/>
              </w:rPr>
            </w:pPr>
            <w:r w:rsidDel="00000000" w:rsidR="00000000" w:rsidRPr="00000000">
              <w:rPr>
                <w:rFonts w:ascii="Arial" w:cs="Arial" w:eastAsia="Arial" w:hAnsi="Arial"/>
                <w:rtl w:val="0"/>
              </w:rPr>
              <w:t xml:space="preserve">0.51</w:t>
            </w:r>
          </w:p>
        </w:tc>
        <w:tc>
          <w:tcPr/>
          <w:p w:rsidR="00000000" w:rsidDel="00000000" w:rsidP="00000000" w:rsidRDefault="00000000" w:rsidRPr="00000000" w14:paraId="00000248">
            <w:pPr>
              <w:rPr>
                <w:rFonts w:ascii="Arial" w:cs="Arial" w:eastAsia="Arial" w:hAnsi="Arial"/>
              </w:rPr>
            </w:pPr>
            <w:r w:rsidDel="00000000" w:rsidR="00000000" w:rsidRPr="00000000">
              <w:rPr>
                <w:rFonts w:ascii="Arial" w:cs="Arial" w:eastAsia="Arial" w:hAnsi="Arial"/>
                <w:rtl w:val="0"/>
              </w:rPr>
              <w:t xml:space="preserve">197.70</w:t>
            </w:r>
          </w:p>
        </w:tc>
      </w:tr>
      <w:tr>
        <w:trPr>
          <w:cantSplit w:val="0"/>
          <w:tblHeader w:val="0"/>
        </w:trPr>
        <w:tc>
          <w:tcPr/>
          <w:p w:rsidR="00000000" w:rsidDel="00000000" w:rsidP="00000000" w:rsidRDefault="00000000" w:rsidRPr="00000000" w14:paraId="00000249">
            <w:pP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24A">
            <w:pPr>
              <w:rPr>
                <w:rFonts w:ascii="Arial" w:cs="Arial" w:eastAsia="Arial" w:hAnsi="Arial"/>
              </w:rPr>
            </w:pPr>
            <w:r w:rsidDel="00000000" w:rsidR="00000000" w:rsidRPr="00000000">
              <w:rPr>
                <w:rFonts w:ascii="Arial" w:cs="Arial" w:eastAsia="Arial" w:hAnsi="Arial"/>
                <w:rtl w:val="0"/>
              </w:rPr>
              <w:t xml:space="preserve">720</w:t>
            </w:r>
          </w:p>
        </w:tc>
        <w:tc>
          <w:tcPr/>
          <w:p w:rsidR="00000000" w:rsidDel="00000000" w:rsidP="00000000" w:rsidRDefault="00000000" w:rsidRPr="00000000" w14:paraId="0000024B">
            <w:pPr>
              <w:rPr>
                <w:rFonts w:ascii="Arial" w:cs="Arial" w:eastAsia="Arial" w:hAnsi="Arial"/>
              </w:rPr>
            </w:pPr>
            <w:r w:rsidDel="00000000" w:rsidR="00000000" w:rsidRPr="00000000">
              <w:rPr>
                <w:rFonts w:ascii="Arial" w:cs="Arial" w:eastAsia="Arial" w:hAnsi="Arial"/>
                <w:rtl w:val="0"/>
              </w:rPr>
              <w:t xml:space="preserve">200</w:t>
            </w:r>
          </w:p>
        </w:tc>
        <w:tc>
          <w:tcPr/>
          <w:p w:rsidR="00000000" w:rsidDel="00000000" w:rsidP="00000000" w:rsidRDefault="00000000" w:rsidRPr="00000000" w14:paraId="0000024C">
            <w:pPr>
              <w:rPr>
                <w:rFonts w:ascii="Arial" w:cs="Arial" w:eastAsia="Arial" w:hAnsi="Arial"/>
              </w:rPr>
            </w:pPr>
            <w:r w:rsidDel="00000000" w:rsidR="00000000" w:rsidRPr="00000000">
              <w:rPr>
                <w:rFonts w:ascii="Arial" w:cs="Arial" w:eastAsia="Arial" w:hAnsi="Arial"/>
                <w:rtl w:val="0"/>
              </w:rPr>
              <w:t xml:space="preserve">520</w:t>
            </w:r>
          </w:p>
        </w:tc>
        <w:tc>
          <w:tcPr/>
          <w:p w:rsidR="00000000" w:rsidDel="00000000" w:rsidP="00000000" w:rsidRDefault="00000000" w:rsidRPr="00000000" w14:paraId="0000024D">
            <w:pPr>
              <w:rPr>
                <w:rFonts w:ascii="Arial" w:cs="Arial" w:eastAsia="Arial" w:hAnsi="Arial"/>
              </w:rPr>
            </w:pPr>
            <w:r w:rsidDel="00000000" w:rsidR="00000000" w:rsidRPr="00000000">
              <w:rPr>
                <w:rFonts w:ascii="Arial" w:cs="Arial" w:eastAsia="Arial" w:hAnsi="Arial"/>
                <w:rtl w:val="0"/>
              </w:rPr>
              <w:t xml:space="preserve">130.0</w:t>
            </w:r>
          </w:p>
        </w:tc>
        <w:tc>
          <w:tcPr/>
          <w:p w:rsidR="00000000" w:rsidDel="00000000" w:rsidP="00000000" w:rsidRDefault="00000000" w:rsidRPr="00000000" w14:paraId="0000024E">
            <w:pPr>
              <w:rPr>
                <w:rFonts w:ascii="Arial" w:cs="Arial" w:eastAsia="Arial" w:hAnsi="Arial"/>
              </w:rPr>
            </w:pPr>
            <w:r w:rsidDel="00000000" w:rsidR="00000000" w:rsidRPr="00000000">
              <w:rPr>
                <w:rFonts w:ascii="Arial" w:cs="Arial" w:eastAsia="Arial" w:hAnsi="Arial"/>
                <w:rtl w:val="0"/>
              </w:rPr>
              <w:t xml:space="preserve">590.0</w:t>
            </w:r>
          </w:p>
        </w:tc>
        <w:tc>
          <w:tcPr/>
          <w:p w:rsidR="00000000" w:rsidDel="00000000" w:rsidP="00000000" w:rsidRDefault="00000000" w:rsidRPr="00000000" w14:paraId="0000024F">
            <w:pPr>
              <w:rPr>
                <w:rFonts w:ascii="Arial" w:cs="Arial" w:eastAsia="Arial" w:hAnsi="Arial"/>
              </w:rPr>
            </w:pPr>
            <w:r w:rsidDel="00000000" w:rsidR="00000000" w:rsidRPr="00000000">
              <w:rPr>
                <w:rFonts w:ascii="Arial" w:cs="Arial" w:eastAsia="Arial" w:hAnsi="Arial"/>
                <w:rtl w:val="0"/>
              </w:rPr>
              <w:t xml:space="preserve">0.36</w:t>
            </w:r>
          </w:p>
        </w:tc>
        <w:tc>
          <w:tcPr/>
          <w:p w:rsidR="00000000" w:rsidDel="00000000" w:rsidP="00000000" w:rsidRDefault="00000000" w:rsidRPr="00000000" w14:paraId="00000250">
            <w:pPr>
              <w:rPr>
                <w:rFonts w:ascii="Arial" w:cs="Arial" w:eastAsia="Arial" w:hAnsi="Arial"/>
              </w:rPr>
            </w:pPr>
            <w:r w:rsidDel="00000000" w:rsidR="00000000" w:rsidRPr="00000000">
              <w:rPr>
                <w:rFonts w:ascii="Arial" w:cs="Arial" w:eastAsia="Arial" w:hAnsi="Arial"/>
                <w:rtl w:val="0"/>
              </w:rPr>
              <w:t xml:space="preserve">215.01</w:t>
            </w:r>
          </w:p>
        </w:tc>
      </w:tr>
      <w:tr>
        <w:trPr>
          <w:cantSplit w:val="0"/>
          <w:tblHeader w:val="0"/>
        </w:trPr>
        <w:tc>
          <w:tcPr/>
          <w:p w:rsidR="00000000" w:rsidDel="00000000" w:rsidP="00000000" w:rsidRDefault="00000000" w:rsidRPr="00000000" w14:paraId="00000251">
            <w:pP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252">
            <w:pPr>
              <w:rPr>
                <w:rFonts w:ascii="Arial" w:cs="Arial" w:eastAsia="Arial" w:hAnsi="Arial"/>
              </w:rPr>
            </w:pPr>
            <w:r w:rsidDel="00000000" w:rsidR="00000000" w:rsidRPr="00000000">
              <w:rPr>
                <w:rFonts w:ascii="Arial" w:cs="Arial" w:eastAsia="Arial" w:hAnsi="Arial"/>
                <w:rtl w:val="0"/>
              </w:rPr>
              <w:t xml:space="preserve">980</w:t>
            </w:r>
          </w:p>
        </w:tc>
        <w:tc>
          <w:tcPr/>
          <w:p w:rsidR="00000000" w:rsidDel="00000000" w:rsidP="00000000" w:rsidRDefault="00000000" w:rsidRPr="00000000" w14:paraId="00000253">
            <w:pPr>
              <w:rPr>
                <w:rFonts w:ascii="Arial" w:cs="Arial" w:eastAsia="Arial" w:hAnsi="Arial"/>
              </w:rPr>
            </w:pPr>
            <w:r w:rsidDel="00000000" w:rsidR="00000000" w:rsidRPr="00000000">
              <w:rPr>
                <w:rFonts w:ascii="Arial" w:cs="Arial" w:eastAsia="Arial" w:hAnsi="Arial"/>
                <w:rtl w:val="0"/>
              </w:rPr>
              <w:t xml:space="preserve">200</w:t>
            </w:r>
          </w:p>
        </w:tc>
        <w:tc>
          <w:tcPr/>
          <w:p w:rsidR="00000000" w:rsidDel="00000000" w:rsidP="00000000" w:rsidRDefault="00000000" w:rsidRPr="00000000" w14:paraId="00000254">
            <w:pPr>
              <w:rPr>
                <w:rFonts w:ascii="Arial" w:cs="Arial" w:eastAsia="Arial" w:hAnsi="Arial"/>
              </w:rPr>
            </w:pPr>
            <w:r w:rsidDel="00000000" w:rsidR="00000000" w:rsidRPr="00000000">
              <w:rPr>
                <w:rFonts w:ascii="Arial" w:cs="Arial" w:eastAsia="Arial" w:hAnsi="Arial"/>
                <w:rtl w:val="0"/>
              </w:rPr>
              <w:t xml:space="preserve">780</w:t>
            </w:r>
          </w:p>
        </w:tc>
        <w:tc>
          <w:tcPr/>
          <w:p w:rsidR="00000000" w:rsidDel="00000000" w:rsidP="00000000" w:rsidRDefault="00000000" w:rsidRPr="00000000" w14:paraId="00000255">
            <w:pPr>
              <w:rPr>
                <w:rFonts w:ascii="Arial" w:cs="Arial" w:eastAsia="Arial" w:hAnsi="Arial"/>
              </w:rPr>
            </w:pPr>
            <w:r w:rsidDel="00000000" w:rsidR="00000000" w:rsidRPr="00000000">
              <w:rPr>
                <w:rFonts w:ascii="Arial" w:cs="Arial" w:eastAsia="Arial" w:hAnsi="Arial"/>
                <w:rtl w:val="0"/>
              </w:rPr>
              <w:t xml:space="preserve">195.0</w:t>
            </w:r>
          </w:p>
        </w:tc>
        <w:tc>
          <w:tcPr/>
          <w:p w:rsidR="00000000" w:rsidDel="00000000" w:rsidP="00000000" w:rsidRDefault="00000000" w:rsidRPr="00000000" w14:paraId="00000256">
            <w:pPr>
              <w:rPr>
                <w:rFonts w:ascii="Arial" w:cs="Arial" w:eastAsia="Arial" w:hAnsi="Arial"/>
              </w:rPr>
            </w:pPr>
            <w:r w:rsidDel="00000000" w:rsidR="00000000" w:rsidRPr="00000000">
              <w:rPr>
                <w:rFonts w:ascii="Arial" w:cs="Arial" w:eastAsia="Arial" w:hAnsi="Arial"/>
                <w:rtl w:val="0"/>
              </w:rPr>
              <w:t xml:space="preserve">785.0</w:t>
            </w:r>
          </w:p>
        </w:tc>
        <w:tc>
          <w:tcPr/>
          <w:p w:rsidR="00000000" w:rsidDel="00000000" w:rsidP="00000000" w:rsidRDefault="00000000" w:rsidRPr="00000000" w14:paraId="00000257">
            <w:pPr>
              <w:rPr>
                <w:rFonts w:ascii="Arial" w:cs="Arial" w:eastAsia="Arial" w:hAnsi="Arial"/>
              </w:rPr>
            </w:pPr>
            <w:r w:rsidDel="00000000" w:rsidR="00000000" w:rsidRPr="00000000">
              <w:rPr>
                <w:rFonts w:ascii="Arial" w:cs="Arial" w:eastAsia="Arial" w:hAnsi="Arial"/>
                <w:rtl w:val="0"/>
              </w:rPr>
              <w:t xml:space="preserve">0.26</w:t>
            </w:r>
          </w:p>
        </w:tc>
        <w:tc>
          <w:tcPr/>
          <w:p w:rsidR="00000000" w:rsidDel="00000000" w:rsidP="00000000" w:rsidRDefault="00000000" w:rsidRPr="00000000" w14:paraId="00000258">
            <w:pPr>
              <w:rPr>
                <w:rFonts w:ascii="Arial" w:cs="Arial" w:eastAsia="Arial" w:hAnsi="Arial"/>
              </w:rPr>
            </w:pPr>
            <w:r w:rsidDel="00000000" w:rsidR="00000000" w:rsidRPr="00000000">
              <w:rPr>
                <w:rFonts w:ascii="Arial" w:cs="Arial" w:eastAsia="Arial" w:hAnsi="Arial"/>
                <w:rtl w:val="0"/>
              </w:rPr>
              <w:t xml:space="preserve">204.34</w:t>
            </w:r>
          </w:p>
        </w:tc>
      </w:tr>
    </w:tbl>
    <w:p w:rsidR="00000000" w:rsidDel="00000000" w:rsidP="00000000" w:rsidRDefault="00000000" w:rsidRPr="00000000" w14:paraId="00000259">
      <w:pPr>
        <w:rPr>
          <w:rFonts w:ascii="Arial" w:cs="Arial" w:eastAsia="Arial" w:hAnsi="Arial"/>
        </w:rPr>
      </w:pPr>
      <w:r w:rsidDel="00000000" w:rsidR="00000000" w:rsidRPr="00000000">
        <w:rPr>
          <w:rtl w:val="0"/>
        </w:rPr>
      </w:r>
    </w:p>
    <w:p w:rsidR="00000000" w:rsidDel="00000000" w:rsidP="00000000" w:rsidRDefault="00000000" w:rsidRPr="00000000" w14:paraId="0000025A">
      <w:pPr>
        <w:rPr>
          <w:rFonts w:ascii="Arial" w:cs="Arial" w:eastAsia="Arial" w:hAnsi="Arial"/>
        </w:rPr>
      </w:pPr>
      <w:r w:rsidDel="00000000" w:rsidR="00000000" w:rsidRPr="00000000">
        <w:rPr>
          <w:rFonts w:ascii="Arial" w:cs="Arial" w:eastAsia="Arial" w:hAnsi="Arial"/>
          <w:rtl w:val="0"/>
        </w:rPr>
        <w:t xml:space="preserve">NPV @ 40% = −£132.94k</w:t>
      </w:r>
    </w:p>
    <w:p w:rsidR="00000000" w:rsidDel="00000000" w:rsidP="00000000" w:rsidRDefault="00000000" w:rsidRPr="00000000" w14:paraId="0000025B">
      <w:pPr>
        <w:rPr>
          <w:rFonts w:ascii="Arial" w:cs="Arial" w:eastAsia="Arial" w:hAnsi="Arial"/>
          <w:sz w:val="36"/>
          <w:szCs w:val="36"/>
        </w:rPr>
      </w:pPr>
      <w:r w:rsidDel="00000000" w:rsidR="00000000" w:rsidRPr="00000000">
        <w:rPr>
          <w:rFonts w:ascii="Arial" w:cs="Arial" w:eastAsia="Arial" w:hAnsi="Arial"/>
          <w:rtl w:val="0"/>
        </w:rPr>
        <w:t xml:space="preserve">IRR Formula: </w:t>
      </w:r>
      <w:r w:rsidDel="00000000" w:rsidR="00000000" w:rsidRPr="00000000">
        <w:rPr>
          <w:rtl w:val="0"/>
        </w:rPr>
      </w:r>
    </w:p>
    <w:p w:rsidR="00000000" w:rsidDel="00000000" w:rsidP="00000000" w:rsidRDefault="00000000" w:rsidRPr="00000000" w14:paraId="0000025C">
      <w:pPr>
        <w:jc w:val="center"/>
        <w:rPr>
          <w:rFonts w:ascii="Cambria Math" w:cs="Cambria Math" w:eastAsia="Cambria Math" w:hAnsi="Cambria Math"/>
        </w:rPr>
      </w:pPr>
      <m:oMath>
        <m:r>
          <w:rPr>
            <w:rFonts w:ascii="Cambria Math" w:cs="Cambria Math" w:eastAsia="Cambria Math" w:hAnsi="Cambria Math"/>
          </w:rPr>
          <m:t xml:space="preserve">IRR=</m:t>
        </m:r>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1</m:t>
            </m:r>
          </m:sub>
        </m:sSub>
        <m:r>
          <w:rPr>
            <w:rFonts w:ascii="Cambria Math" w:cs="Cambria Math" w:eastAsia="Cambria Math" w:hAnsi="Cambria Math"/>
          </w:rPr>
          <m:t xml:space="preserve">+</m:t>
        </m:r>
        <m:f>
          <m:fPr>
            <m:ctrlPr>
              <w:rPr>
                <w:rFonts w:ascii="Cambria Math" w:cs="Cambria Math" w:eastAsia="Cambria Math" w:hAnsi="Cambria Math"/>
              </w:rPr>
            </m:ctrlPr>
          </m:fPr>
          <m:num>
            <m:r>
              <w:rPr>
                <w:rFonts w:ascii="Cambria Math" w:cs="Cambria Math" w:eastAsia="Cambria Math" w:hAnsi="Cambria Math"/>
              </w:rPr>
              <m:t xml:space="preserve">NP</m:t>
            </m:r>
            <m:sSub>
              <m:sSubPr>
                <m:ctrlPr>
                  <w:rPr>
                    <w:rFonts w:ascii="Cambria Math" w:cs="Cambria Math" w:eastAsia="Cambria Math" w:hAnsi="Cambria Math"/>
                  </w:rPr>
                </m:ctrlPr>
              </m:sSubPr>
              <m:e>
                <m:r>
                  <w:rPr>
                    <w:rFonts w:ascii="Cambria Math" w:cs="Cambria Math" w:eastAsia="Cambria Math" w:hAnsi="Cambria Math"/>
                  </w:rPr>
                  <m:t xml:space="preserve">V</m:t>
                </m:r>
              </m:e>
              <m:sub>
                <m:r>
                  <w:rPr>
                    <w:rFonts w:ascii="Cambria Math" w:cs="Cambria Math" w:eastAsia="Cambria Math" w:hAnsi="Cambria Math"/>
                  </w:rPr>
                  <m:t xml:space="preserve">1</m:t>
                </m:r>
              </m:sub>
            </m:sSub>
          </m:num>
          <m:den>
            <m:r>
              <w:rPr>
                <w:rFonts w:ascii="Cambria Math" w:cs="Cambria Math" w:eastAsia="Cambria Math" w:hAnsi="Cambria Math"/>
              </w:rPr>
              <m:t xml:space="preserve">NP</m:t>
            </m:r>
            <m:sSub>
              <m:sSubPr>
                <m:ctrlPr>
                  <w:rPr>
                    <w:rFonts w:ascii="Cambria Math" w:cs="Cambria Math" w:eastAsia="Cambria Math" w:hAnsi="Cambria Math"/>
                  </w:rPr>
                </m:ctrlPr>
              </m:sSubPr>
              <m:e>
                <m:r>
                  <w:rPr>
                    <w:rFonts w:ascii="Cambria Math" w:cs="Cambria Math" w:eastAsia="Cambria Math" w:hAnsi="Cambria Math"/>
                  </w:rPr>
                  <m:t xml:space="preserve">V</m:t>
                </m:r>
              </m:e>
              <m:sub>
                <m:r>
                  <w:rPr>
                    <w:rFonts w:ascii="Cambria Math" w:cs="Cambria Math" w:eastAsia="Cambria Math" w:hAnsi="Cambria Math"/>
                  </w:rPr>
                  <m:t xml:space="preserve">1</m:t>
                </m:r>
              </m:sub>
            </m:sSub>
            <m:r>
              <w:rPr>
                <w:rFonts w:ascii="Cambria Math" w:cs="Cambria Math" w:eastAsia="Cambria Math" w:hAnsi="Cambria Math"/>
              </w:rPr>
              <m:t xml:space="preserve">-NP</m:t>
            </m:r>
            <m:sSub>
              <m:sSubPr>
                <m:ctrlPr>
                  <w:rPr>
                    <w:rFonts w:ascii="Cambria Math" w:cs="Cambria Math" w:eastAsia="Cambria Math" w:hAnsi="Cambria Math"/>
                  </w:rPr>
                </m:ctrlPr>
              </m:sSubPr>
              <m:e>
                <m:r>
                  <w:rPr>
                    <w:rFonts w:ascii="Cambria Math" w:cs="Cambria Math" w:eastAsia="Cambria Math" w:hAnsi="Cambria Math"/>
                  </w:rPr>
                  <m:t xml:space="preserve">V</m:t>
                </m:r>
              </m:e>
              <m:sub>
                <m:r>
                  <w:rPr>
                    <w:rFonts w:ascii="Cambria Math" w:cs="Cambria Math" w:eastAsia="Cambria Math" w:hAnsi="Cambria Math"/>
                  </w:rPr>
                  <m:t xml:space="preserve">2</m:t>
                </m:r>
              </m:sub>
            </m:sSub>
          </m:den>
        </m:f>
        <m:r>
          <w:rPr>
            <w:rFonts w:ascii="Cambria Math" w:cs="Cambria Math" w:eastAsia="Cambria Math" w:hAnsi="Cambria Math"/>
          </w:rPr>
          <m:t xml:space="preserve">×(</m:t>
        </m:r>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2</m:t>
            </m:r>
          </m:sub>
        </m:sSub>
        <m:r>
          <w:rPr>
            <w:rFonts w:ascii="Cambria Math" w:cs="Cambria Math" w:eastAsia="Cambria Math" w:hAnsi="Cambria Math"/>
          </w:rPr>
          <m:t xml:space="preserve">-</m:t>
        </m:r>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1</m:t>
            </m:r>
          </m:sub>
        </m:sSub>
        <m:r>
          <w:rPr>
            <w:rFonts w:ascii="Cambria Math" w:cs="Cambria Math" w:eastAsia="Cambria Math" w:hAnsi="Cambria Math"/>
          </w:rPr>
          <m:t xml:space="preserve">)</m:t>
        </m:r>
      </m:oMath>
      <w:r w:rsidDel="00000000" w:rsidR="00000000" w:rsidRPr="00000000">
        <w:rPr>
          <w:rtl w:val="0"/>
        </w:rPr>
      </w:r>
    </w:p>
    <w:p w:rsidR="00000000" w:rsidDel="00000000" w:rsidP="00000000" w:rsidRDefault="00000000" w:rsidRPr="00000000" w14:paraId="0000025D">
      <w:pPr>
        <w:rPr>
          <w:rFonts w:ascii="Arial" w:cs="Arial" w:eastAsia="Arial" w:hAnsi="Arial"/>
        </w:rPr>
      </w:pPr>
      <w:r w:rsidDel="00000000" w:rsidR="00000000" w:rsidRPr="00000000">
        <w:rPr>
          <w:rFonts w:ascii="Arial" w:cs="Arial" w:eastAsia="Arial" w:hAnsi="Arial"/>
          <w:rtl w:val="0"/>
        </w:rPr>
        <w:t xml:space="preserve">Where:</w:t>
      </w:r>
    </w:p>
    <w:p w:rsidR="00000000" w:rsidDel="00000000" w:rsidP="00000000" w:rsidRDefault="00000000" w:rsidRPr="00000000" w14:paraId="0000025E">
      <w:pPr>
        <w:numPr>
          <w:ilvl w:val="0"/>
          <w:numId w:val="1"/>
        </w:numPr>
        <w:ind w:left="720" w:hanging="360"/>
        <w:rPr/>
      </w:pPr>
      <m:oMath>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1</m:t>
            </m:r>
          </m:sub>
        </m:sSub>
        <m:r>
          <w:rPr>
            <w:rFonts w:ascii="Cambria Math" w:cs="Cambria Math" w:eastAsia="Cambria Math" w:hAnsi="Cambria Math"/>
          </w:rPr>
          <m:t xml:space="preserve">=10%</m:t>
        </m:r>
      </m:oMath>
      <w:r w:rsidDel="00000000" w:rsidR="00000000" w:rsidRPr="00000000">
        <w:rPr>
          <w:rFonts w:ascii="Arial" w:cs="Arial" w:eastAsia="Arial" w:hAnsi="Arial"/>
          <w:rtl w:val="0"/>
        </w:rPr>
        <w:t xml:space="preserve">, </w:t>
      </w:r>
      <m:oMath>
        <m:r>
          <w:rPr>
            <w:rFonts w:ascii="Cambria Math" w:cs="Cambria Math" w:eastAsia="Cambria Math" w:hAnsi="Cambria Math"/>
          </w:rPr>
          <m:t xml:space="preserve">NP</m:t>
        </m:r>
        <m:sSub>
          <m:sSubPr>
            <m:ctrlPr>
              <w:rPr>
                <w:rFonts w:ascii="Cambria Math" w:cs="Cambria Math" w:eastAsia="Cambria Math" w:hAnsi="Cambria Math"/>
              </w:rPr>
            </m:ctrlPr>
          </m:sSubPr>
          <m:e>
            <m:r>
              <w:rPr>
                <w:rFonts w:ascii="Cambria Math" w:cs="Cambria Math" w:eastAsia="Cambria Math" w:hAnsi="Cambria Math"/>
              </w:rPr>
              <m:t xml:space="preserve">V</m:t>
            </m:r>
          </m:e>
          <m:sub>
            <m:r>
              <w:rPr>
                <w:rFonts w:ascii="Cambria Math" w:cs="Cambria Math" w:eastAsia="Cambria Math" w:hAnsi="Cambria Math"/>
              </w:rPr>
              <m:t xml:space="preserve">1</m:t>
            </m:r>
          </m:sub>
        </m:sSub>
        <m:r>
          <w:rPr>
            <w:rFonts w:ascii="Cambria Math" w:cs="Cambria Math" w:eastAsia="Cambria Math" w:hAnsi="Cambria Math"/>
          </w:rPr>
          <m:t xml:space="preserve">=+617.87</m:t>
        </m:r>
      </m:oMath>
      <w:r w:rsidDel="00000000" w:rsidR="00000000" w:rsidRPr="00000000">
        <w:rPr>
          <w:rtl w:val="0"/>
        </w:rPr>
      </w:r>
    </w:p>
    <w:p w:rsidR="00000000" w:rsidDel="00000000" w:rsidP="00000000" w:rsidRDefault="00000000" w:rsidRPr="00000000" w14:paraId="0000025F">
      <w:pPr>
        <w:numPr>
          <w:ilvl w:val="0"/>
          <w:numId w:val="1"/>
        </w:numPr>
        <w:ind w:left="720" w:hanging="360"/>
        <w:rPr/>
      </w:pPr>
      <m:oMath>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2</m:t>
            </m:r>
          </m:sub>
        </m:sSub>
        <m:r>
          <w:rPr>
            <w:rFonts w:ascii="Cambria Math" w:cs="Cambria Math" w:eastAsia="Cambria Math" w:hAnsi="Cambria Math"/>
          </w:rPr>
          <m:t xml:space="preserve">=40%</m:t>
        </m:r>
      </m:oMath>
      <w:r w:rsidDel="00000000" w:rsidR="00000000" w:rsidRPr="00000000">
        <w:rPr>
          <w:rFonts w:ascii="Arial" w:cs="Arial" w:eastAsia="Arial" w:hAnsi="Arial"/>
          <w:rtl w:val="0"/>
        </w:rPr>
        <w:t xml:space="preserve">, </w:t>
      </w:r>
      <m:oMath>
        <m:r>
          <w:rPr>
            <w:rFonts w:ascii="Cambria Math" w:cs="Cambria Math" w:eastAsia="Cambria Math" w:hAnsi="Cambria Math"/>
          </w:rPr>
          <m:t xml:space="preserve">NP</m:t>
        </m:r>
        <m:sSub>
          <m:sSubPr>
            <m:ctrlPr>
              <w:rPr>
                <w:rFonts w:ascii="Cambria Math" w:cs="Cambria Math" w:eastAsia="Cambria Math" w:hAnsi="Cambria Math"/>
              </w:rPr>
            </m:ctrlPr>
          </m:sSubPr>
          <m:e>
            <m:r>
              <w:rPr>
                <w:rFonts w:ascii="Cambria Math" w:cs="Cambria Math" w:eastAsia="Cambria Math" w:hAnsi="Cambria Math"/>
              </w:rPr>
              <m:t xml:space="preserve">V</m:t>
            </m:r>
          </m:e>
          <m:sub>
            <m:r>
              <w:rPr>
                <w:rFonts w:ascii="Cambria Math" w:cs="Cambria Math" w:eastAsia="Cambria Math" w:hAnsi="Cambria Math"/>
              </w:rPr>
              <m:t xml:space="preserve">2</m:t>
            </m:r>
          </m:sub>
        </m:sSub>
        <m:r>
          <w:rPr>
            <w:rFonts w:ascii="Cambria Math" w:cs="Cambria Math" w:eastAsia="Cambria Math" w:hAnsi="Cambria Math"/>
          </w:rPr>
          <m:t xml:space="preserve">=-132.94</m:t>
        </m:r>
      </m:oMath>
      <w:r w:rsidDel="00000000" w:rsidR="00000000" w:rsidRPr="00000000">
        <w:rPr>
          <w:rtl w:val="0"/>
        </w:rPr>
      </w:r>
    </w:p>
    <w:p w:rsidR="00000000" w:rsidDel="00000000" w:rsidP="00000000" w:rsidRDefault="00000000" w:rsidRPr="00000000" w14:paraId="00000260">
      <w:pPr>
        <w:rPr>
          <w:rFonts w:ascii="Arial" w:cs="Arial" w:eastAsia="Arial" w:hAnsi="Arial"/>
          <w:b w:val="1"/>
          <w:bCs w:val="1"/>
        </w:rPr>
      </w:pPr>
      <w:r w:rsidDel="00000000" w:rsidR="00000000" w:rsidRPr="00000000">
        <w:rPr>
          <w:rFonts w:ascii="Arial" w:cs="Arial" w:eastAsia="Arial" w:hAnsi="Arial"/>
          <w:b w:val="1"/>
          <w:bCs w:val="1"/>
          <w:rtl w:val="0"/>
        </w:rPr>
        <w:t xml:space="preserve">Substitute values</w:t>
      </w:r>
    </w:p>
    <w:p w:rsidR="00000000" w:rsidDel="00000000" w:rsidP="00000000" w:rsidRDefault="00000000" w:rsidRPr="00000000" w14:paraId="00000261">
      <w:pPr>
        <w:jc w:val="center"/>
        <w:rPr>
          <w:rFonts w:ascii="Cambria Math" w:cs="Cambria Math" w:eastAsia="Cambria Math" w:hAnsi="Cambria Math"/>
        </w:rPr>
      </w:pPr>
      <m:oMath>
        <m:r>
          <w:rPr>
            <w:rFonts w:ascii="Cambria Math" w:cs="Cambria Math" w:eastAsia="Cambria Math" w:hAnsi="Cambria Math"/>
          </w:rPr>
          <m:t xml:space="preserve">IRR=0.10+</m:t>
        </m:r>
        <m:f>
          <m:fPr>
            <m:ctrlPr>
              <w:rPr>
                <w:rFonts w:ascii="Cambria Math" w:cs="Cambria Math" w:eastAsia="Cambria Math" w:hAnsi="Cambria Math"/>
              </w:rPr>
            </m:ctrlPr>
          </m:fPr>
          <m:num>
            <m:r>
              <w:rPr>
                <w:rFonts w:ascii="Cambria Math" w:cs="Cambria Math" w:eastAsia="Cambria Math" w:hAnsi="Cambria Math"/>
              </w:rPr>
              <m:t xml:space="preserve">617.87</m:t>
            </m:r>
          </m:num>
          <m:den>
            <m:r>
              <w:rPr>
                <w:rFonts w:ascii="Cambria Math" w:cs="Cambria Math" w:eastAsia="Cambria Math" w:hAnsi="Cambria Math"/>
              </w:rPr>
              <m:t xml:space="preserve">617.87-(-132.94)</m:t>
            </m:r>
          </m:den>
        </m:f>
        <m:r>
          <w:rPr>
            <w:rFonts w:ascii="Cambria Math" w:cs="Cambria Math" w:eastAsia="Cambria Math" w:hAnsi="Cambria Math"/>
          </w:rPr>
          <m:t xml:space="preserve">×(0.40-0.10)IRR=0.10+</m:t>
        </m:r>
        <m:f>
          <m:fPr>
            <m:ctrlPr>
              <w:rPr>
                <w:rFonts w:ascii="Cambria Math" w:cs="Cambria Math" w:eastAsia="Cambria Math" w:hAnsi="Cambria Math"/>
              </w:rPr>
            </m:ctrlPr>
          </m:fPr>
          <m:num>
            <m:r>
              <w:rPr>
                <w:rFonts w:ascii="Cambria Math" w:cs="Cambria Math" w:eastAsia="Cambria Math" w:hAnsi="Cambria Math"/>
              </w:rPr>
              <m:t xml:space="preserve">617.87</m:t>
            </m:r>
          </m:num>
          <m:den>
            <m:r>
              <w:rPr>
                <w:rFonts w:ascii="Cambria Math" w:cs="Cambria Math" w:eastAsia="Cambria Math" w:hAnsi="Cambria Math"/>
              </w:rPr>
              <m:t xml:space="preserve">750.81</m:t>
            </m:r>
          </m:den>
        </m:f>
        <m:r>
          <w:rPr>
            <w:rFonts w:ascii="Cambria Math" w:cs="Cambria Math" w:eastAsia="Cambria Math" w:hAnsi="Cambria Math"/>
          </w:rPr>
          <m:t xml:space="preserve">×0.30IRR=0.10+0.2469=0.3469</m:t>
        </m:r>
      </m:oMath>
      <w:r w:rsidDel="00000000" w:rsidR="00000000" w:rsidRPr="00000000">
        <w:rPr>
          <w:rtl w:val="0"/>
        </w:rPr>
      </w:r>
    </w:p>
    <w:p w:rsidR="00000000" w:rsidDel="00000000" w:rsidP="00000000" w:rsidRDefault="00000000" w:rsidRPr="00000000" w14:paraId="00000262">
      <w:pPr>
        <w:rPr>
          <w:rFonts w:ascii="Arial" w:cs="Arial" w:eastAsia="Arial" w:hAnsi="Arial"/>
        </w:rPr>
      </w:pPr>
      <w:r w:rsidDel="00000000" w:rsidR="00000000" w:rsidRPr="00000000">
        <w:rPr>
          <w:rFonts w:ascii="Arial" w:cs="Arial" w:eastAsia="Arial" w:hAnsi="Arial"/>
          <w:rtl w:val="0"/>
        </w:rPr>
        <w:t xml:space="preserve">Hence, the IRR of the project is approximately 34.7%, which is significantly greater than the cost of capital (price of capital is%).</w:t>
      </w:r>
    </w:p>
    <w:p w:rsidR="00000000" w:rsidDel="00000000" w:rsidP="00000000" w:rsidRDefault="00000000" w:rsidRPr="00000000" w14:paraId="00000263">
      <w:pPr>
        <w:pStyle w:val="Heading2"/>
        <w:numPr>
          <w:ilvl w:val="1"/>
          <w:numId w:val="8"/>
        </w:numPr>
        <w:ind w:left="1440" w:hanging="360"/>
        <w:rPr>
          <w:rFonts w:ascii="Arial" w:cs="Arial" w:eastAsia="Arial" w:hAnsi="Arial"/>
        </w:rPr>
      </w:pPr>
      <w:bookmarkStart w:colFirst="0" w:colLast="0" w:name="_kbq6dvqngtza" w:id="13"/>
      <w:bookmarkEnd w:id="13"/>
      <w:r w:rsidDel="00000000" w:rsidR="00000000" w:rsidRPr="00000000">
        <w:rPr>
          <w:rFonts w:ascii="Arial" w:cs="Arial" w:eastAsia="Arial" w:hAnsi="Arial"/>
          <w:rtl w:val="0"/>
        </w:rPr>
        <w:t xml:space="preserve">Management Results Interpretation.</w:t>
      </w:r>
    </w:p>
    <w:p w:rsidR="00000000" w:rsidDel="00000000" w:rsidP="00000000" w:rsidRDefault="00000000" w:rsidRPr="00000000" w14:paraId="00000264">
      <w:pPr>
        <w:rPr>
          <w:rFonts w:ascii="Arial" w:cs="Arial" w:eastAsia="Arial" w:hAnsi="Arial"/>
        </w:rPr>
      </w:pPr>
      <w:r w:rsidDel="00000000" w:rsidR="00000000" w:rsidRPr="00000000">
        <w:rPr>
          <w:rFonts w:ascii="Arial" w:cs="Arial" w:eastAsia="Arial" w:hAnsi="Arial"/>
          <w:b w:val="1"/>
          <w:bCs w:val="1"/>
          <w:rtl w:val="0"/>
        </w:rPr>
        <w:t xml:space="preserve">(i) Theoretical justification of Net Present Value (NPV) use:</w:t>
      </w:r>
      <w:r w:rsidDel="00000000" w:rsidR="00000000" w:rsidRPr="00000000">
        <w:rPr>
          <w:rFonts w:ascii="Arial" w:cs="Arial" w:eastAsia="Arial" w:hAnsi="Arial"/>
          <w:rtl w:val="0"/>
        </w:rPr>
        <w:t xml:space="preserve"> The most suitable technique of investment appraisal is generally considered to be Net Present Value (NPV) as it takes the time value of money into account, considers all the cash flows present in a project, and the increase in shareholder wealth is directly measured by this technique (Fernando, 2020). NPV shows both the timing and risk of returns by discounting future cash flows at the cost of capital of the company. As opposed to other methods, NPV gives an absolute monetary value of the value creation, meaning that it is very appropriate when it comes to comparing mutually exclusive projects that have different scales. Since the Westward plc's major goal is to maximise shareholder wealth, NPV is a theoretically sound and economically viable foundation on which investment decisions may be made (Wang, 2025).</w:t>
      </w:r>
    </w:p>
    <w:p w:rsidR="00000000" w:rsidDel="00000000" w:rsidP="00000000" w:rsidRDefault="00000000" w:rsidRPr="00000000" w14:paraId="00000265">
      <w:pPr>
        <w:rPr>
          <w:rFonts w:ascii="Arial" w:cs="Arial" w:eastAsia="Arial" w:hAnsi="Arial"/>
        </w:rPr>
      </w:pPr>
      <w:r w:rsidDel="00000000" w:rsidR="00000000" w:rsidRPr="00000000">
        <w:rPr>
          <w:rFonts w:ascii="Arial" w:cs="Arial" w:eastAsia="Arial" w:hAnsi="Arial"/>
          <w:b w:val="1"/>
          <w:bCs w:val="1"/>
          <w:rtl w:val="0"/>
        </w:rPr>
        <w:t xml:space="preserve">(ii) Ongoing popularity of non-discounting:</w:t>
      </w:r>
      <w:r w:rsidDel="00000000" w:rsidR="00000000" w:rsidRPr="00000000">
        <w:rPr>
          <w:rFonts w:ascii="Arial" w:cs="Arial" w:eastAsia="Arial" w:hAnsi="Arial"/>
          <w:rtl w:val="0"/>
        </w:rPr>
        <w:t xml:space="preserve"> Although discounted cash flow techniques have theoretical advantages, non-discounting techniques, including the payback period, have been popular among decision makers. This is mostly because they are simple, easy to calculate and liquidity and risk oriented. Managers tend to appreciate the immediate evaluation of initial investment recovery speed, especially where there is uncertainty or capital restrictions (Yeo and Qiu, 2003). The time value of money and cash flows that happen after the payback period are, however, ignored with such methods, hence restricting their application in strategic investment decisions. Consequently, non-discounting methods are only to be applied as an addition to the decision-making and not as the main basis of applying them.</w:t>
      </w:r>
    </w:p>
    <w:p w:rsidR="00000000" w:rsidDel="00000000" w:rsidP="00000000" w:rsidRDefault="00000000" w:rsidRPr="00000000" w14:paraId="00000266">
      <w:pPr>
        <w:rPr>
          <w:rFonts w:ascii="Arial" w:cs="Arial" w:eastAsia="Arial" w:hAnsi="Arial"/>
        </w:rPr>
      </w:pPr>
      <w:r w:rsidDel="00000000" w:rsidR="00000000" w:rsidRPr="00000000">
        <w:rPr>
          <w:rtl w:val="0"/>
        </w:rPr>
      </w:r>
    </w:p>
    <w:p w:rsidR="00000000" w:rsidDel="00000000" w:rsidP="00000000" w:rsidRDefault="00000000" w:rsidRPr="00000000" w14:paraId="00000267">
      <w:pPr>
        <w:rPr>
          <w:rFonts w:ascii="Arial" w:cs="Arial" w:eastAsia="Arial" w:hAnsi="Arial"/>
        </w:rPr>
      </w:pPr>
      <w:r w:rsidDel="00000000" w:rsidR="00000000" w:rsidRPr="00000000">
        <w:rPr>
          <w:rFonts w:ascii="Arial" w:cs="Arial" w:eastAsia="Arial" w:hAnsi="Arial"/>
          <w:b w:val="1"/>
          <w:bCs w:val="1"/>
          <w:rtl w:val="0"/>
        </w:rPr>
        <w:t xml:space="preserve">(iii) Before making investment decisions, other factors should be taken into account:</w:t>
      </w:r>
      <w:r w:rsidDel="00000000" w:rsidR="00000000" w:rsidRPr="00000000">
        <w:rPr>
          <w:rFonts w:ascii="Arial" w:cs="Arial" w:eastAsia="Arial" w:hAnsi="Arial"/>
          <w:rtl w:val="0"/>
        </w:rPr>
        <w:t xml:space="preserve"> Besides the financial appraisal outcomes, qualitative and strategic considerations are also other factors that Westward plc should be cautious with in relation to making an investment decision (Ponto, Muhamad Aqsa and Fajar Rina Sejati, 2024). These are the market demand, competition, operational capability, technological capability and their compatibility with the long-term strategy of the firm. Other external conditions, like the economic situation, regulation, and the reliability of the suppliers, are to be evaluated as well. Also, the management is to consider the risks of implementation and whether the organisation is capable of managing change successfully (Pereira et al., 2022).</w:t>
      </w:r>
    </w:p>
    <w:p w:rsidR="00000000" w:rsidDel="00000000" w:rsidP="00000000" w:rsidRDefault="00000000" w:rsidRPr="00000000" w14:paraId="00000268">
      <w:pPr>
        <w:pStyle w:val="Heading2"/>
        <w:numPr>
          <w:ilvl w:val="1"/>
          <w:numId w:val="8"/>
        </w:numPr>
        <w:ind w:left="1440" w:hanging="360"/>
        <w:rPr>
          <w:rFonts w:ascii="Arial" w:cs="Arial" w:eastAsia="Arial" w:hAnsi="Arial"/>
        </w:rPr>
      </w:pPr>
      <w:bookmarkStart w:colFirst="0" w:colLast="0" w:name="_ba1tw2whl4un" w:id="14"/>
      <w:bookmarkEnd w:id="14"/>
      <w:r w:rsidDel="00000000" w:rsidR="00000000" w:rsidRPr="00000000">
        <w:rPr>
          <w:rFonts w:ascii="Arial" w:cs="Arial" w:eastAsia="Arial" w:hAnsi="Arial"/>
          <w:rtl w:val="0"/>
        </w:rPr>
        <w:t xml:space="preserve">Capital Rationing Calculation (Funds limited to £2,500,000)</w:t>
      </w:r>
    </w:p>
    <w:p w:rsidR="00000000" w:rsidDel="00000000" w:rsidP="00000000" w:rsidRDefault="00000000" w:rsidRPr="00000000" w14:paraId="00000269">
      <w:pPr>
        <w:rPr>
          <w:rFonts w:ascii="Arial" w:cs="Arial" w:eastAsia="Arial" w:hAnsi="Arial"/>
          <w:b w:val="1"/>
          <w:bCs w:val="1"/>
          <w:sz w:val="27"/>
          <w:szCs w:val="27"/>
        </w:rPr>
      </w:pPr>
      <w:r w:rsidDel="00000000" w:rsidR="00000000" w:rsidRPr="00000000">
        <w:rPr>
          <w:rFonts w:ascii="Arial" w:cs="Arial" w:eastAsia="Arial" w:hAnsi="Arial"/>
          <w:b w:val="1"/>
          <w:bCs w:val="1"/>
          <w:rtl w:val="0"/>
        </w:rPr>
        <w:t xml:space="preserve">Step 1: Compute the Profitability Index (PI)</w:t>
      </w:r>
      <w:r w:rsidDel="00000000" w:rsidR="00000000" w:rsidRPr="00000000">
        <w:rPr>
          <w:rtl w:val="0"/>
        </w:rPr>
      </w:r>
    </w:p>
    <w:p w:rsidR="00000000" w:rsidDel="00000000" w:rsidP="00000000" w:rsidRDefault="00000000" w:rsidRPr="00000000" w14:paraId="0000026A">
      <w:pPr>
        <w:jc w:val="center"/>
        <w:rPr>
          <w:rFonts w:ascii="Arial" w:cs="Arial" w:eastAsia="Arial" w:hAnsi="Arial"/>
        </w:rPr>
      </w:pPr>
      <m:oMath>
        <m:r>
          <w:rPr>
            <w:rFonts w:ascii="Arial" w:cs="Arial" w:eastAsia="Arial" w:hAnsi="Arial"/>
          </w:rPr>
          <m:t xml:space="preserve">PI</m:t>
        </m:r>
        <m:r>
          <w:rPr>
            <w:rFonts w:ascii="Cambria Math" w:cs="Cambria Math" w:eastAsia="Cambria Math" w:hAnsi="Cambria Math"/>
          </w:rPr>
          <m:t xml:space="preserve">=</m:t>
        </m:r>
        <m:f>
          <m:fPr>
            <m:ctrlPr>
              <w:rPr>
                <w:rFonts w:ascii="Arial" w:cs="Arial" w:eastAsia="Arial" w:hAnsi="Arial"/>
              </w:rPr>
            </m:ctrlPr>
          </m:fPr>
          <m:num>
            <m:r>
              <w:rPr>
                <w:rFonts w:ascii="Arial" w:cs="Arial" w:eastAsia="Arial" w:hAnsi="Arial"/>
              </w:rPr>
              <m:t xml:space="preserve">NPV</m:t>
            </m:r>
          </m:num>
          <m:den>
            <m:r>
              <w:rPr>
                <w:rFonts w:ascii="Arial" w:cs="Arial" w:eastAsia="Arial" w:hAnsi="Arial"/>
              </w:rPr>
              <m:t xml:space="preserve">Initial Investment</m:t>
            </m:r>
          </m:den>
        </m:f>
      </m:oMath>
      <w:r w:rsidDel="00000000" w:rsidR="00000000" w:rsidRPr="00000000">
        <w:rPr>
          <w:rtl w:val="0"/>
        </w:rPr>
      </w:r>
    </w:p>
    <w:tbl>
      <w:tblPr>
        <w:tblStyle w:val="Table15"/>
        <w:tblW w:w="6996.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24"/>
        <w:gridCol w:w="2151"/>
        <w:gridCol w:w="1470"/>
        <w:gridCol w:w="2451"/>
        <w:tblGridChange w:id="0">
          <w:tblGrid>
            <w:gridCol w:w="924"/>
            <w:gridCol w:w="2151"/>
            <w:gridCol w:w="1470"/>
            <w:gridCol w:w="2451"/>
          </w:tblGrid>
        </w:tblGridChange>
      </w:tblGrid>
      <w:tr>
        <w:trPr>
          <w:cantSplit w:val="0"/>
          <w:tblHeader w:val="0"/>
        </w:trPr>
        <w:tc>
          <w:tcPr/>
          <w:p w:rsidR="00000000" w:rsidDel="00000000" w:rsidP="00000000" w:rsidRDefault="00000000" w:rsidRPr="00000000" w14:paraId="0000026B">
            <w:pPr>
              <w:rPr>
                <w:rFonts w:ascii="Arial" w:cs="Arial" w:eastAsia="Arial" w:hAnsi="Arial"/>
              </w:rPr>
            </w:pPr>
            <w:r w:rsidDel="00000000" w:rsidR="00000000" w:rsidRPr="00000000">
              <w:rPr>
                <w:rFonts w:ascii="Arial" w:cs="Arial" w:eastAsia="Arial" w:hAnsi="Arial"/>
                <w:rtl w:val="0"/>
              </w:rPr>
              <w:t xml:space="preserve">Option</w:t>
            </w:r>
          </w:p>
        </w:tc>
        <w:tc>
          <w:tcPr/>
          <w:p w:rsidR="00000000" w:rsidDel="00000000" w:rsidP="00000000" w:rsidRDefault="00000000" w:rsidRPr="00000000" w14:paraId="0000026C">
            <w:pPr>
              <w:rPr>
                <w:rFonts w:ascii="Arial" w:cs="Arial" w:eastAsia="Arial" w:hAnsi="Arial"/>
              </w:rPr>
            </w:pPr>
            <w:r w:rsidDel="00000000" w:rsidR="00000000" w:rsidRPr="00000000">
              <w:rPr>
                <w:rFonts w:ascii="Arial" w:cs="Arial" w:eastAsia="Arial" w:hAnsi="Arial"/>
                <w:rtl w:val="0"/>
              </w:rPr>
              <w:t xml:space="preserve">Investment (£000)</w:t>
            </w:r>
          </w:p>
        </w:tc>
        <w:tc>
          <w:tcPr/>
          <w:p w:rsidR="00000000" w:rsidDel="00000000" w:rsidP="00000000" w:rsidRDefault="00000000" w:rsidRPr="00000000" w14:paraId="0000026D">
            <w:pPr>
              <w:rPr>
                <w:rFonts w:ascii="Arial" w:cs="Arial" w:eastAsia="Arial" w:hAnsi="Arial"/>
              </w:rPr>
            </w:pPr>
            <w:r w:rsidDel="00000000" w:rsidR="00000000" w:rsidRPr="00000000">
              <w:rPr>
                <w:rFonts w:ascii="Arial" w:cs="Arial" w:eastAsia="Arial" w:hAnsi="Arial"/>
                <w:rtl w:val="0"/>
              </w:rPr>
              <w:t xml:space="preserve">NPV (£000)</w:t>
            </w:r>
          </w:p>
        </w:tc>
        <w:tc>
          <w:tcPr/>
          <w:p w:rsidR="00000000" w:rsidDel="00000000" w:rsidP="00000000" w:rsidRDefault="00000000" w:rsidRPr="00000000" w14:paraId="0000026E">
            <w:pPr>
              <w:rPr>
                <w:rFonts w:ascii="Arial" w:cs="Arial" w:eastAsia="Arial" w:hAnsi="Arial"/>
              </w:rPr>
            </w:pPr>
            <w:r w:rsidDel="00000000" w:rsidR="00000000" w:rsidRPr="00000000">
              <w:rPr>
                <w:rFonts w:ascii="Arial" w:cs="Arial" w:eastAsia="Arial" w:hAnsi="Arial"/>
                <w:rtl w:val="0"/>
              </w:rPr>
              <w:t xml:space="preserve">PI = NPV/Investment</w:t>
            </w:r>
          </w:p>
        </w:tc>
      </w:tr>
      <w:tr>
        <w:trPr>
          <w:cantSplit w:val="0"/>
          <w:tblHeader w:val="0"/>
        </w:trPr>
        <w:tc>
          <w:tcPr/>
          <w:p w:rsidR="00000000" w:rsidDel="00000000" w:rsidP="00000000" w:rsidRDefault="00000000" w:rsidRPr="00000000" w14:paraId="0000026F">
            <w:pPr>
              <w:rPr>
                <w:rFonts w:ascii="Arial" w:cs="Arial" w:eastAsia="Arial" w:hAnsi="Arial"/>
              </w:rPr>
            </w:pPr>
            <w:r w:rsidDel="00000000" w:rsidR="00000000" w:rsidRPr="00000000">
              <w:rPr>
                <w:rFonts w:ascii="Arial" w:cs="Arial" w:eastAsia="Arial" w:hAnsi="Arial"/>
                <w:rtl w:val="0"/>
              </w:rPr>
              <w:t xml:space="preserve">A</w:t>
            </w:r>
          </w:p>
        </w:tc>
        <w:tc>
          <w:tcPr/>
          <w:p w:rsidR="00000000" w:rsidDel="00000000" w:rsidP="00000000" w:rsidRDefault="00000000" w:rsidRPr="00000000" w14:paraId="00000270">
            <w:pPr>
              <w:rPr>
                <w:rFonts w:ascii="Arial" w:cs="Arial" w:eastAsia="Arial" w:hAnsi="Arial"/>
              </w:rPr>
            </w:pPr>
            <w:r w:rsidDel="00000000" w:rsidR="00000000" w:rsidRPr="00000000">
              <w:rPr>
                <w:rFonts w:ascii="Arial" w:cs="Arial" w:eastAsia="Arial" w:hAnsi="Arial"/>
                <w:rtl w:val="0"/>
              </w:rPr>
              <w:t xml:space="preserve">600</w:t>
            </w:r>
          </w:p>
        </w:tc>
        <w:tc>
          <w:tcPr/>
          <w:p w:rsidR="00000000" w:rsidDel="00000000" w:rsidP="00000000" w:rsidRDefault="00000000" w:rsidRPr="00000000" w14:paraId="00000271">
            <w:pPr>
              <w:rPr>
                <w:rFonts w:ascii="Arial" w:cs="Arial" w:eastAsia="Arial" w:hAnsi="Arial"/>
              </w:rPr>
            </w:pPr>
            <w:r w:rsidDel="00000000" w:rsidR="00000000" w:rsidRPr="00000000">
              <w:rPr>
                <w:rFonts w:ascii="Arial" w:cs="Arial" w:eastAsia="Arial" w:hAnsi="Arial"/>
                <w:rtl w:val="0"/>
              </w:rPr>
              <w:t xml:space="preserve">643.2</w:t>
            </w:r>
          </w:p>
        </w:tc>
        <w:tc>
          <w:tcPr/>
          <w:p w:rsidR="00000000" w:rsidDel="00000000" w:rsidP="00000000" w:rsidRDefault="00000000" w:rsidRPr="00000000" w14:paraId="00000272">
            <w:pPr>
              <w:rPr>
                <w:rFonts w:ascii="Arial" w:cs="Arial" w:eastAsia="Arial" w:hAnsi="Arial"/>
              </w:rPr>
            </w:pPr>
            <w:r w:rsidDel="00000000" w:rsidR="00000000" w:rsidRPr="00000000">
              <w:rPr>
                <w:rFonts w:ascii="Arial" w:cs="Arial" w:eastAsia="Arial" w:hAnsi="Arial"/>
                <w:rtl w:val="0"/>
              </w:rPr>
              <w:t xml:space="preserve">1.07</w:t>
            </w:r>
          </w:p>
        </w:tc>
      </w:tr>
      <w:tr>
        <w:trPr>
          <w:cantSplit w:val="0"/>
          <w:tblHeader w:val="0"/>
        </w:trPr>
        <w:tc>
          <w:tcPr/>
          <w:p w:rsidR="00000000" w:rsidDel="00000000" w:rsidP="00000000" w:rsidRDefault="00000000" w:rsidRPr="00000000" w14:paraId="00000273">
            <w:pPr>
              <w:rPr>
                <w:rFonts w:ascii="Arial" w:cs="Arial" w:eastAsia="Arial" w:hAnsi="Arial"/>
              </w:rPr>
            </w:pPr>
            <w:r w:rsidDel="00000000" w:rsidR="00000000" w:rsidRPr="00000000">
              <w:rPr>
                <w:rFonts w:ascii="Arial" w:cs="Arial" w:eastAsia="Arial" w:hAnsi="Arial"/>
                <w:rtl w:val="0"/>
              </w:rPr>
              <w:t xml:space="preserve">B</w:t>
            </w:r>
          </w:p>
        </w:tc>
        <w:tc>
          <w:tcPr/>
          <w:p w:rsidR="00000000" w:rsidDel="00000000" w:rsidP="00000000" w:rsidRDefault="00000000" w:rsidRPr="00000000" w14:paraId="00000274">
            <w:pPr>
              <w:rPr>
                <w:rFonts w:ascii="Arial" w:cs="Arial" w:eastAsia="Arial" w:hAnsi="Arial"/>
              </w:rPr>
            </w:pPr>
            <w:r w:rsidDel="00000000" w:rsidR="00000000" w:rsidRPr="00000000">
              <w:rPr>
                <w:rFonts w:ascii="Arial" w:cs="Arial" w:eastAsia="Arial" w:hAnsi="Arial"/>
                <w:rtl w:val="0"/>
              </w:rPr>
              <w:t xml:space="preserve">1,000</w:t>
            </w:r>
          </w:p>
        </w:tc>
        <w:tc>
          <w:tcPr/>
          <w:p w:rsidR="00000000" w:rsidDel="00000000" w:rsidP="00000000" w:rsidRDefault="00000000" w:rsidRPr="00000000" w14:paraId="00000275">
            <w:pPr>
              <w:rPr>
                <w:rFonts w:ascii="Arial" w:cs="Arial" w:eastAsia="Arial" w:hAnsi="Arial"/>
              </w:rPr>
            </w:pPr>
            <w:r w:rsidDel="00000000" w:rsidR="00000000" w:rsidRPr="00000000">
              <w:rPr>
                <w:rFonts w:ascii="Arial" w:cs="Arial" w:eastAsia="Arial" w:hAnsi="Arial"/>
                <w:rtl w:val="0"/>
              </w:rPr>
              <w:t xml:space="preserve">792.3</w:t>
            </w:r>
          </w:p>
        </w:tc>
        <w:tc>
          <w:tcPr/>
          <w:p w:rsidR="00000000" w:rsidDel="00000000" w:rsidP="00000000" w:rsidRDefault="00000000" w:rsidRPr="00000000" w14:paraId="00000276">
            <w:pPr>
              <w:rPr>
                <w:rFonts w:ascii="Arial" w:cs="Arial" w:eastAsia="Arial" w:hAnsi="Arial"/>
              </w:rPr>
            </w:pPr>
            <w:r w:rsidDel="00000000" w:rsidR="00000000" w:rsidRPr="00000000">
              <w:rPr>
                <w:rFonts w:ascii="Arial" w:cs="Arial" w:eastAsia="Arial" w:hAnsi="Arial"/>
                <w:rtl w:val="0"/>
              </w:rPr>
              <w:t xml:space="preserve">0.79</w:t>
            </w:r>
          </w:p>
        </w:tc>
      </w:tr>
      <w:tr>
        <w:trPr>
          <w:cantSplit w:val="0"/>
          <w:tblHeader w:val="0"/>
        </w:trPr>
        <w:tc>
          <w:tcPr/>
          <w:p w:rsidR="00000000" w:rsidDel="00000000" w:rsidP="00000000" w:rsidRDefault="00000000" w:rsidRPr="00000000" w14:paraId="00000277">
            <w:pPr>
              <w:rPr>
                <w:rFonts w:ascii="Arial" w:cs="Arial" w:eastAsia="Arial" w:hAnsi="Arial"/>
              </w:rPr>
            </w:pPr>
            <w:r w:rsidDel="00000000" w:rsidR="00000000" w:rsidRPr="00000000">
              <w:rPr>
                <w:rFonts w:ascii="Arial" w:cs="Arial" w:eastAsia="Arial" w:hAnsi="Arial"/>
                <w:rtl w:val="0"/>
              </w:rPr>
              <w:t xml:space="preserve">C</w:t>
            </w:r>
          </w:p>
        </w:tc>
        <w:tc>
          <w:tcPr/>
          <w:p w:rsidR="00000000" w:rsidDel="00000000" w:rsidP="00000000" w:rsidRDefault="00000000" w:rsidRPr="00000000" w14:paraId="00000278">
            <w:pPr>
              <w:rPr>
                <w:rFonts w:ascii="Arial" w:cs="Arial" w:eastAsia="Arial" w:hAnsi="Arial"/>
              </w:rPr>
            </w:pPr>
            <w:r w:rsidDel="00000000" w:rsidR="00000000" w:rsidRPr="00000000">
              <w:rPr>
                <w:rFonts w:ascii="Arial" w:cs="Arial" w:eastAsia="Arial" w:hAnsi="Arial"/>
                <w:rtl w:val="0"/>
              </w:rPr>
              <w:t xml:space="preserve">1,600</w:t>
            </w:r>
          </w:p>
        </w:tc>
        <w:tc>
          <w:tcPr/>
          <w:p w:rsidR="00000000" w:rsidDel="00000000" w:rsidP="00000000" w:rsidRDefault="00000000" w:rsidRPr="00000000" w14:paraId="00000279">
            <w:pPr>
              <w:rPr>
                <w:rFonts w:ascii="Arial" w:cs="Arial" w:eastAsia="Arial" w:hAnsi="Arial"/>
              </w:rPr>
            </w:pPr>
            <w:r w:rsidDel="00000000" w:rsidR="00000000" w:rsidRPr="00000000">
              <w:rPr>
                <w:rFonts w:ascii="Arial" w:cs="Arial" w:eastAsia="Arial" w:hAnsi="Arial"/>
                <w:rtl w:val="0"/>
              </w:rPr>
              <w:t xml:space="preserve">742.7</w:t>
            </w:r>
          </w:p>
        </w:tc>
        <w:tc>
          <w:tcPr/>
          <w:p w:rsidR="00000000" w:rsidDel="00000000" w:rsidP="00000000" w:rsidRDefault="00000000" w:rsidRPr="00000000" w14:paraId="0000027A">
            <w:pPr>
              <w:rPr>
                <w:rFonts w:ascii="Arial" w:cs="Arial" w:eastAsia="Arial" w:hAnsi="Arial"/>
              </w:rPr>
            </w:pPr>
            <w:r w:rsidDel="00000000" w:rsidR="00000000" w:rsidRPr="00000000">
              <w:rPr>
                <w:rFonts w:ascii="Arial" w:cs="Arial" w:eastAsia="Arial" w:hAnsi="Arial"/>
                <w:rtl w:val="0"/>
              </w:rPr>
              <w:t xml:space="preserve">0.46</w:t>
            </w:r>
          </w:p>
        </w:tc>
      </w:tr>
    </w:tbl>
    <w:p w:rsidR="00000000" w:rsidDel="00000000" w:rsidP="00000000" w:rsidRDefault="00000000" w:rsidRPr="00000000" w14:paraId="0000027B">
      <w:pPr>
        <w:rPr>
          <w:rFonts w:ascii="Arial" w:cs="Arial" w:eastAsia="Arial" w:hAnsi="Arial"/>
        </w:rPr>
      </w:pPr>
      <w:r w:rsidDel="00000000" w:rsidR="00000000" w:rsidRPr="00000000">
        <w:rPr>
          <w:rtl w:val="0"/>
        </w:rPr>
      </w:r>
    </w:p>
    <w:p w:rsidR="00000000" w:rsidDel="00000000" w:rsidP="00000000" w:rsidRDefault="00000000" w:rsidRPr="00000000" w14:paraId="0000027C">
      <w:pPr>
        <w:rPr>
          <w:rFonts w:ascii="Arial" w:cs="Arial" w:eastAsia="Arial" w:hAnsi="Arial"/>
        </w:rPr>
      </w:pPr>
      <w:r w:rsidDel="00000000" w:rsidR="00000000" w:rsidRPr="00000000">
        <w:rPr>
          <w:rFonts w:ascii="Arial" w:cs="Arial" w:eastAsia="Arial" w:hAnsi="Arial"/>
          <w:rtl w:val="0"/>
        </w:rPr>
        <w:t xml:space="preserve">Ranking by PI (highest first): A → B → C</w:t>
      </w:r>
    </w:p>
    <w:p w:rsidR="00000000" w:rsidDel="00000000" w:rsidP="00000000" w:rsidRDefault="00000000" w:rsidRPr="00000000" w14:paraId="0000027D">
      <w:pPr>
        <w:rPr>
          <w:rFonts w:ascii="Arial" w:cs="Arial" w:eastAsia="Arial" w:hAnsi="Arial"/>
          <w:b w:val="1"/>
          <w:bCs w:val="1"/>
        </w:rPr>
      </w:pPr>
      <w:r w:rsidDel="00000000" w:rsidR="00000000" w:rsidRPr="00000000">
        <w:rPr>
          <w:rFonts w:ascii="Arial" w:cs="Arial" w:eastAsia="Arial" w:hAnsi="Arial"/>
          <w:b w:val="1"/>
          <w:bCs w:val="1"/>
          <w:rtl w:val="0"/>
        </w:rPr>
        <w:t xml:space="preserve">Step 2: Allocate the £2,500k budget in PI order (divisible projects)</w:t>
      </w:r>
    </w:p>
    <w:p w:rsidR="00000000" w:rsidDel="00000000" w:rsidP="00000000" w:rsidRDefault="00000000" w:rsidRPr="00000000" w14:paraId="0000027E">
      <w:pPr>
        <w:rPr>
          <w:rFonts w:ascii="Arial" w:cs="Arial" w:eastAsia="Arial" w:hAnsi="Arial"/>
        </w:rPr>
      </w:pPr>
      <w:r w:rsidDel="00000000" w:rsidR="00000000" w:rsidRPr="00000000">
        <w:rPr>
          <w:rFonts w:ascii="Arial" w:cs="Arial" w:eastAsia="Arial" w:hAnsi="Arial"/>
          <w:rtl w:val="0"/>
        </w:rPr>
        <w:t xml:space="preserve">Total funds available = £2,500k</w:t>
      </w:r>
    </w:p>
    <w:p w:rsidR="00000000" w:rsidDel="00000000" w:rsidP="00000000" w:rsidRDefault="00000000" w:rsidRPr="00000000" w14:paraId="0000027F">
      <w:pPr>
        <w:rPr>
          <w:rFonts w:ascii="Arial" w:cs="Arial" w:eastAsia="Arial" w:hAnsi="Arial"/>
          <w:b w:val="1"/>
          <w:bCs w:val="1"/>
        </w:rPr>
      </w:pPr>
      <w:r w:rsidDel="00000000" w:rsidR="00000000" w:rsidRPr="00000000">
        <w:rPr>
          <w:rFonts w:ascii="Arial" w:cs="Arial" w:eastAsia="Arial" w:hAnsi="Arial"/>
          <w:b w:val="1"/>
          <w:bCs w:val="1"/>
          <w:rtl w:val="0"/>
        </w:rPr>
        <w:t xml:space="preserve">Take Option A fully</w:t>
      </w:r>
    </w:p>
    <w:p w:rsidR="00000000" w:rsidDel="00000000" w:rsidP="00000000" w:rsidRDefault="00000000" w:rsidRPr="00000000" w14:paraId="00000280">
      <w:pPr>
        <w:numPr>
          <w:ilvl w:val="0"/>
          <w:numId w:val="2"/>
        </w:numPr>
        <w:ind w:left="720" w:hanging="360"/>
        <w:rPr/>
      </w:pPr>
      <w:r w:rsidDel="00000000" w:rsidR="00000000" w:rsidRPr="00000000">
        <w:rPr>
          <w:rFonts w:ascii="Arial" w:cs="Arial" w:eastAsia="Arial" w:hAnsi="Arial"/>
          <w:rtl w:val="0"/>
        </w:rPr>
        <w:t xml:space="preserve">Cost = 600</w:t>
      </w:r>
    </w:p>
    <w:p w:rsidR="00000000" w:rsidDel="00000000" w:rsidP="00000000" w:rsidRDefault="00000000" w:rsidRPr="00000000" w14:paraId="00000281">
      <w:pPr>
        <w:numPr>
          <w:ilvl w:val="0"/>
          <w:numId w:val="2"/>
        </w:numPr>
        <w:ind w:left="720" w:hanging="360"/>
        <w:rPr/>
      </w:pPr>
      <w:r w:rsidDel="00000000" w:rsidR="00000000" w:rsidRPr="00000000">
        <w:rPr>
          <w:rFonts w:ascii="Arial" w:cs="Arial" w:eastAsia="Arial" w:hAnsi="Arial"/>
          <w:rtl w:val="0"/>
        </w:rPr>
        <w:t xml:space="preserve">Remaining funds = 2,500 − 600 = 1,900</w:t>
      </w:r>
    </w:p>
    <w:p w:rsidR="00000000" w:rsidDel="00000000" w:rsidP="00000000" w:rsidRDefault="00000000" w:rsidRPr="00000000" w14:paraId="00000282">
      <w:pPr>
        <w:numPr>
          <w:ilvl w:val="0"/>
          <w:numId w:val="2"/>
        </w:numPr>
        <w:ind w:left="720" w:hanging="360"/>
        <w:rPr/>
      </w:pPr>
      <w:r w:rsidDel="00000000" w:rsidR="00000000" w:rsidRPr="00000000">
        <w:rPr>
          <w:rFonts w:ascii="Arial" w:cs="Arial" w:eastAsia="Arial" w:hAnsi="Arial"/>
          <w:rtl w:val="0"/>
        </w:rPr>
        <w:t xml:space="preserve">NPV gained = 643.2</w:t>
      </w:r>
    </w:p>
    <w:p w:rsidR="00000000" w:rsidDel="00000000" w:rsidP="00000000" w:rsidRDefault="00000000" w:rsidRPr="00000000" w14:paraId="00000283">
      <w:pPr>
        <w:rPr>
          <w:rFonts w:ascii="Arial" w:cs="Arial" w:eastAsia="Arial" w:hAnsi="Arial"/>
          <w:b w:val="1"/>
          <w:bCs w:val="1"/>
        </w:rPr>
      </w:pPr>
      <w:r w:rsidDel="00000000" w:rsidR="00000000" w:rsidRPr="00000000">
        <w:rPr>
          <w:rFonts w:ascii="Arial" w:cs="Arial" w:eastAsia="Arial" w:hAnsi="Arial"/>
          <w:b w:val="1"/>
          <w:bCs w:val="1"/>
          <w:rtl w:val="0"/>
        </w:rPr>
        <w:t xml:space="preserve">Take Option B fully</w:t>
      </w:r>
    </w:p>
    <w:p w:rsidR="00000000" w:rsidDel="00000000" w:rsidP="00000000" w:rsidRDefault="00000000" w:rsidRPr="00000000" w14:paraId="00000284">
      <w:pPr>
        <w:numPr>
          <w:ilvl w:val="0"/>
          <w:numId w:val="3"/>
        </w:numPr>
        <w:ind w:left="720" w:hanging="360"/>
        <w:rPr/>
      </w:pPr>
      <w:r w:rsidDel="00000000" w:rsidR="00000000" w:rsidRPr="00000000">
        <w:rPr>
          <w:rFonts w:ascii="Arial" w:cs="Arial" w:eastAsia="Arial" w:hAnsi="Arial"/>
          <w:rtl w:val="0"/>
        </w:rPr>
        <w:t xml:space="preserve">Cost = 1,000</w:t>
      </w:r>
    </w:p>
    <w:p w:rsidR="00000000" w:rsidDel="00000000" w:rsidP="00000000" w:rsidRDefault="00000000" w:rsidRPr="00000000" w14:paraId="00000285">
      <w:pPr>
        <w:numPr>
          <w:ilvl w:val="0"/>
          <w:numId w:val="3"/>
        </w:numPr>
        <w:ind w:left="720" w:hanging="360"/>
        <w:rPr/>
      </w:pPr>
      <w:r w:rsidDel="00000000" w:rsidR="00000000" w:rsidRPr="00000000">
        <w:rPr>
          <w:rFonts w:ascii="Arial" w:cs="Arial" w:eastAsia="Arial" w:hAnsi="Arial"/>
          <w:rtl w:val="0"/>
        </w:rPr>
        <w:t xml:space="preserve">Remaining funds = 1,900 − 1,000 = 900</w:t>
      </w:r>
    </w:p>
    <w:p w:rsidR="00000000" w:rsidDel="00000000" w:rsidP="00000000" w:rsidRDefault="00000000" w:rsidRPr="00000000" w14:paraId="00000286">
      <w:pPr>
        <w:numPr>
          <w:ilvl w:val="0"/>
          <w:numId w:val="3"/>
        </w:numPr>
        <w:ind w:left="720" w:hanging="360"/>
        <w:rPr/>
      </w:pPr>
      <w:r w:rsidDel="00000000" w:rsidR="00000000" w:rsidRPr="00000000">
        <w:rPr>
          <w:rFonts w:ascii="Arial" w:cs="Arial" w:eastAsia="Arial" w:hAnsi="Arial"/>
          <w:rtl w:val="0"/>
        </w:rPr>
        <w:t xml:space="preserve">NPV gained = 792.3</w:t>
      </w:r>
    </w:p>
    <w:p w:rsidR="00000000" w:rsidDel="00000000" w:rsidP="00000000" w:rsidRDefault="00000000" w:rsidRPr="00000000" w14:paraId="00000287">
      <w:pPr>
        <w:rPr>
          <w:rFonts w:ascii="Arial" w:cs="Arial" w:eastAsia="Arial" w:hAnsi="Arial"/>
          <w:b w:val="1"/>
          <w:bCs w:val="1"/>
        </w:rPr>
      </w:pPr>
      <w:r w:rsidDel="00000000" w:rsidR="00000000" w:rsidRPr="00000000">
        <w:rPr>
          <w:rFonts w:ascii="Arial" w:cs="Arial" w:eastAsia="Arial" w:hAnsi="Arial"/>
          <w:b w:val="1"/>
          <w:bCs w:val="1"/>
          <w:rtl w:val="0"/>
        </w:rPr>
        <w:t xml:space="preserve">Use remaining funds in Option C (fractional investment allowed)</w:t>
      </w:r>
    </w:p>
    <w:p w:rsidR="00000000" w:rsidDel="00000000" w:rsidP="00000000" w:rsidRDefault="00000000" w:rsidRPr="00000000" w14:paraId="0000028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Fraction of C affordable:</w:t>
      </w:r>
    </w:p>
    <w:p w:rsidR="00000000" w:rsidDel="00000000" w:rsidP="00000000" w:rsidRDefault="00000000" w:rsidRPr="00000000" w14:paraId="00000289">
      <w:pPr>
        <w:jc w:val="center"/>
        <w:rPr>
          <w:rFonts w:ascii="Cambria Math" w:cs="Cambria Math" w:eastAsia="Cambria Math" w:hAnsi="Cambria Math"/>
        </w:rPr>
      </w:pPr>
      <m:oMath>
        <m:r>
          <w:rPr>
            <w:rFonts w:ascii="Arial" w:cs="Arial" w:eastAsia="Arial" w:hAnsi="Arial"/>
          </w:rPr>
          <m:t xml:space="preserve">Fraction of C</m:t>
        </m:r>
        <m:r>
          <w:rPr>
            <w:rFonts w:ascii="Cambria Math" w:cs="Cambria Math" w:eastAsia="Cambria Math" w:hAnsi="Cambria Math"/>
          </w:rPr>
          <m:t xml:space="preserve">=</m:t>
        </m:r>
        <m:f>
          <m:fPr>
            <m:ctrlPr>
              <w:rPr>
                <w:rFonts w:ascii="Cambria Math" w:cs="Cambria Math" w:eastAsia="Cambria Math" w:hAnsi="Cambria Math"/>
              </w:rPr>
            </m:ctrlPr>
          </m:fPr>
          <m:num>
            <m:r>
              <w:rPr>
                <w:rFonts w:ascii="Cambria Math" w:cs="Cambria Math" w:eastAsia="Cambria Math" w:hAnsi="Cambria Math"/>
              </w:rPr>
              <m:t xml:space="preserve">900</m:t>
            </m:r>
          </m:num>
          <m:den>
            <m:r>
              <w:rPr>
                <w:rFonts w:ascii="Cambria Math" w:cs="Cambria Math" w:eastAsia="Cambria Math" w:hAnsi="Cambria Math"/>
              </w:rPr>
              <m:t xml:space="preserve">1,600</m:t>
            </m:r>
          </m:den>
        </m:f>
        <m:r>
          <w:rPr>
            <w:rFonts w:ascii="Cambria Math" w:cs="Cambria Math" w:eastAsia="Cambria Math" w:hAnsi="Cambria Math"/>
          </w:rPr>
          <m:t xml:space="preserve">=0.5625</m:t>
        </m:r>
      </m:oMath>
      <w:r w:rsidDel="00000000" w:rsidR="00000000" w:rsidRPr="00000000">
        <w:rPr>
          <w:rtl w:val="0"/>
        </w:rPr>
      </w:r>
    </w:p>
    <w:p w:rsidR="00000000" w:rsidDel="00000000" w:rsidP="00000000" w:rsidRDefault="00000000" w:rsidRPr="00000000" w14:paraId="0000028A">
      <w:pPr>
        <w:rPr>
          <w:rFonts w:ascii="Arial" w:cs="Arial" w:eastAsia="Arial" w:hAnsi="Arial"/>
        </w:rPr>
      </w:pPr>
      <w:r w:rsidDel="00000000" w:rsidR="00000000" w:rsidRPr="00000000">
        <w:rPr>
          <w:rFonts w:ascii="Arial" w:cs="Arial" w:eastAsia="Arial" w:hAnsi="Arial"/>
          <w:rtl w:val="0"/>
        </w:rPr>
        <w:t xml:space="preserve">Fractional NPV from C:</w:t>
      </w:r>
    </w:p>
    <w:p w:rsidR="00000000" w:rsidDel="00000000" w:rsidP="00000000" w:rsidRDefault="00000000" w:rsidRPr="00000000" w14:paraId="0000028B">
      <w:pPr>
        <w:jc w:val="center"/>
        <w:rPr>
          <w:rFonts w:ascii="Cambria Math" w:cs="Cambria Math" w:eastAsia="Cambria Math" w:hAnsi="Cambria Math"/>
        </w:rPr>
      </w:pPr>
      <m:oMath>
        <m:r>
          <w:rPr>
            <w:rFonts w:ascii="Arial" w:cs="Arial" w:eastAsia="Arial" w:hAnsi="Arial"/>
          </w:rPr>
          <m:t xml:space="preserve">NPV from fraction of C</m:t>
        </m:r>
        <m:r>
          <w:rPr>
            <w:rFonts w:ascii="Cambria Math" w:cs="Cambria Math" w:eastAsia="Cambria Math" w:hAnsi="Cambria Math"/>
          </w:rPr>
          <m:t xml:space="preserve">=0.5625×742.7=417.8</m:t>
        </m:r>
      </m:oMath>
      <w:r w:rsidDel="00000000" w:rsidR="00000000" w:rsidRPr="00000000">
        <w:rPr>
          <w:rtl w:val="0"/>
        </w:rPr>
      </w:r>
    </w:p>
    <w:p w:rsidR="00000000" w:rsidDel="00000000" w:rsidP="00000000" w:rsidRDefault="00000000" w:rsidRPr="00000000" w14:paraId="0000028C">
      <w:pPr>
        <w:rPr>
          <w:rFonts w:ascii="Arial" w:cs="Arial" w:eastAsia="Arial" w:hAnsi="Arial"/>
        </w:rPr>
      </w:pPr>
      <w:r w:rsidDel="00000000" w:rsidR="00000000" w:rsidRPr="00000000">
        <w:rPr>
          <w:rFonts w:ascii="Arial" w:cs="Arial" w:eastAsia="Arial" w:hAnsi="Arial"/>
          <w:rtl w:val="0"/>
        </w:rPr>
        <w:t xml:space="preserve">Optimal Investment Policy and Resulting Total NPV</w:t>
      </w:r>
    </w:p>
    <w:tbl>
      <w:tblPr>
        <w:tblStyle w:val="Table16"/>
        <w:tblW w:w="720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04"/>
        <w:gridCol w:w="2738"/>
        <w:gridCol w:w="2258"/>
        <w:tblGridChange w:id="0">
          <w:tblGrid>
            <w:gridCol w:w="2204"/>
            <w:gridCol w:w="2738"/>
            <w:gridCol w:w="2258"/>
          </w:tblGrid>
        </w:tblGridChange>
      </w:tblGrid>
      <w:tr>
        <w:trPr>
          <w:cantSplit w:val="0"/>
          <w:tblHeader w:val="0"/>
        </w:trPr>
        <w:tc>
          <w:tcPr/>
          <w:p w:rsidR="00000000" w:rsidDel="00000000" w:rsidP="00000000" w:rsidRDefault="00000000" w:rsidRPr="00000000" w14:paraId="0000028D">
            <w:pPr>
              <w:rPr>
                <w:rFonts w:ascii="Arial" w:cs="Arial" w:eastAsia="Arial" w:hAnsi="Arial"/>
              </w:rPr>
            </w:pPr>
            <w:r w:rsidDel="00000000" w:rsidR="00000000" w:rsidRPr="00000000">
              <w:rPr>
                <w:rFonts w:ascii="Arial" w:cs="Arial" w:eastAsia="Arial" w:hAnsi="Arial"/>
                <w:rtl w:val="0"/>
              </w:rPr>
              <w:t xml:space="preserve">Investment choice</w:t>
            </w:r>
          </w:p>
        </w:tc>
        <w:tc>
          <w:tcPr/>
          <w:p w:rsidR="00000000" w:rsidDel="00000000" w:rsidP="00000000" w:rsidRDefault="00000000" w:rsidRPr="00000000" w14:paraId="0000028E">
            <w:pPr>
              <w:rPr>
                <w:rFonts w:ascii="Arial" w:cs="Arial" w:eastAsia="Arial" w:hAnsi="Arial"/>
              </w:rPr>
            </w:pPr>
            <w:r w:rsidDel="00000000" w:rsidR="00000000" w:rsidRPr="00000000">
              <w:rPr>
                <w:rFonts w:ascii="Arial" w:cs="Arial" w:eastAsia="Arial" w:hAnsi="Arial"/>
                <w:rtl w:val="0"/>
              </w:rPr>
              <w:t xml:space="preserve">Investment used (£000)</w:t>
            </w:r>
          </w:p>
        </w:tc>
        <w:tc>
          <w:tcPr/>
          <w:p w:rsidR="00000000" w:rsidDel="00000000" w:rsidP="00000000" w:rsidRDefault="00000000" w:rsidRPr="00000000" w14:paraId="0000028F">
            <w:pPr>
              <w:rPr>
                <w:rFonts w:ascii="Arial" w:cs="Arial" w:eastAsia="Arial" w:hAnsi="Arial"/>
              </w:rPr>
            </w:pPr>
            <w:r w:rsidDel="00000000" w:rsidR="00000000" w:rsidRPr="00000000">
              <w:rPr>
                <w:rFonts w:ascii="Arial" w:cs="Arial" w:eastAsia="Arial" w:hAnsi="Arial"/>
                <w:rtl w:val="0"/>
              </w:rPr>
              <w:t xml:space="preserve">NPV gained (£000)</w:t>
            </w:r>
          </w:p>
        </w:tc>
      </w:tr>
      <w:tr>
        <w:trPr>
          <w:cantSplit w:val="0"/>
          <w:tblHeader w:val="0"/>
        </w:trPr>
        <w:tc>
          <w:tcPr/>
          <w:p w:rsidR="00000000" w:rsidDel="00000000" w:rsidP="00000000" w:rsidRDefault="00000000" w:rsidRPr="00000000" w14:paraId="00000290">
            <w:pPr>
              <w:rPr>
                <w:rFonts w:ascii="Arial" w:cs="Arial" w:eastAsia="Arial" w:hAnsi="Arial"/>
              </w:rPr>
            </w:pPr>
            <w:r w:rsidDel="00000000" w:rsidR="00000000" w:rsidRPr="00000000">
              <w:rPr>
                <w:rFonts w:ascii="Arial" w:cs="Arial" w:eastAsia="Arial" w:hAnsi="Arial"/>
                <w:rtl w:val="0"/>
              </w:rPr>
              <w:t xml:space="preserve">Option A (100%)</w:t>
            </w:r>
          </w:p>
        </w:tc>
        <w:tc>
          <w:tcPr/>
          <w:p w:rsidR="00000000" w:rsidDel="00000000" w:rsidP="00000000" w:rsidRDefault="00000000" w:rsidRPr="00000000" w14:paraId="00000291">
            <w:pPr>
              <w:rPr>
                <w:rFonts w:ascii="Arial" w:cs="Arial" w:eastAsia="Arial" w:hAnsi="Arial"/>
              </w:rPr>
            </w:pPr>
            <w:r w:rsidDel="00000000" w:rsidR="00000000" w:rsidRPr="00000000">
              <w:rPr>
                <w:rFonts w:ascii="Arial" w:cs="Arial" w:eastAsia="Arial" w:hAnsi="Arial"/>
                <w:rtl w:val="0"/>
              </w:rPr>
              <w:t xml:space="preserve">600</w:t>
            </w:r>
          </w:p>
        </w:tc>
        <w:tc>
          <w:tcPr/>
          <w:p w:rsidR="00000000" w:rsidDel="00000000" w:rsidP="00000000" w:rsidRDefault="00000000" w:rsidRPr="00000000" w14:paraId="00000292">
            <w:pPr>
              <w:rPr>
                <w:rFonts w:ascii="Arial" w:cs="Arial" w:eastAsia="Arial" w:hAnsi="Arial"/>
              </w:rPr>
            </w:pPr>
            <w:r w:rsidDel="00000000" w:rsidR="00000000" w:rsidRPr="00000000">
              <w:rPr>
                <w:rFonts w:ascii="Arial" w:cs="Arial" w:eastAsia="Arial" w:hAnsi="Arial"/>
                <w:rtl w:val="0"/>
              </w:rPr>
              <w:t xml:space="preserve">643.2</w:t>
            </w:r>
          </w:p>
        </w:tc>
      </w:tr>
      <w:tr>
        <w:trPr>
          <w:cantSplit w:val="0"/>
          <w:tblHeader w:val="0"/>
        </w:trPr>
        <w:tc>
          <w:tcPr/>
          <w:p w:rsidR="00000000" w:rsidDel="00000000" w:rsidP="00000000" w:rsidRDefault="00000000" w:rsidRPr="00000000" w14:paraId="00000293">
            <w:pPr>
              <w:rPr>
                <w:rFonts w:ascii="Arial" w:cs="Arial" w:eastAsia="Arial" w:hAnsi="Arial"/>
              </w:rPr>
            </w:pPr>
            <w:r w:rsidDel="00000000" w:rsidR="00000000" w:rsidRPr="00000000">
              <w:rPr>
                <w:rFonts w:ascii="Arial" w:cs="Arial" w:eastAsia="Arial" w:hAnsi="Arial"/>
                <w:rtl w:val="0"/>
              </w:rPr>
              <w:t xml:space="preserve">Option B (100%)</w:t>
            </w:r>
          </w:p>
        </w:tc>
        <w:tc>
          <w:tcPr/>
          <w:p w:rsidR="00000000" w:rsidDel="00000000" w:rsidP="00000000" w:rsidRDefault="00000000" w:rsidRPr="00000000" w14:paraId="00000294">
            <w:pPr>
              <w:rPr>
                <w:rFonts w:ascii="Arial" w:cs="Arial" w:eastAsia="Arial" w:hAnsi="Arial"/>
              </w:rPr>
            </w:pPr>
            <w:r w:rsidDel="00000000" w:rsidR="00000000" w:rsidRPr="00000000">
              <w:rPr>
                <w:rFonts w:ascii="Arial" w:cs="Arial" w:eastAsia="Arial" w:hAnsi="Arial"/>
                <w:rtl w:val="0"/>
              </w:rPr>
              <w:t xml:space="preserve">1,000</w:t>
            </w:r>
          </w:p>
        </w:tc>
        <w:tc>
          <w:tcPr/>
          <w:p w:rsidR="00000000" w:rsidDel="00000000" w:rsidP="00000000" w:rsidRDefault="00000000" w:rsidRPr="00000000" w14:paraId="00000295">
            <w:pPr>
              <w:rPr>
                <w:rFonts w:ascii="Arial" w:cs="Arial" w:eastAsia="Arial" w:hAnsi="Arial"/>
              </w:rPr>
            </w:pPr>
            <w:r w:rsidDel="00000000" w:rsidR="00000000" w:rsidRPr="00000000">
              <w:rPr>
                <w:rFonts w:ascii="Arial" w:cs="Arial" w:eastAsia="Arial" w:hAnsi="Arial"/>
                <w:rtl w:val="0"/>
              </w:rPr>
              <w:t xml:space="preserve">792.3</w:t>
            </w:r>
          </w:p>
        </w:tc>
      </w:tr>
      <w:tr>
        <w:trPr>
          <w:cantSplit w:val="0"/>
          <w:tblHeader w:val="0"/>
        </w:trPr>
        <w:tc>
          <w:tcPr/>
          <w:p w:rsidR="00000000" w:rsidDel="00000000" w:rsidP="00000000" w:rsidRDefault="00000000" w:rsidRPr="00000000" w14:paraId="00000296">
            <w:pPr>
              <w:rPr>
                <w:rFonts w:ascii="Arial" w:cs="Arial" w:eastAsia="Arial" w:hAnsi="Arial"/>
              </w:rPr>
            </w:pPr>
            <w:r w:rsidDel="00000000" w:rsidR="00000000" w:rsidRPr="00000000">
              <w:rPr>
                <w:rFonts w:ascii="Arial" w:cs="Arial" w:eastAsia="Arial" w:hAnsi="Arial"/>
                <w:rtl w:val="0"/>
              </w:rPr>
              <w:t xml:space="preserve">Option C (56.25%)</w:t>
            </w:r>
          </w:p>
        </w:tc>
        <w:tc>
          <w:tcPr/>
          <w:p w:rsidR="00000000" w:rsidDel="00000000" w:rsidP="00000000" w:rsidRDefault="00000000" w:rsidRPr="00000000" w14:paraId="00000297">
            <w:pPr>
              <w:rPr>
                <w:rFonts w:ascii="Arial" w:cs="Arial" w:eastAsia="Arial" w:hAnsi="Arial"/>
              </w:rPr>
            </w:pPr>
            <w:r w:rsidDel="00000000" w:rsidR="00000000" w:rsidRPr="00000000">
              <w:rPr>
                <w:rFonts w:ascii="Arial" w:cs="Arial" w:eastAsia="Arial" w:hAnsi="Arial"/>
                <w:rtl w:val="0"/>
              </w:rPr>
              <w:t xml:space="preserve">900</w:t>
            </w:r>
          </w:p>
        </w:tc>
        <w:tc>
          <w:tcPr/>
          <w:p w:rsidR="00000000" w:rsidDel="00000000" w:rsidP="00000000" w:rsidRDefault="00000000" w:rsidRPr="00000000" w14:paraId="00000298">
            <w:pPr>
              <w:rPr>
                <w:rFonts w:ascii="Arial" w:cs="Arial" w:eastAsia="Arial" w:hAnsi="Arial"/>
              </w:rPr>
            </w:pPr>
            <w:r w:rsidDel="00000000" w:rsidR="00000000" w:rsidRPr="00000000">
              <w:rPr>
                <w:rFonts w:ascii="Arial" w:cs="Arial" w:eastAsia="Arial" w:hAnsi="Arial"/>
                <w:rtl w:val="0"/>
              </w:rPr>
              <w:t xml:space="preserve">417.8</w:t>
            </w:r>
          </w:p>
        </w:tc>
      </w:tr>
      <w:tr>
        <w:trPr>
          <w:cantSplit w:val="0"/>
          <w:tblHeader w:val="0"/>
        </w:trPr>
        <w:tc>
          <w:tcPr/>
          <w:p w:rsidR="00000000" w:rsidDel="00000000" w:rsidP="00000000" w:rsidRDefault="00000000" w:rsidRPr="00000000" w14:paraId="00000299">
            <w:pPr>
              <w:rPr>
                <w:rFonts w:ascii="Arial" w:cs="Arial" w:eastAsia="Arial" w:hAnsi="Arial"/>
              </w:rPr>
            </w:pPr>
            <w:r w:rsidDel="00000000" w:rsidR="00000000" w:rsidRPr="00000000">
              <w:rPr>
                <w:rFonts w:ascii="Arial" w:cs="Arial" w:eastAsia="Arial" w:hAnsi="Arial"/>
                <w:rtl w:val="0"/>
              </w:rPr>
              <w:t xml:space="preserve">Total</w:t>
            </w:r>
          </w:p>
        </w:tc>
        <w:tc>
          <w:tcPr/>
          <w:p w:rsidR="00000000" w:rsidDel="00000000" w:rsidP="00000000" w:rsidRDefault="00000000" w:rsidRPr="00000000" w14:paraId="0000029A">
            <w:pPr>
              <w:rPr>
                <w:rFonts w:ascii="Arial" w:cs="Arial" w:eastAsia="Arial" w:hAnsi="Arial"/>
              </w:rPr>
            </w:pPr>
            <w:r w:rsidDel="00000000" w:rsidR="00000000" w:rsidRPr="00000000">
              <w:rPr>
                <w:rFonts w:ascii="Arial" w:cs="Arial" w:eastAsia="Arial" w:hAnsi="Arial"/>
                <w:rtl w:val="0"/>
              </w:rPr>
              <w:t xml:space="preserve">2,500</w:t>
            </w:r>
          </w:p>
        </w:tc>
        <w:tc>
          <w:tcPr/>
          <w:p w:rsidR="00000000" w:rsidDel="00000000" w:rsidP="00000000" w:rsidRDefault="00000000" w:rsidRPr="00000000" w14:paraId="0000029B">
            <w:pPr>
              <w:rPr>
                <w:rFonts w:ascii="Arial" w:cs="Arial" w:eastAsia="Arial" w:hAnsi="Arial"/>
              </w:rPr>
            </w:pPr>
            <w:r w:rsidDel="00000000" w:rsidR="00000000" w:rsidRPr="00000000">
              <w:rPr>
                <w:rFonts w:ascii="Arial" w:cs="Arial" w:eastAsia="Arial" w:hAnsi="Arial"/>
                <w:rtl w:val="0"/>
              </w:rPr>
              <w:t xml:space="preserve">1,853.3</w:t>
            </w:r>
          </w:p>
        </w:tc>
      </w:tr>
    </w:tbl>
    <w:p w:rsidR="00000000" w:rsidDel="00000000" w:rsidP="00000000" w:rsidRDefault="00000000" w:rsidRPr="00000000" w14:paraId="0000029C">
      <w:pPr>
        <w:rPr>
          <w:rFonts w:ascii="Arial" w:cs="Arial" w:eastAsia="Arial" w:hAnsi="Arial"/>
        </w:rPr>
      </w:pPr>
      <w:r w:rsidDel="00000000" w:rsidR="00000000" w:rsidRPr="00000000">
        <w:rPr>
          <w:rtl w:val="0"/>
        </w:rPr>
      </w:r>
    </w:p>
    <w:p w:rsidR="00000000" w:rsidDel="00000000" w:rsidP="00000000" w:rsidRDefault="00000000" w:rsidRPr="00000000" w14:paraId="0000029D">
      <w:pPr>
        <w:rPr>
          <w:rFonts w:ascii="Arial" w:cs="Arial" w:eastAsia="Arial" w:hAnsi="Arial"/>
        </w:rPr>
      </w:pPr>
      <w:r w:rsidDel="00000000" w:rsidR="00000000" w:rsidRPr="00000000">
        <w:rPr>
          <w:rFonts w:ascii="Arial" w:cs="Arial" w:eastAsia="Arial" w:hAnsi="Arial"/>
          <w:rtl w:val="0"/>
        </w:rPr>
        <w:t xml:space="preserve">Result: Total NPV = £1,853.3k</w:t>
      </w:r>
    </w:p>
    <w:p w:rsidR="00000000" w:rsidDel="00000000" w:rsidP="00000000" w:rsidRDefault="00000000" w:rsidRPr="00000000" w14:paraId="0000029E">
      <w:pPr>
        <w:rPr>
          <w:rFonts w:ascii="Arial" w:cs="Arial" w:eastAsia="Arial" w:hAnsi="Arial"/>
        </w:rPr>
      </w:pPr>
      <w:r w:rsidDel="00000000" w:rsidR="00000000" w:rsidRPr="00000000">
        <w:rPr>
          <w:rFonts w:ascii="Arial" w:cs="Arial" w:eastAsia="Arial" w:hAnsi="Arial"/>
          <w:rtl w:val="0"/>
        </w:rPr>
        <w:t xml:space="preserve">Given that the projects are divisible and the budget amount is 2,500,000 pounds, Westward plc is advised to invest fully in A and B, and invest the remaining in 56.25% of C, which generates the best total NPV of 1,853.3k.</w:t>
      </w:r>
    </w:p>
    <w:p w:rsidR="00000000" w:rsidDel="00000000" w:rsidP="00000000" w:rsidRDefault="00000000" w:rsidRPr="00000000" w14:paraId="0000029F">
      <w:pPr>
        <w:pStyle w:val="Heading2"/>
        <w:numPr>
          <w:ilvl w:val="1"/>
          <w:numId w:val="8"/>
        </w:numPr>
        <w:ind w:left="1440" w:hanging="360"/>
        <w:rPr>
          <w:rFonts w:ascii="Arial" w:cs="Arial" w:eastAsia="Arial" w:hAnsi="Arial"/>
        </w:rPr>
      </w:pPr>
      <w:bookmarkStart w:colFirst="0" w:colLast="0" w:name="_sxpdnhd15scx" w:id="15"/>
      <w:bookmarkEnd w:id="15"/>
      <w:r w:rsidDel="00000000" w:rsidR="00000000" w:rsidRPr="00000000">
        <w:rPr>
          <w:rFonts w:ascii="Arial" w:cs="Arial" w:eastAsia="Arial" w:hAnsi="Arial"/>
          <w:rtl w:val="0"/>
        </w:rPr>
        <w:t xml:space="preserve">Financing Recommendation and Conclusion</w:t>
      </w:r>
    </w:p>
    <w:p w:rsidR="00000000" w:rsidDel="00000000" w:rsidP="00000000" w:rsidRDefault="00000000" w:rsidRPr="00000000" w14:paraId="000002A0">
      <w:pPr>
        <w:rPr>
          <w:rFonts w:ascii="Arial" w:cs="Arial" w:eastAsia="Arial" w:hAnsi="Arial"/>
        </w:rPr>
      </w:pPr>
      <w:r w:rsidDel="00000000" w:rsidR="00000000" w:rsidRPr="00000000">
        <w:rPr>
          <w:rFonts w:ascii="Arial" w:cs="Arial" w:eastAsia="Arial" w:hAnsi="Arial"/>
          <w:rtl w:val="0"/>
        </w:rPr>
        <w:t xml:space="preserve">Finally, after having established the financial feasibility of the available options of investment, the Board of Westward plc is now left to deliberate on how the proposed investment programme is to be funded in such a way that it appeals equally to cost, risk and financial flexibility. There are various sources of financing, each having its own benefits and drawbacks. Retained earnings are an internally raised source of funds and are the most cost-effective source of funds, since they do not attract interest or dilution of ownership (Dahmash et al., 2023). The retained profits will enable the company to retain control and eliminate the extra financial risk. Nevertheless, overdependence on the retained earnings will restrict the dividend payment, which can influence the satisfaction of the shareholders and the market perception (Budianto et al., 2022). Debt funds, which include bank loans or long-term borrowing avenues allows a lot of money to be accessed, and the interest charged is tax-deductible. Financial leverage can increase shareholder returns during good performance times because debt can be used to boost returns. However, the high borrowing will increase financial risk and fixed repayment commitments, which can put a strain on the cash flows, especially when the future trading environment turns out to be poor. Equity funding, where new shares are issued, is permanent capital with no repayment requirement, and it also minimises the risk of insolvency (Almanaseer, 2024). This may be especially appealing to capitalize long term strategic investments. However, issuing equity dilutes ownership and can also be expensive in terms of flotation and administration. It can also indicate financial frailty on the part of the market unless it is handled keenly. There should be a balanced financing approach that is thus recommended. Where possible, Westward plc should focus on retained earnings with a moderate amount of debt in order to enjoy the benefits of tax efficiency and maintain reasonable gearing ratios. Equity financing is only worth considering in the event that internal and debt financing is not adequate. The mixed approach would help the company to finance its investment programme, as well as maintain financial stability and be able to retain the confidence of its shareholders.</w:t>
      </w:r>
    </w:p>
    <w:p w:rsidR="00000000" w:rsidDel="00000000" w:rsidP="00000000" w:rsidRDefault="00000000" w:rsidRPr="00000000" w14:paraId="000002A1">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2A2">
      <w:pPr>
        <w:pStyle w:val="Heading1"/>
        <w:rPr>
          <w:rFonts w:ascii="Arial" w:cs="Arial" w:eastAsia="Arial" w:hAnsi="Arial"/>
        </w:rPr>
      </w:pPr>
      <w:bookmarkStart w:colFirst="0" w:colLast="0" w:name="_rlxnxw50h9dy" w:id="16"/>
      <w:bookmarkEnd w:id="16"/>
      <w:r w:rsidDel="00000000" w:rsidR="00000000" w:rsidRPr="00000000">
        <w:rPr>
          <w:rFonts w:ascii="Arial" w:cs="Arial" w:eastAsia="Arial" w:hAnsi="Arial"/>
          <w:rtl w:val="0"/>
        </w:rPr>
        <w:t xml:space="preserve">References</w:t>
      </w:r>
    </w:p>
    <w:p w:rsidR="00000000" w:rsidDel="00000000" w:rsidP="00000000" w:rsidRDefault="00000000" w:rsidRPr="00000000" w14:paraId="000002A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Abdulazeez Y. H. Saif-Alyousfi, Abdullah Alsadan and Alalmaee, H. (2025). Profitability and Capital Intensity: Moderating Role of Debt Financing.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Economies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13(11), pp.324–324. doi:https://doi.org/10.3390/economies13110324.</w:t>
      </w:r>
    </w:p>
    <w:p w:rsidR="00000000" w:rsidDel="00000000" w:rsidP="00000000" w:rsidRDefault="00000000" w:rsidRPr="00000000" w14:paraId="000002A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Agur, I. (2011). Capital Requirements and Credit Rationing.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SSRN Electronic Journal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doi:https://doi.org/10.2139/ssrn.1949067.</w:t>
      </w:r>
    </w:p>
    <w:p w:rsidR="00000000" w:rsidDel="00000000" w:rsidP="00000000" w:rsidRDefault="00000000" w:rsidRPr="00000000" w14:paraId="000002A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Almanaseer, S. (2024). The Impact of Equity Financing on Financial Performance: Evidence from Jordan.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Foundations of Management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16(1), pp.157–176. doi:https://doi.org/10.2478/fman-2024-0010.</w:t>
      </w:r>
    </w:p>
    <w:p w:rsidR="00000000" w:rsidDel="00000000" w:rsidP="00000000" w:rsidRDefault="00000000" w:rsidRPr="00000000" w14:paraId="000002A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bajajfinserv (2026).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Capital structure – meaning and types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www.bajajfinserv.in. Available at: https://www.bajajfinserv.in/capital-structure-and-its-types.</w:t>
      </w:r>
    </w:p>
    <w:p w:rsidR="00000000" w:rsidDel="00000000" w:rsidP="00000000" w:rsidRDefault="00000000" w:rsidRPr="00000000" w14:paraId="000002A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Baker, H.K. and Weigand, R. (2015). Corporate dividend policy revisited.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Managerial Finance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41(2), pp.126–144. doi:https://doi.org/10.1108/mf-03-2014-0077.</w:t>
      </w:r>
    </w:p>
    <w:p w:rsidR="00000000" w:rsidDel="00000000" w:rsidP="00000000" w:rsidRDefault="00000000" w:rsidRPr="00000000" w14:paraId="000002A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Bakhtiyar Mammadov (2025). Slowing Global Growth and Rising Recession Risks: Causes, Consequences, and Policy Responses. 1(3), pp.224–244. doi:https://doi.org/10.69760/portuni.010319.</w:t>
      </w:r>
    </w:p>
    <w:p w:rsidR="00000000" w:rsidDel="00000000" w:rsidP="00000000" w:rsidRDefault="00000000" w:rsidRPr="00000000" w14:paraId="000002A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Bloomenthal, A.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Financial Ratio Analysis: Definition, Types, Examples, and How to Use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Investopedia. Available at: https://www.investopedia.com/terms/r/ratioanalysis.asp.</w:t>
      </w:r>
    </w:p>
    <w:p w:rsidR="00000000" w:rsidDel="00000000" w:rsidP="00000000" w:rsidRDefault="00000000" w:rsidRPr="00000000" w14:paraId="000002A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Budianto, R., Suyono, E., Purwati, A.S. and Suparlinah, I. (2022). Factors Affecting Corporate Dividend Policy: Evidence from Emerging Market.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Kompartemen : Jurnal Ilmiah Akuntansi</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20(1), p.17. doi:https://doi.org/10.30595/kompartemen.v20i1.12318.</w:t>
      </w:r>
    </w:p>
    <w:p w:rsidR="00000000" w:rsidDel="00000000" w:rsidP="00000000" w:rsidRDefault="00000000" w:rsidRPr="00000000" w14:paraId="000002A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Calabrese, T.D. (2019). Testing Competing Capital Structure Theories of Nonprofit Organizations.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Public Budgeting &amp; Finance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31(3), pp.119–143. doi:https://doi.org/10.1111/j.1540-5850.2011.00989.x.</w:t>
      </w:r>
    </w:p>
    <w:p w:rsidR="00000000" w:rsidDel="00000000" w:rsidP="00000000" w:rsidRDefault="00000000" w:rsidRPr="00000000" w14:paraId="000002A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CFI (2022).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Return on Capital Employed (ROCE)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Corporate Finance Institute. Available at: https://corporatefinanceinstitute.com/resources/accounting/return-on-capital-employed-roce/.</w:t>
      </w:r>
    </w:p>
    <w:p w:rsidR="00000000" w:rsidDel="00000000" w:rsidP="00000000" w:rsidRDefault="00000000" w:rsidRPr="00000000" w14:paraId="000002A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Chicktay, W. and Barnard, B. (2018). Venture Capital Process: Opportunity Selection, Monitoring, Capital Rationing, and Deal Flow.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SSRN Electronic Journal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doi:https://doi.org/10.2139/ssrn.3242742.</w:t>
      </w:r>
    </w:p>
    <w:p w:rsidR="00000000" w:rsidDel="00000000" w:rsidP="00000000" w:rsidRDefault="00000000" w:rsidRPr="00000000" w14:paraId="000002A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Corporate Finance Institute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Net Present Value (NPV)</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Corporate Finance Institute. Available at: https://corporatefinanceinstitute.com/resources/valuation/net-present-value-npv/.</w:t>
      </w:r>
    </w:p>
    <w:p w:rsidR="00000000" w:rsidDel="00000000" w:rsidP="00000000" w:rsidRDefault="00000000" w:rsidRPr="00000000" w14:paraId="000002A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Dahmash, F.N., Alshurafat, H., Hendawi, R., Alzoubi, A.B. and Amosh, H.A. (2023). The Retained Earnings Effect on the Firm’s Market Value: Evidence from Jordan.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International Journal of Financial Studies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11(3), pp.89–89. doi:https://doi.org/10.3390/ijfs11030089.</w:t>
      </w:r>
    </w:p>
    <w:p w:rsidR="00000000" w:rsidDel="00000000" w:rsidP="00000000" w:rsidRDefault="00000000" w:rsidRPr="00000000" w14:paraId="000002B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Diageo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Home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Diageo. Available at: https://www.diageo.com/en.</w:t>
      </w:r>
    </w:p>
    <w:p w:rsidR="00000000" w:rsidDel="00000000" w:rsidP="00000000" w:rsidRDefault="00000000" w:rsidRPr="00000000" w14:paraId="000002B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Diageo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2025 Preliminary Results, year ended 30 June 2025</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www.diageo.com. Available at: https://www.diageo.com/en/news-and-media/press-releases/2025/2025-preliminary-results-year-ended-30-june-2025.</w:t>
      </w:r>
    </w:p>
    <w:p w:rsidR="00000000" w:rsidDel="00000000" w:rsidP="00000000" w:rsidRDefault="00000000" w:rsidRPr="00000000" w14:paraId="000002B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Faello, J. (2015).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Understanding the limitations of financial ratios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ResearchGate. Available at: https://www.researchgate.net/publication/330988084_Understanding_the_limitations_of_financial_ratios.</w:t>
      </w:r>
    </w:p>
    <w:p w:rsidR="00000000" w:rsidDel="00000000" w:rsidP="00000000" w:rsidRDefault="00000000" w:rsidRPr="00000000" w14:paraId="000002B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Fang, Y., Fiordelisi, F., Hasan, I., Leung, W.S. and Wong, G. (2023). Corporate culture and firm value: Evidence from crisis.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Banking &amp; Finance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146, p.106710. doi:https://doi.org/10.1016/j.jbankfin.2022.106710.</w:t>
      </w:r>
    </w:p>
    <w:p w:rsidR="00000000" w:rsidDel="00000000" w:rsidP="00000000" w:rsidRDefault="00000000" w:rsidRPr="00000000" w14:paraId="000002B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Fernando, J. (2016).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Price-to-Earnings (P/E) Ratio: Definition, Formula, and Examples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Investopedia. Available at: https://www.investopedia.com/terms/p/price-earningsratio.asp.</w:t>
      </w:r>
    </w:p>
    <w:p w:rsidR="00000000" w:rsidDel="00000000" w:rsidP="00000000" w:rsidRDefault="00000000" w:rsidRPr="00000000" w14:paraId="000002B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Fernando, J. (2020).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Net present value (NPV): What it Means and Steps to Calculate It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Investopedia. Available at: https://www.investopedia.com/terms/n/npv.asp.</w:t>
      </w:r>
    </w:p>
    <w:p w:rsidR="00000000" w:rsidDel="00000000" w:rsidP="00000000" w:rsidRDefault="00000000" w:rsidRPr="00000000" w14:paraId="000002B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Fernando, J. (2021).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Net present value (NPV): What it Means and Steps to Calculate It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Investopedia. Available at: https://www.investopedia.com/terms/n/npv.asp.</w:t>
      </w:r>
    </w:p>
    <w:p w:rsidR="00000000" w:rsidDel="00000000" w:rsidP="00000000" w:rsidRDefault="00000000" w:rsidRPr="00000000" w14:paraId="000002B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Fernando, J. (2022).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Inventory turnover ratio: What it is, how it works, and formula</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Investopedia. Available at: https://www.investopedia.com/terms/i/inventoryturnover.asp.</w:t>
      </w:r>
    </w:p>
    <w:p w:rsidR="00000000" w:rsidDel="00000000" w:rsidP="00000000" w:rsidRDefault="00000000" w:rsidRPr="00000000" w14:paraId="000002B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Fernando, J.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Price-to-Earnings (P/E) Ratio: Definition, Formula, and Examples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Investopedia. Available at: https://www.investopedia.com/terms/p/price-earningsratio.asp.</w:t>
      </w:r>
    </w:p>
    <w:p w:rsidR="00000000" w:rsidDel="00000000" w:rsidP="00000000" w:rsidRDefault="00000000" w:rsidRPr="00000000" w14:paraId="000002B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Fernando, J.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Current Ratio Explained with Formula and Examples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Investopedia. Available at: https://www.investopedia.com/terms/c/currentratio.asp.</w:t>
      </w:r>
    </w:p>
    <w:p w:rsidR="00000000" w:rsidDel="00000000" w:rsidP="00000000" w:rsidRDefault="00000000" w:rsidRPr="00000000" w14:paraId="000002B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Heinrich, M. (1989). Capital in general and the structure of Marx’s Capital.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Capital &amp; Class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13(2), pp.63–79. doi:https://doi.org/10.1177/030981688903800105.</w:t>
      </w:r>
    </w:p>
    <w:p w:rsidR="00000000" w:rsidDel="00000000" w:rsidP="00000000" w:rsidRDefault="00000000" w:rsidRPr="00000000" w14:paraId="000002B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Hoogers, H., Alessandro, M., Myers, J., Grimm, A. and Gates, H.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Diageo Strategic Audit: A Deep Dive into the Management Diageo Strategic Audit: A Deep Dive into the Management Strategies of Diageo Strategies of Diageo</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Available at: https://digitalcommons.unl.edu/cgi/viewcontent.cgi?params=/context/honorstheses/article/1637/&amp;path_info=Diageo_Strategic_Audit.pdf.</w:t>
      </w:r>
    </w:p>
    <w:p w:rsidR="00000000" w:rsidDel="00000000" w:rsidP="00000000" w:rsidRDefault="00000000" w:rsidRPr="00000000" w14:paraId="000002B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Hossain, M.S. (2021). A revisit of capital structure puzzle: Global evidence and analysis.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International Review of Economics &amp; Finance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75, pp.657–678. doi:https://doi.org/10.1016/j.iref.2021.05.001.</w:t>
      </w:r>
    </w:p>
    <w:p w:rsidR="00000000" w:rsidDel="00000000" w:rsidP="00000000" w:rsidRDefault="00000000" w:rsidRPr="00000000" w14:paraId="000002B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Im, H.J., Kang, Y. and Shon, J. (2020). How does uncertainty influence target capital structure?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Corporate Finance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64, p.101642. doi:https://doi.org/10.1016/j.jcorpfin.2020.101642.</w:t>
      </w:r>
    </w:p>
    <w:p w:rsidR="00000000" w:rsidDel="00000000" w:rsidP="00000000" w:rsidRDefault="00000000" w:rsidRPr="00000000" w14:paraId="000002B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Investing.com (2026).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Diageo PLC Stock Price (DGE)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Investing.com. Available at: https://www.investing.com/equities/diageo.</w:t>
      </w:r>
    </w:p>
    <w:p w:rsidR="00000000" w:rsidDel="00000000" w:rsidP="00000000" w:rsidRDefault="00000000" w:rsidRPr="00000000" w14:paraId="000002B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Kannan, N. (2025). A Financial Analysis and Valuation of DIAGEO PLC. [online] doi:https://doi.org/10.2139/ssrn.5468586.</w:t>
      </w:r>
    </w:p>
    <w:p w:rsidR="00000000" w:rsidDel="00000000" w:rsidP="00000000" w:rsidRDefault="00000000" w:rsidRPr="00000000" w14:paraId="000002C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Kenton, W.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Understanding Discounted Payback Periods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Investopedia. Available at: https://www.investopedia.com/terms/d/discounted-payback-period.asp.</w:t>
      </w:r>
    </w:p>
    <w:p w:rsidR="00000000" w:rsidDel="00000000" w:rsidP="00000000" w:rsidRDefault="00000000" w:rsidRPr="00000000" w14:paraId="000002C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Lee, G. (2019).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Diageo to leave Park Royal headquarters for new central London home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Just Drinks. Available at: https://www.just-drinks.com/news/diageo-to-leave-park-royal-headquarters-for-new-central-london-home/ [Accessed 12 Jan. 2026].</w:t>
      </w:r>
    </w:p>
    <w:p w:rsidR="00000000" w:rsidDel="00000000" w:rsidP="00000000" w:rsidRDefault="00000000" w:rsidRPr="00000000" w14:paraId="000002C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LSE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London Stock Exchange | London Stock Exchange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Londonstockexchange.com. Available at: https://www.londonstockexchange.com/news-article/DGE/diageo-preliminary-results-2025/17167819.</w:t>
      </w:r>
    </w:p>
    <w:p w:rsidR="00000000" w:rsidDel="00000000" w:rsidP="00000000" w:rsidRDefault="00000000" w:rsidRPr="00000000" w14:paraId="000002C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Lugovskу, D. and Kuter, M. (2019). Accounting Policies, Accounting Estimates and Its Role in the Preparation of Fair Financial Statements in Digital Economy.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Integrated Science in Digital Age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78, pp.165–176. doi:https://doi.org/10.1007/978-3-030-22493-6_15.</w:t>
      </w:r>
    </w:p>
    <w:p w:rsidR="00000000" w:rsidDel="00000000" w:rsidP="00000000" w:rsidRDefault="00000000" w:rsidRPr="00000000" w14:paraId="000002C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Moridu, I. (2024). The Effect of Financial Leverage on Profitability in the Food and Beverage Industry (2017-2021).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Accounting Studies and Tax Journal (COUNT)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1(1), pp.117–130. doi:https://doi.org/10.62207/2xm4xk89.</w:t>
      </w:r>
    </w:p>
    <w:p w:rsidR="00000000" w:rsidDel="00000000" w:rsidP="00000000" w:rsidRDefault="00000000" w:rsidRPr="00000000" w14:paraId="000002C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Muhammad Barwa, T. (2015). Inventory Control as an Effective Decision-Making Model and Implementations for Company’s Growth.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International Journal of Economics, Finance and Management Sciences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3(5), p.465. doi:https://doi.org/10.11648/j.ijefm.20150305.18.</w:t>
      </w:r>
    </w:p>
    <w:p w:rsidR="00000000" w:rsidDel="00000000" w:rsidP="00000000" w:rsidRDefault="00000000" w:rsidRPr="00000000" w14:paraId="000002C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Nguyen, T.T., Nguyen, H.P., Nguyen, L.B.K. and Vu, N.T. (2020). THE RELATIONSHIP BETWEEN CAPITAL STRUCTURE AND FIRM VALUE: CASES OF LISTED COMPANIES IN THE FOOD AND BEVERAGES INDUSTRY IN VIETNAM.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Academy of Accounting and Financial Studies Journal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Available at: https://www.researchgate.net/publication/350429996_THE_RELATIONSHIP_BETWEEN_CAPITAL_STRUCTURE_AND_FIRM_VALUE_CASES_OF_LISTED_COMPANIES_IN_THE_FOOD_AND_BEVERAGES_INDUSTRY_IN_VIETNAM.</w:t>
      </w:r>
    </w:p>
    <w:p w:rsidR="00000000" w:rsidDel="00000000" w:rsidP="00000000" w:rsidRDefault="00000000" w:rsidRPr="00000000" w14:paraId="000002C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Pereira, J.C., Póvoas, M., Dias, L.C. and Moreira, J.F. (2022). Risk Assessment in the Management of Change process aiming at improving quality and sustainability in organizations - A Case Study.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Congresso Geral da ABRISCO - Associação Brasileira de Riscos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Available at: https://www.researchgate.net/publication/360719561_Risk_Assessment_in_the_Management_of_Change_process_aiming_at_improving_quality_and_sustainability_in_organizations_-_A_Case_Study.</w:t>
      </w:r>
    </w:p>
    <w:p w:rsidR="00000000" w:rsidDel="00000000" w:rsidP="00000000" w:rsidRDefault="00000000" w:rsidRPr="00000000" w14:paraId="000002C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Ponto, S., Muhamad Aqsa and Fajar Rina Sejati (2024). A Qualitative Study on Performance, Investment Decisions, and Strategic Approaches. [online] 4(1), pp.59–75. doi:https://doi.org/10.37531/amar.v4i1.1537.</w:t>
      </w:r>
    </w:p>
    <w:p w:rsidR="00000000" w:rsidDel="00000000" w:rsidP="00000000" w:rsidRDefault="00000000" w:rsidRPr="00000000" w14:paraId="000002C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ResearchGate. (2026).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(PDF) RELEVANCE OF FIRMS’ RETAINED EARNINGS ON OPERATIONAL PERFORMANCE OF HEALTHCARE INDUSTRY IN NIGERIA</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Available at: https://www.researchgate.net/publication/343577335_RELEVANCE_OF_FIRMS.</w:t>
      </w:r>
    </w:p>
    <w:p w:rsidR="00000000" w:rsidDel="00000000" w:rsidP="00000000" w:rsidRDefault="00000000" w:rsidRPr="00000000" w14:paraId="000002C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Seth, S.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Quick Ratio Formula with Examples, Pros and Cons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Investopedia. Available at: https://www.investopedia.com/terms/q/quickratio.asp.</w:t>
      </w:r>
    </w:p>
    <w:p w:rsidR="00000000" w:rsidDel="00000000" w:rsidP="00000000" w:rsidRDefault="00000000" w:rsidRPr="00000000" w14:paraId="000002C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Sinaga, Y.D. and Hermawan, A.A. (2023). INCREASING THE COMPANY’S PROFITABILITY AND COST EFFICIENCY THROUGH THE IMPLEMENTATION OF ACTIVITY-BASED MANAGEMENT, VALUE CHAIN, AND PESTEL.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Akurasi</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6(2), pp.287–309. Available at: https://www.researchgate.net/publication/376887560_INCREASING_THE_COMPANY'S_PROFITABILITY_AND_COST_EFFICIENCY_THROUGH_THE_IMPLEMENTATION_OF_ACTIVITY-BASED_MANAGEMENT_VALUE_CHAIN_AND_PESTEL.</w:t>
      </w:r>
    </w:p>
    <w:p w:rsidR="00000000" w:rsidDel="00000000" w:rsidP="00000000" w:rsidRDefault="00000000" w:rsidRPr="00000000" w14:paraId="000002C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SOARE, V.T., Ionescu, C.A., Florin, R. and MATEI), L. (2025). The evaluation of financial performance as a prevention mechanism and predictive instrument of bankruptcy risk.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ResearchGate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12(1 supplement), pp.85–103. Available at: https://www.researchgate.net/publication/394432958_The_evaluation_of_financial_performance_as_a_prevention_mechanism_and_predictive_instrument_of_bankruptcy_risk.</w:t>
      </w:r>
    </w:p>
    <w:p w:rsidR="00000000" w:rsidDel="00000000" w:rsidP="00000000" w:rsidRDefault="00000000" w:rsidRPr="00000000" w14:paraId="000002C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Tharavanij, P. (2021). Optimal Book-Value Debt Ratio.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SAGE Open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11(1), p.215824402098578. doi:https://doi.org/10.1177/2158244020985788.</w:t>
      </w:r>
    </w:p>
    <w:p w:rsidR="00000000" w:rsidDel="00000000" w:rsidP="00000000" w:rsidRDefault="00000000" w:rsidRPr="00000000" w14:paraId="000002C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P-I-N Modulator, an Electrically Controlled Attenuator for MM and Sub-MM Waves. (1960).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IEEE Transactions on Microwave Theory and Techniques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8(3), pp.325–327. doi:https://doi.org/10.1109/tmtt.1960.1125240.</w:t>
      </w:r>
    </w:p>
    <w:p w:rsidR="00000000" w:rsidDel="00000000" w:rsidP="00000000" w:rsidRDefault="00000000" w:rsidRPr="00000000" w14:paraId="000002C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Tommi Indra Gunawan (2024). Understanding Investment Decision-making: A Qualitative Inquiry into High-Frequency Trading, Investment Strategies, and Portfolio Performance in the Financial Market.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Golden Ratio of Finance Management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4(2), pp.131–141. doi:https://doi.org/10.52970/grfm.v4i2.431.</w:t>
      </w:r>
    </w:p>
    <w:p w:rsidR="00000000" w:rsidDel="00000000" w:rsidP="00000000" w:rsidRDefault="00000000" w:rsidRPr="00000000" w14:paraId="000002D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Velez-Pareja, I. (2009). Financial Analysis and Control - Financial Ratio Analysis (Slides in Spanish).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SSRN Electronic Journal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doi:https://doi.org/10.2139/ssrn.1366728.</w:t>
      </w:r>
    </w:p>
    <w:p w:rsidR="00000000" w:rsidDel="00000000" w:rsidP="00000000" w:rsidRDefault="00000000" w:rsidRPr="00000000" w14:paraId="000002D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Wang, L., Cao, Z. and Cao, W. (2024). Do controlling shareholders’ equity pledges exacerbate the stock price crash risk? -A study based on margin trading and securities lending transactions in China’s securities market1.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Heliyon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pp.e37473–e37473. doi:https://doi.org/10.1016/j.heliyon.2024.e37473.</w:t>
      </w:r>
    </w:p>
    <w:p w:rsidR="00000000" w:rsidDel="00000000" w:rsidP="00000000" w:rsidRDefault="00000000" w:rsidRPr="00000000" w14:paraId="000002D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Wang, S. (2025). Net Present Value (NPV) Vs. Internal Rate of Return (IRR): Evaluating Investment Rules in Financial Markets.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Highlights in Business, Economics and Management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59, pp.273–282. doi:https://doi.org/10.54097/dk5r9k48.</w:t>
      </w:r>
    </w:p>
    <w:p w:rsidR="00000000" w:rsidDel="00000000" w:rsidP="00000000" w:rsidRDefault="00000000" w:rsidRPr="00000000" w14:paraId="000002D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Yeo, K.T. and Qiu, F. (2003). The value of management flexibility—a real option approach to investment evaluation.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International Journal of Project Management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21(4), pp.243–250. doi:https://doi.org/10.1016/s0263-7863(02)00025-x.</w:t>
      </w:r>
    </w:p>
    <w:p w:rsidR="00000000" w:rsidDel="00000000" w:rsidP="00000000" w:rsidRDefault="00000000" w:rsidRPr="00000000" w14:paraId="000002D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Yuliarti, A. and Diyani, L.A. (2018). The Effect of Firm Size, Financial Ratios and Cash Flow On Stock Return.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The Indonesian Accounting Review</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8(2), p.229. doi:https://doi.org/10.14414/tiar.v8i2.1313.</w:t>
      </w:r>
    </w:p>
    <w:p w:rsidR="00000000" w:rsidDel="00000000" w:rsidP="00000000" w:rsidRDefault="00000000" w:rsidRPr="00000000" w14:paraId="000002D5">
      <w:pPr>
        <w:pStyle w:val="Heading1"/>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2D6">
      <w:pPr>
        <w:pStyle w:val="Heading1"/>
        <w:rPr>
          <w:rFonts w:ascii="Arial" w:cs="Arial" w:eastAsia="Arial" w:hAnsi="Arial"/>
        </w:rPr>
      </w:pPr>
      <w:bookmarkStart w:colFirst="0" w:colLast="0" w:name="_qxf4m0o0syq7" w:id="17"/>
      <w:bookmarkEnd w:id="17"/>
      <w:r w:rsidDel="00000000" w:rsidR="00000000" w:rsidRPr="00000000">
        <w:rPr>
          <w:rFonts w:ascii="Arial" w:cs="Arial" w:eastAsia="Arial" w:hAnsi="Arial"/>
          <w:rtl w:val="0"/>
        </w:rPr>
        <w:t xml:space="preserve">Appendices </w:t>
      </w:r>
    </w:p>
    <w:p w:rsidR="00000000" w:rsidDel="00000000" w:rsidP="00000000" w:rsidRDefault="00000000" w:rsidRPr="00000000" w14:paraId="000002D7">
      <w:pPr>
        <w:rPr>
          <w:rFonts w:ascii="Arial" w:cs="Arial" w:eastAsia="Arial" w:hAnsi="Arial"/>
        </w:rPr>
      </w:pPr>
      <w:r w:rsidDel="00000000" w:rsidR="00000000" w:rsidRPr="00000000">
        <w:rPr>
          <w:rFonts w:ascii="Arial" w:cs="Arial" w:eastAsia="Arial" w:hAnsi="Arial"/>
          <w:rtl w:val="0"/>
        </w:rPr>
        <w:t xml:space="preserve">To access the annual report of Diageo, kindly click the link below: </w:t>
      </w:r>
    </w:p>
    <w:p w:rsidR="00000000" w:rsidDel="00000000" w:rsidP="00000000" w:rsidRDefault="00000000" w:rsidRPr="00000000" w14:paraId="000002D8">
      <w:pPr>
        <w:rPr>
          <w:rFonts w:ascii="Arial" w:cs="Arial" w:eastAsia="Arial" w:hAnsi="Arial"/>
        </w:rPr>
      </w:pPr>
      <w:hyperlink r:id="rId13">
        <w:r w:rsidDel="00000000" w:rsidR="00000000" w:rsidRPr="00000000">
          <w:rPr>
            <w:rFonts w:ascii="Arial" w:cs="Arial" w:eastAsia="Arial" w:hAnsi="Arial"/>
            <w:color w:val="0563c1"/>
            <w:u w:val="single"/>
            <w:rtl w:val="0"/>
          </w:rPr>
          <w:t xml:space="preserve">https://www.diageo.com/~/media/Files/D/Diageo-V2/Diageo-Corp/investors/results-reports-and-events/annual-reports/2025/annual-report-2025.pdf</w:t>
        </w:r>
      </w:hyperlink>
      <w:r w:rsidDel="00000000" w:rsidR="00000000" w:rsidRPr="00000000">
        <w:rPr>
          <w:rFonts w:ascii="Arial" w:cs="Arial" w:eastAsia="Arial" w:hAnsi="Arial"/>
          <w:rtl w:val="0"/>
        </w:rPr>
        <w:t xml:space="preserve"> </w:t>
      </w:r>
    </w:p>
    <w:p w:rsidR="00000000" w:rsidDel="00000000" w:rsidP="00000000" w:rsidRDefault="00000000" w:rsidRPr="00000000" w14:paraId="000002D9">
      <w:pPr>
        <w:rPr>
          <w:rFonts w:ascii="Arial" w:cs="Arial" w:eastAsia="Arial" w:hAnsi="Arial"/>
          <w:b w:val="1"/>
          <w:bCs w:val="1"/>
        </w:rPr>
      </w:pPr>
      <w:r w:rsidDel="00000000" w:rsidR="00000000" w:rsidRPr="00000000">
        <w:rPr>
          <w:rFonts w:ascii="Arial" w:cs="Arial" w:eastAsia="Arial" w:hAnsi="Arial"/>
          <w:b w:val="1"/>
          <w:bCs w:val="1"/>
          <w:rtl w:val="0"/>
        </w:rPr>
        <w:t xml:space="preserve">Diageo Income Statement</w:t>
      </w:r>
    </w:p>
    <w:p w:rsidR="00000000" w:rsidDel="00000000" w:rsidP="00000000" w:rsidRDefault="00000000" w:rsidRPr="00000000" w14:paraId="000002DA">
      <w:pPr>
        <w:rPr>
          <w:rFonts w:ascii="Arial" w:cs="Arial" w:eastAsia="Arial" w:hAnsi="Arial"/>
        </w:rPr>
      </w:pPr>
      <w:r w:rsidDel="00000000" w:rsidR="00000000" w:rsidRPr="00000000">
        <w:rPr>
          <w:rFonts w:ascii="Arial" w:cs="Arial" w:eastAsia="Arial" w:hAnsi="Arial"/>
        </w:rPr>
        <w:drawing>
          <wp:inline distB="0" distT="0" distL="0" distR="0">
            <wp:extent cx="5943600" cy="4879340"/>
            <wp:effectExtent b="0" l="0" r="0" t="0"/>
            <wp:docPr id="9" name="image4.png"/>
            <a:graphic>
              <a:graphicData uri="http://schemas.openxmlformats.org/drawingml/2006/picture">
                <pic:pic>
                  <pic:nvPicPr>
                    <pic:cNvPr id="0" name="image4.png"/>
                    <pic:cNvPicPr preferRelativeResize="0"/>
                  </pic:nvPicPr>
                  <pic:blipFill>
                    <a:blip r:embed="rId14"/>
                    <a:srcRect b="0" l="0" r="0" t="0"/>
                    <a:stretch>
                      <a:fillRect/>
                    </a:stretch>
                  </pic:blipFill>
                  <pic:spPr>
                    <a:xfrm>
                      <a:off x="0" y="0"/>
                      <a:ext cx="5943600" cy="4879340"/>
                    </a:xfrm>
                    <a:prstGeom prst="rect"/>
                    <a:ln/>
                  </pic:spPr>
                </pic:pic>
              </a:graphicData>
            </a:graphic>
          </wp:inline>
        </w:drawing>
      </w:r>
      <w:r w:rsidDel="00000000" w:rsidR="00000000" w:rsidRPr="00000000">
        <w:rPr>
          <w:rtl w:val="0"/>
        </w:rPr>
      </w:r>
    </w:p>
    <w:p w:rsidR="00000000" w:rsidDel="00000000" w:rsidP="00000000" w:rsidRDefault="00000000" w:rsidRPr="00000000" w14:paraId="000002DB">
      <w:pPr>
        <w:rPr>
          <w:rFonts w:ascii="Arial" w:cs="Arial" w:eastAsia="Arial" w:hAnsi="Arial"/>
          <w:b w:val="1"/>
          <w:bCs w:val="1"/>
        </w:rPr>
      </w:pPr>
      <w:r w:rsidDel="00000000" w:rsidR="00000000" w:rsidRPr="00000000">
        <w:rPr>
          <w:rFonts w:ascii="Arial" w:cs="Arial" w:eastAsia="Arial" w:hAnsi="Arial"/>
          <w:b w:val="1"/>
          <w:bCs w:val="1"/>
          <w:rtl w:val="0"/>
        </w:rPr>
        <w:t xml:space="preserve">Diageo Balance Sheet</w:t>
      </w:r>
    </w:p>
    <w:p w:rsidR="00000000" w:rsidDel="00000000" w:rsidP="00000000" w:rsidRDefault="00000000" w:rsidRPr="00000000" w14:paraId="000002DC">
      <w:pPr>
        <w:rPr>
          <w:rFonts w:ascii="Arial" w:cs="Arial" w:eastAsia="Arial" w:hAnsi="Arial"/>
        </w:rPr>
      </w:pPr>
      <w:r w:rsidDel="00000000" w:rsidR="00000000" w:rsidRPr="00000000">
        <w:rPr>
          <w:rFonts w:ascii="Arial" w:cs="Arial" w:eastAsia="Arial" w:hAnsi="Arial"/>
        </w:rPr>
        <w:drawing>
          <wp:inline distB="0" distT="0" distL="0" distR="0">
            <wp:extent cx="5943600" cy="6597015"/>
            <wp:effectExtent b="0" l="0" r="0" t="0"/>
            <wp:docPr id="8" name="image3.png"/>
            <a:graphic>
              <a:graphicData uri="http://schemas.openxmlformats.org/drawingml/2006/picture">
                <pic:pic>
                  <pic:nvPicPr>
                    <pic:cNvPr id="0" name="image3.png"/>
                    <pic:cNvPicPr preferRelativeResize="0"/>
                  </pic:nvPicPr>
                  <pic:blipFill>
                    <a:blip r:embed="rId15"/>
                    <a:srcRect b="0" l="0" r="0" t="0"/>
                    <a:stretch>
                      <a:fillRect/>
                    </a:stretch>
                  </pic:blipFill>
                  <pic:spPr>
                    <a:xfrm>
                      <a:off x="0" y="0"/>
                      <a:ext cx="5943600" cy="6597015"/>
                    </a:xfrm>
                    <a:prstGeom prst="rect"/>
                    <a:ln/>
                  </pic:spPr>
                </pic:pic>
              </a:graphicData>
            </a:graphic>
          </wp:inline>
        </w:drawing>
      </w:r>
      <w:r w:rsidDel="00000000" w:rsidR="00000000" w:rsidRPr="00000000">
        <w:rPr>
          <w:rtl w:val="0"/>
        </w:rPr>
      </w:r>
    </w:p>
    <w:p w:rsidR="00000000" w:rsidDel="00000000" w:rsidP="00000000" w:rsidRDefault="00000000" w:rsidRPr="00000000" w14:paraId="000002DD">
      <w:pPr>
        <w:rPr>
          <w:rFonts w:ascii="Arial" w:cs="Arial" w:eastAsia="Arial" w:hAnsi="Arial"/>
        </w:rPr>
      </w:pPr>
      <w:r w:rsidDel="00000000" w:rsidR="00000000" w:rsidRPr="00000000">
        <w:rPr>
          <w:rtl w:val="0"/>
        </w:rPr>
      </w:r>
    </w:p>
    <w:sectPr>
      <w:footerReference r:id="rId1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imes New Roman"/>
  <w:font w:name="Cambria Math"/>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D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D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8">
    <w:lvl w:ilvl="0">
      <w:start w:val="1"/>
      <w:numFmt w:val="bullet"/>
      <w:lvlText w:val="●"/>
      <w:lvlJc w:val="left"/>
      <w:pPr>
        <w:ind w:left="720" w:hanging="360"/>
      </w:pPr>
      <w:rPr>
        <w:rFonts w:ascii="Noto Sans Symbols" w:cs="Noto Sans Symbols" w:eastAsia="Noto Sans Symbols" w:hAnsi="Noto Sans Symbols"/>
        <w:sz w:val="20"/>
        <w:szCs w:val="20"/>
      </w:rPr>
    </w:lvl>
    <w:lvl w:ilvl="1">
      <w:start w:val="5"/>
      <w:numFmt w:val="decimal"/>
      <w:lvlText w:val="%2."/>
      <w:lvlJc w:val="left"/>
      <w:pPr>
        <w:ind w:left="1440" w:hanging="360"/>
      </w:pPr>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9">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0">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rFonts w:ascii="Calibri" w:cs="Calibri" w:eastAsia="Calibri" w:hAnsi="Calibri"/>
      <w:b w:val="1"/>
      <w:bCs w:val="1"/>
      <w:color w:val="2f5496"/>
      <w:sz w:val="28"/>
      <w:szCs w:val="28"/>
    </w:rPr>
  </w:style>
  <w:style w:type="paragraph" w:styleId="Heading2">
    <w:name w:val="heading 2"/>
    <w:basedOn w:val="Normal"/>
    <w:next w:val="Normal"/>
    <w:pPr>
      <w:keepNext w:val="1"/>
      <w:keepLines w:val="1"/>
      <w:spacing w:after="0" w:before="40" w:lineRule="auto"/>
    </w:pPr>
    <w:rPr>
      <w:rFonts w:ascii="Calibri" w:cs="Calibri" w:eastAsia="Calibri" w:hAnsi="Calibri"/>
      <w:b w:val="1"/>
      <w:bCs w:val="1"/>
      <w:color w:val="2f5496"/>
      <w:sz w:val="27"/>
      <w:szCs w:val="27"/>
    </w:rPr>
  </w:style>
  <w:style w:type="paragraph" w:styleId="Heading3">
    <w:name w:val="heading 3"/>
    <w:basedOn w:val="Normal"/>
    <w:next w:val="Normal"/>
    <w:pPr>
      <w:keepNext w:val="1"/>
      <w:keepLines w:val="1"/>
      <w:spacing w:after="0" w:before="40" w:lineRule="auto"/>
    </w:pPr>
    <w:rPr>
      <w:rFonts w:ascii="Calibri" w:cs="Calibri" w:eastAsia="Calibri" w:hAnsi="Calibri"/>
      <w:b w:val="1"/>
      <w:bCs w:val="1"/>
      <w:color w:val="1f3863"/>
      <w:sz w:val="25"/>
      <w:szCs w:val="25"/>
    </w:rPr>
  </w:style>
  <w:style w:type="paragraph" w:styleId="Heading4">
    <w:name w:val="heading 4"/>
    <w:basedOn w:val="Normal"/>
    <w:next w:val="Normal"/>
    <w:pPr>
      <w:keepNext w:val="1"/>
      <w:keepLines w:val="1"/>
      <w:spacing w:after="0" w:before="40" w:lineRule="auto"/>
    </w:pPr>
    <w:rPr>
      <w:rFonts w:ascii="Calibri" w:cs="Calibri" w:eastAsia="Calibri" w:hAnsi="Calibri"/>
      <w:i w:val="1"/>
      <w:iCs w:val="1"/>
      <w:color w:val="2f5496"/>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firstCol">
      <w:rPr>
        <w:b w:val="1"/>
        <w:bCs w:val="1"/>
      </w:rPr>
    </w:tblStylePr>
    <w:tblStylePr w:type="firstRow">
      <w:rPr>
        <w:b w:val="1"/>
        <w:bCs w:val="1"/>
      </w:rPr>
      <w:tcPr>
        <w:tcBorders>
          <w:bottom w:color="a8d08d" w:space="0" w:sz="12" w:val="single"/>
        </w:tcBorders>
      </w:tcPr>
    </w:tblStylePr>
    <w:tblStylePr w:type="lastCol">
      <w:rPr>
        <w:b w:val="1"/>
        <w:bCs w:val="1"/>
      </w:rPr>
    </w:tblStylePr>
    <w:tblStylePr w:type="lastRow">
      <w:rPr>
        <w:b w:val="1"/>
        <w:bCs w:val="1"/>
      </w:rPr>
      <w:tcPr>
        <w:tcBorders>
          <w:top w:color="a8d08d" w:space="0" w:sz="4" w:val="single"/>
        </w:tcBorders>
      </w:tcPr>
    </w:tblStyle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tblStylePr w:type="firstCol">
      <w:rPr>
        <w:b w:val="1"/>
        <w:bCs w:val="1"/>
      </w:rPr>
    </w:tblStylePr>
    <w:tblStylePr w:type="firstRow">
      <w:rPr>
        <w:b w:val="1"/>
        <w:bCs w:val="1"/>
      </w:rPr>
      <w:tcPr>
        <w:tcBorders>
          <w:bottom w:color="a8d08d" w:space="0" w:sz="12" w:val="single"/>
        </w:tcBorders>
      </w:tcPr>
    </w:tblStylePr>
    <w:tblStylePr w:type="lastCol">
      <w:rPr>
        <w:b w:val="1"/>
        <w:bCs w:val="1"/>
      </w:rPr>
    </w:tblStylePr>
    <w:tblStylePr w:type="lastRow">
      <w:rPr>
        <w:b w:val="1"/>
        <w:bCs w:val="1"/>
      </w:rPr>
      <w:tcPr>
        <w:tcBorders>
          <w:top w:color="a8d08d" w:space="0" w:sz="4" w:val="single"/>
        </w:tcBorders>
      </w:tcPr>
    </w:tblStyle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tblStylePr w:type="firstCol">
      <w:rPr>
        <w:b w:val="1"/>
        <w:bCs w:val="1"/>
      </w:rPr>
    </w:tblStylePr>
    <w:tblStylePr w:type="firstRow">
      <w:rPr>
        <w:b w:val="1"/>
        <w:bCs w:val="1"/>
      </w:rPr>
      <w:tcPr>
        <w:tcBorders>
          <w:bottom w:color="a8d08d" w:space="0" w:sz="12" w:val="single"/>
        </w:tcBorders>
      </w:tcPr>
    </w:tblStylePr>
    <w:tblStylePr w:type="lastCol">
      <w:rPr>
        <w:b w:val="1"/>
        <w:bCs w:val="1"/>
      </w:rPr>
    </w:tblStylePr>
    <w:tblStylePr w:type="lastRow">
      <w:rPr>
        <w:b w:val="1"/>
        <w:bCs w:val="1"/>
      </w:rPr>
      <w:tcPr>
        <w:tcBorders>
          <w:top w:color="a8d08d" w:space="0" w:sz="4" w:val="single"/>
        </w:tcBorders>
      </w:tcPr>
    </w:tblStyle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tblStylePr w:type="firstCol">
      <w:rPr>
        <w:b w:val="1"/>
        <w:bCs w:val="1"/>
      </w:rPr>
    </w:tblStylePr>
    <w:tblStylePr w:type="firstRow">
      <w:rPr>
        <w:b w:val="1"/>
        <w:bCs w:val="1"/>
      </w:rPr>
      <w:tcPr>
        <w:tcBorders>
          <w:bottom w:color="a8d08d" w:space="0" w:sz="12" w:val="single"/>
        </w:tcBorders>
      </w:tcPr>
    </w:tblStylePr>
    <w:tblStylePr w:type="lastCol">
      <w:rPr>
        <w:b w:val="1"/>
        <w:bCs w:val="1"/>
      </w:rPr>
    </w:tblStylePr>
    <w:tblStylePr w:type="lastRow">
      <w:rPr>
        <w:b w:val="1"/>
        <w:bCs w:val="1"/>
      </w:rPr>
      <w:tcPr>
        <w:tcBorders>
          <w:top w:color="a8d08d" w:space="0" w:sz="4" w:val="single"/>
        </w:tcBorders>
      </w:tcPr>
    </w:tblStyle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tblStylePr w:type="firstCol">
      <w:rPr>
        <w:b w:val="1"/>
        <w:bCs w:val="1"/>
      </w:rPr>
    </w:tblStylePr>
    <w:tblStylePr w:type="firstRow">
      <w:rPr>
        <w:b w:val="1"/>
        <w:bCs w:val="1"/>
      </w:rPr>
      <w:tcPr>
        <w:tcBorders>
          <w:bottom w:color="a8d08d" w:space="0" w:sz="12" w:val="single"/>
        </w:tcBorders>
      </w:tcPr>
    </w:tblStylePr>
    <w:tblStylePr w:type="lastCol">
      <w:rPr>
        <w:b w:val="1"/>
        <w:bCs w:val="1"/>
      </w:rPr>
    </w:tblStylePr>
    <w:tblStylePr w:type="lastRow">
      <w:rPr>
        <w:b w:val="1"/>
        <w:bCs w:val="1"/>
      </w:rPr>
      <w:tcPr>
        <w:tcBorders>
          <w:top w:color="a8d08d" w:space="0" w:sz="4" w:val="single"/>
        </w:tcBorders>
      </w:tcPr>
    </w:tblStyle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9">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0">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6">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chart" Target="charts/chart5.xml"/><Relationship Id="rId10" Type="http://schemas.openxmlformats.org/officeDocument/2006/relationships/chart" Target="charts/chart2.xml"/><Relationship Id="rId13" Type="http://schemas.openxmlformats.org/officeDocument/2006/relationships/hyperlink" Target="https://www.diageo.com/~/media/Files/D/Diageo-V2/Diageo-Corp/investors/results-reports-and-events/annual-reports/2025/annual-report-2025.pdf" TargetMode="External"/><Relationship Id="rId12" Type="http://schemas.openxmlformats.org/officeDocument/2006/relationships/chart" Target="charts/chart4.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chart" Target="charts/chart3.xml"/><Relationship Id="rId15" Type="http://schemas.openxmlformats.org/officeDocument/2006/relationships/image" Target="media/image3.png"/><Relationship Id="rId14" Type="http://schemas.openxmlformats.org/officeDocument/2006/relationships/image" Target="media/image4.png"/><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D:\Experts%20Hub\2026\January\BMMB7005D\Diageo\BMMB7005D-Diageo.xlsx"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file:///D:\Experts%20Hub\2026\January\BMMB7005D\Diageo\BMMB7005D-Diageo.xlsx"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file:///D:\Experts%20Hub\2026\January\BMMB7005D\Diageo\BMMB7005D-Diageo.xlsx" TargetMode="External"/></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file:///D:\Experts%20Hub\2026\January\BMMB7005D\Diageo\BMMB7005D-Diageo.xlsx" TargetMode="External"/></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oleObject" Target="file:///D:\Experts%20Hub\2026\January\BMMB7005D\Diageo\BMMB7005D-Diageo.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IN"/>
              <a:t>Profitability Ratios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Calculation'!$I$3</c:f>
              <c:strCache>
                <c:ptCount val="1"/>
                <c:pt idx="0">
                  <c:v>2025</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 Calculation'!$H$4:$H$9</c:f>
              <c:strCache>
                <c:ptCount val="6"/>
                <c:pt idx="0">
                  <c:v>Gross Profit Margin </c:v>
                </c:pt>
                <c:pt idx="1">
                  <c:v>Operating Profit Margin </c:v>
                </c:pt>
                <c:pt idx="2">
                  <c:v>Net Profit Margin</c:v>
                </c:pt>
                <c:pt idx="3">
                  <c:v>Return on Asset (ROA)</c:v>
                </c:pt>
                <c:pt idx="4">
                  <c:v>Return on Equity (ROE)</c:v>
                </c:pt>
                <c:pt idx="5">
                  <c:v>Return on Capital Employed (ROCE)</c:v>
                </c:pt>
              </c:strCache>
            </c:strRef>
          </c:cat>
          <c:val>
            <c:numRef>
              <c:f>'Ratio Calculation'!$I$4:$I$9</c:f>
              <c:numCache>
                <c:formatCode>0.00%</c:formatCode>
                <c:ptCount val="6"/>
                <c:pt idx="0">
                  <c:v>0.60128426772042476</c:v>
                </c:pt>
                <c:pt idx="1">
                  <c:v>0.21412694492467277</c:v>
                </c:pt>
                <c:pt idx="2">
                  <c:v>0.12536428747838974</c:v>
                </c:pt>
                <c:pt idx="3">
                  <c:v>5.1457767324925997E-2</c:v>
                </c:pt>
                <c:pt idx="4">
                  <c:v>0.17863105175292154</c:v>
                </c:pt>
                <c:pt idx="5">
                  <c:v>0.11227661227661227</c:v>
                </c:pt>
              </c:numCache>
            </c:numRef>
          </c:val>
          <c:extLst>
            <c:ext xmlns:c16="http://schemas.microsoft.com/office/drawing/2014/chart" uri="{C3380CC4-5D6E-409C-BE32-E72D297353CC}">
              <c16:uniqueId val="{00000000-B5C3-4095-8180-8C81751B01FF}"/>
            </c:ext>
          </c:extLst>
        </c:ser>
        <c:ser>
          <c:idx val="1"/>
          <c:order val="1"/>
          <c:tx>
            <c:strRef>
              <c:f>'Ratio Calculation'!$J$3</c:f>
              <c:strCache>
                <c:ptCount val="1"/>
                <c:pt idx="0">
                  <c:v>2024</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 Calculation'!$H$4:$H$9</c:f>
              <c:strCache>
                <c:ptCount val="6"/>
                <c:pt idx="0">
                  <c:v>Gross Profit Margin </c:v>
                </c:pt>
                <c:pt idx="1">
                  <c:v>Operating Profit Margin </c:v>
                </c:pt>
                <c:pt idx="2">
                  <c:v>Net Profit Margin</c:v>
                </c:pt>
                <c:pt idx="3">
                  <c:v>Return on Asset (ROA)</c:v>
                </c:pt>
                <c:pt idx="4">
                  <c:v>Return on Equity (ROE)</c:v>
                </c:pt>
                <c:pt idx="5">
                  <c:v>Return on Capital Employed (ROCE)</c:v>
                </c:pt>
              </c:strCache>
            </c:strRef>
          </c:cat>
          <c:val>
            <c:numRef>
              <c:f>'Ratio Calculation'!$J$4:$J$9</c:f>
              <c:numCache>
                <c:formatCode>0.00%</c:formatCode>
                <c:ptCount val="6"/>
                <c:pt idx="0">
                  <c:v>0.60180571315802456</c:v>
                </c:pt>
                <c:pt idx="1">
                  <c:v>0.29606788692091374</c:v>
                </c:pt>
                <c:pt idx="2">
                  <c:v>0.20553554689427203</c:v>
                </c:pt>
                <c:pt idx="3">
                  <c:v>9.1612789725997276E-2</c:v>
                </c:pt>
                <c:pt idx="4">
                  <c:v>0.32062966031483014</c:v>
                </c:pt>
                <c:pt idx="5">
                  <c:v>0.16853901027916643</c:v>
                </c:pt>
              </c:numCache>
            </c:numRef>
          </c:val>
          <c:extLst>
            <c:ext xmlns:c16="http://schemas.microsoft.com/office/drawing/2014/chart" uri="{C3380CC4-5D6E-409C-BE32-E72D297353CC}">
              <c16:uniqueId val="{00000001-B5C3-4095-8180-8C81751B01FF}"/>
            </c:ext>
          </c:extLst>
        </c:ser>
        <c:dLbls>
          <c:dLblPos val="inEnd"/>
          <c:showLegendKey val="0"/>
          <c:showVal val="1"/>
          <c:showCatName val="0"/>
          <c:showSerName val="0"/>
          <c:showPercent val="0"/>
          <c:showBubbleSize val="0"/>
        </c:dLbls>
        <c:gapWidth val="65"/>
        <c:axId val="1218253983"/>
        <c:axId val="1218254463"/>
      </c:barChart>
      <c:catAx>
        <c:axId val="1218253983"/>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18254463"/>
        <c:crosses val="autoZero"/>
        <c:auto val="1"/>
        <c:lblAlgn val="ctr"/>
        <c:lblOffset val="100"/>
        <c:noMultiLvlLbl val="0"/>
      </c:catAx>
      <c:valAx>
        <c:axId val="1218254463"/>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crossAx val="1218253983"/>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IN"/>
              <a:t>Gearing Ratios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Calculation'!$I$19</c:f>
              <c:strCache>
                <c:ptCount val="1"/>
                <c:pt idx="0">
                  <c:v>2025</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 Calculation'!$H$20:$H$23</c:f>
              <c:strCache>
                <c:ptCount val="4"/>
                <c:pt idx="0">
                  <c:v>Debt to Equity Ratio</c:v>
                </c:pt>
                <c:pt idx="1">
                  <c:v>Interest Coverage Ratio</c:v>
                </c:pt>
                <c:pt idx="2">
                  <c:v>Equity Ratio</c:v>
                </c:pt>
                <c:pt idx="3">
                  <c:v>Debt Ratio</c:v>
                </c:pt>
              </c:strCache>
            </c:strRef>
          </c:cat>
          <c:val>
            <c:numRef>
              <c:f>'Ratio Calculation'!$I$20:$I$23</c:f>
              <c:numCache>
                <c:formatCode>0.00</c:formatCode>
                <c:ptCount val="4"/>
                <c:pt idx="0">
                  <c:v>1.802094399757171</c:v>
                </c:pt>
                <c:pt idx="1">
                  <c:v>3.4652278177458036</c:v>
                </c:pt>
                <c:pt idx="2">
                  <c:v>0.26718300150034469</c:v>
                </c:pt>
                <c:pt idx="3">
                  <c:v>0.73281699849965531</c:v>
                </c:pt>
              </c:numCache>
            </c:numRef>
          </c:val>
          <c:extLst>
            <c:ext xmlns:c16="http://schemas.microsoft.com/office/drawing/2014/chart" uri="{C3380CC4-5D6E-409C-BE32-E72D297353CC}">
              <c16:uniqueId val="{00000000-4B28-4007-B309-7B27741665B8}"/>
            </c:ext>
          </c:extLst>
        </c:ser>
        <c:ser>
          <c:idx val="1"/>
          <c:order val="1"/>
          <c:tx>
            <c:strRef>
              <c:f>'Ratio Calculation'!$J$19</c:f>
              <c:strCache>
                <c:ptCount val="1"/>
                <c:pt idx="0">
                  <c:v>2024</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 Calculation'!$H$20:$H$23</c:f>
              <c:strCache>
                <c:ptCount val="4"/>
                <c:pt idx="0">
                  <c:v>Debt to Equity Ratio</c:v>
                </c:pt>
                <c:pt idx="1">
                  <c:v>Interest Coverage Ratio</c:v>
                </c:pt>
                <c:pt idx="2">
                  <c:v>Equity Ratio</c:v>
                </c:pt>
                <c:pt idx="3">
                  <c:v>Debt Ratio</c:v>
                </c:pt>
              </c:strCache>
            </c:strRef>
          </c:cat>
          <c:val>
            <c:numRef>
              <c:f>'Ratio Calculation'!$J$20:$J$23</c:f>
              <c:numCache>
                <c:formatCode>0.00</c:formatCode>
                <c:ptCount val="4"/>
                <c:pt idx="0">
                  <c:v>1.7813587406793703</c:v>
                </c:pt>
                <c:pt idx="1">
                  <c:v>4.6700389105058369</c:v>
                </c:pt>
                <c:pt idx="2">
                  <c:v>0.26542639750186919</c:v>
                </c:pt>
                <c:pt idx="3">
                  <c:v>0.73457360249813075</c:v>
                </c:pt>
              </c:numCache>
            </c:numRef>
          </c:val>
          <c:extLst>
            <c:ext xmlns:c16="http://schemas.microsoft.com/office/drawing/2014/chart" uri="{C3380CC4-5D6E-409C-BE32-E72D297353CC}">
              <c16:uniqueId val="{00000001-4B28-4007-B309-7B27741665B8}"/>
            </c:ext>
          </c:extLst>
        </c:ser>
        <c:dLbls>
          <c:dLblPos val="inEnd"/>
          <c:showLegendKey val="0"/>
          <c:showVal val="1"/>
          <c:showCatName val="0"/>
          <c:showSerName val="0"/>
          <c:showPercent val="0"/>
          <c:showBubbleSize val="0"/>
        </c:dLbls>
        <c:gapWidth val="65"/>
        <c:axId val="1449668335"/>
        <c:axId val="1449669775"/>
      </c:barChart>
      <c:catAx>
        <c:axId val="1449668335"/>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449669775"/>
        <c:crosses val="autoZero"/>
        <c:auto val="1"/>
        <c:lblAlgn val="ctr"/>
        <c:lblOffset val="100"/>
        <c:noMultiLvlLbl val="0"/>
      </c:catAx>
      <c:valAx>
        <c:axId val="1449669775"/>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crossAx val="1449668335"/>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IN"/>
              <a:t>Liquidity Ratios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Calculation'!$H$14</c:f>
              <c:strCache>
                <c:ptCount val="1"/>
                <c:pt idx="0">
                  <c:v>Current Ratio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'Ratio Calculation'!$I$13:$J$13</c:f>
              <c:numCache>
                <c:formatCode>General</c:formatCode>
                <c:ptCount val="2"/>
                <c:pt idx="0">
                  <c:v>2025</c:v>
                </c:pt>
                <c:pt idx="1">
                  <c:v>2024</c:v>
                </c:pt>
              </c:numCache>
            </c:numRef>
          </c:cat>
          <c:val>
            <c:numRef>
              <c:f>'Ratio Calculation'!$I$14:$J$14</c:f>
              <c:numCache>
                <c:formatCode>0.00</c:formatCode>
                <c:ptCount val="2"/>
                <c:pt idx="0">
                  <c:v>1.6334017923823749</c:v>
                </c:pt>
                <c:pt idx="1">
                  <c:v>1.5328334008917714</c:v>
                </c:pt>
              </c:numCache>
            </c:numRef>
          </c:val>
          <c:extLst>
            <c:ext xmlns:c16="http://schemas.microsoft.com/office/drawing/2014/chart" uri="{C3380CC4-5D6E-409C-BE32-E72D297353CC}">
              <c16:uniqueId val="{00000000-C83D-48F7-881F-96850A7D4CCA}"/>
            </c:ext>
          </c:extLst>
        </c:ser>
        <c:ser>
          <c:idx val="1"/>
          <c:order val="1"/>
          <c:tx>
            <c:strRef>
              <c:f>'Ratio Calculation'!$H$15</c:f>
              <c:strCache>
                <c:ptCount val="1"/>
                <c:pt idx="0">
                  <c:v>Quick Ratio</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'Ratio Calculation'!$I$13:$J$13</c:f>
              <c:numCache>
                <c:formatCode>General</c:formatCode>
                <c:ptCount val="2"/>
                <c:pt idx="0">
                  <c:v>2025</c:v>
                </c:pt>
                <c:pt idx="1">
                  <c:v>2024</c:v>
                </c:pt>
              </c:numCache>
            </c:numRef>
          </c:cat>
          <c:val>
            <c:numRef>
              <c:f>'Ratio Calculation'!$I$15:$J$15</c:f>
              <c:numCache>
                <c:formatCode>0.00</c:formatCode>
                <c:ptCount val="2"/>
                <c:pt idx="0">
                  <c:v>0.63844286781179982</c:v>
                </c:pt>
                <c:pt idx="1">
                  <c:v>0.54783137413862992</c:v>
                </c:pt>
              </c:numCache>
            </c:numRef>
          </c:val>
          <c:extLst>
            <c:ext xmlns:c16="http://schemas.microsoft.com/office/drawing/2014/chart" uri="{C3380CC4-5D6E-409C-BE32-E72D297353CC}">
              <c16:uniqueId val="{00000001-C83D-48F7-881F-96850A7D4CCA}"/>
            </c:ext>
          </c:extLst>
        </c:ser>
        <c:dLbls>
          <c:dLblPos val="inEnd"/>
          <c:showLegendKey val="0"/>
          <c:showVal val="1"/>
          <c:showCatName val="0"/>
          <c:showSerName val="0"/>
          <c:showPercent val="0"/>
          <c:showBubbleSize val="0"/>
        </c:dLbls>
        <c:gapWidth val="65"/>
        <c:axId val="1390901391"/>
        <c:axId val="1390899471"/>
      </c:barChart>
      <c:catAx>
        <c:axId val="1390901391"/>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390899471"/>
        <c:crosses val="autoZero"/>
        <c:auto val="1"/>
        <c:lblAlgn val="ctr"/>
        <c:lblOffset val="100"/>
        <c:noMultiLvlLbl val="0"/>
      </c:catAx>
      <c:valAx>
        <c:axId val="1390899471"/>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crossAx val="1390901391"/>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Investment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Calculation'!$I$34</c:f>
              <c:strCache>
                <c:ptCount val="1"/>
                <c:pt idx="0">
                  <c:v>2025</c:v>
                </c:pt>
              </c:strCache>
            </c:strRef>
          </c:tx>
          <c:spPr>
            <a:solidFill>
              <a:schemeClr val="accent1"/>
            </a:solidFill>
            <a:ln>
              <a:noFill/>
            </a:ln>
            <a:effectLst/>
          </c:spPr>
          <c:invertIfNegative val="0"/>
          <c:cat>
            <c:strRef>
              <c:f>'Ratio Calculation'!$H$35:$H$38</c:f>
              <c:strCache>
                <c:ptCount val="4"/>
                <c:pt idx="0">
                  <c:v>Earnings Per Share (EPS) -Basic</c:v>
                </c:pt>
                <c:pt idx="1">
                  <c:v>Earnings Per Share (EPS) - Diluted</c:v>
                </c:pt>
                <c:pt idx="2">
                  <c:v>Price per Earnings ratio (P/E)</c:v>
                </c:pt>
                <c:pt idx="3">
                  <c:v>Dividend Yield</c:v>
                </c:pt>
              </c:strCache>
            </c:strRef>
          </c:cat>
          <c:val>
            <c:numRef>
              <c:f>'Ratio Calculation'!$I$35:$I$38</c:f>
              <c:numCache>
                <c:formatCode>General</c:formatCode>
                <c:ptCount val="4"/>
                <c:pt idx="0">
                  <c:v>105.9</c:v>
                </c:pt>
                <c:pt idx="1">
                  <c:v>105.7</c:v>
                </c:pt>
                <c:pt idx="2" formatCode="0.00">
                  <c:v>23.805476864966948</c:v>
                </c:pt>
                <c:pt idx="3" formatCode="0.00">
                  <c:v>4.1047203490678301E-2</c:v>
                </c:pt>
              </c:numCache>
            </c:numRef>
          </c:val>
          <c:extLst>
            <c:ext xmlns:c16="http://schemas.microsoft.com/office/drawing/2014/chart" uri="{C3380CC4-5D6E-409C-BE32-E72D297353CC}">
              <c16:uniqueId val="{00000000-83EB-4B99-AC27-EB7D6EC0D66A}"/>
            </c:ext>
          </c:extLst>
        </c:ser>
        <c:ser>
          <c:idx val="1"/>
          <c:order val="1"/>
          <c:tx>
            <c:strRef>
              <c:f>'Ratio Calculation'!$J$34</c:f>
              <c:strCache>
                <c:ptCount val="1"/>
                <c:pt idx="0">
                  <c:v>2024</c:v>
                </c:pt>
              </c:strCache>
            </c:strRef>
          </c:tx>
          <c:spPr>
            <a:solidFill>
              <a:schemeClr val="accent2"/>
            </a:solidFill>
            <a:ln>
              <a:noFill/>
            </a:ln>
            <a:effectLst/>
          </c:spPr>
          <c:invertIfNegative val="0"/>
          <c:cat>
            <c:strRef>
              <c:f>'Ratio Calculation'!$H$35:$H$38</c:f>
              <c:strCache>
                <c:ptCount val="4"/>
                <c:pt idx="0">
                  <c:v>Earnings Per Share (EPS) -Basic</c:v>
                </c:pt>
                <c:pt idx="1">
                  <c:v>Earnings Per Share (EPS) - Diluted</c:v>
                </c:pt>
                <c:pt idx="2">
                  <c:v>Price per Earnings ratio (P/E)</c:v>
                </c:pt>
                <c:pt idx="3">
                  <c:v>Dividend Yield</c:v>
                </c:pt>
              </c:strCache>
            </c:strRef>
          </c:cat>
          <c:val>
            <c:numRef>
              <c:f>'Ratio Calculation'!$J$35:$J$38</c:f>
              <c:numCache>
                <c:formatCode>General</c:formatCode>
                <c:ptCount val="4"/>
                <c:pt idx="0">
                  <c:v>173.2</c:v>
                </c:pt>
                <c:pt idx="1">
                  <c:v>172.8</c:v>
                </c:pt>
                <c:pt idx="2" formatCode="0.00">
                  <c:v>18.198614318706696</c:v>
                </c:pt>
                <c:pt idx="3" formatCode="0.00">
                  <c:v>3.2829949238578682E-2</c:v>
                </c:pt>
              </c:numCache>
            </c:numRef>
          </c:val>
          <c:extLst>
            <c:ext xmlns:c16="http://schemas.microsoft.com/office/drawing/2014/chart" uri="{C3380CC4-5D6E-409C-BE32-E72D297353CC}">
              <c16:uniqueId val="{00000001-83EB-4B99-AC27-EB7D6EC0D66A}"/>
            </c:ext>
          </c:extLst>
        </c:ser>
        <c:dLbls>
          <c:showLegendKey val="0"/>
          <c:showVal val="0"/>
          <c:showCatName val="0"/>
          <c:showSerName val="0"/>
          <c:showPercent val="0"/>
          <c:showBubbleSize val="0"/>
        </c:dLbls>
        <c:gapWidth val="219"/>
        <c:overlap val="-27"/>
        <c:axId val="962543679"/>
        <c:axId val="962543199"/>
      </c:barChart>
      <c:catAx>
        <c:axId val="9625436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2543199"/>
        <c:crosses val="autoZero"/>
        <c:auto val="1"/>
        <c:lblAlgn val="ctr"/>
        <c:lblOffset val="100"/>
        <c:noMultiLvlLbl val="0"/>
      </c:catAx>
      <c:valAx>
        <c:axId val="9625431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25436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IN"/>
              <a:t>Efficiency Ratios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 Calculation'!$I$43</c:f>
              <c:strCache>
                <c:ptCount val="1"/>
                <c:pt idx="0">
                  <c:v>2025</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 Calculation'!$H$44:$H$45</c:f>
              <c:strCache>
                <c:ptCount val="2"/>
                <c:pt idx="0">
                  <c:v>Asset Turnover</c:v>
                </c:pt>
                <c:pt idx="1">
                  <c:v>Fixed Asset Turnover</c:v>
                </c:pt>
              </c:strCache>
            </c:strRef>
          </c:cat>
          <c:val>
            <c:numRef>
              <c:f>'Ratio Calculation'!$I$44:$I$45</c:f>
              <c:numCache>
                <c:formatCode>0.00</c:formatCode>
                <c:ptCount val="2"/>
                <c:pt idx="0">
                  <c:v>0.41046591784599162</c:v>
                </c:pt>
                <c:pt idx="1">
                  <c:v>0.82700163398692805</c:v>
                </c:pt>
              </c:numCache>
            </c:numRef>
          </c:val>
          <c:extLst>
            <c:ext xmlns:c16="http://schemas.microsoft.com/office/drawing/2014/chart" uri="{C3380CC4-5D6E-409C-BE32-E72D297353CC}">
              <c16:uniqueId val="{00000000-84C3-4835-AE7A-682641FDA44D}"/>
            </c:ext>
          </c:extLst>
        </c:ser>
        <c:ser>
          <c:idx val="1"/>
          <c:order val="1"/>
          <c:tx>
            <c:strRef>
              <c:f>'Ratio Calculation'!$J$43</c:f>
              <c:strCache>
                <c:ptCount val="1"/>
                <c:pt idx="0">
                  <c:v>2024</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 Calculation'!$H$44:$H$45</c:f>
              <c:strCache>
                <c:ptCount val="2"/>
                <c:pt idx="0">
                  <c:v>Asset Turnover</c:v>
                </c:pt>
                <c:pt idx="1">
                  <c:v>Fixed Asset Turnover</c:v>
                </c:pt>
              </c:strCache>
            </c:strRef>
          </c:cat>
          <c:val>
            <c:numRef>
              <c:f>'Ratio Calculation'!$J$44:$J$45</c:f>
              <c:numCache>
                <c:formatCode>0.00</c:formatCode>
                <c:ptCount val="2"/>
                <c:pt idx="0">
                  <c:v>0.44572722874609666</c:v>
                </c:pt>
                <c:pt idx="1">
                  <c:v>0.86170393674007317</c:v>
                </c:pt>
              </c:numCache>
            </c:numRef>
          </c:val>
          <c:extLst>
            <c:ext xmlns:c16="http://schemas.microsoft.com/office/drawing/2014/chart" uri="{C3380CC4-5D6E-409C-BE32-E72D297353CC}">
              <c16:uniqueId val="{00000001-84C3-4835-AE7A-682641FDA44D}"/>
            </c:ext>
          </c:extLst>
        </c:ser>
        <c:dLbls>
          <c:dLblPos val="inEnd"/>
          <c:showLegendKey val="0"/>
          <c:showVal val="1"/>
          <c:showCatName val="0"/>
          <c:showSerName val="0"/>
          <c:showPercent val="0"/>
          <c:showBubbleSize val="0"/>
        </c:dLbls>
        <c:gapWidth val="65"/>
        <c:axId val="1111044944"/>
        <c:axId val="1111045424"/>
      </c:barChart>
      <c:catAx>
        <c:axId val="1111044944"/>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111045424"/>
        <c:crosses val="autoZero"/>
        <c:auto val="1"/>
        <c:lblAlgn val="ctr"/>
        <c:lblOffset val="100"/>
        <c:noMultiLvlLbl val="0"/>
      </c:catAx>
      <c:valAx>
        <c:axId val="1111045424"/>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111044944"/>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