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A14" w:rsidRDefault="00566A14">
      <w:pPr>
        <w:rPr>
          <w:b/>
          <w:u w:val="single"/>
        </w:rPr>
      </w:pPr>
    </w:p>
    <w:p w:rsidR="00566A14" w:rsidRDefault="0054629F">
      <w:pPr>
        <w:rPr>
          <w:b/>
          <w:u w:val="single"/>
        </w:rPr>
      </w:pPr>
      <w:r>
        <w:rPr>
          <w:b/>
          <w:noProof/>
          <w:u w:val="single"/>
        </w:rPr>
        <w:drawing>
          <wp:inline distT="114300" distB="114300" distL="114300" distR="114300">
            <wp:extent cx="3100388" cy="10278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100388" cy="1027800"/>
                    </a:xfrm>
                    <a:prstGeom prst="rect">
                      <a:avLst/>
                    </a:prstGeom>
                    <a:ln/>
                  </pic:spPr>
                </pic:pic>
              </a:graphicData>
            </a:graphic>
          </wp:inline>
        </w:drawing>
      </w: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66A14">
      <w:pPr>
        <w:jc w:val="center"/>
        <w:rPr>
          <w:b/>
          <w:u w:val="single"/>
        </w:rPr>
      </w:pPr>
    </w:p>
    <w:p w:rsidR="00566A14" w:rsidRDefault="0054629F">
      <w:pPr>
        <w:jc w:val="center"/>
        <w:rPr>
          <w:b/>
          <w:sz w:val="28"/>
          <w:szCs w:val="28"/>
          <w:u w:val="single"/>
        </w:rPr>
      </w:pPr>
      <w:r>
        <w:rPr>
          <w:b/>
          <w:sz w:val="28"/>
          <w:szCs w:val="28"/>
          <w:u w:val="single"/>
        </w:rPr>
        <w:t xml:space="preserve">Personal Effects of Changing University Campus </w:t>
      </w:r>
      <w:proofErr w:type="gramStart"/>
      <w:r>
        <w:rPr>
          <w:b/>
          <w:sz w:val="28"/>
          <w:szCs w:val="28"/>
          <w:u w:val="single"/>
        </w:rPr>
        <w:t>Within</w:t>
      </w:r>
      <w:proofErr w:type="gramEnd"/>
      <w:r>
        <w:rPr>
          <w:b/>
          <w:sz w:val="28"/>
          <w:szCs w:val="28"/>
          <w:u w:val="single"/>
        </w:rPr>
        <w:t xml:space="preserve"> Students </w:t>
      </w:r>
    </w:p>
    <w:p w:rsidR="00566A14" w:rsidRDefault="00566A14">
      <w:pPr>
        <w:jc w:val="center"/>
        <w:rPr>
          <w:b/>
          <w:sz w:val="28"/>
          <w:szCs w:val="28"/>
          <w:u w:val="single"/>
        </w:rPr>
      </w:pPr>
    </w:p>
    <w:p w:rsidR="00566A14" w:rsidRDefault="0054629F">
      <w:pPr>
        <w:jc w:val="center"/>
        <w:rPr>
          <w:b/>
          <w:u w:val="single"/>
        </w:rPr>
      </w:pPr>
      <w:r>
        <w:br w:type="page"/>
      </w:r>
    </w:p>
    <w:p w:rsidR="00566A14" w:rsidRDefault="0054629F">
      <w:pPr>
        <w:jc w:val="center"/>
        <w:rPr>
          <w:b/>
          <w:u w:val="single"/>
        </w:rPr>
      </w:pPr>
      <w:r>
        <w:rPr>
          <w:b/>
          <w:u w:val="single"/>
        </w:rPr>
        <w:lastRenderedPageBreak/>
        <w:t xml:space="preserve">Abstract </w:t>
      </w:r>
    </w:p>
    <w:p w:rsidR="00566A14" w:rsidRDefault="00566A14">
      <w:pPr>
        <w:jc w:val="center"/>
        <w:rPr>
          <w:b/>
          <w:u w:val="single"/>
        </w:rPr>
      </w:pPr>
    </w:p>
    <w:p w:rsidR="00566A14" w:rsidRDefault="0054629F">
      <w:pPr>
        <w:spacing w:line="240" w:lineRule="auto"/>
        <w:jc w:val="center"/>
        <w:rPr>
          <w:b/>
          <w:u w:val="single"/>
        </w:rPr>
      </w:pPr>
      <w:r>
        <w:t>This report demonstrates the attitudes of three undergraduate students towards their education after moving from one university campus to a brand new campus after their first year of education. The hypothesis was that the participants would portray negativ</w:t>
      </w:r>
      <w:r>
        <w:t xml:space="preserve">e attitudes towards the move following the literature review. The data was collected through semi-structured interviews involving four questions about their perceptions on the move. The data that was collected was analysed in IPA form. Many themes emerged </w:t>
      </w:r>
      <w:r>
        <w:t xml:space="preserve">in the results of the transcriptions including positive attitudes, productivity increase and a sense of togetherness. From the results, it can be concluded that the hypothesis of this study was not supported as the participants depicted positive attitudes </w:t>
      </w:r>
      <w:r>
        <w:t xml:space="preserve">about the move of university campuses. </w:t>
      </w:r>
      <w:r>
        <w:br w:type="page"/>
      </w:r>
    </w:p>
    <w:p w:rsidR="00566A14" w:rsidRDefault="0054629F">
      <w:pPr>
        <w:spacing w:line="480" w:lineRule="auto"/>
        <w:jc w:val="center"/>
        <w:rPr>
          <w:b/>
          <w:u w:val="single"/>
        </w:rPr>
      </w:pPr>
      <w:r>
        <w:rPr>
          <w:b/>
          <w:u w:val="single"/>
        </w:rPr>
        <w:lastRenderedPageBreak/>
        <w:t xml:space="preserve">Introduction </w:t>
      </w:r>
    </w:p>
    <w:p w:rsidR="00566A14" w:rsidRDefault="00566A14">
      <w:pPr>
        <w:spacing w:line="480" w:lineRule="auto"/>
        <w:rPr>
          <w:b/>
          <w:u w:val="single"/>
        </w:rPr>
      </w:pPr>
    </w:p>
    <w:p w:rsidR="00566A14" w:rsidRDefault="0054629F">
      <w:pPr>
        <w:spacing w:line="480" w:lineRule="auto"/>
        <w:ind w:firstLine="720"/>
        <w:rPr>
          <w:color w:val="45818E"/>
        </w:rPr>
      </w:pPr>
      <w:r>
        <w:t>Studies have suggested that negative effects appear within secondary school students who experience moving place of education (</w:t>
      </w:r>
      <w:r>
        <w:rPr>
          <w:sz w:val="21"/>
          <w:szCs w:val="21"/>
          <w:highlight w:val="white"/>
        </w:rPr>
        <w:t xml:space="preserve">Eccles, </w:t>
      </w:r>
      <w:proofErr w:type="spellStart"/>
      <w:r>
        <w:rPr>
          <w:sz w:val="21"/>
          <w:szCs w:val="21"/>
          <w:highlight w:val="white"/>
        </w:rPr>
        <w:t>Wigfield</w:t>
      </w:r>
      <w:proofErr w:type="spellEnd"/>
      <w:r>
        <w:rPr>
          <w:sz w:val="21"/>
          <w:szCs w:val="21"/>
          <w:highlight w:val="white"/>
        </w:rPr>
        <w:t xml:space="preserve">, </w:t>
      </w:r>
      <w:proofErr w:type="spellStart"/>
      <w:r>
        <w:rPr>
          <w:sz w:val="21"/>
          <w:szCs w:val="21"/>
          <w:highlight w:val="white"/>
        </w:rPr>
        <w:t>Midgley</w:t>
      </w:r>
      <w:proofErr w:type="spellEnd"/>
      <w:r>
        <w:rPr>
          <w:sz w:val="21"/>
          <w:szCs w:val="21"/>
          <w:highlight w:val="white"/>
        </w:rPr>
        <w:t xml:space="preserve">, </w:t>
      </w:r>
      <w:proofErr w:type="spellStart"/>
      <w:r>
        <w:rPr>
          <w:sz w:val="21"/>
          <w:szCs w:val="21"/>
          <w:highlight w:val="white"/>
        </w:rPr>
        <w:t>Reuman</w:t>
      </w:r>
      <w:proofErr w:type="spellEnd"/>
      <w:r>
        <w:rPr>
          <w:sz w:val="21"/>
          <w:szCs w:val="21"/>
          <w:highlight w:val="white"/>
        </w:rPr>
        <w:t xml:space="preserve">, Mac </w:t>
      </w:r>
      <w:proofErr w:type="spellStart"/>
      <w:r>
        <w:rPr>
          <w:sz w:val="21"/>
          <w:szCs w:val="21"/>
          <w:highlight w:val="white"/>
        </w:rPr>
        <w:t>Iver</w:t>
      </w:r>
      <w:proofErr w:type="spellEnd"/>
      <w:r>
        <w:rPr>
          <w:sz w:val="21"/>
          <w:szCs w:val="21"/>
          <w:highlight w:val="white"/>
        </w:rPr>
        <w:t xml:space="preserve">, &amp; </w:t>
      </w:r>
      <w:proofErr w:type="spellStart"/>
      <w:r>
        <w:rPr>
          <w:sz w:val="21"/>
          <w:szCs w:val="21"/>
          <w:highlight w:val="white"/>
        </w:rPr>
        <w:t>Feldlaufer</w:t>
      </w:r>
      <w:proofErr w:type="spellEnd"/>
      <w:r>
        <w:rPr>
          <w:sz w:val="21"/>
          <w:szCs w:val="21"/>
          <w:highlight w:val="white"/>
        </w:rPr>
        <w:t>, 1993)</w:t>
      </w:r>
      <w:r>
        <w:t xml:space="preserve">. Moving </w:t>
      </w:r>
      <w:r>
        <w:t>place of education has been regarded as a stressful time filled with turmoil (Grills-</w:t>
      </w:r>
      <w:proofErr w:type="spellStart"/>
      <w:r>
        <w:t>Taquechel</w:t>
      </w:r>
      <w:proofErr w:type="spellEnd"/>
      <w:r>
        <w:t xml:space="preserve">, Norton &amp; </w:t>
      </w:r>
      <w:proofErr w:type="spellStart"/>
      <w:r>
        <w:t>Ollendick</w:t>
      </w:r>
      <w:proofErr w:type="spellEnd"/>
      <w:r>
        <w:t xml:space="preserve">, 2011). The purpose of this report was to analyse and measure the positive and/or negative effects of coping with moving university campuses </w:t>
      </w:r>
      <w:r>
        <w:t>on three students during their undergraduate courses. Following the literature review of moving to a new place of education; the hypothesis for this study is that participants would depict negative attitudes towards the move to the new campus. However, mul</w:t>
      </w:r>
      <w:r>
        <w:t xml:space="preserve">tiple contradicting factors will be discussed in regards to the findings of the study.  </w:t>
      </w:r>
    </w:p>
    <w:p w:rsidR="00566A14" w:rsidRDefault="00566A14">
      <w:pPr>
        <w:spacing w:line="480" w:lineRule="auto"/>
        <w:ind w:firstLine="720"/>
      </w:pPr>
    </w:p>
    <w:p w:rsidR="00566A14" w:rsidRDefault="0054629F">
      <w:pPr>
        <w:spacing w:line="480" w:lineRule="auto"/>
        <w:ind w:firstLine="720"/>
      </w:pPr>
      <w:r>
        <w:t xml:space="preserve">Many themes have emerged within the transcripts of the three undergraduate participants that have moved from the </w:t>
      </w:r>
      <w:proofErr w:type="spellStart"/>
      <w:r>
        <w:t>Townhill</w:t>
      </w:r>
      <w:proofErr w:type="spellEnd"/>
      <w:r>
        <w:t xml:space="preserve"> campus to the brand new SA1 campus. The qualitative analytic method used to analyse the data collected as part of this study was IPA i</w:t>
      </w:r>
      <w:r>
        <w:t xml:space="preserve">n order to explore how participants experienced the world around them. These themes predominantly depicted a new found motivation to continue with the university workload because of the modernized environment that the students have found beneficial. </w:t>
      </w:r>
    </w:p>
    <w:p w:rsidR="00566A14" w:rsidRDefault="00566A14">
      <w:pPr>
        <w:spacing w:line="480" w:lineRule="auto"/>
        <w:rPr>
          <w:b/>
          <w:u w:val="single"/>
        </w:rPr>
      </w:pPr>
    </w:p>
    <w:p w:rsidR="00566A14" w:rsidRDefault="0054629F">
      <w:pPr>
        <w:spacing w:line="480" w:lineRule="auto"/>
        <w:jc w:val="center"/>
        <w:rPr>
          <w:b/>
          <w:u w:val="single"/>
        </w:rPr>
      </w:pPr>
      <w:r>
        <w:rPr>
          <w:b/>
          <w:u w:val="single"/>
        </w:rPr>
        <w:t>Meth</w:t>
      </w:r>
      <w:r>
        <w:rPr>
          <w:b/>
          <w:u w:val="single"/>
        </w:rPr>
        <w:t xml:space="preserve">od </w:t>
      </w:r>
    </w:p>
    <w:p w:rsidR="00566A14" w:rsidRDefault="00566A14">
      <w:pPr>
        <w:spacing w:line="480" w:lineRule="auto"/>
        <w:rPr>
          <w:b/>
          <w:u w:val="single"/>
        </w:rPr>
      </w:pPr>
    </w:p>
    <w:p w:rsidR="00566A14" w:rsidRDefault="0054629F">
      <w:pPr>
        <w:spacing w:line="480" w:lineRule="auto"/>
        <w:rPr>
          <w:b/>
          <w:u w:val="single"/>
        </w:rPr>
      </w:pPr>
      <w:r>
        <w:rPr>
          <w:b/>
          <w:u w:val="single"/>
        </w:rPr>
        <w:t>Participants</w:t>
      </w:r>
    </w:p>
    <w:p w:rsidR="00566A14" w:rsidRDefault="00566A14">
      <w:pPr>
        <w:spacing w:line="480" w:lineRule="auto"/>
        <w:rPr>
          <w:b/>
          <w:u w:val="single"/>
        </w:rPr>
      </w:pPr>
    </w:p>
    <w:p w:rsidR="00566A14" w:rsidRDefault="0054629F">
      <w:pPr>
        <w:spacing w:line="480" w:lineRule="auto"/>
        <w:ind w:firstLine="720"/>
      </w:pPr>
      <w:r>
        <w:t xml:space="preserve">Three participants were selected via opportunistic sampling to participate in an interview based study.  These participants, who were given pseudonyms, were selected from a group of second year students that had moved from the </w:t>
      </w:r>
      <w:proofErr w:type="spellStart"/>
      <w:r>
        <w:t>Townhill</w:t>
      </w:r>
      <w:proofErr w:type="spellEnd"/>
      <w:r>
        <w:t xml:space="preserve"> c</w:t>
      </w:r>
      <w:r>
        <w:t xml:space="preserve">ampus where they studied for their first year and moved to the SA1 campus for the second year of their undergraduate psychology course. The reason for this is to explore the personal effects of </w:t>
      </w:r>
      <w:r>
        <w:lastRenderedPageBreak/>
        <w:t>moving university campus during their studies. The age range o</w:t>
      </w:r>
      <w:r>
        <w:t xml:space="preserve">f the participants were from 19 to 23 (M = 20.66, SD = 2.08) including two females and one male. </w:t>
      </w:r>
    </w:p>
    <w:p w:rsidR="00566A14" w:rsidRDefault="00566A14">
      <w:pPr>
        <w:spacing w:line="480" w:lineRule="auto"/>
        <w:ind w:firstLine="720"/>
      </w:pPr>
    </w:p>
    <w:p w:rsidR="00566A14" w:rsidRDefault="0054629F">
      <w:pPr>
        <w:spacing w:line="480" w:lineRule="auto"/>
        <w:rPr>
          <w:b/>
          <w:u w:val="single"/>
        </w:rPr>
      </w:pPr>
      <w:r>
        <w:rPr>
          <w:b/>
          <w:u w:val="single"/>
        </w:rPr>
        <w:t>Data Analysis / Design</w:t>
      </w:r>
    </w:p>
    <w:p w:rsidR="00566A14" w:rsidRDefault="00566A14">
      <w:pPr>
        <w:spacing w:line="480" w:lineRule="auto"/>
        <w:rPr>
          <w:b/>
          <w:u w:val="single"/>
        </w:rPr>
      </w:pPr>
    </w:p>
    <w:p w:rsidR="00566A14" w:rsidRDefault="0054629F">
      <w:pPr>
        <w:spacing w:line="480" w:lineRule="auto"/>
        <w:ind w:firstLine="720"/>
      </w:pPr>
      <w:r>
        <w:t>All participants were subjected to the same four questions as the design of the interviews were semi-structured including four set qu</w:t>
      </w:r>
      <w:r>
        <w:t>estions, with the option to elaborate on the questions if needed. Each participant was given a pseudonym to ensure confidentiality and anonymity of any personal information given within the data collected in the interviews. Interpretive phenomenological an</w:t>
      </w:r>
      <w:r>
        <w:t>alysis (IPA) was used to analyse the qualitative data collected in the dialogue exchanged between researcher and each participant. This form of analysis was used in order to underpin what the participants were expressing and conveying in their thinking (Sm</w:t>
      </w:r>
      <w:r>
        <w:t>ith &amp; Osborn, 2007).</w:t>
      </w:r>
    </w:p>
    <w:p w:rsidR="00566A14" w:rsidRDefault="00566A14">
      <w:pPr>
        <w:spacing w:line="480" w:lineRule="auto"/>
        <w:ind w:firstLine="720"/>
      </w:pPr>
    </w:p>
    <w:p w:rsidR="00566A14" w:rsidRDefault="0054629F">
      <w:pPr>
        <w:spacing w:line="480" w:lineRule="auto"/>
        <w:rPr>
          <w:b/>
          <w:u w:val="single"/>
        </w:rPr>
      </w:pPr>
      <w:r>
        <w:rPr>
          <w:b/>
          <w:u w:val="single"/>
        </w:rPr>
        <w:t xml:space="preserve">Materials </w:t>
      </w:r>
    </w:p>
    <w:p w:rsidR="00566A14" w:rsidRDefault="00566A14">
      <w:pPr>
        <w:spacing w:line="480" w:lineRule="auto"/>
        <w:rPr>
          <w:b/>
          <w:u w:val="single"/>
        </w:rPr>
      </w:pPr>
    </w:p>
    <w:p w:rsidR="00566A14" w:rsidRDefault="0054629F">
      <w:pPr>
        <w:spacing w:line="480" w:lineRule="auto"/>
        <w:ind w:firstLine="720"/>
      </w:pPr>
      <w:r>
        <w:t xml:space="preserve">The materials used to create this study included a consent form which explained the proceedings of the </w:t>
      </w:r>
      <w:proofErr w:type="gramStart"/>
      <w:r>
        <w:t>study, that</w:t>
      </w:r>
      <w:proofErr w:type="gramEnd"/>
      <w:r>
        <w:t xml:space="preserve"> the participant needed to read and sign if agreed. The next piece of material used was an interview schedul</w:t>
      </w:r>
      <w:r>
        <w:t>e which explained the purpose of the study followed by the four questions that were to be asked to the participants. The recording device used for the study was a ‘Voice Memos’ application on an iPhone 7 mobile phone. The final piece of material used for t</w:t>
      </w:r>
      <w:r>
        <w:t xml:space="preserve">he study was a debrief form, this was to reiterate the aims of the study to the participants and to ensure their awareness of their rights to withdraw from the study. </w:t>
      </w:r>
    </w:p>
    <w:p w:rsidR="00566A14" w:rsidRDefault="00566A14">
      <w:pPr>
        <w:spacing w:line="480" w:lineRule="auto"/>
        <w:rPr>
          <w:b/>
          <w:u w:val="single"/>
        </w:rPr>
      </w:pPr>
    </w:p>
    <w:p w:rsidR="00566A14" w:rsidRDefault="0054629F">
      <w:pPr>
        <w:spacing w:line="480" w:lineRule="auto"/>
        <w:rPr>
          <w:b/>
          <w:u w:val="single"/>
        </w:rPr>
      </w:pPr>
      <w:r>
        <w:rPr>
          <w:b/>
          <w:u w:val="single"/>
        </w:rPr>
        <w:t>Data Collection / Procedure</w:t>
      </w:r>
    </w:p>
    <w:p w:rsidR="00566A14" w:rsidRDefault="00566A14">
      <w:pPr>
        <w:spacing w:line="480" w:lineRule="auto"/>
      </w:pPr>
    </w:p>
    <w:p w:rsidR="00566A14" w:rsidRDefault="0054629F">
      <w:pPr>
        <w:spacing w:line="480" w:lineRule="auto"/>
        <w:ind w:firstLine="720"/>
        <w:rPr>
          <w:b/>
          <w:u w:val="single"/>
        </w:rPr>
      </w:pPr>
      <w:r>
        <w:lastRenderedPageBreak/>
        <w:t>A sample of three undergraduate participants were recruite</w:t>
      </w:r>
      <w:r>
        <w:t>d to conduct this qualitative study. Each participant was lead into a quiet room in the psychology laboratory area of the IQ building in UWTSD SA1 campus. They were asked to read and sign a consent form that briefly described the process of the study and s</w:t>
      </w:r>
      <w:r>
        <w:t>tated the participants’ right to withdraw from the study and also for the information given to be used for assessment. The researcher then explained what the interview would consist of and confirmed with each participant that it would be acceptable to reco</w:t>
      </w:r>
      <w:r>
        <w:t>rd the interview using a ‘Voice Memos’ application on an Apple iPhone 7 that was placed directly in between researcher and participant to ensure adequate audio quality. The researcher then read the interview transcript to the participant and turned the rec</w:t>
      </w:r>
      <w:r>
        <w:t>ording device on upon verbal agreement. The participants were asked if they had any questions before beginning the interview; any questions were answered and the interview began with the questions as displayed in the interview schedule [see appendices]. Th</w:t>
      </w:r>
      <w:r>
        <w:t>e four pre-prepared questions were asked to each participant and their answers were recorded. A summary of the participants’ thoughts were relayed and confirmed before the recording device was turned off. The participants were thanked for their time and gi</w:t>
      </w:r>
      <w:r>
        <w:t xml:space="preserve">ven a debrief form reiterating the aim of the study and reminding them of their rights to withdraw from the study at any point. </w:t>
      </w:r>
    </w:p>
    <w:p w:rsidR="00566A14" w:rsidRDefault="00566A14">
      <w:pPr>
        <w:spacing w:line="480" w:lineRule="auto"/>
        <w:rPr>
          <w:b/>
          <w:u w:val="single"/>
        </w:rPr>
      </w:pPr>
    </w:p>
    <w:p w:rsidR="00566A14" w:rsidRDefault="0054629F">
      <w:pPr>
        <w:spacing w:line="480" w:lineRule="auto"/>
        <w:jc w:val="center"/>
        <w:rPr>
          <w:b/>
          <w:u w:val="single"/>
        </w:rPr>
      </w:pPr>
      <w:r>
        <w:rPr>
          <w:b/>
          <w:u w:val="single"/>
        </w:rPr>
        <w:t xml:space="preserve">Results / Analysis </w:t>
      </w:r>
    </w:p>
    <w:p w:rsidR="00566A14" w:rsidRDefault="00566A14">
      <w:pPr>
        <w:spacing w:line="480" w:lineRule="auto"/>
        <w:rPr>
          <w:b/>
          <w:u w:val="single"/>
        </w:rPr>
      </w:pPr>
    </w:p>
    <w:p w:rsidR="00566A14" w:rsidRDefault="0054629F">
      <w:pPr>
        <w:spacing w:line="480" w:lineRule="auto"/>
        <w:ind w:firstLine="720"/>
      </w:pPr>
      <w:r>
        <w:t>One emerging theme that was noticed while analysing the transcripts was that of the excitement within the</w:t>
      </w:r>
      <w:r>
        <w:t xml:space="preserve"> participants when asked about their expectations of the new campus. This was evident by all of the participants expressing that they were expecting a more “modernized learning environment” (</w:t>
      </w:r>
      <w:proofErr w:type="spellStart"/>
      <w:r>
        <w:t>Cassey</w:t>
      </w:r>
      <w:proofErr w:type="spellEnd"/>
      <w:r>
        <w:t>, 17). As well as the excitement, the positivity within the</w:t>
      </w:r>
      <w:r>
        <w:t xml:space="preserve"> participants because of the change of environment was discussed in regards to the social areas of the university that students found beneficial because of the relaxation they felt within these areas. This theme was consistent of the themes of motivation i</w:t>
      </w:r>
      <w:r>
        <w:t xml:space="preserve">ncrease and the positive attitudes of the students in their university studies following the change of </w:t>
      </w:r>
      <w:r>
        <w:lastRenderedPageBreak/>
        <w:t>campus. This was due to the accessibility of the facilities that are available to students including the library being “new and improved” (Jameson, 38) a</w:t>
      </w:r>
      <w:r>
        <w:t>nd more of a “productive place” (</w:t>
      </w:r>
      <w:proofErr w:type="spellStart"/>
      <w:r>
        <w:t>Cassey</w:t>
      </w:r>
      <w:proofErr w:type="spellEnd"/>
      <w:r>
        <w:t xml:space="preserve">, 41). The participants especially noted the benefits within the school of psychology; for example the psychology labs and the private, quiet areas that they provide for the students to complete their assignments. </w:t>
      </w:r>
    </w:p>
    <w:p w:rsidR="00566A14" w:rsidRDefault="00566A14">
      <w:pPr>
        <w:spacing w:line="480" w:lineRule="auto"/>
        <w:ind w:firstLine="720"/>
      </w:pPr>
    </w:p>
    <w:p w:rsidR="00566A14" w:rsidRDefault="0054629F">
      <w:pPr>
        <w:spacing w:line="480" w:lineRule="auto"/>
        <w:ind w:firstLine="720"/>
        <w:rPr>
          <w:color w:val="76A5AF"/>
        </w:rPr>
      </w:pPr>
      <w:r>
        <w:t>A</w:t>
      </w:r>
      <w:r>
        <w:t>nother theme that emerged is the sense of togetherness that one participant spoke about. However, this will be considered as a theme as these participants undertake the same undergraduate course. This was felt specifically by one participant as the partici</w:t>
      </w:r>
      <w:r>
        <w:t>pants all moved to the new campus with their together, expressing that they had “all gone through the same development” (Gracie 52, 53) and thus did not need to discover the new campus on their own. In saying this, this one participant was also the only on</w:t>
      </w:r>
      <w:r>
        <w:t xml:space="preserve">e to express feelings of nervousness about the change of campus expressing that she “didn’t know what to expect” (Gracie, 18). However this was because there was not much information given to the students about the move or about what the </w:t>
      </w:r>
      <w:proofErr w:type="spellStart"/>
      <w:r>
        <w:t>ne</w:t>
      </w:r>
      <w:proofErr w:type="spellEnd"/>
      <w:r>
        <w:t xml:space="preserve"> campus entailed</w:t>
      </w:r>
      <w:r>
        <w:t xml:space="preserve">. </w:t>
      </w:r>
    </w:p>
    <w:p w:rsidR="00566A14" w:rsidRDefault="00566A14">
      <w:pPr>
        <w:spacing w:line="480" w:lineRule="auto"/>
        <w:rPr>
          <w:b/>
          <w:u w:val="single"/>
        </w:rPr>
      </w:pPr>
    </w:p>
    <w:p w:rsidR="00566A14" w:rsidRDefault="0054629F">
      <w:pPr>
        <w:spacing w:line="480" w:lineRule="auto"/>
        <w:jc w:val="center"/>
        <w:rPr>
          <w:color w:val="CC0000"/>
        </w:rPr>
      </w:pPr>
      <w:r>
        <w:rPr>
          <w:b/>
          <w:u w:val="single"/>
        </w:rPr>
        <w:t xml:space="preserve">Discussion </w:t>
      </w:r>
    </w:p>
    <w:p w:rsidR="00566A14" w:rsidRDefault="00566A14">
      <w:pPr>
        <w:spacing w:line="480" w:lineRule="auto"/>
        <w:rPr>
          <w:color w:val="CC0000"/>
        </w:rPr>
      </w:pPr>
    </w:p>
    <w:p w:rsidR="00566A14" w:rsidRDefault="0054629F">
      <w:pPr>
        <w:spacing w:line="480" w:lineRule="auto"/>
        <w:ind w:firstLine="720"/>
      </w:pPr>
      <w:r>
        <w:t xml:space="preserve">The most significant theme throughout the transcripts was the productivity increase of the students after moving from the previous campus of </w:t>
      </w:r>
      <w:proofErr w:type="spellStart"/>
      <w:r>
        <w:t>Townhill</w:t>
      </w:r>
      <w:proofErr w:type="spellEnd"/>
      <w:r>
        <w:t xml:space="preserve"> to the new SA1 campus. A sub theme that emerged with this is the excitement feelings within the participan</w:t>
      </w:r>
      <w:r>
        <w:t xml:space="preserve">ts about the move. It could be suggested that the high arousal of the modernization and the advanced equipment of the new campus would have helped the participants cope with the feelings of stress and anxiety of the new setting (Gupta &amp; </w:t>
      </w:r>
      <w:proofErr w:type="spellStart"/>
      <w:r>
        <w:t>Derevensky</w:t>
      </w:r>
      <w:proofErr w:type="spellEnd"/>
      <w:r>
        <w:t xml:space="preserve">, 2001). </w:t>
      </w:r>
    </w:p>
    <w:p w:rsidR="00566A14" w:rsidRDefault="00566A14">
      <w:pPr>
        <w:spacing w:line="480" w:lineRule="auto"/>
        <w:ind w:firstLine="720"/>
      </w:pPr>
    </w:p>
    <w:p w:rsidR="00566A14" w:rsidRDefault="0054629F">
      <w:pPr>
        <w:spacing w:line="480" w:lineRule="auto"/>
        <w:ind w:firstLine="720"/>
        <w:rPr>
          <w:color w:val="FF0000"/>
        </w:rPr>
      </w:pPr>
      <w:r>
        <w:t>One theme that was noticed during the analysis of the transcripts is that the levels of negative attitudes towards the new campus were low in comparison to what was hypothesised. A factor that may have contributed to this is that the participants already</w:t>
      </w:r>
      <w:r>
        <w:t xml:space="preserve"> have </w:t>
      </w:r>
      <w:r>
        <w:lastRenderedPageBreak/>
        <w:t xml:space="preserve">a peer group to turn to for help and advice about the move. Whereas it could be argued that young adults moving to an entirely new school may not have this support and may have higher levels of stress and anxiety. This is reflected in support groups </w:t>
      </w:r>
      <w:r>
        <w:t xml:space="preserve">such as Alcoholics Anonymous who offer companionship to others coping with the same stressors; </w:t>
      </w:r>
      <w:proofErr w:type="spellStart"/>
      <w:r>
        <w:t>Laffaye</w:t>
      </w:r>
      <w:proofErr w:type="spellEnd"/>
      <w:r>
        <w:t xml:space="preserve"> and colleagues found that involvement in this type of support group has a positive impact on substance abusers (</w:t>
      </w:r>
      <w:proofErr w:type="spellStart"/>
      <w:r>
        <w:t>Laffaye</w:t>
      </w:r>
      <w:proofErr w:type="spellEnd"/>
      <w:r>
        <w:t xml:space="preserve">, McKellar, </w:t>
      </w:r>
      <w:proofErr w:type="spellStart"/>
      <w:r>
        <w:t>Ilgen</w:t>
      </w:r>
      <w:proofErr w:type="spellEnd"/>
      <w:r>
        <w:t xml:space="preserve"> &amp; Moos, 2008). T</w:t>
      </w:r>
      <w:r>
        <w:t xml:space="preserve">his involvement with a peer group could have contributed to the reasons behind the low levels of stress and anxiety felt by the participants in this study. </w:t>
      </w:r>
    </w:p>
    <w:p w:rsidR="00566A14" w:rsidRDefault="00566A14">
      <w:pPr>
        <w:spacing w:line="480" w:lineRule="auto"/>
        <w:ind w:firstLine="720"/>
        <w:rPr>
          <w:color w:val="FF0000"/>
        </w:rPr>
      </w:pPr>
    </w:p>
    <w:p w:rsidR="00566A14" w:rsidRDefault="0054629F">
      <w:pPr>
        <w:spacing w:line="480" w:lineRule="auto"/>
        <w:ind w:firstLine="720"/>
        <w:rPr>
          <w:b/>
          <w:u w:val="single"/>
        </w:rPr>
      </w:pPr>
      <w:r>
        <w:t>To conclude this report, t</w:t>
      </w:r>
      <w:r>
        <w:t>he findings of the qualitative study described in this report may not reflect the literature discussed because of the ages of the participants used. The literature review describes the anxiety and stress of young adults moving places of lower education. Th</w:t>
      </w:r>
      <w:r>
        <w:t xml:space="preserve">is study however included participants of higher education. It could be argued that university environments and requirements advocate for a certain level of independence within their students because of university standard learning methods. </w:t>
      </w:r>
      <w:proofErr w:type="spellStart"/>
      <w:r>
        <w:t>Holdsworth</w:t>
      </w:r>
      <w:proofErr w:type="spellEnd"/>
      <w:r>
        <w:t xml:space="preserve"> (200</w:t>
      </w:r>
      <w:r>
        <w:t>8) found that independence is ubiquitous within university students and explains this as young adults “transitioning to adulthood”. This could have contributed to the participants’ positive thoughts regarding moving to a new place of education. Thus, the f</w:t>
      </w:r>
      <w:r>
        <w:t xml:space="preserve">inal conclusion to this report is that the original hypothesis for the study was not supported; as overall, the participants presented positive and productive attitudes to the move to the new campus. </w:t>
      </w:r>
    </w:p>
    <w:p w:rsidR="00566A14" w:rsidRDefault="0054629F">
      <w:pPr>
        <w:spacing w:line="480" w:lineRule="auto"/>
        <w:rPr>
          <w:b/>
          <w:u w:val="single"/>
        </w:rPr>
      </w:pPr>
      <w:r>
        <w:br w:type="page"/>
      </w:r>
    </w:p>
    <w:p w:rsidR="00566A14" w:rsidRDefault="0054629F">
      <w:pPr>
        <w:spacing w:line="480" w:lineRule="auto"/>
        <w:rPr>
          <w:b/>
          <w:u w:val="single"/>
        </w:rPr>
      </w:pPr>
      <w:r>
        <w:rPr>
          <w:b/>
          <w:u w:val="single"/>
        </w:rPr>
        <w:lastRenderedPageBreak/>
        <w:t>References</w:t>
      </w:r>
    </w:p>
    <w:p w:rsidR="00566A14" w:rsidRDefault="00566A14">
      <w:pPr>
        <w:rPr>
          <w:b/>
        </w:rPr>
      </w:pPr>
    </w:p>
    <w:p w:rsidR="00566A14" w:rsidRDefault="00566A14">
      <w:pPr>
        <w:rPr>
          <w:u w:val="single"/>
        </w:rPr>
      </w:pPr>
    </w:p>
    <w:p w:rsidR="00566A14" w:rsidRDefault="0054629F">
      <w:pPr>
        <w:ind w:firstLine="720"/>
        <w:rPr>
          <w:color w:val="222222"/>
          <w:highlight w:val="white"/>
        </w:rPr>
      </w:pPr>
      <w:r>
        <w:rPr>
          <w:color w:val="222222"/>
          <w:highlight w:val="white"/>
        </w:rPr>
        <w:t>Grills-</w:t>
      </w:r>
      <w:proofErr w:type="spellStart"/>
      <w:r>
        <w:rPr>
          <w:color w:val="222222"/>
          <w:highlight w:val="white"/>
        </w:rPr>
        <w:t>Taquechel</w:t>
      </w:r>
      <w:proofErr w:type="spellEnd"/>
      <w:r>
        <w:rPr>
          <w:color w:val="222222"/>
          <w:highlight w:val="white"/>
        </w:rPr>
        <w:t xml:space="preserve">, A. E., Norton, P., &amp; </w:t>
      </w:r>
      <w:proofErr w:type="spellStart"/>
      <w:r>
        <w:rPr>
          <w:color w:val="222222"/>
          <w:highlight w:val="white"/>
        </w:rPr>
        <w:t>O</w:t>
      </w:r>
      <w:r>
        <w:rPr>
          <w:color w:val="222222"/>
          <w:highlight w:val="white"/>
        </w:rPr>
        <w:t>llendick</w:t>
      </w:r>
      <w:proofErr w:type="spellEnd"/>
      <w:r>
        <w:rPr>
          <w:color w:val="222222"/>
          <w:highlight w:val="white"/>
        </w:rPr>
        <w:t xml:space="preserve">, T. H. (2010). A longitudinal examination of factors predicting anxiety during the transition to middle school. </w:t>
      </w:r>
      <w:r>
        <w:rPr>
          <w:i/>
          <w:color w:val="222222"/>
          <w:highlight w:val="white"/>
        </w:rPr>
        <w:t>Anxiety, Stress, &amp; Coping</w:t>
      </w:r>
      <w:r>
        <w:rPr>
          <w:color w:val="222222"/>
          <w:highlight w:val="white"/>
        </w:rPr>
        <w:t xml:space="preserve">, </w:t>
      </w:r>
      <w:r>
        <w:rPr>
          <w:i/>
          <w:color w:val="222222"/>
          <w:highlight w:val="white"/>
        </w:rPr>
        <w:t>23</w:t>
      </w:r>
      <w:r>
        <w:rPr>
          <w:color w:val="222222"/>
          <w:highlight w:val="white"/>
        </w:rPr>
        <w:t>(5), 493-513.</w:t>
      </w:r>
      <w:r>
        <w:fldChar w:fldCharType="begin"/>
      </w:r>
      <w:r>
        <w:instrText xml:space="preserve"> HYPERLINK "https://doi.org/10.1086/461740" </w:instrText>
      </w:r>
      <w:r>
        <w:fldChar w:fldCharType="separate"/>
      </w:r>
    </w:p>
    <w:p w:rsidR="00566A14" w:rsidRDefault="0054629F">
      <w:pPr>
        <w:rPr>
          <w:b/>
          <w:u w:val="single"/>
        </w:rPr>
      </w:pPr>
      <w:r>
        <w:fldChar w:fldCharType="end"/>
      </w:r>
    </w:p>
    <w:p w:rsidR="00566A14" w:rsidRDefault="0054629F">
      <w:pPr>
        <w:ind w:firstLine="720"/>
        <w:rPr>
          <w:color w:val="222222"/>
          <w:highlight w:val="white"/>
        </w:rPr>
      </w:pPr>
      <w:r>
        <w:rPr>
          <w:color w:val="222222"/>
          <w:highlight w:val="white"/>
        </w:rPr>
        <w:t xml:space="preserve">Gupta, R., &amp; </w:t>
      </w:r>
      <w:proofErr w:type="spellStart"/>
      <w:r>
        <w:rPr>
          <w:color w:val="222222"/>
          <w:highlight w:val="white"/>
        </w:rPr>
        <w:t>Derevensky</w:t>
      </w:r>
      <w:proofErr w:type="spellEnd"/>
      <w:r>
        <w:rPr>
          <w:color w:val="222222"/>
          <w:highlight w:val="white"/>
        </w:rPr>
        <w:t xml:space="preserve">, J. L. (2001). </w:t>
      </w:r>
      <w:r>
        <w:rPr>
          <w:i/>
          <w:color w:val="222222"/>
          <w:highlight w:val="white"/>
        </w:rPr>
        <w:t>An ex</w:t>
      </w:r>
      <w:r>
        <w:rPr>
          <w:i/>
          <w:color w:val="222222"/>
          <w:highlight w:val="white"/>
        </w:rPr>
        <w:t>amination of the differential coping styles of adolescents with gambling problems</w:t>
      </w:r>
      <w:r>
        <w:rPr>
          <w:color w:val="222222"/>
          <w:highlight w:val="white"/>
        </w:rPr>
        <w:t xml:space="preserve">. International Centre for Youth Gambling Problems and High-Risk </w:t>
      </w:r>
      <w:proofErr w:type="spellStart"/>
      <w:r>
        <w:rPr>
          <w:color w:val="222222"/>
          <w:highlight w:val="white"/>
        </w:rPr>
        <w:t>Behaviors</w:t>
      </w:r>
      <w:proofErr w:type="spellEnd"/>
      <w:r>
        <w:rPr>
          <w:color w:val="222222"/>
          <w:highlight w:val="white"/>
        </w:rPr>
        <w:t>.</w:t>
      </w:r>
    </w:p>
    <w:p w:rsidR="00566A14" w:rsidRDefault="00566A14">
      <w:pPr>
        <w:ind w:firstLine="720"/>
        <w:rPr>
          <w:color w:val="222222"/>
          <w:highlight w:val="white"/>
        </w:rPr>
      </w:pPr>
    </w:p>
    <w:p w:rsidR="00566A14" w:rsidRDefault="0054629F">
      <w:pPr>
        <w:ind w:firstLine="720"/>
        <w:rPr>
          <w:color w:val="222222"/>
          <w:highlight w:val="white"/>
        </w:rPr>
      </w:pPr>
      <w:proofErr w:type="spellStart"/>
      <w:r>
        <w:rPr>
          <w:color w:val="222222"/>
          <w:highlight w:val="white"/>
        </w:rPr>
        <w:t>Holdsworth</w:t>
      </w:r>
      <w:proofErr w:type="spellEnd"/>
      <w:r>
        <w:rPr>
          <w:color w:val="222222"/>
          <w:highlight w:val="white"/>
        </w:rPr>
        <w:t xml:space="preserve">, C. (2009). ‘Going away to </w:t>
      </w:r>
      <w:proofErr w:type="spellStart"/>
      <w:r>
        <w:rPr>
          <w:color w:val="222222"/>
          <w:highlight w:val="white"/>
        </w:rPr>
        <w:t>uni</w:t>
      </w:r>
      <w:proofErr w:type="spellEnd"/>
      <w:r>
        <w:rPr>
          <w:color w:val="222222"/>
          <w:highlight w:val="white"/>
        </w:rPr>
        <w:t xml:space="preserve">’: mobility, modernity, and independence of </w:t>
      </w:r>
      <w:proofErr w:type="spellStart"/>
      <w:proofErr w:type="gramStart"/>
      <w:r>
        <w:rPr>
          <w:color w:val="222222"/>
          <w:highlight w:val="white"/>
        </w:rPr>
        <w:t>english</w:t>
      </w:r>
      <w:proofErr w:type="spellEnd"/>
      <w:proofErr w:type="gramEnd"/>
      <w:r>
        <w:rPr>
          <w:color w:val="222222"/>
          <w:highlight w:val="white"/>
        </w:rPr>
        <w:t xml:space="preserve"> highe</w:t>
      </w:r>
      <w:r>
        <w:rPr>
          <w:color w:val="222222"/>
          <w:highlight w:val="white"/>
        </w:rPr>
        <w:t xml:space="preserve">r education students. </w:t>
      </w:r>
      <w:r>
        <w:rPr>
          <w:i/>
          <w:color w:val="222222"/>
          <w:highlight w:val="white"/>
        </w:rPr>
        <w:t>Environment and Planning A</w:t>
      </w:r>
      <w:r>
        <w:rPr>
          <w:color w:val="222222"/>
          <w:highlight w:val="white"/>
        </w:rPr>
        <w:t xml:space="preserve">, </w:t>
      </w:r>
      <w:r>
        <w:rPr>
          <w:i/>
          <w:color w:val="222222"/>
          <w:highlight w:val="white"/>
        </w:rPr>
        <w:t>41</w:t>
      </w:r>
      <w:r>
        <w:rPr>
          <w:color w:val="222222"/>
          <w:highlight w:val="white"/>
        </w:rPr>
        <w:t>(8), 1849-1864.</w:t>
      </w:r>
    </w:p>
    <w:p w:rsidR="00566A14" w:rsidRDefault="00566A14">
      <w:pPr>
        <w:ind w:firstLine="720"/>
        <w:rPr>
          <w:color w:val="222222"/>
          <w:highlight w:val="white"/>
        </w:rPr>
      </w:pPr>
    </w:p>
    <w:p w:rsidR="00566A14" w:rsidRDefault="0054629F">
      <w:pPr>
        <w:ind w:firstLine="720"/>
        <w:rPr>
          <w:highlight w:val="white"/>
        </w:rPr>
      </w:pPr>
      <w:proofErr w:type="spellStart"/>
      <w:r>
        <w:rPr>
          <w:highlight w:val="white"/>
        </w:rPr>
        <w:t>Jacquelynne</w:t>
      </w:r>
      <w:proofErr w:type="spellEnd"/>
      <w:r>
        <w:rPr>
          <w:highlight w:val="white"/>
        </w:rPr>
        <w:t xml:space="preserve"> S. Eccles, Allan </w:t>
      </w:r>
      <w:proofErr w:type="spellStart"/>
      <w:r>
        <w:rPr>
          <w:highlight w:val="white"/>
        </w:rPr>
        <w:t>Wigfield</w:t>
      </w:r>
      <w:proofErr w:type="spellEnd"/>
      <w:r>
        <w:rPr>
          <w:highlight w:val="white"/>
        </w:rPr>
        <w:t xml:space="preserve">, Carol </w:t>
      </w:r>
      <w:proofErr w:type="spellStart"/>
      <w:r>
        <w:rPr>
          <w:highlight w:val="white"/>
        </w:rPr>
        <w:t>Midgley</w:t>
      </w:r>
      <w:proofErr w:type="spellEnd"/>
      <w:r>
        <w:rPr>
          <w:highlight w:val="white"/>
        </w:rPr>
        <w:t xml:space="preserve">, David </w:t>
      </w:r>
      <w:proofErr w:type="spellStart"/>
      <w:r>
        <w:rPr>
          <w:highlight w:val="white"/>
        </w:rPr>
        <w:t>Reuman</w:t>
      </w:r>
      <w:proofErr w:type="spellEnd"/>
      <w:r>
        <w:rPr>
          <w:highlight w:val="white"/>
        </w:rPr>
        <w:t xml:space="preserve">, Douglas Mac </w:t>
      </w:r>
      <w:proofErr w:type="spellStart"/>
      <w:r>
        <w:rPr>
          <w:highlight w:val="white"/>
        </w:rPr>
        <w:t>Iver</w:t>
      </w:r>
      <w:proofErr w:type="spellEnd"/>
      <w:r>
        <w:rPr>
          <w:highlight w:val="white"/>
        </w:rPr>
        <w:t xml:space="preserve">, and Harriet </w:t>
      </w:r>
      <w:proofErr w:type="spellStart"/>
      <w:r>
        <w:rPr>
          <w:highlight w:val="white"/>
        </w:rPr>
        <w:t>Feldlaufer</w:t>
      </w:r>
      <w:proofErr w:type="spellEnd"/>
      <w:r>
        <w:rPr>
          <w:highlight w:val="white"/>
        </w:rPr>
        <w:t>, "Negative Effects of Traditional Middle Schools on Students' Motivation," The</w:t>
      </w:r>
      <w:r>
        <w:rPr>
          <w:highlight w:val="white"/>
        </w:rPr>
        <w:t xml:space="preserve"> Elementary School Journal 93, no. 5 (May, 1993): 553-574.</w:t>
      </w:r>
    </w:p>
    <w:p w:rsidR="00566A14" w:rsidRDefault="0054629F">
      <w:pPr>
        <w:shd w:val="clear" w:color="auto" w:fill="FFFFFF"/>
        <w:spacing w:line="360" w:lineRule="auto"/>
        <w:rPr>
          <w:color w:val="222222"/>
          <w:highlight w:val="white"/>
        </w:rPr>
      </w:pPr>
      <w:hyperlink r:id="rId5">
        <w:r>
          <w:rPr>
            <w:color w:val="0B529F"/>
          </w:rPr>
          <w:t>https://doi.org/10.1086/461740</w:t>
        </w:r>
      </w:hyperlink>
    </w:p>
    <w:p w:rsidR="00566A14" w:rsidRDefault="00566A14">
      <w:pPr>
        <w:ind w:firstLine="720"/>
        <w:rPr>
          <w:color w:val="222222"/>
          <w:highlight w:val="white"/>
        </w:rPr>
      </w:pPr>
    </w:p>
    <w:p w:rsidR="00566A14" w:rsidRDefault="0054629F">
      <w:pPr>
        <w:ind w:firstLine="720"/>
        <w:rPr>
          <w:color w:val="222222"/>
          <w:highlight w:val="white"/>
        </w:rPr>
      </w:pPr>
      <w:proofErr w:type="spellStart"/>
      <w:r>
        <w:rPr>
          <w:color w:val="222222"/>
          <w:highlight w:val="white"/>
        </w:rPr>
        <w:t>Laffaye</w:t>
      </w:r>
      <w:proofErr w:type="spellEnd"/>
      <w:r>
        <w:rPr>
          <w:color w:val="222222"/>
          <w:highlight w:val="white"/>
        </w:rPr>
        <w:t xml:space="preserve">, C., McKellar, J. D., </w:t>
      </w:r>
      <w:proofErr w:type="spellStart"/>
      <w:r>
        <w:rPr>
          <w:color w:val="222222"/>
          <w:highlight w:val="white"/>
        </w:rPr>
        <w:t>Ilgen</w:t>
      </w:r>
      <w:proofErr w:type="spellEnd"/>
      <w:r>
        <w:rPr>
          <w:color w:val="222222"/>
          <w:highlight w:val="white"/>
        </w:rPr>
        <w:t>, M. A., &amp; Moos, R. H. (2008). Predictors of 4‐year outcome of community residen</w:t>
      </w:r>
      <w:r>
        <w:rPr>
          <w:color w:val="222222"/>
          <w:highlight w:val="white"/>
        </w:rPr>
        <w:t xml:space="preserve">tial treatment for patients with substance use disorders. </w:t>
      </w:r>
      <w:r>
        <w:rPr>
          <w:i/>
          <w:color w:val="222222"/>
          <w:highlight w:val="white"/>
        </w:rPr>
        <w:t>Addiction</w:t>
      </w:r>
      <w:r>
        <w:rPr>
          <w:color w:val="222222"/>
          <w:highlight w:val="white"/>
        </w:rPr>
        <w:t xml:space="preserve">, </w:t>
      </w:r>
      <w:r>
        <w:rPr>
          <w:i/>
          <w:color w:val="222222"/>
          <w:highlight w:val="white"/>
        </w:rPr>
        <w:t>103</w:t>
      </w:r>
      <w:r>
        <w:rPr>
          <w:color w:val="222222"/>
          <w:highlight w:val="white"/>
        </w:rPr>
        <w:t>(4), 671-680.</w:t>
      </w:r>
    </w:p>
    <w:p w:rsidR="00566A14" w:rsidRDefault="00566A14">
      <w:pPr>
        <w:ind w:firstLine="720"/>
        <w:rPr>
          <w:color w:val="222222"/>
          <w:highlight w:val="white"/>
        </w:rPr>
      </w:pPr>
    </w:p>
    <w:p w:rsidR="00566A14" w:rsidRDefault="0054629F">
      <w:pPr>
        <w:ind w:firstLine="720"/>
      </w:pPr>
      <w:proofErr w:type="spellStart"/>
      <w:r>
        <w:rPr>
          <w:color w:val="222222"/>
          <w:highlight w:val="white"/>
        </w:rPr>
        <w:t>Slavin</w:t>
      </w:r>
      <w:proofErr w:type="spellEnd"/>
      <w:r>
        <w:rPr>
          <w:color w:val="222222"/>
          <w:highlight w:val="white"/>
        </w:rPr>
        <w:t xml:space="preserve">, R. E. (1990). Achievement effects of ability grouping in secondary schools: A best-evidence synthesis. </w:t>
      </w:r>
      <w:r>
        <w:rPr>
          <w:i/>
          <w:color w:val="222222"/>
          <w:highlight w:val="white"/>
        </w:rPr>
        <w:t>Review of educational research</w:t>
      </w:r>
      <w:r>
        <w:rPr>
          <w:color w:val="222222"/>
          <w:highlight w:val="white"/>
        </w:rPr>
        <w:t xml:space="preserve">, </w:t>
      </w:r>
      <w:r>
        <w:rPr>
          <w:i/>
          <w:color w:val="222222"/>
          <w:highlight w:val="white"/>
        </w:rPr>
        <w:t>60</w:t>
      </w:r>
      <w:r>
        <w:rPr>
          <w:color w:val="222222"/>
          <w:highlight w:val="white"/>
        </w:rPr>
        <w:t xml:space="preserve">(3), 471-499. </w:t>
      </w:r>
    </w:p>
    <w:p w:rsidR="00566A14" w:rsidRDefault="00566A14">
      <w:pPr>
        <w:rPr>
          <w:b/>
          <w:u w:val="single"/>
        </w:rPr>
      </w:pPr>
    </w:p>
    <w:p w:rsidR="00566A14" w:rsidRDefault="0054629F">
      <w:pPr>
        <w:ind w:firstLine="720"/>
        <w:rPr>
          <w:color w:val="222222"/>
          <w:highlight w:val="white"/>
        </w:rPr>
      </w:pPr>
      <w:r>
        <w:rPr>
          <w:color w:val="222222"/>
          <w:highlight w:val="white"/>
        </w:rPr>
        <w:t xml:space="preserve">Smith, J. A., &amp; Osborn, M. (2004). Interpretative phenomenological analysis. </w:t>
      </w:r>
      <w:r>
        <w:rPr>
          <w:i/>
          <w:color w:val="222222"/>
          <w:highlight w:val="white"/>
        </w:rPr>
        <w:t>Doing social psychology research</w:t>
      </w:r>
      <w:r>
        <w:rPr>
          <w:color w:val="222222"/>
          <w:highlight w:val="white"/>
        </w:rPr>
        <w:t>, 229-254.</w:t>
      </w:r>
    </w:p>
    <w:p w:rsidR="00566A14" w:rsidRDefault="00566A14">
      <w:pPr>
        <w:ind w:firstLine="720"/>
        <w:rPr>
          <w:color w:val="222222"/>
          <w:highlight w:val="white"/>
        </w:rPr>
      </w:pPr>
    </w:p>
    <w:p w:rsidR="00566A14" w:rsidRDefault="00566A14">
      <w:pPr>
        <w:ind w:firstLine="720"/>
        <w:rPr>
          <w:color w:val="222222"/>
          <w:highlight w:val="white"/>
        </w:rPr>
      </w:pPr>
    </w:p>
    <w:p w:rsidR="00566A14" w:rsidRDefault="00566A14">
      <w:pPr>
        <w:ind w:firstLine="720"/>
        <w:rPr>
          <w:color w:val="222222"/>
          <w:highlight w:val="white"/>
        </w:rPr>
      </w:pPr>
    </w:p>
    <w:p w:rsidR="00566A14" w:rsidRDefault="0054629F">
      <w:pPr>
        <w:rPr>
          <w:b/>
          <w:u w:val="single"/>
        </w:rPr>
      </w:pPr>
      <w:r>
        <w:br w:type="page"/>
      </w:r>
    </w:p>
    <w:p w:rsidR="00566A14" w:rsidRDefault="0054629F">
      <w:pPr>
        <w:rPr>
          <w:b/>
          <w:u w:val="single"/>
        </w:rPr>
      </w:pPr>
      <w:r>
        <w:rPr>
          <w:b/>
          <w:u w:val="single"/>
        </w:rPr>
        <w:lastRenderedPageBreak/>
        <w:t xml:space="preserve">Appendices </w:t>
      </w:r>
    </w:p>
    <w:p w:rsidR="00566A14" w:rsidRDefault="0054629F">
      <w:pPr>
        <w:rPr>
          <w:b/>
          <w:u w:val="single"/>
        </w:rPr>
      </w:pPr>
      <w:r>
        <w:rPr>
          <w:noProof/>
        </w:rPr>
        <w:drawing>
          <wp:anchor distT="114300" distB="114300" distL="114300" distR="114300" simplePos="0" relativeHeight="251658240" behindDoc="0" locked="0" layoutInCell="1" hidden="0" allowOverlap="1">
            <wp:simplePos x="0" y="0"/>
            <wp:positionH relativeFrom="column">
              <wp:posOffset>19051</wp:posOffset>
            </wp:positionH>
            <wp:positionV relativeFrom="paragraph">
              <wp:posOffset>209550</wp:posOffset>
            </wp:positionV>
            <wp:extent cx="5119688" cy="8203406"/>
            <wp:effectExtent l="0" t="0" r="0" b="0"/>
            <wp:wrapSquare wrapText="bothSides" distT="114300" distB="114300" distL="114300" distR="1143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119688" cy="8203406"/>
                    </a:xfrm>
                    <a:prstGeom prst="rect">
                      <a:avLst/>
                    </a:prstGeom>
                    <a:ln/>
                  </pic:spPr>
                </pic:pic>
              </a:graphicData>
            </a:graphic>
          </wp:anchor>
        </w:drawing>
      </w: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4629F">
      <w:pPr>
        <w:rPr>
          <w:b/>
          <w:u w:val="single"/>
        </w:rPr>
      </w:pPr>
      <w:r>
        <w:br w:type="page"/>
      </w: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4629F">
      <w:pPr>
        <w:rPr>
          <w:b/>
          <w:u w:val="single"/>
        </w:rPr>
      </w:pPr>
      <w:r>
        <w:rPr>
          <w:noProof/>
        </w:rPr>
        <w:drawing>
          <wp:anchor distT="114300" distB="114300" distL="114300" distR="114300" simplePos="0" relativeHeight="251659264" behindDoc="0" locked="0" layoutInCell="1" hidden="0" allowOverlap="1">
            <wp:simplePos x="0" y="0"/>
            <wp:positionH relativeFrom="column">
              <wp:posOffset>304800</wp:posOffset>
            </wp:positionH>
            <wp:positionV relativeFrom="paragraph">
              <wp:posOffset>266700</wp:posOffset>
            </wp:positionV>
            <wp:extent cx="5429250" cy="3714750"/>
            <wp:effectExtent l="0" t="0" r="0" b="0"/>
            <wp:wrapSquare wrapText="bothSides" distT="114300" distB="114300" distL="114300" distR="114300"/>
            <wp:docPr id="1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t="6565" b="44921"/>
                    <a:stretch>
                      <a:fillRect/>
                    </a:stretch>
                  </pic:blipFill>
                  <pic:spPr>
                    <a:xfrm>
                      <a:off x="0" y="0"/>
                      <a:ext cx="5429250" cy="3714750"/>
                    </a:xfrm>
                    <a:prstGeom prst="rect">
                      <a:avLst/>
                    </a:prstGeom>
                    <a:ln/>
                  </pic:spPr>
                </pic:pic>
              </a:graphicData>
            </a:graphic>
          </wp:anchor>
        </w:drawing>
      </w: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4629F">
      <w:pPr>
        <w:rPr>
          <w:b/>
          <w:u w:val="single"/>
        </w:rPr>
      </w:pPr>
      <w:r>
        <w:br w:type="page"/>
      </w:r>
    </w:p>
    <w:p w:rsidR="00566A14" w:rsidRDefault="0054629F">
      <w:pPr>
        <w:rPr>
          <w:b/>
          <w:u w:val="single"/>
        </w:rPr>
      </w:pPr>
      <w:r>
        <w:rPr>
          <w:noProof/>
        </w:rPr>
        <w:lastRenderedPageBreak/>
        <w:drawing>
          <wp:anchor distT="114300" distB="114300" distL="114300" distR="114300" simplePos="0" relativeHeight="251660288" behindDoc="0" locked="0" layoutInCell="1" hidden="0" allowOverlap="1">
            <wp:simplePos x="0" y="0"/>
            <wp:positionH relativeFrom="column">
              <wp:posOffset>723900</wp:posOffset>
            </wp:positionH>
            <wp:positionV relativeFrom="paragraph">
              <wp:posOffset>114300</wp:posOffset>
            </wp:positionV>
            <wp:extent cx="4891088" cy="5581014"/>
            <wp:effectExtent l="0" t="0" r="0" b="0"/>
            <wp:wrapSquare wrapText="bothSides" distT="114300" distB="114300" distL="114300" distR="114300"/>
            <wp:docPr id="1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t="6462" b="12925"/>
                    <a:stretch>
                      <a:fillRect/>
                    </a:stretch>
                  </pic:blipFill>
                  <pic:spPr>
                    <a:xfrm>
                      <a:off x="0" y="0"/>
                      <a:ext cx="4891088" cy="5581014"/>
                    </a:xfrm>
                    <a:prstGeom prst="rect">
                      <a:avLst/>
                    </a:prstGeom>
                    <a:ln/>
                  </pic:spPr>
                </pic:pic>
              </a:graphicData>
            </a:graphic>
          </wp:anchor>
        </w:drawing>
      </w: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66A14">
      <w:pPr>
        <w:rPr>
          <w:b/>
          <w:u w:val="single"/>
        </w:rPr>
      </w:pPr>
    </w:p>
    <w:p w:rsidR="00566A14" w:rsidRDefault="0054629F">
      <w:pPr>
        <w:rPr>
          <w:b/>
          <w:u w:val="single"/>
        </w:rPr>
      </w:pPr>
      <w:r>
        <w:lastRenderedPageBreak/>
        <w:br w:type="page"/>
      </w:r>
      <w:r>
        <w:rPr>
          <w:noProof/>
        </w:rPr>
        <w:drawing>
          <wp:anchor distT="114300" distB="114300" distL="114300" distR="114300" simplePos="0" relativeHeight="251661312" behindDoc="0" locked="0" layoutInCell="1" hidden="0" allowOverlap="1">
            <wp:simplePos x="0" y="0"/>
            <wp:positionH relativeFrom="column">
              <wp:posOffset>590550</wp:posOffset>
            </wp:positionH>
            <wp:positionV relativeFrom="paragraph">
              <wp:posOffset>495300</wp:posOffset>
            </wp:positionV>
            <wp:extent cx="4962525" cy="4736956"/>
            <wp:effectExtent l="0" t="0" r="0" b="0"/>
            <wp:wrapSquare wrapText="bothSides" distT="114300" distB="114300" distL="114300" distR="114300"/>
            <wp:docPr id="1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9"/>
                    <a:srcRect b="32549"/>
                    <a:stretch>
                      <a:fillRect/>
                    </a:stretch>
                  </pic:blipFill>
                  <pic:spPr>
                    <a:xfrm>
                      <a:off x="0" y="0"/>
                      <a:ext cx="4962525" cy="4736956"/>
                    </a:xfrm>
                    <a:prstGeom prst="rect">
                      <a:avLst/>
                    </a:prstGeom>
                    <a:ln/>
                  </pic:spPr>
                </pic:pic>
              </a:graphicData>
            </a:graphic>
          </wp:anchor>
        </w:drawing>
      </w:r>
    </w:p>
    <w:p w:rsidR="0054629F" w:rsidRDefault="0054629F">
      <w:pPr>
        <w:rPr>
          <w:b/>
          <w:u w:val="single"/>
        </w:rPr>
      </w:pPr>
      <w:r>
        <w:rPr>
          <w:noProof/>
        </w:rPr>
        <w:lastRenderedPageBreak/>
        <w:drawing>
          <wp:anchor distT="114300" distB="114300" distL="114300" distR="114300" simplePos="0" relativeHeight="251653632" behindDoc="0" locked="0" layoutInCell="1" hidden="0" allowOverlap="1">
            <wp:simplePos x="0" y="0"/>
            <wp:positionH relativeFrom="column">
              <wp:posOffset>495300</wp:posOffset>
            </wp:positionH>
            <wp:positionV relativeFrom="paragraph">
              <wp:posOffset>914400</wp:posOffset>
            </wp:positionV>
            <wp:extent cx="4271963" cy="6038937"/>
            <wp:effectExtent l="0" t="0" r="0" b="0"/>
            <wp:wrapSquare wrapText="bothSides" distT="114300" distB="114300" distL="114300" distR="114300"/>
            <wp:docPr id="19"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0"/>
                    <a:srcRect/>
                    <a:stretch>
                      <a:fillRect/>
                    </a:stretch>
                  </pic:blipFill>
                  <pic:spPr>
                    <a:xfrm>
                      <a:off x="0" y="0"/>
                      <a:ext cx="4271963" cy="6038937"/>
                    </a:xfrm>
                    <a:prstGeom prst="rect">
                      <a:avLst/>
                    </a:prstGeom>
                    <a:ln/>
                  </pic:spPr>
                </pic:pic>
              </a:graphicData>
            </a:graphic>
          </wp:anchor>
        </w:drawing>
      </w:r>
      <w:r>
        <w:rPr>
          <w:b/>
          <w:u w:val="single"/>
        </w:rPr>
        <w:br w:type="page"/>
      </w:r>
    </w:p>
    <w:p w:rsidR="00566A14" w:rsidRDefault="0054629F">
      <w:pPr>
        <w:rPr>
          <w:b/>
          <w:u w:val="single"/>
        </w:rPr>
      </w:pPr>
      <w:r>
        <w:rPr>
          <w:b/>
          <w:noProof/>
          <w:u w:val="single"/>
        </w:rPr>
        <w:lastRenderedPageBreak/>
        <w:drawing>
          <wp:anchor distT="0" distB="0" distL="114300" distR="114300" simplePos="0" relativeHeight="251661824" behindDoc="0" locked="0" layoutInCell="1" allowOverlap="1">
            <wp:simplePos x="0" y="0"/>
            <wp:positionH relativeFrom="column">
              <wp:posOffset>237490</wp:posOffset>
            </wp:positionH>
            <wp:positionV relativeFrom="paragraph">
              <wp:posOffset>4280535</wp:posOffset>
            </wp:positionV>
            <wp:extent cx="5734050" cy="4051300"/>
            <wp:effectExtent l="0" t="0" r="0" b="6350"/>
            <wp:wrapSquare wrapText="bothSides"/>
            <wp:docPr id="10"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5734050" cy="4051300"/>
                    </a:xfrm>
                    <a:prstGeom prst="rect">
                      <a:avLst/>
                    </a:prstGeom>
                    <a:ln/>
                  </pic:spPr>
                </pic:pic>
              </a:graphicData>
            </a:graphic>
            <wp14:sizeRelH relativeFrom="page">
              <wp14:pctWidth>0</wp14:pctWidth>
            </wp14:sizeRelH>
            <wp14:sizeRelV relativeFrom="page">
              <wp14:pctHeight>0</wp14:pctHeight>
            </wp14:sizeRelV>
          </wp:anchor>
        </w:drawing>
      </w:r>
      <w:r>
        <w:rPr>
          <w:b/>
          <w:noProof/>
          <w:u w:val="single"/>
        </w:rPr>
        <w:drawing>
          <wp:anchor distT="0" distB="0" distL="114300" distR="114300" simplePos="0" relativeHeight="251658752" behindDoc="0" locked="0" layoutInCell="1" allowOverlap="1">
            <wp:simplePos x="0" y="0"/>
            <wp:positionH relativeFrom="column">
              <wp:posOffset>228600</wp:posOffset>
            </wp:positionH>
            <wp:positionV relativeFrom="paragraph">
              <wp:posOffset>120015</wp:posOffset>
            </wp:positionV>
            <wp:extent cx="5734050" cy="4051300"/>
            <wp:effectExtent l="0" t="0" r="0" b="6350"/>
            <wp:wrapSquare wrapText="bothSides"/>
            <wp:docPr id="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5734050" cy="40513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114300" distB="114300" distL="114300" distR="114300" simplePos="0" relativeHeight="251655680" behindDoc="0" locked="0" layoutInCell="1" hidden="0" allowOverlap="1">
            <wp:simplePos x="0" y="0"/>
            <wp:positionH relativeFrom="column">
              <wp:posOffset>1</wp:posOffset>
            </wp:positionH>
            <wp:positionV relativeFrom="paragraph">
              <wp:posOffset>5276850</wp:posOffset>
            </wp:positionV>
            <wp:extent cx="4862513" cy="1639684"/>
            <wp:effectExtent l="0" t="0" r="0" b="0"/>
            <wp:wrapSquare wrapText="bothSides" distT="114300" distB="114300" distL="114300" distR="114300"/>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b="76145"/>
                    <a:stretch>
                      <a:fillRect/>
                    </a:stretch>
                  </pic:blipFill>
                  <pic:spPr>
                    <a:xfrm>
                      <a:off x="0" y="0"/>
                      <a:ext cx="4862513" cy="1639684"/>
                    </a:xfrm>
                    <a:prstGeom prst="rect">
                      <a:avLst/>
                    </a:prstGeom>
                    <a:ln/>
                  </pic:spPr>
                </pic:pic>
              </a:graphicData>
            </a:graphic>
          </wp:anchor>
        </w:drawing>
      </w:r>
    </w:p>
    <w:p w:rsidR="00566A14" w:rsidRDefault="0054629F">
      <w:pPr>
        <w:rPr>
          <w:b/>
          <w:u w:val="single"/>
        </w:rPr>
      </w:pPr>
      <w:bookmarkStart w:id="0" w:name="_GoBack"/>
      <w:r>
        <w:rPr>
          <w:b/>
          <w:noProof/>
          <w:u w:val="single"/>
        </w:rPr>
        <w:lastRenderedPageBreak/>
        <w:drawing>
          <wp:inline distT="114300" distB="114300" distL="114300" distR="114300">
            <wp:extent cx="5734050" cy="4051300"/>
            <wp:effectExtent l="0" t="0" r="0" b="0"/>
            <wp:docPr id="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4"/>
                    <a:srcRect/>
                    <a:stretch>
                      <a:fillRect/>
                    </a:stretch>
                  </pic:blipFill>
                  <pic:spPr>
                    <a:xfrm>
                      <a:off x="0" y="0"/>
                      <a:ext cx="5734050" cy="4051300"/>
                    </a:xfrm>
                    <a:prstGeom prst="rect">
                      <a:avLst/>
                    </a:prstGeom>
                    <a:ln/>
                  </pic:spPr>
                </pic:pic>
              </a:graphicData>
            </a:graphic>
          </wp:inline>
        </w:drawing>
      </w:r>
      <w:bookmarkEnd w:id="0"/>
      <w:r>
        <w:rPr>
          <w:b/>
          <w:noProof/>
          <w:u w:val="single"/>
        </w:rPr>
        <w:drawing>
          <wp:inline distT="114300" distB="114300" distL="114300" distR="114300">
            <wp:extent cx="5734050" cy="4051300"/>
            <wp:effectExtent l="0" t="0" r="0" b="0"/>
            <wp:docPr id="1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5"/>
                    <a:srcRect/>
                    <a:stretch>
                      <a:fillRect/>
                    </a:stretch>
                  </pic:blipFill>
                  <pic:spPr>
                    <a:xfrm>
                      <a:off x="0" y="0"/>
                      <a:ext cx="5734050" cy="4051300"/>
                    </a:xfrm>
                    <a:prstGeom prst="rect">
                      <a:avLst/>
                    </a:prstGeom>
                    <a:ln/>
                  </pic:spPr>
                </pic:pic>
              </a:graphicData>
            </a:graphic>
          </wp:inline>
        </w:drawing>
      </w:r>
      <w:r>
        <w:rPr>
          <w:b/>
          <w:noProof/>
          <w:u w:val="single"/>
        </w:rPr>
        <w:lastRenderedPageBreak/>
        <w:drawing>
          <wp:inline distT="114300" distB="114300" distL="114300" distR="114300">
            <wp:extent cx="5734050" cy="4051300"/>
            <wp:effectExtent l="0" t="0" r="0" b="0"/>
            <wp:docPr id="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6"/>
                    <a:srcRect/>
                    <a:stretch>
                      <a:fillRect/>
                    </a:stretch>
                  </pic:blipFill>
                  <pic:spPr>
                    <a:xfrm>
                      <a:off x="0" y="0"/>
                      <a:ext cx="5734050" cy="4051300"/>
                    </a:xfrm>
                    <a:prstGeom prst="rect">
                      <a:avLst/>
                    </a:prstGeom>
                    <a:ln/>
                  </pic:spPr>
                </pic:pic>
              </a:graphicData>
            </a:graphic>
          </wp:inline>
        </w:drawing>
      </w:r>
      <w:r>
        <w:rPr>
          <w:b/>
          <w:noProof/>
          <w:u w:val="single"/>
        </w:rPr>
        <w:drawing>
          <wp:inline distT="114300" distB="114300" distL="114300" distR="114300">
            <wp:extent cx="5734050" cy="4051300"/>
            <wp:effectExtent l="0" t="0" r="0" b="0"/>
            <wp:docPr id="2"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7"/>
                    <a:srcRect/>
                    <a:stretch>
                      <a:fillRect/>
                    </a:stretch>
                  </pic:blipFill>
                  <pic:spPr>
                    <a:xfrm>
                      <a:off x="0" y="0"/>
                      <a:ext cx="5734050" cy="4051300"/>
                    </a:xfrm>
                    <a:prstGeom prst="rect">
                      <a:avLst/>
                    </a:prstGeom>
                    <a:ln/>
                  </pic:spPr>
                </pic:pic>
              </a:graphicData>
            </a:graphic>
          </wp:inline>
        </w:drawing>
      </w:r>
      <w:r>
        <w:rPr>
          <w:b/>
          <w:noProof/>
          <w:u w:val="single"/>
        </w:rPr>
        <w:lastRenderedPageBreak/>
        <w:drawing>
          <wp:inline distT="114300" distB="114300" distL="114300" distR="114300">
            <wp:extent cx="5734050" cy="4051300"/>
            <wp:effectExtent l="0" t="0" r="0" b="0"/>
            <wp:docPr id="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
                    <a:srcRect/>
                    <a:stretch>
                      <a:fillRect/>
                    </a:stretch>
                  </pic:blipFill>
                  <pic:spPr>
                    <a:xfrm rot="10800000">
                      <a:off x="0" y="0"/>
                      <a:ext cx="5734050" cy="4051300"/>
                    </a:xfrm>
                    <a:prstGeom prst="rect">
                      <a:avLst/>
                    </a:prstGeom>
                    <a:ln/>
                  </pic:spPr>
                </pic:pic>
              </a:graphicData>
            </a:graphic>
          </wp:inline>
        </w:drawing>
      </w:r>
      <w:r>
        <w:rPr>
          <w:b/>
          <w:noProof/>
          <w:u w:val="single"/>
        </w:rPr>
        <w:drawing>
          <wp:inline distT="114300" distB="114300" distL="114300" distR="114300">
            <wp:extent cx="5734050" cy="4051300"/>
            <wp:effectExtent l="0" t="0" r="0" b="0"/>
            <wp:docPr id="1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9"/>
                    <a:srcRect/>
                    <a:stretch>
                      <a:fillRect/>
                    </a:stretch>
                  </pic:blipFill>
                  <pic:spPr>
                    <a:xfrm>
                      <a:off x="0" y="0"/>
                      <a:ext cx="5734050" cy="4051300"/>
                    </a:xfrm>
                    <a:prstGeom prst="rect">
                      <a:avLst/>
                    </a:prstGeom>
                    <a:ln/>
                  </pic:spPr>
                </pic:pic>
              </a:graphicData>
            </a:graphic>
          </wp:inline>
        </w:drawing>
      </w:r>
      <w:r>
        <w:rPr>
          <w:b/>
          <w:noProof/>
          <w:u w:val="single"/>
        </w:rPr>
        <w:lastRenderedPageBreak/>
        <w:drawing>
          <wp:inline distT="114300" distB="114300" distL="114300" distR="114300">
            <wp:extent cx="5734050" cy="4051300"/>
            <wp:effectExtent l="0" t="0" r="0" b="0"/>
            <wp:docPr id="20"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0"/>
                    <a:srcRect/>
                    <a:stretch>
                      <a:fillRect/>
                    </a:stretch>
                  </pic:blipFill>
                  <pic:spPr>
                    <a:xfrm>
                      <a:off x="0" y="0"/>
                      <a:ext cx="5734050" cy="4051300"/>
                    </a:xfrm>
                    <a:prstGeom prst="rect">
                      <a:avLst/>
                    </a:prstGeom>
                    <a:ln/>
                  </pic:spPr>
                </pic:pic>
              </a:graphicData>
            </a:graphic>
          </wp:inline>
        </w:drawing>
      </w:r>
      <w:r>
        <w:rPr>
          <w:b/>
          <w:noProof/>
          <w:u w:val="single"/>
        </w:rPr>
        <w:drawing>
          <wp:inline distT="114300" distB="114300" distL="114300" distR="114300">
            <wp:extent cx="5734050" cy="4051300"/>
            <wp:effectExtent l="0" t="0" r="0" b="0"/>
            <wp:docPr id="3"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1"/>
                    <a:srcRect/>
                    <a:stretch>
                      <a:fillRect/>
                    </a:stretch>
                  </pic:blipFill>
                  <pic:spPr>
                    <a:xfrm>
                      <a:off x="0" y="0"/>
                      <a:ext cx="5734050" cy="4051300"/>
                    </a:xfrm>
                    <a:prstGeom prst="rect">
                      <a:avLst/>
                    </a:prstGeom>
                    <a:ln/>
                  </pic:spPr>
                </pic:pic>
              </a:graphicData>
            </a:graphic>
          </wp:inline>
        </w:drawing>
      </w:r>
      <w:r>
        <w:rPr>
          <w:b/>
          <w:noProof/>
          <w:u w:val="single"/>
        </w:rPr>
        <w:lastRenderedPageBreak/>
        <w:drawing>
          <wp:inline distT="114300" distB="114300" distL="114300" distR="114300">
            <wp:extent cx="5734050" cy="4051300"/>
            <wp:effectExtent l="0" t="0" r="0" b="0"/>
            <wp:docPr id="13"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2"/>
                    <a:srcRect/>
                    <a:stretch>
                      <a:fillRect/>
                    </a:stretch>
                  </pic:blipFill>
                  <pic:spPr>
                    <a:xfrm rot="10800000">
                      <a:off x="0" y="0"/>
                      <a:ext cx="5734050" cy="4051300"/>
                    </a:xfrm>
                    <a:prstGeom prst="rect">
                      <a:avLst/>
                    </a:prstGeom>
                    <a:ln/>
                  </pic:spPr>
                </pic:pic>
              </a:graphicData>
            </a:graphic>
          </wp:inline>
        </w:drawing>
      </w:r>
      <w:r>
        <w:rPr>
          <w:noProof/>
        </w:rPr>
        <w:drawing>
          <wp:anchor distT="114300" distB="114300" distL="114300" distR="114300" simplePos="0" relativeHeight="251664384" behindDoc="0" locked="0" layoutInCell="1" hidden="0" allowOverlap="1">
            <wp:simplePos x="0" y="0"/>
            <wp:positionH relativeFrom="column">
              <wp:posOffset>19051</wp:posOffset>
            </wp:positionH>
            <wp:positionV relativeFrom="paragraph">
              <wp:posOffset>26708100</wp:posOffset>
            </wp:positionV>
            <wp:extent cx="5734050" cy="4051300"/>
            <wp:effectExtent l="0" t="0" r="0" b="0"/>
            <wp:wrapSquare wrapText="bothSides" distT="114300" distB="114300" distL="114300" distR="114300"/>
            <wp:docPr id="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3"/>
                    <a:srcRect/>
                    <a:stretch>
                      <a:fillRect/>
                    </a:stretch>
                  </pic:blipFill>
                  <pic:spPr>
                    <a:xfrm rot="10800000">
                      <a:off x="0" y="0"/>
                      <a:ext cx="5734050" cy="4051300"/>
                    </a:xfrm>
                    <a:prstGeom prst="rect">
                      <a:avLst/>
                    </a:prstGeom>
                    <a:ln/>
                  </pic:spPr>
                </pic:pic>
              </a:graphicData>
            </a:graphic>
          </wp:anchor>
        </w:drawing>
      </w:r>
    </w:p>
    <w:p w:rsidR="00566A14" w:rsidRDefault="0054629F">
      <w:pPr>
        <w:rPr>
          <w:b/>
          <w:u w:val="single"/>
        </w:rPr>
      </w:pPr>
      <w:r>
        <w:br w:type="page"/>
      </w:r>
    </w:p>
    <w:p w:rsidR="00566A14" w:rsidRDefault="0054629F">
      <w:pPr>
        <w:rPr>
          <w:b/>
          <w:u w:val="single"/>
        </w:rPr>
      </w:pPr>
      <w:r>
        <w:rPr>
          <w:noProof/>
        </w:rPr>
        <w:lastRenderedPageBreak/>
        <w:drawing>
          <wp:anchor distT="114300" distB="114300" distL="114300" distR="114300" simplePos="0" relativeHeight="251665408" behindDoc="0" locked="0" layoutInCell="1" hidden="0" allowOverlap="1">
            <wp:simplePos x="0" y="0"/>
            <wp:positionH relativeFrom="column">
              <wp:posOffset>76201</wp:posOffset>
            </wp:positionH>
            <wp:positionV relativeFrom="paragraph">
              <wp:posOffset>485775</wp:posOffset>
            </wp:positionV>
            <wp:extent cx="5592121" cy="3948113"/>
            <wp:effectExtent l="0" t="0" r="0" b="0"/>
            <wp:wrapSquare wrapText="bothSides" distT="114300" distB="114300" distL="114300" distR="114300"/>
            <wp:docPr id="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4"/>
                    <a:srcRect/>
                    <a:stretch>
                      <a:fillRect/>
                    </a:stretch>
                  </pic:blipFill>
                  <pic:spPr>
                    <a:xfrm rot="10800000">
                      <a:off x="0" y="0"/>
                      <a:ext cx="5592121" cy="3948113"/>
                    </a:xfrm>
                    <a:prstGeom prst="rect">
                      <a:avLst/>
                    </a:prstGeom>
                    <a:ln/>
                  </pic:spPr>
                </pic:pic>
              </a:graphicData>
            </a:graphic>
          </wp:anchor>
        </w:drawing>
      </w:r>
    </w:p>
    <w:sectPr w:rsidR="00566A1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A14"/>
    <w:rsid w:val="0054629F"/>
    <w:rsid w:val="00566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AE2721-236B-4FC1-8EA9-E22813C3D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7.jpg"/><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image" Target="media/image13.jp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jpg"/><Relationship Id="rId20" Type="http://schemas.openxmlformats.org/officeDocument/2006/relationships/image" Target="media/image16.jpg"/><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7.jpeg"/><Relationship Id="rId24" Type="http://schemas.openxmlformats.org/officeDocument/2006/relationships/image" Target="media/image20.jpg"/><Relationship Id="rId5" Type="http://schemas.openxmlformats.org/officeDocument/2006/relationships/hyperlink" Target="https://doi.org/10.1086/461740" TargetMode="External"/><Relationship Id="rId15" Type="http://schemas.openxmlformats.org/officeDocument/2006/relationships/image" Target="media/image11.jpg"/><Relationship Id="rId23" Type="http://schemas.openxmlformats.org/officeDocument/2006/relationships/image" Target="media/image19.jpg"/><Relationship Id="rId10" Type="http://schemas.openxmlformats.org/officeDocument/2006/relationships/image" Target="media/image6.jpg"/><Relationship Id="rId19" Type="http://schemas.openxmlformats.org/officeDocument/2006/relationships/image" Target="media/image15.jpg"/><Relationship Id="rId4" Type="http://schemas.openxmlformats.org/officeDocument/2006/relationships/image" Target="media/image1.png"/><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Jones (1703134)</dc:creator>
  <cp:lastModifiedBy>Sara Jones (1703134)</cp:lastModifiedBy>
  <cp:revision>2</cp:revision>
  <dcterms:created xsi:type="dcterms:W3CDTF">2019-03-26T13:44:00Z</dcterms:created>
  <dcterms:modified xsi:type="dcterms:W3CDTF">2019-03-26T13:44:00Z</dcterms:modified>
</cp:coreProperties>
</file>