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2DA5" w:rsidRPr="003C17B5" w:rsidRDefault="003C2DA5" w:rsidP="003C2DA5">
      <w:pPr>
        <w:spacing w:after="0"/>
        <w:jc w:val="center"/>
        <w:rPr>
          <w:rFonts w:cs="Segoe UI"/>
          <w:b/>
          <w:i/>
          <w:color w:val="373A3C"/>
          <w:sz w:val="24"/>
          <w:szCs w:val="24"/>
          <w:shd w:val="clear" w:color="auto" w:fill="FFFFFF"/>
        </w:rPr>
      </w:pPr>
      <w:r w:rsidRPr="003C17B5">
        <w:rPr>
          <w:rFonts w:cs="Segoe UI"/>
          <w:b/>
          <w:i/>
          <w:color w:val="373A3C"/>
          <w:sz w:val="24"/>
          <w:szCs w:val="24"/>
          <w:shd w:val="clear" w:color="auto" w:fill="FFFFFF"/>
        </w:rPr>
        <w:t>Timeline Points</w:t>
      </w:r>
    </w:p>
    <w:p w:rsidR="003C2DA5" w:rsidRPr="003C17B5" w:rsidRDefault="003C2DA5" w:rsidP="003C2DA5">
      <w:pPr>
        <w:spacing w:after="0"/>
        <w:jc w:val="center"/>
        <w:rPr>
          <w:rFonts w:cs="Segoe UI"/>
          <w:b/>
          <w:i/>
          <w:color w:val="373A3C"/>
          <w:sz w:val="24"/>
          <w:szCs w:val="24"/>
          <w:shd w:val="clear" w:color="auto" w:fill="FFFFFF"/>
        </w:rPr>
      </w:pPr>
      <w:r w:rsidRPr="003C17B5">
        <w:rPr>
          <w:rFonts w:cs="Segoe UI"/>
          <w:b/>
          <w:i/>
          <w:color w:val="373A3C"/>
          <w:sz w:val="24"/>
          <w:szCs w:val="24"/>
          <w:shd w:val="clear" w:color="auto" w:fill="FFFFFF"/>
        </w:rPr>
        <w:t>Hadie Watson</w:t>
      </w:r>
    </w:p>
    <w:p w:rsidR="003C2DA5" w:rsidRPr="003C17B5" w:rsidRDefault="003C2DA5" w:rsidP="003C2DA5">
      <w:pPr>
        <w:spacing w:after="0"/>
        <w:rPr>
          <w:rFonts w:cs="Segoe UI"/>
          <w:b/>
          <w:color w:val="373A3C"/>
          <w:sz w:val="24"/>
          <w:szCs w:val="24"/>
          <w:shd w:val="clear" w:color="auto" w:fill="FFFFFF"/>
        </w:rPr>
      </w:pPr>
      <w:r w:rsidRPr="003C17B5">
        <w:rPr>
          <w:rFonts w:cs="Segoe UI"/>
          <w:b/>
          <w:color w:val="373A3C"/>
          <w:sz w:val="24"/>
          <w:szCs w:val="24"/>
          <w:shd w:val="clear" w:color="auto" w:fill="FFFFFF"/>
        </w:rPr>
        <w:t>Archaic Period</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683-682 BCE - Annual archons at Athens begins – ARCHONS were the rulers of the state, elected from the aristocracy to one of three positions; archon basileus (responsibility for religious ceremonies and presided over the Areopagus), the polemarchus (commanded the army) or the eponymous archon (civilian head of state). During this year the term of an archon was shortened from 10 years to 1. (Howatson. 2011. archons)</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610 BCE – The Greek Lyric Poetess, Sappho was born on the island Lesbos. Supposedly having produced around nine volumes of poetry, Sappho was declared as the “tenth muse” by Plato. (Greene. 2010.)</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539 BCE – The alliance between the Etruscans and Carthaginians ensures the expulsion of the Greeks from Corsica. (Chrystal, P. 2018. Xxx)</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 xml:space="preserve">510 BCE – Fall of the Pesistratid tyranny in Athens </w:t>
      </w:r>
      <w:r w:rsidRPr="003C17B5">
        <w:rPr>
          <w:rFonts w:cs="Segoe UI"/>
          <w:color w:val="373A3C"/>
          <w:sz w:val="24"/>
          <w:szCs w:val="24"/>
          <w:shd w:val="clear" w:color="auto" w:fill="FFFFFF"/>
        </w:rPr>
        <w:sym w:font="Wingdings" w:char="F0E0"/>
      </w:r>
      <w:r w:rsidRPr="003C17B5">
        <w:rPr>
          <w:rFonts w:cs="Segoe UI"/>
          <w:color w:val="373A3C"/>
          <w:sz w:val="24"/>
          <w:szCs w:val="24"/>
          <w:shd w:val="clear" w:color="auto" w:fill="FFFFFF"/>
        </w:rPr>
        <w:t xml:space="preserve"> as a result of this work on the Olympieion came to a halt (did not resume until 174 BCE). The Olympieion was the temple of Zeus Olympius in Athens whose commission was began by the architects of Pesistratus. (Howatson. 2011. </w:t>
      </w:r>
      <w:r w:rsidRPr="003C17B5">
        <w:rPr>
          <w:rFonts w:cs="Arial"/>
          <w:color w:val="000000"/>
          <w:sz w:val="24"/>
          <w:szCs w:val="24"/>
        </w:rPr>
        <w:t>Olympiē’um</w:t>
      </w:r>
      <w:r w:rsidRPr="003C17B5">
        <w:rPr>
          <w:rFonts w:cs="Segoe UI"/>
          <w:color w:val="373A3C"/>
          <w:sz w:val="24"/>
          <w:szCs w:val="24"/>
          <w:shd w:val="clear" w:color="auto" w:fill="FFFFFF"/>
        </w:rPr>
        <w:t>)</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495 BCE – Birth of Pericles, son of a hero of the Persian Wars and descendant through is mother’s lineage to the founder of democracy Cleisthenes.  (Tritle. 2010.)</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 xml:space="preserve">487 BCE – Change in political system: Archons were now appointed via lot from an elected shortlist of male citizens from the two highest property classes. (Howatson. 2011. archons) </w:t>
      </w:r>
    </w:p>
    <w:p w:rsidR="008C3013"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 xml:space="preserve">480 BCE – </w:t>
      </w:r>
      <w:r w:rsidRPr="003C17B5">
        <w:rPr>
          <w:rFonts w:ascii="Arial" w:hAnsi="Arial" w:cs="Arial"/>
          <w:color w:val="373A3C"/>
          <w:sz w:val="24"/>
          <w:szCs w:val="24"/>
          <w:shd w:val="clear" w:color="auto" w:fill="FFFFFF"/>
        </w:rPr>
        <w:t>♠</w:t>
      </w:r>
      <w:r w:rsidRPr="003C17B5">
        <w:rPr>
          <w:rFonts w:cs="Segoe UI"/>
          <w:color w:val="373A3C"/>
          <w:sz w:val="24"/>
          <w:szCs w:val="24"/>
          <w:shd w:val="clear" w:color="auto" w:fill="FFFFFF"/>
        </w:rPr>
        <w:t xml:space="preserve"> Second Persian invasion of Greece: Battles of Thermopylae and Artemisium, Salamis (Rhodes. 2010. Xv). The Athenians were led by a man named Themistocles (Salazar. 2006). Sparta thought very high of him and the Greek generals were all impressed by his leadership (Rhodes. 2010. 35). [Hazel Carter]</w:t>
      </w:r>
      <w:r w:rsidRPr="003C17B5">
        <w:rPr>
          <w:rFonts w:cs="Segoe UI"/>
          <w:color w:val="FF0000"/>
          <w:sz w:val="24"/>
          <w:szCs w:val="24"/>
          <w:shd w:val="clear" w:color="auto" w:fill="FFFFFF"/>
        </w:rPr>
        <w:t> </w:t>
      </w:r>
      <w:r w:rsidRPr="003C17B5">
        <w:rPr>
          <w:rFonts w:ascii="Arial" w:hAnsi="Arial" w:cs="Arial"/>
          <w:color w:val="373A3C"/>
          <w:sz w:val="24"/>
          <w:szCs w:val="24"/>
          <w:shd w:val="clear" w:color="auto" w:fill="FFFFFF"/>
        </w:rPr>
        <w:t>♠</w:t>
      </w:r>
      <w:r w:rsidRPr="003C17B5">
        <w:rPr>
          <w:rFonts w:cs="Segoe UI"/>
          <w:color w:val="373A3C"/>
          <w:sz w:val="24"/>
          <w:szCs w:val="24"/>
          <w:shd w:val="clear" w:color="auto" w:fill="FFFFFF"/>
        </w:rPr>
        <w:t> This invasion lead to the Greeks uniting in the Hellenic League (Cawkwell. 2005. 1) [Hadie Watson]</w:t>
      </w:r>
      <w:r w:rsidR="00D355DE">
        <w:rPr>
          <w:rFonts w:cs="Segoe UI"/>
          <w:color w:val="373A3C"/>
          <w:sz w:val="24"/>
          <w:szCs w:val="24"/>
          <w:shd w:val="clear" w:color="auto" w:fill="FFFFFF"/>
        </w:rPr>
        <w:t>.</w:t>
      </w:r>
    </w:p>
    <w:p w:rsidR="003C2DA5" w:rsidRPr="003C17B5" w:rsidRDefault="008E4533" w:rsidP="008C3013">
      <w:pPr>
        <w:pStyle w:val="ListParagraph"/>
        <w:numPr>
          <w:ilvl w:val="1"/>
          <w:numId w:val="1"/>
        </w:numPr>
        <w:spacing w:after="0"/>
        <w:rPr>
          <w:rFonts w:cs="Segoe UI"/>
          <w:color w:val="373A3C"/>
          <w:sz w:val="24"/>
          <w:szCs w:val="24"/>
          <w:shd w:val="clear" w:color="auto" w:fill="FFFFFF"/>
        </w:rPr>
      </w:pPr>
      <w:r>
        <w:rPr>
          <w:rFonts w:cs="Segoe UI"/>
          <w:color w:val="373A3C"/>
          <w:sz w:val="24"/>
          <w:szCs w:val="24"/>
          <w:shd w:val="clear" w:color="auto" w:fill="FFFFFF"/>
        </w:rPr>
        <w:t xml:space="preserve">This is </w:t>
      </w:r>
      <w:r w:rsidR="00F96393">
        <w:rPr>
          <w:rFonts w:cs="Segoe UI"/>
          <w:color w:val="373A3C"/>
          <w:sz w:val="24"/>
          <w:szCs w:val="24"/>
          <w:shd w:val="clear" w:color="auto" w:fill="FFFFFF"/>
        </w:rPr>
        <w:t>also the year in which Antiphon -</w:t>
      </w:r>
      <w:r>
        <w:rPr>
          <w:rFonts w:cs="Segoe UI"/>
          <w:color w:val="373A3C"/>
          <w:sz w:val="24"/>
          <w:szCs w:val="24"/>
          <w:shd w:val="clear" w:color="auto" w:fill="FFFFFF"/>
        </w:rPr>
        <w:t xml:space="preserve"> son of </w:t>
      </w:r>
      <w:r w:rsidR="00F96393">
        <w:rPr>
          <w:sz w:val="24"/>
        </w:rPr>
        <w:t xml:space="preserve">Sophilus of the deme Rhamnous </w:t>
      </w:r>
      <w:r w:rsidR="00F96393" w:rsidRPr="00F96393">
        <w:rPr>
          <w:sz w:val="24"/>
          <w:szCs w:val="24"/>
        </w:rPr>
        <w:t>(Phillips &amp; Kapparis. 2003) -</w:t>
      </w:r>
      <w:r w:rsidR="00F96393">
        <w:rPr>
          <w:sz w:val="24"/>
        </w:rPr>
        <w:t xml:space="preserve"> was born. Antiphon later on goes on to be the first known logographer. </w:t>
      </w:r>
      <w:r w:rsidR="00F96393" w:rsidRPr="009B782A">
        <w:rPr>
          <w:rFonts w:cs="Arial"/>
          <w:color w:val="000000"/>
          <w:sz w:val="24"/>
          <w:szCs w:val="24"/>
        </w:rPr>
        <w:t>(Gargarin. 2010)</w:t>
      </w:r>
    </w:p>
    <w:p w:rsidR="003C2DA5" w:rsidRPr="003C17B5" w:rsidRDefault="003C2DA5" w:rsidP="003C2DA5">
      <w:pPr>
        <w:spacing w:after="0"/>
        <w:rPr>
          <w:rFonts w:cs="Segoe UI"/>
          <w:color w:val="373A3C"/>
          <w:sz w:val="24"/>
          <w:szCs w:val="24"/>
          <w:shd w:val="clear" w:color="auto" w:fill="FFFFFF"/>
        </w:rPr>
      </w:pPr>
    </w:p>
    <w:p w:rsidR="003C2DA5" w:rsidRPr="003C17B5" w:rsidRDefault="003C2DA5" w:rsidP="003C2DA5">
      <w:pPr>
        <w:spacing w:after="0"/>
        <w:rPr>
          <w:rFonts w:cs="Segoe UI"/>
          <w:b/>
          <w:color w:val="373A3C"/>
          <w:sz w:val="24"/>
          <w:szCs w:val="24"/>
          <w:shd w:val="clear" w:color="auto" w:fill="FFFFFF"/>
        </w:rPr>
      </w:pPr>
      <w:r w:rsidRPr="003C17B5">
        <w:rPr>
          <w:rFonts w:cs="Segoe UI"/>
          <w:b/>
          <w:color w:val="373A3C"/>
          <w:sz w:val="24"/>
          <w:szCs w:val="24"/>
          <w:shd w:val="clear" w:color="auto" w:fill="FFFFFF"/>
        </w:rPr>
        <w:t>Classical Period</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461-456 BCE – The ‘Long Walls’ connecting Athens to the Piraeus were built. (Hanson. 2005. 26)</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 xml:space="preserve">457 BCE – Eligibility to be an archon was extended to the zeugitae (the third property class) (Howatson. 2011. archons) </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451/450 BCE - Athenian laws change in regards to Citizenship. Full citizenship still remains only accessible to males, however now both an Athenian father and mother is required to automatically qualify. (Rhodes, 2010. 202)</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lastRenderedPageBreak/>
        <w:t>447 BCE – Herodotus ‘The Father of History’ moved from his home in the Greek provinces of Asia Minor to live in Athens (Komroff &amp; Rawlinson. 1947. viii)</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431 BCE - The Archidamian War begins: Thebans attack Plataea, spring evacuation of Attica and the first Peloponnesian invasion – Athenian ships raid the Peloponnese and first Athenian invasion of Megara. (Hanson. 2005. 31)</w:t>
      </w:r>
    </w:p>
    <w:p w:rsidR="008C3013"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430 BCE - Date of the second invasion of Attica, and the besieged Potidaeans surrender their cit</w:t>
      </w:r>
      <w:r w:rsidR="008C3013">
        <w:rPr>
          <w:rFonts w:cs="Segoe UI"/>
          <w:color w:val="373A3C"/>
          <w:sz w:val="24"/>
          <w:szCs w:val="24"/>
          <w:shd w:val="clear" w:color="auto" w:fill="FFFFFF"/>
        </w:rPr>
        <w:t>y to Athens (Hanson. 2005. 31).</w:t>
      </w:r>
    </w:p>
    <w:p w:rsidR="003C2DA5" w:rsidRPr="003C17B5" w:rsidRDefault="003C2DA5" w:rsidP="008C3013">
      <w:pPr>
        <w:pStyle w:val="ListParagraph"/>
        <w:numPr>
          <w:ilvl w:val="1"/>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Also during this time a plague devastates Athens and continues to do so intermittently for the next several years. (Mitchell-Boyask. 2009. 374)</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429 BCE – Death of Pericles: He passed away a year after being reinstated, having been forced from office during the beginning of the Peloponnesian War. (Tritle. 2010)</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424 BCE - Hippocrates – the 32 year old nephew of General Pericles’ (the younger) – falls at the battle of Delium (Hanson. 2005. 5)</w:t>
      </w:r>
    </w:p>
    <w:p w:rsidR="003C2DA5" w:rsidRPr="003C17B5" w:rsidRDefault="003C2DA5" w:rsidP="003C2DA5">
      <w:pPr>
        <w:pStyle w:val="ListParagraph"/>
        <w:numPr>
          <w:ilvl w:val="0"/>
          <w:numId w:val="1"/>
        </w:numPr>
        <w:spacing w:after="0"/>
        <w:rPr>
          <w:rFonts w:cs="Segoe UI"/>
          <w:sz w:val="24"/>
          <w:szCs w:val="24"/>
          <w:shd w:val="clear" w:color="auto" w:fill="FFFFFF"/>
        </w:rPr>
      </w:pPr>
      <w:r w:rsidRPr="003C17B5">
        <w:rPr>
          <w:rFonts w:cs="Segoe UI"/>
          <w:sz w:val="24"/>
          <w:szCs w:val="24"/>
          <w:shd w:val="clear" w:color="auto" w:fill="FFFFFF"/>
        </w:rPr>
        <w:t xml:space="preserve">422 BCE - General Cleon died (Rhodes, 2010. 163) Killed in battle by Brasidas outside of Amphipolis after recovering Torone and Galepus but failing in an attack on Stragia. (Gomme, Cadoux &amp; Rhodes. 2012) </w:t>
      </w:r>
    </w:p>
    <w:p w:rsidR="003C2DA5" w:rsidRPr="003C17B5" w:rsidRDefault="003C2DA5" w:rsidP="003C2DA5">
      <w:pPr>
        <w:pStyle w:val="ListParagraph"/>
        <w:numPr>
          <w:ilvl w:val="0"/>
          <w:numId w:val="1"/>
        </w:numPr>
        <w:spacing w:after="0"/>
        <w:rPr>
          <w:rFonts w:cs="Segoe UI"/>
          <w:sz w:val="24"/>
          <w:szCs w:val="24"/>
          <w:shd w:val="clear" w:color="auto" w:fill="FFFFFF"/>
        </w:rPr>
      </w:pPr>
      <w:r w:rsidRPr="003C17B5">
        <w:rPr>
          <w:rFonts w:cs="Segoe UI"/>
          <w:sz w:val="24"/>
          <w:szCs w:val="24"/>
          <w:shd w:val="clear" w:color="auto" w:fill="FFFFFF"/>
        </w:rPr>
        <w:t>420/19 BCE – Around this time the Asklepieion begins construction and its inception and progress is depicted in the inscription known as the ‘Monument of Telemachos’ (</w:t>
      </w:r>
      <w:r w:rsidRPr="003C17B5">
        <w:rPr>
          <w:sz w:val="24"/>
          <w:szCs w:val="24"/>
        </w:rPr>
        <w:t>IGII</w:t>
      </w:r>
      <w:r w:rsidRPr="003C17B5">
        <w:rPr>
          <w:sz w:val="24"/>
          <w:szCs w:val="24"/>
          <w:vertAlign w:val="superscript"/>
        </w:rPr>
        <w:t>2</w:t>
      </w:r>
      <w:r w:rsidRPr="003C17B5">
        <w:rPr>
          <w:sz w:val="24"/>
          <w:szCs w:val="24"/>
        </w:rPr>
        <w:t xml:space="preserve"> 4960.20 / IGII</w:t>
      </w:r>
      <w:r w:rsidRPr="003C17B5">
        <w:rPr>
          <w:sz w:val="24"/>
          <w:szCs w:val="24"/>
          <w:vertAlign w:val="superscript"/>
        </w:rPr>
        <w:t xml:space="preserve">2 </w:t>
      </w:r>
      <w:r w:rsidRPr="003C17B5">
        <w:rPr>
          <w:sz w:val="24"/>
          <w:szCs w:val="24"/>
        </w:rPr>
        <w:t>4962.1</w:t>
      </w:r>
      <w:r w:rsidRPr="003C17B5">
        <w:rPr>
          <w:rFonts w:cs="Segoe UI"/>
          <w:sz w:val="24"/>
          <w:szCs w:val="24"/>
          <w:shd w:val="clear" w:color="auto" w:fill="FFFFFF"/>
        </w:rPr>
        <w:t>). The Asklepieion was a temple dedicated to the patron god of medicine Asclepius (</w:t>
      </w:r>
      <w:r w:rsidRPr="003C17B5">
        <w:rPr>
          <w:sz w:val="24"/>
          <w:szCs w:val="24"/>
        </w:rPr>
        <w:t>Wickkiser. 2008. 1</w:t>
      </w:r>
      <w:r w:rsidRPr="003C17B5">
        <w:rPr>
          <w:rFonts w:cs="Segoe UI"/>
          <w:sz w:val="24"/>
          <w:szCs w:val="24"/>
          <w:shd w:val="clear" w:color="auto" w:fill="FFFFFF"/>
        </w:rPr>
        <w:t>), in which people travelled far and wide to seek a cure to their ailments. (Compton. 1998. 303)</w:t>
      </w:r>
    </w:p>
    <w:p w:rsidR="003C2DA5" w:rsidRPr="003C17B5" w:rsidRDefault="003C2DA5" w:rsidP="003C2DA5">
      <w:pPr>
        <w:pStyle w:val="ListParagraph"/>
        <w:numPr>
          <w:ilvl w:val="0"/>
          <w:numId w:val="1"/>
        </w:numPr>
        <w:spacing w:after="0"/>
        <w:rPr>
          <w:rFonts w:cs="Segoe UI"/>
          <w:sz w:val="24"/>
          <w:szCs w:val="24"/>
          <w:shd w:val="clear" w:color="auto" w:fill="FFFFFF"/>
        </w:rPr>
      </w:pPr>
      <w:r w:rsidRPr="003C17B5">
        <w:rPr>
          <w:rFonts w:cs="Segoe UI"/>
          <w:sz w:val="24"/>
          <w:szCs w:val="24"/>
          <w:shd w:val="clear" w:color="auto" w:fill="FFFFFF"/>
        </w:rPr>
        <w:t>420-410 BCE – During this time frame was the construction of the Temple of the goddess Athena Nike. (Schultz. 2001. 1)</w:t>
      </w:r>
    </w:p>
    <w:p w:rsidR="008C3013" w:rsidRPr="008C3013" w:rsidRDefault="008816DF" w:rsidP="003C2DA5">
      <w:pPr>
        <w:pStyle w:val="ListParagraph"/>
        <w:numPr>
          <w:ilvl w:val="0"/>
          <w:numId w:val="1"/>
        </w:numPr>
        <w:spacing w:after="0"/>
        <w:rPr>
          <w:rFonts w:cs="Segoe UI"/>
          <w:sz w:val="24"/>
          <w:szCs w:val="24"/>
          <w:shd w:val="clear" w:color="auto" w:fill="FFFFFF"/>
        </w:rPr>
      </w:pPr>
      <w:r w:rsidRPr="003C17B5">
        <w:rPr>
          <w:rFonts w:cs="Segoe UI"/>
          <w:sz w:val="24"/>
          <w:szCs w:val="24"/>
          <w:shd w:val="clear" w:color="auto" w:fill="FFFFFF"/>
        </w:rPr>
        <w:t xml:space="preserve">411 BCE – </w:t>
      </w:r>
      <w:r w:rsidR="003C17B5" w:rsidRPr="003C17B5">
        <w:rPr>
          <w:rFonts w:cs="Segoe UI"/>
          <w:sz w:val="24"/>
          <w:szCs w:val="24"/>
          <w:shd w:val="clear" w:color="auto" w:fill="FFFFFF"/>
        </w:rPr>
        <w:t>During this year Antiphon</w:t>
      </w:r>
      <w:r w:rsidR="00ED74BE">
        <w:rPr>
          <w:rFonts w:cs="Segoe UI"/>
          <w:sz w:val="24"/>
          <w:szCs w:val="24"/>
          <w:shd w:val="clear" w:color="auto" w:fill="FFFFFF"/>
        </w:rPr>
        <w:t xml:space="preserve"> was</w:t>
      </w:r>
      <w:r w:rsidR="00D807D6">
        <w:rPr>
          <w:rFonts w:cs="Segoe UI"/>
          <w:sz w:val="24"/>
          <w:szCs w:val="24"/>
          <w:shd w:val="clear" w:color="auto" w:fill="FFFFFF"/>
        </w:rPr>
        <w:t xml:space="preserve"> charged with treason and</w:t>
      </w:r>
      <w:r w:rsidR="00ED74BE">
        <w:rPr>
          <w:rFonts w:cs="Segoe UI"/>
          <w:sz w:val="24"/>
          <w:szCs w:val="24"/>
          <w:shd w:val="clear" w:color="auto" w:fill="FFFFFF"/>
        </w:rPr>
        <w:t xml:space="preserve"> sentenced to death</w:t>
      </w:r>
      <w:r w:rsidR="00D807D6">
        <w:rPr>
          <w:rFonts w:cs="Segoe UI"/>
          <w:sz w:val="24"/>
          <w:szCs w:val="24"/>
          <w:shd w:val="clear" w:color="auto" w:fill="FFFFFF"/>
        </w:rPr>
        <w:t>,</w:t>
      </w:r>
      <w:r w:rsidR="00ED74BE">
        <w:rPr>
          <w:rFonts w:cs="Segoe UI"/>
          <w:sz w:val="24"/>
          <w:szCs w:val="24"/>
          <w:shd w:val="clear" w:color="auto" w:fill="FFFFFF"/>
        </w:rPr>
        <w:t xml:space="preserve"> as he was believed to have</w:t>
      </w:r>
      <w:r w:rsidR="003C17B5" w:rsidRPr="003C17B5">
        <w:rPr>
          <w:rFonts w:cs="Segoe UI"/>
          <w:sz w:val="24"/>
          <w:szCs w:val="24"/>
          <w:shd w:val="clear" w:color="auto" w:fill="FFFFFF"/>
        </w:rPr>
        <w:t xml:space="preserve"> </w:t>
      </w:r>
      <w:r w:rsidR="003C17B5" w:rsidRPr="003C17B5">
        <w:rPr>
          <w:sz w:val="24"/>
          <w:szCs w:val="24"/>
        </w:rPr>
        <w:t>‘masterminded’ the oligarchic revolution which resulted in the reign of the “Four Hundred (Phillips &amp; Kapparis. 2003).</w:t>
      </w:r>
    </w:p>
    <w:p w:rsidR="008816DF" w:rsidRPr="003C17B5" w:rsidRDefault="003C17B5" w:rsidP="008C3013">
      <w:pPr>
        <w:pStyle w:val="ListParagraph"/>
        <w:numPr>
          <w:ilvl w:val="1"/>
          <w:numId w:val="1"/>
        </w:numPr>
        <w:spacing w:after="0"/>
        <w:rPr>
          <w:rFonts w:cs="Segoe UI"/>
          <w:sz w:val="24"/>
          <w:szCs w:val="24"/>
          <w:shd w:val="clear" w:color="auto" w:fill="FFFFFF"/>
        </w:rPr>
      </w:pPr>
      <w:r w:rsidRPr="003C17B5">
        <w:rPr>
          <w:rFonts w:cs="Segoe UI"/>
          <w:sz w:val="24"/>
          <w:szCs w:val="24"/>
          <w:shd w:val="clear" w:color="auto" w:fill="FFFFFF"/>
        </w:rPr>
        <w:t>This is also the year in which Aristophanes’ satirical comedy Lysistrata was produced.</w:t>
      </w:r>
      <w:r w:rsidR="008816DF" w:rsidRPr="003C17B5">
        <w:rPr>
          <w:rFonts w:cs="Segoe UI"/>
          <w:sz w:val="24"/>
          <w:szCs w:val="24"/>
          <w:shd w:val="clear" w:color="auto" w:fill="FFFFFF"/>
        </w:rPr>
        <w:t xml:space="preserve"> (Howatson. 2011. Lysistrata)</w:t>
      </w:r>
    </w:p>
    <w:p w:rsidR="003C2DA5" w:rsidRPr="003C17B5" w:rsidRDefault="003C2DA5" w:rsidP="003C2DA5">
      <w:pPr>
        <w:pStyle w:val="ListParagraph"/>
        <w:numPr>
          <w:ilvl w:val="0"/>
          <w:numId w:val="1"/>
        </w:numPr>
        <w:spacing w:after="0"/>
        <w:rPr>
          <w:rFonts w:cs="Segoe UI"/>
          <w:sz w:val="24"/>
          <w:szCs w:val="24"/>
          <w:shd w:val="clear" w:color="auto" w:fill="FFFFFF"/>
        </w:rPr>
      </w:pPr>
      <w:r w:rsidRPr="003C17B5">
        <w:rPr>
          <w:rFonts w:cs="Segoe UI"/>
          <w:sz w:val="24"/>
          <w:szCs w:val="24"/>
          <w:shd w:val="clear" w:color="auto" w:fill="FFFFFF"/>
        </w:rPr>
        <w:t>409/8 BCE – The Athenian state order for Draconian homicide law be republished on stone as it had most likely originally been inscribed on a perishable material. (Phillips. 2010.)</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sz w:val="24"/>
          <w:szCs w:val="24"/>
          <w:shd w:val="clear" w:color="auto" w:fill="FFFFFF"/>
        </w:rPr>
        <w:t xml:space="preserve">406 BCE - </w:t>
      </w:r>
      <w:r w:rsidRPr="003C17B5">
        <w:rPr>
          <w:rFonts w:cs="Segoe UI"/>
          <w:color w:val="373A3C"/>
          <w:sz w:val="24"/>
          <w:szCs w:val="24"/>
          <w:shd w:val="clear" w:color="auto" w:fill="FFFFFF"/>
        </w:rPr>
        <w:t>Sophocles died this year. (Rhodes, 2010. 212)</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404 BCE – During the winter, Athenian general Thrasyboulos leads his men from Thebes and is victorious in taking Phyle (Xen. Hell. II.4)</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402 BCE – The Eleian war begins: Agis’ first campaign against Elis and the Spartans agree to aid Kyros’ revolt (Krenz, 1995. 10)</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400 BCE – The Eleian war ends in the spring (Krenz, 1995.10) and on his way back from Delphi King Agis falls ill in Heraia and although he is brought back to Lakedaimon alive he soon perishes. There was a dispute over kingship between Agis’ brother Agesilaos and Leotychides who claimed to be Agis’ son. (Xen. Hell. III.3)</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lastRenderedPageBreak/>
        <w:t>395 BCE – The battle of Sardis (Krentz, 1995. 11)</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 xml:space="preserve">384/3 BCE - Athens forms a 'defensive' alliance with Chios (Rhodes. 2010. 264) </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378 BCE - Athens founds a brand new league in order to resist Spartan imperialism (Rhodes, 2010. 196)</w:t>
      </w:r>
    </w:p>
    <w:p w:rsidR="003C2DA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365 BCE - Thebes makes peace with Corinth and others, end of the Peloponnesian League (Rhodes, 2010)</w:t>
      </w:r>
    </w:p>
    <w:p w:rsidR="00DC5B83" w:rsidRPr="003C17B5" w:rsidRDefault="00DC5B83" w:rsidP="00DC5B83">
      <w:pPr>
        <w:pStyle w:val="ListParagraph"/>
        <w:numPr>
          <w:ilvl w:val="1"/>
          <w:numId w:val="1"/>
        </w:numPr>
        <w:spacing w:after="0"/>
        <w:rPr>
          <w:rFonts w:cs="Segoe UI"/>
          <w:color w:val="373A3C"/>
          <w:sz w:val="24"/>
          <w:szCs w:val="24"/>
          <w:shd w:val="clear" w:color="auto" w:fill="FFFFFF"/>
        </w:rPr>
      </w:pPr>
      <w:r>
        <w:rPr>
          <w:rFonts w:cs="Segoe UI"/>
          <w:color w:val="373A3C"/>
          <w:sz w:val="24"/>
          <w:szCs w:val="24"/>
          <w:shd w:val="clear" w:color="auto" w:fill="FFFFFF"/>
        </w:rPr>
        <w:t>At this point in time a decree had been issued to invite the different Greek states to join the ‘Second Athenian League’</w:t>
      </w:r>
      <w:r w:rsidR="00BB50AF">
        <w:rPr>
          <w:rFonts w:cs="Segoe UI"/>
          <w:color w:val="373A3C"/>
          <w:sz w:val="24"/>
          <w:szCs w:val="24"/>
          <w:shd w:val="clear" w:color="auto" w:fill="FFFFFF"/>
        </w:rPr>
        <w:t xml:space="preserve"> (</w:t>
      </w:r>
      <w:r w:rsidR="00BB50AF">
        <w:t>RO 22</w:t>
      </w:r>
      <w:r w:rsidR="00BB50AF">
        <w:rPr>
          <w:rFonts w:cs="Segoe UI"/>
          <w:color w:val="373A3C"/>
          <w:sz w:val="24"/>
          <w:szCs w:val="24"/>
          <w:shd w:val="clear" w:color="auto" w:fill="FFFFFF"/>
        </w:rPr>
        <w:t>)</w:t>
      </w:r>
      <w:r>
        <w:rPr>
          <w:rFonts w:cs="Segoe UI"/>
          <w:color w:val="373A3C"/>
          <w:sz w:val="24"/>
          <w:szCs w:val="24"/>
          <w:shd w:val="clear" w:color="auto" w:fill="FFFFFF"/>
        </w:rPr>
        <w:t xml:space="preserve">. </w:t>
      </w:r>
    </w:p>
    <w:p w:rsidR="003C2DA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346 BCE - Isocrates writes a letter to Philip II urging him to use his power "for the good of the Hellenistic world as a whole." (Osborne. 2000. 134)</w:t>
      </w:r>
    </w:p>
    <w:p w:rsidR="003E07EE" w:rsidRDefault="003E07EE" w:rsidP="003C2DA5">
      <w:pPr>
        <w:pStyle w:val="ListParagraph"/>
        <w:numPr>
          <w:ilvl w:val="0"/>
          <w:numId w:val="1"/>
        </w:numPr>
        <w:spacing w:after="0"/>
        <w:rPr>
          <w:rFonts w:cs="Segoe UI"/>
          <w:color w:val="373A3C"/>
          <w:sz w:val="24"/>
          <w:szCs w:val="24"/>
          <w:shd w:val="clear" w:color="auto" w:fill="FFFFFF"/>
        </w:rPr>
      </w:pPr>
      <w:r>
        <w:rPr>
          <w:rFonts w:cs="Segoe UI"/>
          <w:color w:val="373A3C"/>
          <w:sz w:val="24"/>
          <w:szCs w:val="24"/>
          <w:shd w:val="clear" w:color="auto" w:fill="FFFFFF"/>
        </w:rPr>
        <w:t xml:space="preserve">344 BCE – This was when Menander – son of </w:t>
      </w:r>
      <w:r>
        <w:rPr>
          <w:rFonts w:cs="Arial"/>
          <w:color w:val="000000"/>
          <w:sz w:val="24"/>
          <w:szCs w:val="24"/>
        </w:rPr>
        <w:t>Diopeithes -</w:t>
      </w:r>
      <w:r>
        <w:rPr>
          <w:rFonts w:cs="Segoe UI"/>
          <w:color w:val="373A3C"/>
          <w:sz w:val="24"/>
          <w:szCs w:val="24"/>
          <w:shd w:val="clear" w:color="auto" w:fill="FFFFFF"/>
        </w:rPr>
        <w:t xml:space="preserve"> was suspected to have been born. During his lifetime he was considered to have been one of the leading writers of new-attic comedy. (Arnott. 2012)</w:t>
      </w:r>
    </w:p>
    <w:p w:rsidR="00D67BB4" w:rsidRPr="00514FE7" w:rsidRDefault="00D67BB4" w:rsidP="003C2DA5">
      <w:pPr>
        <w:pStyle w:val="ListParagraph"/>
        <w:numPr>
          <w:ilvl w:val="0"/>
          <w:numId w:val="1"/>
        </w:numPr>
        <w:spacing w:after="0"/>
        <w:rPr>
          <w:rFonts w:cs="Segoe UI"/>
          <w:color w:val="373A3C"/>
          <w:sz w:val="24"/>
          <w:szCs w:val="24"/>
          <w:shd w:val="clear" w:color="auto" w:fill="FFFFFF"/>
        </w:rPr>
      </w:pPr>
      <w:r>
        <w:rPr>
          <w:rFonts w:cs="Segoe UI"/>
          <w:color w:val="373A3C"/>
          <w:sz w:val="24"/>
          <w:szCs w:val="24"/>
          <w:shd w:val="clear" w:color="auto" w:fill="FFFFFF"/>
        </w:rPr>
        <w:t xml:space="preserve">338 BCE – Socrates is believed to have starved himself to death after </w:t>
      </w:r>
      <w:r>
        <w:rPr>
          <w:sz w:val="24"/>
          <w:szCs w:val="24"/>
        </w:rPr>
        <w:t>Athens was defeated in the battle of Chaeronea</w:t>
      </w:r>
      <w:r w:rsidR="00C22373">
        <w:rPr>
          <w:sz w:val="24"/>
          <w:szCs w:val="24"/>
        </w:rPr>
        <w:t xml:space="preserve"> (</w:t>
      </w:r>
      <w:r w:rsidR="00C22373">
        <w:t>Perlman. 1985. 153</w:t>
      </w:r>
      <w:r w:rsidR="00C22373">
        <w:rPr>
          <w:sz w:val="24"/>
          <w:szCs w:val="24"/>
        </w:rPr>
        <w:t>)</w:t>
      </w:r>
      <w:r>
        <w:rPr>
          <w:sz w:val="24"/>
          <w:szCs w:val="24"/>
        </w:rPr>
        <w:t>.</w:t>
      </w:r>
    </w:p>
    <w:p w:rsidR="00514FE7" w:rsidRPr="003C17B5" w:rsidRDefault="00514FE7" w:rsidP="00514FE7">
      <w:pPr>
        <w:pStyle w:val="ListParagraph"/>
        <w:numPr>
          <w:ilvl w:val="1"/>
          <w:numId w:val="1"/>
        </w:numPr>
        <w:spacing w:after="0"/>
        <w:rPr>
          <w:rFonts w:cs="Segoe UI"/>
          <w:color w:val="373A3C"/>
          <w:sz w:val="24"/>
          <w:szCs w:val="24"/>
          <w:shd w:val="clear" w:color="auto" w:fill="FFFFFF"/>
        </w:rPr>
      </w:pPr>
      <w:r>
        <w:rPr>
          <w:sz w:val="24"/>
          <w:szCs w:val="24"/>
        </w:rPr>
        <w:t xml:space="preserve">This was also the year in which Philip introduced the </w:t>
      </w:r>
      <w:r>
        <w:rPr>
          <w:sz w:val="24"/>
          <w:szCs w:val="24"/>
        </w:rPr>
        <w:t>Peace of Demades</w:t>
      </w:r>
      <w:r>
        <w:rPr>
          <w:sz w:val="24"/>
          <w:szCs w:val="24"/>
        </w:rPr>
        <w:t xml:space="preserve"> and abolished the Second Athenian Confederacy (</w:t>
      </w:r>
      <w:r>
        <w:t>Cawkwell. 2011.XI.1</w:t>
      </w:r>
      <w:r>
        <w:rPr>
          <w:sz w:val="24"/>
          <w:szCs w:val="24"/>
        </w:rPr>
        <w:t>)</w:t>
      </w:r>
      <w:r>
        <w:rPr>
          <w:sz w:val="24"/>
          <w:szCs w:val="24"/>
        </w:rPr>
        <w:t>.</w:t>
      </w:r>
    </w:p>
    <w:p w:rsidR="003C2DA5" w:rsidRPr="003C17B5" w:rsidRDefault="003C2DA5" w:rsidP="003C2DA5">
      <w:pPr>
        <w:pStyle w:val="ListParagraph"/>
        <w:numPr>
          <w:ilvl w:val="0"/>
          <w:numId w:val="1"/>
        </w:numPr>
        <w:spacing w:after="0"/>
        <w:rPr>
          <w:rFonts w:cs="Segoe UI"/>
          <w:color w:val="373A3C"/>
          <w:sz w:val="24"/>
          <w:szCs w:val="24"/>
          <w:shd w:val="clear" w:color="auto" w:fill="FFFFFF"/>
        </w:rPr>
      </w:pPr>
      <w:r w:rsidRPr="003C17B5">
        <w:rPr>
          <w:rFonts w:cs="Segoe UI"/>
          <w:color w:val="373A3C"/>
          <w:sz w:val="24"/>
          <w:szCs w:val="24"/>
          <w:shd w:val="clear" w:color="auto" w:fill="FFFFFF"/>
        </w:rPr>
        <w:t>335 BCE – Aristotle’s Lyceum: After returning to Athens- having been the tutor to Alexander the great- Aristotle founded his own academy, the Lyceum. (Matson. 2011. 1)</w:t>
      </w:r>
    </w:p>
    <w:p w:rsidR="003C2DA5" w:rsidRPr="005F6234" w:rsidRDefault="003C2DA5" w:rsidP="005F6234">
      <w:pPr>
        <w:pStyle w:val="ListParagraph"/>
        <w:numPr>
          <w:ilvl w:val="0"/>
          <w:numId w:val="1"/>
        </w:numPr>
        <w:spacing w:after="0"/>
        <w:rPr>
          <w:rFonts w:cs="Segoe UI"/>
          <w:color w:val="373A3C"/>
          <w:sz w:val="24"/>
          <w:szCs w:val="24"/>
          <w:shd w:val="clear" w:color="auto" w:fill="FFFFFF"/>
        </w:rPr>
      </w:pPr>
      <w:r w:rsidRPr="005F6234">
        <w:rPr>
          <w:rFonts w:cs="Segoe UI"/>
          <w:color w:val="373A3C"/>
          <w:sz w:val="24"/>
          <w:szCs w:val="24"/>
          <w:shd w:val="clear" w:color="auto" w:fill="FFFFFF"/>
        </w:rPr>
        <w:t>331 BCE - Alexander the great and his army win the battle of Gaugamela after defeating the Persian king Darius III. (Cawkwell. 2005. 2)</w:t>
      </w:r>
    </w:p>
    <w:p w:rsidR="003C2DA5" w:rsidRPr="003C17B5" w:rsidRDefault="003C2DA5" w:rsidP="003C2DA5">
      <w:pPr>
        <w:spacing w:after="0"/>
        <w:rPr>
          <w:rFonts w:cs="Segoe UI"/>
          <w:sz w:val="24"/>
          <w:szCs w:val="24"/>
          <w:shd w:val="clear" w:color="auto" w:fill="FFFFFF"/>
        </w:rPr>
      </w:pPr>
    </w:p>
    <w:p w:rsidR="003C2DA5" w:rsidRPr="003C17B5" w:rsidRDefault="003C2DA5" w:rsidP="003C2DA5">
      <w:pPr>
        <w:spacing w:after="0"/>
        <w:jc w:val="center"/>
        <w:rPr>
          <w:rFonts w:cs="Segoe UI"/>
          <w:b/>
          <w:color w:val="373A3C"/>
          <w:sz w:val="24"/>
          <w:szCs w:val="24"/>
          <w:shd w:val="clear" w:color="auto" w:fill="FFFFFF"/>
        </w:rPr>
      </w:pPr>
      <w:r w:rsidRPr="003C17B5">
        <w:rPr>
          <w:rFonts w:cs="Segoe UI"/>
          <w:b/>
          <w:color w:val="373A3C"/>
          <w:sz w:val="24"/>
          <w:szCs w:val="24"/>
          <w:shd w:val="clear" w:color="auto" w:fill="FFFFFF"/>
        </w:rPr>
        <w:t>Bibliography</w:t>
      </w:r>
    </w:p>
    <w:p w:rsidR="003C2DA5" w:rsidRPr="003C17B5" w:rsidRDefault="003C2DA5" w:rsidP="003C2DA5">
      <w:pPr>
        <w:spacing w:after="0"/>
        <w:rPr>
          <w:rFonts w:cs="Segoe UI"/>
          <w:b/>
          <w:i/>
          <w:color w:val="373A3C"/>
          <w:sz w:val="24"/>
          <w:szCs w:val="24"/>
          <w:shd w:val="clear" w:color="auto" w:fill="FFFFFF"/>
        </w:rPr>
      </w:pPr>
      <w:r w:rsidRPr="003C17B5">
        <w:rPr>
          <w:rFonts w:cs="Segoe UI"/>
          <w:b/>
          <w:i/>
          <w:color w:val="373A3C"/>
          <w:sz w:val="24"/>
          <w:szCs w:val="24"/>
          <w:shd w:val="clear" w:color="auto" w:fill="FFFFFF"/>
        </w:rPr>
        <w:t>Ancient</w:t>
      </w:r>
    </w:p>
    <w:p w:rsidR="003C2DA5" w:rsidRPr="003C17B5" w:rsidRDefault="003C2DA5" w:rsidP="003C2DA5">
      <w:pPr>
        <w:spacing w:after="0"/>
        <w:rPr>
          <w:sz w:val="24"/>
          <w:szCs w:val="24"/>
        </w:rPr>
      </w:pPr>
      <w:r w:rsidRPr="003C17B5">
        <w:rPr>
          <w:sz w:val="24"/>
          <w:szCs w:val="24"/>
        </w:rPr>
        <w:t>IGII</w:t>
      </w:r>
      <w:r w:rsidRPr="003C17B5">
        <w:rPr>
          <w:sz w:val="24"/>
          <w:szCs w:val="24"/>
          <w:vertAlign w:val="superscript"/>
        </w:rPr>
        <w:t>2</w:t>
      </w:r>
      <w:r w:rsidRPr="003C17B5">
        <w:rPr>
          <w:sz w:val="24"/>
          <w:szCs w:val="24"/>
        </w:rPr>
        <w:t xml:space="preserve"> 4960. Stephen Lambert &amp; Feyo Schuddeboom (trans.) Attic Inscriptions Online. </w:t>
      </w:r>
      <w:hyperlink r:id="rId8" w:history="1">
        <w:r w:rsidRPr="003C17B5">
          <w:rPr>
            <w:rStyle w:val="Hyperlink"/>
            <w:sz w:val="24"/>
            <w:szCs w:val="24"/>
          </w:rPr>
          <w:t>https://www.atticinscriptions.com/inscription/IGII2/4960-fr-a-and-b</w:t>
        </w:r>
      </w:hyperlink>
      <w:r w:rsidRPr="003C17B5">
        <w:rPr>
          <w:sz w:val="24"/>
          <w:szCs w:val="24"/>
        </w:rPr>
        <w:t xml:space="preserve"> [Accessed 11/07/2019]</w:t>
      </w:r>
    </w:p>
    <w:p w:rsidR="003C2DA5" w:rsidRDefault="003C2DA5" w:rsidP="003C2DA5">
      <w:pPr>
        <w:spacing w:after="0"/>
        <w:rPr>
          <w:sz w:val="24"/>
          <w:szCs w:val="24"/>
        </w:rPr>
      </w:pPr>
      <w:r w:rsidRPr="003C17B5">
        <w:rPr>
          <w:sz w:val="24"/>
          <w:szCs w:val="24"/>
        </w:rPr>
        <w:t>IGII</w:t>
      </w:r>
      <w:r w:rsidRPr="003C17B5">
        <w:rPr>
          <w:sz w:val="24"/>
          <w:szCs w:val="24"/>
          <w:vertAlign w:val="superscript"/>
        </w:rPr>
        <w:t xml:space="preserve">2 </w:t>
      </w:r>
      <w:r w:rsidRPr="003C17B5">
        <w:rPr>
          <w:sz w:val="24"/>
          <w:szCs w:val="24"/>
        </w:rPr>
        <w:t xml:space="preserve">4962. Stephen Lambert &amp; Feyo Schuddeboom (trans.) Attic Inscriptions Online. </w:t>
      </w:r>
      <w:hyperlink r:id="rId9" w:history="1">
        <w:r w:rsidRPr="003C17B5">
          <w:rPr>
            <w:rStyle w:val="Hyperlink"/>
            <w:sz w:val="24"/>
            <w:szCs w:val="24"/>
          </w:rPr>
          <w:t>https://www.atticinscriptions.com/inscription/IGII2/4962</w:t>
        </w:r>
      </w:hyperlink>
      <w:r w:rsidRPr="003C17B5">
        <w:rPr>
          <w:sz w:val="24"/>
          <w:szCs w:val="24"/>
        </w:rPr>
        <w:t xml:space="preserve"> [Accessed 11/07/2019]</w:t>
      </w:r>
    </w:p>
    <w:p w:rsidR="00BB50AF" w:rsidRPr="003C17B5" w:rsidRDefault="00BB50AF" w:rsidP="003C2DA5">
      <w:pPr>
        <w:spacing w:after="0"/>
        <w:rPr>
          <w:sz w:val="24"/>
          <w:szCs w:val="24"/>
        </w:rPr>
      </w:pPr>
      <w:r>
        <w:t>RO 22</w:t>
      </w:r>
      <w:r w:rsidR="00E373BD">
        <w:t xml:space="preserve"> </w:t>
      </w:r>
      <w:r w:rsidR="00E373BD" w:rsidRPr="00DE2EDC">
        <w:rPr>
          <w:sz w:val="24"/>
          <w:szCs w:val="24"/>
        </w:rPr>
        <w:t xml:space="preserve">Stephen Lambert &amp; P.J. Rhodes (trans.) Attic Inscriptions Online. </w:t>
      </w:r>
      <w:hyperlink r:id="rId10" w:history="1">
        <w:r w:rsidR="00E373BD" w:rsidRPr="00DE2EDC">
          <w:rPr>
            <w:rStyle w:val="Hyperlink"/>
            <w:sz w:val="24"/>
            <w:szCs w:val="24"/>
          </w:rPr>
          <w:t>https://www.atticinscriptions.com/inscription/RO/22</w:t>
        </w:r>
      </w:hyperlink>
      <w:r w:rsidR="00E373BD" w:rsidRPr="00DE2EDC">
        <w:rPr>
          <w:sz w:val="24"/>
          <w:szCs w:val="24"/>
        </w:rPr>
        <w:t xml:space="preserve"> [Accessed 28.01.19]</w:t>
      </w:r>
    </w:p>
    <w:p w:rsidR="003C2DA5" w:rsidRPr="003C17B5" w:rsidRDefault="003C2DA5" w:rsidP="003C2DA5">
      <w:pPr>
        <w:spacing w:after="0"/>
        <w:rPr>
          <w:rFonts w:cs="Segoe UI"/>
          <w:sz w:val="24"/>
          <w:szCs w:val="24"/>
          <w:shd w:val="clear" w:color="auto" w:fill="FFFFFF"/>
        </w:rPr>
      </w:pPr>
      <w:r w:rsidRPr="003C17B5">
        <w:rPr>
          <w:rFonts w:cs="Segoe UI"/>
          <w:color w:val="373A3C"/>
          <w:sz w:val="24"/>
          <w:szCs w:val="24"/>
          <w:shd w:val="clear" w:color="auto" w:fill="FFFFFF"/>
        </w:rPr>
        <w:t xml:space="preserve">Xenephon. Hellenika. </w:t>
      </w:r>
      <w:r w:rsidRPr="003C17B5">
        <w:rPr>
          <w:rFonts w:cs="Segoe UI"/>
          <w:sz w:val="24"/>
          <w:szCs w:val="24"/>
          <w:shd w:val="clear" w:color="auto" w:fill="FFFFFF"/>
        </w:rPr>
        <w:t>Peter Krentz (trans.) 1995</w:t>
      </w:r>
    </w:p>
    <w:p w:rsidR="003C2DA5" w:rsidRPr="003C17B5" w:rsidRDefault="003C2DA5" w:rsidP="003C2DA5">
      <w:pPr>
        <w:spacing w:after="0"/>
        <w:rPr>
          <w:rFonts w:cs="Segoe UI"/>
          <w:color w:val="373A3C"/>
          <w:sz w:val="24"/>
          <w:szCs w:val="24"/>
          <w:shd w:val="clear" w:color="auto" w:fill="FFFFFF"/>
        </w:rPr>
      </w:pPr>
      <w:bookmarkStart w:id="0" w:name="_GoBack"/>
      <w:bookmarkEnd w:id="0"/>
    </w:p>
    <w:p w:rsidR="003C2DA5" w:rsidRPr="003C17B5" w:rsidRDefault="003C2DA5" w:rsidP="003C2DA5">
      <w:pPr>
        <w:spacing w:after="0"/>
        <w:rPr>
          <w:rFonts w:cs="Segoe UI"/>
          <w:b/>
          <w:i/>
          <w:color w:val="373A3C"/>
          <w:sz w:val="24"/>
          <w:szCs w:val="24"/>
          <w:shd w:val="clear" w:color="auto" w:fill="FFFFFF"/>
        </w:rPr>
      </w:pPr>
      <w:r w:rsidRPr="003C17B5">
        <w:rPr>
          <w:rFonts w:cs="Segoe UI"/>
          <w:b/>
          <w:i/>
          <w:color w:val="373A3C"/>
          <w:sz w:val="24"/>
          <w:szCs w:val="24"/>
          <w:shd w:val="clear" w:color="auto" w:fill="FFFFFF"/>
        </w:rPr>
        <w:t>Modern</w:t>
      </w:r>
    </w:p>
    <w:p w:rsidR="003E07EE" w:rsidRPr="003E07EE" w:rsidRDefault="003E07EE" w:rsidP="003C2DA5">
      <w:pPr>
        <w:spacing w:after="0"/>
        <w:rPr>
          <w:rFonts w:cs="Arial"/>
          <w:color w:val="000000"/>
          <w:sz w:val="24"/>
          <w:szCs w:val="24"/>
        </w:rPr>
      </w:pPr>
      <w:r w:rsidRPr="009B782A">
        <w:rPr>
          <w:rFonts w:cs="Arial"/>
          <w:color w:val="000000"/>
          <w:sz w:val="24"/>
          <w:szCs w:val="24"/>
        </w:rPr>
        <w:t xml:space="preserve">Arnott, W.G. 2012 "Menander." </w:t>
      </w:r>
      <w:r w:rsidRPr="009B782A">
        <w:rPr>
          <w:rStyle w:val="Emphasis"/>
          <w:rFonts w:cs="Arial"/>
          <w:color w:val="000000"/>
          <w:sz w:val="24"/>
          <w:szCs w:val="24"/>
        </w:rPr>
        <w:t>Oxford Classical Dictionary</w:t>
      </w:r>
      <w:r w:rsidRPr="009B782A">
        <w:rPr>
          <w:rFonts w:cs="Arial"/>
          <w:color w:val="000000"/>
          <w:sz w:val="24"/>
          <w:szCs w:val="24"/>
        </w:rPr>
        <w:t xml:space="preserve">. Oxford; Oxford University Press, </w:t>
      </w:r>
      <w:hyperlink r:id="rId11" w:history="1">
        <w:r w:rsidRPr="009B782A">
          <w:rPr>
            <w:rStyle w:val="Hyperlink"/>
            <w:rFonts w:cs="Arial"/>
            <w:sz w:val="24"/>
            <w:szCs w:val="24"/>
          </w:rPr>
          <w:t>http://www.oxfordreference.com.ezproxy.uwtsd.ac.uk/view/10.1093/acref/9780199545568.001.0001/acref-9780199545568-e-4091</w:t>
        </w:r>
      </w:hyperlink>
      <w:r>
        <w:rPr>
          <w:rFonts w:cs="Arial"/>
          <w:color w:val="000000"/>
          <w:sz w:val="24"/>
          <w:szCs w:val="24"/>
        </w:rPr>
        <w:t xml:space="preserve">. [Accessed </w:t>
      </w:r>
      <w:r w:rsidRPr="009B782A">
        <w:rPr>
          <w:rFonts w:cs="Arial"/>
          <w:color w:val="000000"/>
          <w:sz w:val="24"/>
          <w:szCs w:val="24"/>
        </w:rPr>
        <w:t>1</w:t>
      </w:r>
      <w:r>
        <w:rPr>
          <w:rFonts w:cs="Arial"/>
          <w:color w:val="000000"/>
          <w:sz w:val="24"/>
          <w:szCs w:val="24"/>
        </w:rPr>
        <w:t>5</w:t>
      </w:r>
      <w:r w:rsidRPr="009B782A">
        <w:rPr>
          <w:rFonts w:cs="Arial"/>
          <w:color w:val="000000"/>
          <w:sz w:val="24"/>
          <w:szCs w:val="24"/>
        </w:rPr>
        <w:t>/0</w:t>
      </w:r>
      <w:r>
        <w:rPr>
          <w:rFonts w:cs="Arial"/>
          <w:color w:val="000000"/>
          <w:sz w:val="24"/>
          <w:szCs w:val="24"/>
        </w:rPr>
        <w:t>7</w:t>
      </w:r>
      <w:r w:rsidRPr="009B782A">
        <w:rPr>
          <w:rFonts w:cs="Arial"/>
          <w:color w:val="000000"/>
          <w:sz w:val="24"/>
          <w:szCs w:val="24"/>
        </w:rPr>
        <w:t>/</w:t>
      </w:r>
      <w:r>
        <w:rPr>
          <w:rFonts w:cs="Arial"/>
          <w:color w:val="000000"/>
          <w:sz w:val="24"/>
          <w:szCs w:val="24"/>
        </w:rPr>
        <w:t>20</w:t>
      </w:r>
      <w:r w:rsidRPr="009B782A">
        <w:rPr>
          <w:rFonts w:cs="Arial"/>
          <w:color w:val="000000"/>
          <w:sz w:val="24"/>
          <w:szCs w:val="24"/>
        </w:rPr>
        <w:t>19]</w:t>
      </w:r>
    </w:p>
    <w:p w:rsidR="003C2DA5" w:rsidRPr="003C17B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Cawkwell, G. 2005. The Greek Wars: The failure of Persia. Oxford; Oxford University Press</w:t>
      </w:r>
    </w:p>
    <w:p w:rsidR="003C2DA5" w:rsidRPr="003C17B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Cook, R.M. 1961. The Greeks till Alexander. London; Thames and Hudson</w:t>
      </w:r>
    </w:p>
    <w:p w:rsidR="003C2DA5" w:rsidRPr="003C17B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Chrystal, P. 2018. Wars and Battles of Ancient Greece. Fronthill Media.</w:t>
      </w:r>
    </w:p>
    <w:p w:rsidR="003C2DA5" w:rsidRDefault="003C2DA5" w:rsidP="003C2DA5">
      <w:pPr>
        <w:spacing w:after="0"/>
        <w:rPr>
          <w:rFonts w:cs="Helvetica"/>
          <w:sz w:val="24"/>
          <w:szCs w:val="24"/>
          <w:shd w:val="clear" w:color="auto" w:fill="FFFFFF"/>
        </w:rPr>
      </w:pPr>
      <w:r w:rsidRPr="003C17B5">
        <w:rPr>
          <w:rFonts w:cs="Helvetica"/>
          <w:sz w:val="24"/>
          <w:szCs w:val="24"/>
          <w:shd w:val="clear" w:color="auto" w:fill="FFFFFF"/>
        </w:rPr>
        <w:lastRenderedPageBreak/>
        <w:t>Compton, M. (1998). The Union of Religion and Health in Ancient Asklepieia. </w:t>
      </w:r>
      <w:r w:rsidRPr="003C17B5">
        <w:rPr>
          <w:rFonts w:cs="Helvetica"/>
          <w:i/>
          <w:iCs/>
          <w:sz w:val="24"/>
          <w:szCs w:val="24"/>
          <w:shd w:val="clear" w:color="auto" w:fill="FFFFFF"/>
        </w:rPr>
        <w:t>Journal of Religion and Health,</w:t>
      </w:r>
      <w:r w:rsidRPr="003C17B5">
        <w:rPr>
          <w:rFonts w:cs="Helvetica"/>
          <w:sz w:val="24"/>
          <w:szCs w:val="24"/>
          <w:shd w:val="clear" w:color="auto" w:fill="FFFFFF"/>
        </w:rPr>
        <w:t> </w:t>
      </w:r>
      <w:r w:rsidRPr="003C17B5">
        <w:rPr>
          <w:rFonts w:cs="Helvetica"/>
          <w:i/>
          <w:iCs/>
          <w:sz w:val="24"/>
          <w:szCs w:val="24"/>
          <w:shd w:val="clear" w:color="auto" w:fill="FFFFFF"/>
        </w:rPr>
        <w:t>37</w:t>
      </w:r>
      <w:r w:rsidRPr="003C17B5">
        <w:rPr>
          <w:rFonts w:cs="Helvetica"/>
          <w:sz w:val="24"/>
          <w:szCs w:val="24"/>
          <w:shd w:val="clear" w:color="auto" w:fill="FFFFFF"/>
        </w:rPr>
        <w:t>(4), 301-312.</w:t>
      </w:r>
    </w:p>
    <w:p w:rsidR="00F96393" w:rsidRPr="00F96393" w:rsidRDefault="00F96393" w:rsidP="003C2DA5">
      <w:pPr>
        <w:spacing w:after="0"/>
        <w:rPr>
          <w:rFonts w:cs="Arial"/>
          <w:color w:val="000000"/>
          <w:sz w:val="24"/>
          <w:szCs w:val="24"/>
        </w:rPr>
      </w:pPr>
      <w:r w:rsidRPr="009B782A">
        <w:rPr>
          <w:rFonts w:cs="Arial"/>
          <w:color w:val="000000"/>
          <w:sz w:val="24"/>
          <w:szCs w:val="24"/>
        </w:rPr>
        <w:t xml:space="preserve">Gagarin M. 2010. "Antiphon." </w:t>
      </w:r>
      <w:r w:rsidRPr="009B782A">
        <w:rPr>
          <w:rStyle w:val="Emphasis"/>
          <w:rFonts w:cs="Arial"/>
          <w:color w:val="000000"/>
          <w:sz w:val="24"/>
          <w:szCs w:val="24"/>
        </w:rPr>
        <w:t>Oxford Encyclopedia of Ancient Greece and Rome</w:t>
      </w:r>
      <w:r w:rsidRPr="009B782A">
        <w:rPr>
          <w:rFonts w:cs="Arial"/>
          <w:color w:val="000000"/>
          <w:sz w:val="24"/>
          <w:szCs w:val="24"/>
        </w:rPr>
        <w:t xml:space="preserve">. Oxford; Oxford University Press. </w:t>
      </w:r>
      <w:hyperlink r:id="rId12" w:history="1">
        <w:r w:rsidRPr="009B782A">
          <w:rPr>
            <w:rStyle w:val="Hyperlink"/>
            <w:rFonts w:cs="Arial"/>
            <w:sz w:val="24"/>
            <w:szCs w:val="24"/>
          </w:rPr>
          <w:t>http://www.oxfordreference.com.ezproxy.uwtsd.ac.uk/view/10.1093/acref/9780195170726.001.0001/acref-9780195170726-e-74?rskey=Xq0gSE&amp;result=5</w:t>
        </w:r>
      </w:hyperlink>
      <w:r>
        <w:rPr>
          <w:rFonts w:cs="Arial"/>
          <w:color w:val="000000"/>
          <w:sz w:val="24"/>
          <w:szCs w:val="24"/>
        </w:rPr>
        <w:t xml:space="preserve"> [Accessed 0</w:t>
      </w:r>
      <w:r w:rsidRPr="009B782A">
        <w:rPr>
          <w:rFonts w:cs="Arial"/>
          <w:color w:val="000000"/>
          <w:sz w:val="24"/>
          <w:szCs w:val="24"/>
        </w:rPr>
        <w:t>1/02/19]</w:t>
      </w:r>
    </w:p>
    <w:p w:rsidR="003C2DA5" w:rsidRPr="003C17B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 xml:space="preserve">Gomme, A.W, Cadoux, T.J &amp; Rhodes, P.J. 2012. </w:t>
      </w:r>
      <w:r w:rsidRPr="003C17B5">
        <w:rPr>
          <w:rFonts w:cs="Segoe UI"/>
          <w:i/>
          <w:color w:val="373A3C"/>
          <w:sz w:val="24"/>
          <w:szCs w:val="24"/>
          <w:shd w:val="clear" w:color="auto" w:fill="FFFFFF"/>
        </w:rPr>
        <w:t>“Cleon”</w:t>
      </w:r>
      <w:r w:rsidRPr="003C17B5">
        <w:rPr>
          <w:rFonts w:cs="Segoe UI"/>
          <w:color w:val="373A3C"/>
          <w:sz w:val="24"/>
          <w:szCs w:val="24"/>
          <w:shd w:val="clear" w:color="auto" w:fill="FFFFFF"/>
        </w:rPr>
        <w:t xml:space="preserve"> The Oxford Classical Dictionary. Oxford; Oxford University Press</w:t>
      </w:r>
    </w:p>
    <w:p w:rsidR="003C2DA5" w:rsidRPr="003C17B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 xml:space="preserve">Greene, E. 2010. “Sappho” </w:t>
      </w:r>
      <w:r w:rsidRPr="003C17B5">
        <w:rPr>
          <w:rFonts w:cs="Segoe UI"/>
          <w:i/>
          <w:color w:val="373A3C"/>
          <w:sz w:val="24"/>
          <w:szCs w:val="24"/>
          <w:shd w:val="clear" w:color="auto" w:fill="FFFFFF"/>
        </w:rPr>
        <w:t xml:space="preserve">The Oxford Encyclopaedia of Ancient Greece and Rome. </w:t>
      </w:r>
      <w:r w:rsidRPr="003C17B5">
        <w:rPr>
          <w:rFonts w:cs="Segoe UI"/>
          <w:color w:val="373A3C"/>
          <w:sz w:val="24"/>
          <w:szCs w:val="24"/>
          <w:shd w:val="clear" w:color="auto" w:fill="FFFFFF"/>
        </w:rPr>
        <w:t xml:space="preserve">Oxford; Oxford University Press. </w:t>
      </w:r>
      <w:hyperlink r:id="rId13" w:history="1">
        <w:r w:rsidRPr="003C17B5">
          <w:rPr>
            <w:rStyle w:val="Hyperlink"/>
            <w:sz w:val="24"/>
            <w:szCs w:val="24"/>
          </w:rPr>
          <w:t>https://www-oxfordreference-com.ezproxy.uwtsd.ac.uk/view/10.1093/acref/9780195170726.001.0001/acref-9780195170726-e-1119?rskey=1m2SRL&amp;result=2</w:t>
        </w:r>
      </w:hyperlink>
      <w:r w:rsidRPr="003C17B5">
        <w:rPr>
          <w:sz w:val="24"/>
          <w:szCs w:val="24"/>
        </w:rPr>
        <w:t xml:space="preserve"> [Accessed 11/07/2019]</w:t>
      </w:r>
    </w:p>
    <w:p w:rsidR="003C2DA5" w:rsidRPr="003C17B5" w:rsidRDefault="003C2DA5" w:rsidP="003C2DA5">
      <w:pPr>
        <w:spacing w:after="0"/>
        <w:rPr>
          <w:sz w:val="24"/>
          <w:szCs w:val="24"/>
        </w:rPr>
      </w:pPr>
      <w:r w:rsidRPr="003C17B5">
        <w:rPr>
          <w:rFonts w:cs="Segoe UI"/>
          <w:color w:val="373A3C"/>
          <w:sz w:val="24"/>
          <w:szCs w:val="24"/>
          <w:shd w:val="clear" w:color="auto" w:fill="FFFFFF"/>
        </w:rPr>
        <w:t xml:space="preserve">Howatson, M.C. 2011. “archons” </w:t>
      </w:r>
      <w:r w:rsidRPr="003C17B5">
        <w:rPr>
          <w:rFonts w:cs="Segoe UI"/>
          <w:i/>
          <w:color w:val="373A3C"/>
          <w:sz w:val="24"/>
          <w:szCs w:val="24"/>
          <w:shd w:val="clear" w:color="auto" w:fill="FFFFFF"/>
        </w:rPr>
        <w:t xml:space="preserve">The Oxford Companion to Classical Literature. </w:t>
      </w:r>
      <w:r w:rsidRPr="003C17B5">
        <w:rPr>
          <w:rFonts w:cs="Segoe UI"/>
          <w:color w:val="373A3C"/>
          <w:sz w:val="24"/>
          <w:szCs w:val="24"/>
          <w:shd w:val="clear" w:color="auto" w:fill="FFFFFF"/>
        </w:rPr>
        <w:t xml:space="preserve">Oxford; Oxford University Press. </w:t>
      </w:r>
      <w:hyperlink r:id="rId14" w:history="1">
        <w:r w:rsidRPr="003C17B5">
          <w:rPr>
            <w:rStyle w:val="Hyperlink"/>
            <w:sz w:val="24"/>
            <w:szCs w:val="24"/>
          </w:rPr>
          <w:t>https://www-oxfordreference-com.ezproxy.uwtsd.ac.uk/view/10.1093/acref/9780199548545.001.0001/acref-9780199548545-e-0301?rskey=uqlSkO&amp;result=1</w:t>
        </w:r>
      </w:hyperlink>
      <w:r w:rsidRPr="003C17B5">
        <w:rPr>
          <w:sz w:val="24"/>
          <w:szCs w:val="24"/>
        </w:rPr>
        <w:t xml:space="preserve"> [Accessed 07/07/2019]</w:t>
      </w:r>
    </w:p>
    <w:p w:rsidR="003C2DA5" w:rsidRPr="003C17B5" w:rsidRDefault="003C2DA5" w:rsidP="003C2DA5">
      <w:pPr>
        <w:spacing w:after="0"/>
        <w:rPr>
          <w:rFonts w:cs="Segoe UI"/>
          <w:color w:val="373A3C"/>
          <w:sz w:val="24"/>
          <w:szCs w:val="24"/>
          <w:shd w:val="clear" w:color="auto" w:fill="FFFFFF"/>
        </w:rPr>
      </w:pPr>
      <w:r w:rsidRPr="003C17B5">
        <w:rPr>
          <w:sz w:val="24"/>
          <w:szCs w:val="24"/>
        </w:rPr>
        <w:t xml:space="preserve">Howatson, M.C. 2011. </w:t>
      </w:r>
      <w:r w:rsidRPr="003C17B5">
        <w:rPr>
          <w:rFonts w:cs="Arial"/>
          <w:color w:val="000000"/>
          <w:sz w:val="24"/>
          <w:szCs w:val="24"/>
        </w:rPr>
        <w:t xml:space="preserve">"Olympiē’um." </w:t>
      </w:r>
      <w:r w:rsidRPr="003C17B5">
        <w:rPr>
          <w:rFonts w:cs="Segoe UI"/>
          <w:i/>
          <w:color w:val="373A3C"/>
          <w:sz w:val="24"/>
          <w:szCs w:val="24"/>
          <w:shd w:val="clear" w:color="auto" w:fill="FFFFFF"/>
        </w:rPr>
        <w:t xml:space="preserve">The Oxford Companion to Classical Literature. </w:t>
      </w:r>
      <w:r w:rsidRPr="003C17B5">
        <w:rPr>
          <w:rFonts w:cs="Segoe UI"/>
          <w:color w:val="373A3C"/>
          <w:sz w:val="24"/>
          <w:szCs w:val="24"/>
          <w:shd w:val="clear" w:color="auto" w:fill="FFFFFF"/>
        </w:rPr>
        <w:t xml:space="preserve">Oxford; Oxford University Press. </w:t>
      </w:r>
      <w:hyperlink r:id="rId15" w:history="1">
        <w:r w:rsidRPr="003C17B5">
          <w:rPr>
            <w:rStyle w:val="Hyperlink"/>
            <w:sz w:val="24"/>
            <w:szCs w:val="24"/>
          </w:rPr>
          <w:t>https://www-oxfordreference-com.ezproxy.uwtsd.ac.uk/view/10.1093/acref/9780199548545.001.0001/acref-9780199548545-e-2138?rskey=vbCu5Y&amp;result=2</w:t>
        </w:r>
      </w:hyperlink>
    </w:p>
    <w:p w:rsidR="003C2DA5" w:rsidRPr="003C17B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Komroff, M &amp; Rawlinson, G. 1947. The History of Herodotus. New York; Tudor Publishing Company.</w:t>
      </w:r>
    </w:p>
    <w:p w:rsidR="003C2DA5" w:rsidRPr="003C17B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 xml:space="preserve">Krentz, P. 1995. </w:t>
      </w:r>
      <w:r w:rsidRPr="003C17B5">
        <w:rPr>
          <w:rFonts w:cs="Segoe UI"/>
          <w:i/>
          <w:color w:val="373A3C"/>
          <w:sz w:val="24"/>
          <w:szCs w:val="24"/>
          <w:shd w:val="clear" w:color="auto" w:fill="FFFFFF"/>
        </w:rPr>
        <w:t xml:space="preserve">Hellenika II.3.11 - IV.2.8, </w:t>
      </w:r>
      <w:r w:rsidRPr="003C17B5">
        <w:rPr>
          <w:rFonts w:cs="Segoe UI"/>
          <w:color w:val="373A3C"/>
          <w:sz w:val="24"/>
          <w:szCs w:val="24"/>
          <w:shd w:val="clear" w:color="auto" w:fill="FFFFFF"/>
        </w:rPr>
        <w:t>Warminster: Aris &amp; Phillips.</w:t>
      </w:r>
    </w:p>
    <w:p w:rsidR="003C2DA5" w:rsidRPr="003C17B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Ling, R. 1988. Classical Greece, 2nd ed. Oxford; Phaido</w:t>
      </w:r>
    </w:p>
    <w:p w:rsidR="003C2DA5" w:rsidRPr="003C17B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 xml:space="preserve">Matson, W. 2011. Athens III: Aristotle. In </w:t>
      </w:r>
      <w:r w:rsidRPr="003C17B5">
        <w:rPr>
          <w:rFonts w:cs="Segoe UI"/>
          <w:i/>
          <w:color w:val="373A3C"/>
          <w:sz w:val="24"/>
          <w:szCs w:val="24"/>
          <w:shd w:val="clear" w:color="auto" w:fill="FFFFFF"/>
        </w:rPr>
        <w:t xml:space="preserve">Grand Theories and Everyday Beliefs. </w:t>
      </w:r>
      <w:r w:rsidRPr="003C17B5">
        <w:rPr>
          <w:rFonts w:cs="Segoe UI"/>
          <w:color w:val="373A3C"/>
          <w:sz w:val="24"/>
          <w:szCs w:val="24"/>
          <w:shd w:val="clear" w:color="auto" w:fill="FFFFFF"/>
        </w:rPr>
        <w:t xml:space="preserve">Oxford; Oxford University Press. </w:t>
      </w:r>
      <w:hyperlink r:id="rId16" w:history="1">
        <w:r w:rsidRPr="003C17B5">
          <w:rPr>
            <w:rStyle w:val="Hyperlink"/>
            <w:sz w:val="24"/>
            <w:szCs w:val="24"/>
          </w:rPr>
          <w:t>https://www-oxfordscholarship-com.ezproxy.uwtsd.ac.uk/view/10.1093/acprof:oso/9780199812691.001.0001/acprof-9780199812691-chapter-14</w:t>
        </w:r>
      </w:hyperlink>
      <w:r w:rsidRPr="003C17B5">
        <w:rPr>
          <w:sz w:val="24"/>
          <w:szCs w:val="24"/>
        </w:rPr>
        <w:t xml:space="preserve"> [Accessed 12/07/2019]</w:t>
      </w:r>
    </w:p>
    <w:p w:rsidR="003C2DA5" w:rsidRPr="003C17B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 xml:space="preserve">Mitchell-Boyask, R. 2009. Plague and theatre in ancient Athens. </w:t>
      </w:r>
      <w:r w:rsidRPr="003C17B5">
        <w:rPr>
          <w:rFonts w:cs="Segoe UI"/>
          <w:i/>
          <w:color w:val="373A3C"/>
          <w:sz w:val="24"/>
          <w:szCs w:val="24"/>
          <w:shd w:val="clear" w:color="auto" w:fill="FFFFFF"/>
        </w:rPr>
        <w:t xml:space="preserve">The Lancet, </w:t>
      </w:r>
      <w:r w:rsidRPr="003C17B5">
        <w:rPr>
          <w:rFonts w:cs="Segoe UI"/>
          <w:color w:val="373A3C"/>
          <w:sz w:val="24"/>
          <w:szCs w:val="24"/>
          <w:shd w:val="clear" w:color="auto" w:fill="FFFFFF"/>
        </w:rPr>
        <w:t>373(9661), pp. 374-375.</w:t>
      </w:r>
    </w:p>
    <w:p w:rsidR="003C2DA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Osborne, R. 2000. Classical Greece, 500-323 BC. Oxford; Oxford University Press</w:t>
      </w:r>
    </w:p>
    <w:p w:rsidR="00C22373" w:rsidRPr="00C22373" w:rsidRDefault="00C22373" w:rsidP="003C2DA5">
      <w:pPr>
        <w:spacing w:after="0"/>
        <w:rPr>
          <w:sz w:val="24"/>
          <w:szCs w:val="24"/>
        </w:rPr>
      </w:pPr>
      <w:r w:rsidRPr="00DE2EDC">
        <w:rPr>
          <w:sz w:val="24"/>
          <w:szCs w:val="24"/>
        </w:rPr>
        <w:t xml:space="preserve">Perlman, S. 1985. “Greek Diplomatic Tradition and the Corinthian League of Philip of Macedon” </w:t>
      </w:r>
      <w:r w:rsidRPr="00DE2EDC">
        <w:rPr>
          <w:i/>
          <w:sz w:val="24"/>
          <w:szCs w:val="24"/>
        </w:rPr>
        <w:t xml:space="preserve">Historia: Zeitschrift Fui Alte Geschiechte 34, no.2: 153-74. </w:t>
      </w:r>
      <w:hyperlink r:id="rId17" w:history="1">
        <w:r w:rsidRPr="00DE2EDC">
          <w:rPr>
            <w:rStyle w:val="Hyperlink"/>
            <w:rFonts w:cs="Arial"/>
            <w:sz w:val="24"/>
            <w:szCs w:val="24"/>
            <w:shd w:val="clear" w:color="auto" w:fill="FFFFFF"/>
          </w:rPr>
          <w:t>http://www.jstor.org/stable/4435919</w:t>
        </w:r>
      </w:hyperlink>
      <w:r w:rsidRPr="00DE2EDC">
        <w:rPr>
          <w:rFonts w:cs="Arial"/>
          <w:color w:val="333333"/>
          <w:sz w:val="24"/>
          <w:szCs w:val="24"/>
          <w:shd w:val="clear" w:color="auto" w:fill="FFFFFF"/>
        </w:rPr>
        <w:t xml:space="preserve">. </w:t>
      </w:r>
      <w:r>
        <w:rPr>
          <w:rFonts w:cs="Arial"/>
          <w:sz w:val="24"/>
          <w:szCs w:val="24"/>
          <w:shd w:val="clear" w:color="auto" w:fill="FFFFFF"/>
        </w:rPr>
        <w:t>[Accessed 19/07/20</w:t>
      </w:r>
      <w:r w:rsidRPr="00DE2EDC">
        <w:rPr>
          <w:rFonts w:cs="Arial"/>
          <w:sz w:val="24"/>
          <w:szCs w:val="24"/>
          <w:shd w:val="clear" w:color="auto" w:fill="FFFFFF"/>
        </w:rPr>
        <w:t>19]</w:t>
      </w:r>
    </w:p>
    <w:p w:rsidR="003C2DA5" w:rsidRDefault="003C2DA5" w:rsidP="003C2DA5">
      <w:pPr>
        <w:spacing w:after="0"/>
        <w:rPr>
          <w:sz w:val="24"/>
          <w:szCs w:val="24"/>
        </w:rPr>
      </w:pPr>
      <w:r w:rsidRPr="003C17B5">
        <w:rPr>
          <w:rFonts w:cs="Segoe UI"/>
          <w:color w:val="373A3C"/>
          <w:sz w:val="24"/>
          <w:szCs w:val="24"/>
          <w:shd w:val="clear" w:color="auto" w:fill="FFFFFF"/>
        </w:rPr>
        <w:t xml:space="preserve">Phillips, D. D. 2010. “Draco” </w:t>
      </w:r>
      <w:r w:rsidRPr="003C17B5">
        <w:rPr>
          <w:rFonts w:cs="Segoe UI"/>
          <w:i/>
          <w:color w:val="373A3C"/>
          <w:sz w:val="24"/>
          <w:szCs w:val="24"/>
          <w:shd w:val="clear" w:color="auto" w:fill="FFFFFF"/>
        </w:rPr>
        <w:t xml:space="preserve">The Oxford Encyclopaedia of Ancient Greece and Rome. </w:t>
      </w:r>
      <w:r w:rsidRPr="003C17B5">
        <w:rPr>
          <w:rFonts w:cs="Segoe UI"/>
          <w:color w:val="373A3C"/>
          <w:sz w:val="24"/>
          <w:szCs w:val="24"/>
          <w:shd w:val="clear" w:color="auto" w:fill="FFFFFF"/>
        </w:rPr>
        <w:t xml:space="preserve">Oxford; Oxford University Press. </w:t>
      </w:r>
      <w:hyperlink r:id="rId18" w:history="1">
        <w:r w:rsidRPr="003C17B5">
          <w:rPr>
            <w:rStyle w:val="Hyperlink"/>
            <w:sz w:val="24"/>
            <w:szCs w:val="24"/>
          </w:rPr>
          <w:t>https://www-oxfordreference-com.ezproxy.uwtsd.ac.uk/view/10.1093/acref/9780195170726.001.0001/acref-9780195170726-e-395?rskey=fwslpV&amp;result=2</w:t>
        </w:r>
      </w:hyperlink>
      <w:r w:rsidRPr="003C17B5">
        <w:rPr>
          <w:sz w:val="24"/>
          <w:szCs w:val="24"/>
        </w:rPr>
        <w:t xml:space="preserve"> [Accessed 11/07/2019]</w:t>
      </w:r>
    </w:p>
    <w:p w:rsidR="003C17B5" w:rsidRPr="003C17B5" w:rsidRDefault="003C17B5" w:rsidP="003C17B5">
      <w:pPr>
        <w:spacing w:after="0"/>
        <w:rPr>
          <w:sz w:val="24"/>
        </w:rPr>
      </w:pPr>
      <w:r w:rsidRPr="003C17B5">
        <w:rPr>
          <w:sz w:val="24"/>
        </w:rPr>
        <w:t xml:space="preserve">Phillips, D. D. &amp; Kapparis, K. 2003. “Orator Biographies,” </w:t>
      </w:r>
      <w:r w:rsidRPr="003C17B5">
        <w:rPr>
          <w:i/>
          <w:sz w:val="24"/>
        </w:rPr>
        <w:t xml:space="preserve">Athenian Law in its Democratic Context. </w:t>
      </w:r>
      <w:r w:rsidRPr="003C17B5">
        <w:rPr>
          <w:sz w:val="24"/>
        </w:rPr>
        <w:t xml:space="preserve">Demos. Classical Athenian Democracy. A Stoa publication. </w:t>
      </w:r>
      <w:hyperlink r:id="rId19" w:history="1">
        <w:r w:rsidRPr="003C17B5">
          <w:rPr>
            <w:rStyle w:val="Hyperlink"/>
            <w:sz w:val="24"/>
          </w:rPr>
          <w:t>http://www.stoa.org/projects/demos/article_orator_biographies?page=all&amp;greekEncoding=</w:t>
        </w:r>
      </w:hyperlink>
      <w:r w:rsidRPr="003C17B5">
        <w:rPr>
          <w:sz w:val="24"/>
        </w:rPr>
        <w:t xml:space="preserve"> [Accessed 07/07/2019]</w:t>
      </w:r>
    </w:p>
    <w:p w:rsidR="003C2DA5" w:rsidRPr="003C17B5" w:rsidRDefault="003C2DA5" w:rsidP="003C2DA5">
      <w:pPr>
        <w:spacing w:after="0"/>
        <w:rPr>
          <w:rFonts w:cs="Segoe UI"/>
          <w:color w:val="373A3C"/>
          <w:sz w:val="24"/>
          <w:szCs w:val="24"/>
          <w:shd w:val="clear" w:color="auto" w:fill="FFFFFF"/>
        </w:rPr>
      </w:pPr>
      <w:r w:rsidRPr="003C17B5">
        <w:rPr>
          <w:rFonts w:cs="Segoe UI"/>
          <w:color w:val="373A3C"/>
          <w:sz w:val="24"/>
          <w:szCs w:val="24"/>
          <w:shd w:val="clear" w:color="auto" w:fill="FFFFFF"/>
        </w:rPr>
        <w:t>Rhodes, P.J. 2010. A History of the classical Greek world, 478-323 BC, 2nd ed. Chichester, West Sussex, UK; Malden, MA: Wiley-Blackwell</w:t>
      </w:r>
    </w:p>
    <w:p w:rsidR="003C2DA5" w:rsidRPr="003C17B5" w:rsidRDefault="003C2DA5" w:rsidP="003C2DA5">
      <w:pPr>
        <w:spacing w:after="0"/>
        <w:rPr>
          <w:rFonts w:cs="Segoe UI"/>
          <w:i/>
          <w:color w:val="373A3C"/>
          <w:sz w:val="24"/>
          <w:szCs w:val="24"/>
          <w:shd w:val="clear" w:color="auto" w:fill="FFFFFF"/>
        </w:rPr>
      </w:pPr>
      <w:r w:rsidRPr="003C17B5">
        <w:rPr>
          <w:rFonts w:cs="Segoe UI"/>
          <w:color w:val="373A3C"/>
          <w:sz w:val="24"/>
          <w:szCs w:val="24"/>
          <w:shd w:val="clear" w:color="auto" w:fill="FFFFFF"/>
        </w:rPr>
        <w:t xml:space="preserve">Schultz, P. 2001. The Akroteria of the Temple of Athena Nike. </w:t>
      </w:r>
      <w:r w:rsidRPr="003C17B5">
        <w:rPr>
          <w:rFonts w:cs="Segoe UI"/>
          <w:i/>
          <w:color w:val="373A3C"/>
          <w:sz w:val="24"/>
          <w:szCs w:val="24"/>
          <w:shd w:val="clear" w:color="auto" w:fill="FFFFFF"/>
        </w:rPr>
        <w:t>Hesperia: The Journal of the American School of Classical Studies at Athens, 70(1), pp 1-47</w:t>
      </w:r>
    </w:p>
    <w:p w:rsidR="003C2DA5" w:rsidRPr="003C17B5" w:rsidRDefault="003C2DA5" w:rsidP="003C2DA5">
      <w:pPr>
        <w:spacing w:after="0"/>
        <w:rPr>
          <w:sz w:val="24"/>
          <w:szCs w:val="24"/>
        </w:rPr>
      </w:pPr>
      <w:r w:rsidRPr="003C17B5">
        <w:rPr>
          <w:rFonts w:cs="Segoe UI"/>
          <w:color w:val="373A3C"/>
          <w:sz w:val="24"/>
          <w:szCs w:val="24"/>
          <w:shd w:val="clear" w:color="auto" w:fill="FFFFFF"/>
        </w:rPr>
        <w:t xml:space="preserve">Tritle, L. A. 2010. “Pericles” </w:t>
      </w:r>
      <w:r w:rsidRPr="003C17B5">
        <w:rPr>
          <w:rFonts w:cs="Segoe UI"/>
          <w:i/>
          <w:color w:val="373A3C"/>
          <w:sz w:val="24"/>
          <w:szCs w:val="24"/>
          <w:shd w:val="clear" w:color="auto" w:fill="FFFFFF"/>
        </w:rPr>
        <w:t xml:space="preserve">The Oxford Encyclopaedia of Ancient Greece and Rome. </w:t>
      </w:r>
      <w:r w:rsidRPr="003C17B5">
        <w:rPr>
          <w:rFonts w:cs="Segoe UI"/>
          <w:color w:val="373A3C"/>
          <w:sz w:val="24"/>
          <w:szCs w:val="24"/>
          <w:shd w:val="clear" w:color="auto" w:fill="FFFFFF"/>
        </w:rPr>
        <w:t xml:space="preserve">Oxford; Oxford University Press. </w:t>
      </w:r>
      <w:hyperlink r:id="rId20" w:history="1">
        <w:r w:rsidRPr="003C17B5">
          <w:rPr>
            <w:rStyle w:val="Hyperlink"/>
            <w:sz w:val="24"/>
            <w:szCs w:val="24"/>
          </w:rPr>
          <w:t>https://www-oxfordreference-com.ezproxy.uwtsd.ac.uk/view/10.1093/acref/9780195170726.001.0001/acref-9780195170726-e-949?rskey=OI9426&amp;result=5</w:t>
        </w:r>
      </w:hyperlink>
      <w:r w:rsidRPr="003C17B5">
        <w:rPr>
          <w:sz w:val="24"/>
          <w:szCs w:val="24"/>
        </w:rPr>
        <w:t xml:space="preserve"> [Accessed 10/07/2019]</w:t>
      </w:r>
    </w:p>
    <w:p w:rsidR="003C2DA5" w:rsidRPr="003C17B5" w:rsidRDefault="003C2DA5" w:rsidP="003C2DA5">
      <w:pPr>
        <w:spacing w:after="0"/>
        <w:rPr>
          <w:sz w:val="24"/>
          <w:szCs w:val="24"/>
        </w:rPr>
      </w:pPr>
      <w:r w:rsidRPr="003C17B5">
        <w:rPr>
          <w:sz w:val="24"/>
          <w:szCs w:val="24"/>
        </w:rPr>
        <w:t xml:space="preserve">Wickkiser, B (2008) </w:t>
      </w:r>
      <w:r w:rsidRPr="003C17B5">
        <w:rPr>
          <w:i/>
          <w:sz w:val="24"/>
          <w:szCs w:val="24"/>
        </w:rPr>
        <w:t>Asklepios, Medicine, and the politics of Healing in Fifth-Century Greece: Between Craft and Cult.</w:t>
      </w:r>
      <w:r w:rsidRPr="003C17B5">
        <w:rPr>
          <w:sz w:val="24"/>
          <w:szCs w:val="24"/>
        </w:rPr>
        <w:t xml:space="preserve"> Baltimore: John Hopkins University Press.</w:t>
      </w:r>
    </w:p>
    <w:p w:rsidR="003C2DA5" w:rsidRPr="003C17B5" w:rsidRDefault="003C2DA5" w:rsidP="003C2DA5">
      <w:pPr>
        <w:spacing w:after="0"/>
        <w:rPr>
          <w:rFonts w:cs="Segoe UI"/>
          <w:color w:val="373A3C"/>
          <w:sz w:val="24"/>
          <w:szCs w:val="24"/>
          <w:shd w:val="clear" w:color="auto" w:fill="FFFFFF"/>
        </w:rPr>
      </w:pPr>
    </w:p>
    <w:p w:rsidR="00D96C23" w:rsidRPr="003C17B5" w:rsidRDefault="00D96C23" w:rsidP="003C2DA5">
      <w:pPr>
        <w:rPr>
          <w:sz w:val="24"/>
          <w:szCs w:val="24"/>
        </w:rPr>
      </w:pPr>
    </w:p>
    <w:sectPr w:rsidR="00D96C23" w:rsidRPr="003C17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B5A80" w:rsidRDefault="008B5A80" w:rsidP="00D67BB4">
      <w:pPr>
        <w:spacing w:after="0" w:line="240" w:lineRule="auto"/>
      </w:pPr>
      <w:r>
        <w:separator/>
      </w:r>
    </w:p>
  </w:endnote>
  <w:endnote w:type="continuationSeparator" w:id="0">
    <w:p w:rsidR="008B5A80" w:rsidRDefault="008B5A80" w:rsidP="00D67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B5A80" w:rsidRDefault="008B5A80" w:rsidP="00D67BB4">
      <w:pPr>
        <w:spacing w:after="0" w:line="240" w:lineRule="auto"/>
      </w:pPr>
      <w:r>
        <w:separator/>
      </w:r>
    </w:p>
  </w:footnote>
  <w:footnote w:type="continuationSeparator" w:id="0">
    <w:p w:rsidR="008B5A80" w:rsidRDefault="008B5A80" w:rsidP="00D67BB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DF03F06"/>
    <w:multiLevelType w:val="hybridMultilevel"/>
    <w:tmpl w:val="7F984A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764E"/>
    <w:rsid w:val="000145C0"/>
    <w:rsid w:val="00081AEF"/>
    <w:rsid w:val="000E4576"/>
    <w:rsid w:val="000F058D"/>
    <w:rsid w:val="00136A02"/>
    <w:rsid w:val="001F764E"/>
    <w:rsid w:val="00210567"/>
    <w:rsid w:val="00227820"/>
    <w:rsid w:val="002C5790"/>
    <w:rsid w:val="002E5B3D"/>
    <w:rsid w:val="003B678B"/>
    <w:rsid w:val="003B78BB"/>
    <w:rsid w:val="003C17B5"/>
    <w:rsid w:val="003C2DA5"/>
    <w:rsid w:val="003E07EE"/>
    <w:rsid w:val="00452D38"/>
    <w:rsid w:val="00514FE7"/>
    <w:rsid w:val="005217F4"/>
    <w:rsid w:val="005F0A9F"/>
    <w:rsid w:val="005F6234"/>
    <w:rsid w:val="00637F1C"/>
    <w:rsid w:val="00664EDA"/>
    <w:rsid w:val="006D65C3"/>
    <w:rsid w:val="00712A06"/>
    <w:rsid w:val="00770171"/>
    <w:rsid w:val="00770826"/>
    <w:rsid w:val="007A3A48"/>
    <w:rsid w:val="007B347C"/>
    <w:rsid w:val="007D7D04"/>
    <w:rsid w:val="00811F25"/>
    <w:rsid w:val="00824E4C"/>
    <w:rsid w:val="0087779E"/>
    <w:rsid w:val="008816DF"/>
    <w:rsid w:val="008A4498"/>
    <w:rsid w:val="008B5A80"/>
    <w:rsid w:val="008C1A92"/>
    <w:rsid w:val="008C3013"/>
    <w:rsid w:val="008C7050"/>
    <w:rsid w:val="008E4533"/>
    <w:rsid w:val="009E07B7"/>
    <w:rsid w:val="00A126DE"/>
    <w:rsid w:val="00A369D2"/>
    <w:rsid w:val="00AA614E"/>
    <w:rsid w:val="00B20604"/>
    <w:rsid w:val="00B478C6"/>
    <w:rsid w:val="00BB50AF"/>
    <w:rsid w:val="00C22373"/>
    <w:rsid w:val="00C9386A"/>
    <w:rsid w:val="00CA1D40"/>
    <w:rsid w:val="00CF576D"/>
    <w:rsid w:val="00D05D65"/>
    <w:rsid w:val="00D355DE"/>
    <w:rsid w:val="00D36C0C"/>
    <w:rsid w:val="00D55754"/>
    <w:rsid w:val="00D67BB4"/>
    <w:rsid w:val="00D807D6"/>
    <w:rsid w:val="00D96C23"/>
    <w:rsid w:val="00DC5B83"/>
    <w:rsid w:val="00E373BD"/>
    <w:rsid w:val="00ED74BE"/>
    <w:rsid w:val="00EE34CE"/>
    <w:rsid w:val="00F1689A"/>
    <w:rsid w:val="00F96393"/>
    <w:rsid w:val="00FC0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0015808-FF0B-403E-B3E4-E206F34DA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2D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0604"/>
    <w:pPr>
      <w:ind w:left="720"/>
      <w:contextualSpacing/>
    </w:pPr>
  </w:style>
  <w:style w:type="character" w:styleId="Hyperlink">
    <w:name w:val="Hyperlink"/>
    <w:basedOn w:val="DefaultParagraphFont"/>
    <w:uiPriority w:val="99"/>
    <w:unhideWhenUsed/>
    <w:rsid w:val="00AA614E"/>
    <w:rPr>
      <w:color w:val="0000FF"/>
      <w:u w:val="single"/>
    </w:rPr>
  </w:style>
  <w:style w:type="character" w:styleId="Emphasis">
    <w:name w:val="Emphasis"/>
    <w:basedOn w:val="DefaultParagraphFont"/>
    <w:uiPriority w:val="20"/>
    <w:qFormat/>
    <w:rsid w:val="00F96393"/>
    <w:rPr>
      <w:i/>
      <w:iCs/>
    </w:rPr>
  </w:style>
  <w:style w:type="paragraph" w:styleId="FootnoteText">
    <w:name w:val="footnote text"/>
    <w:basedOn w:val="Normal"/>
    <w:link w:val="FootnoteTextChar"/>
    <w:uiPriority w:val="99"/>
    <w:semiHidden/>
    <w:unhideWhenUsed/>
    <w:rsid w:val="00D67B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7BB4"/>
    <w:rPr>
      <w:sz w:val="20"/>
      <w:szCs w:val="20"/>
    </w:rPr>
  </w:style>
  <w:style w:type="character" w:styleId="FootnoteReference">
    <w:name w:val="footnote reference"/>
    <w:basedOn w:val="DefaultParagraphFont"/>
    <w:uiPriority w:val="99"/>
    <w:semiHidden/>
    <w:unhideWhenUsed/>
    <w:rsid w:val="00D67BB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3932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ticinscriptions.com/inscription/IGII2/4960-fr-a-and-b" TargetMode="External"/><Relationship Id="rId13" Type="http://schemas.openxmlformats.org/officeDocument/2006/relationships/hyperlink" Target="https://www-oxfordreference-com.ezproxy.uwtsd.ac.uk/view/10.1093/acref/9780195170726.001.0001/acref-9780195170726-e-1119?rskey=1m2SRL&amp;result=2" TargetMode="External"/><Relationship Id="rId18" Type="http://schemas.openxmlformats.org/officeDocument/2006/relationships/hyperlink" Target="https://www-oxfordreference-com.ezproxy.uwtsd.ac.uk/view/10.1093/acref/9780195170726.001.0001/acref-9780195170726-e-395?rskey=fwslpV&amp;result=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oxfordreference.com.ezproxy.uwtsd.ac.uk/view/10.1093/acref/9780195170726.001.0001/acref-9780195170726-e-74?rskey=Xq0gSE&amp;result=5" TargetMode="External"/><Relationship Id="rId17" Type="http://schemas.openxmlformats.org/officeDocument/2006/relationships/hyperlink" Target="http://www.jstor.org/stable/4435919" TargetMode="External"/><Relationship Id="rId2" Type="http://schemas.openxmlformats.org/officeDocument/2006/relationships/numbering" Target="numbering.xml"/><Relationship Id="rId16" Type="http://schemas.openxmlformats.org/officeDocument/2006/relationships/hyperlink" Target="https://www-oxfordscholarship-com.ezproxy.uwtsd.ac.uk/view/10.1093/acprof:oso/9780199812691.001.0001/acprof-9780199812691-chapter-14" TargetMode="External"/><Relationship Id="rId20" Type="http://schemas.openxmlformats.org/officeDocument/2006/relationships/hyperlink" Target="https://www-oxfordreference-com.ezproxy.uwtsd.ac.uk/view/10.1093/acref/9780195170726.001.0001/acref-9780195170726-e-949?rskey=OI9426&amp;result=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xfordreference.com.ezproxy.uwtsd.ac.uk/view/10.1093/acref/9780199545568.001.0001/acref-9780199545568-e-4091" TargetMode="External"/><Relationship Id="rId5" Type="http://schemas.openxmlformats.org/officeDocument/2006/relationships/webSettings" Target="webSettings.xml"/><Relationship Id="rId15" Type="http://schemas.openxmlformats.org/officeDocument/2006/relationships/hyperlink" Target="https://www-oxfordreference-com.ezproxy.uwtsd.ac.uk/view/10.1093/acref/9780199548545.001.0001/acref-9780199548545-e-2138?rskey=vbCu5Y&amp;result=2" TargetMode="External"/><Relationship Id="rId10" Type="http://schemas.openxmlformats.org/officeDocument/2006/relationships/hyperlink" Target="https://www.atticinscriptions.com/inscription/RO/22" TargetMode="External"/><Relationship Id="rId19" Type="http://schemas.openxmlformats.org/officeDocument/2006/relationships/hyperlink" Target="http://www.stoa.org/projects/demos/article_orator_biographies?page=all&amp;greekEncoding=" TargetMode="External"/><Relationship Id="rId4" Type="http://schemas.openxmlformats.org/officeDocument/2006/relationships/settings" Target="settings.xml"/><Relationship Id="rId9" Type="http://schemas.openxmlformats.org/officeDocument/2006/relationships/hyperlink" Target="https://www.atticinscriptions.com/inscription/IGII2/4962" TargetMode="External"/><Relationship Id="rId14" Type="http://schemas.openxmlformats.org/officeDocument/2006/relationships/hyperlink" Target="https://www-oxfordreference-com.ezproxy.uwtsd.ac.uk/view/10.1093/acref/9780199548545.001.0001/acref-9780199548545-e-0301?rskey=uqlSkO&amp;result=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EAAD7D-9B9B-42B6-8180-41B847CC3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4469</TotalTime>
  <Pages>5</Pages>
  <Words>1919</Words>
  <Characters>10940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Hadie</dc:creator>
  <cp:lastModifiedBy>Hadie Watson</cp:lastModifiedBy>
  <cp:revision>43</cp:revision>
  <dcterms:created xsi:type="dcterms:W3CDTF">2019-04-12T14:02:00Z</dcterms:created>
  <dcterms:modified xsi:type="dcterms:W3CDTF">2019-07-19T16:24:00Z</dcterms:modified>
</cp:coreProperties>
</file>