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16599" w14:textId="3EA1074A" w:rsidR="00B904B2" w:rsidRPr="005E61E2" w:rsidRDefault="00AE2841" w:rsidP="005E61E2">
      <w:pPr>
        <w:spacing w:line="360" w:lineRule="auto"/>
        <w:rPr>
          <w:rFonts w:ascii="Arial" w:hAnsi="Arial" w:cs="Arial"/>
          <w:sz w:val="22"/>
          <w:szCs w:val="22"/>
        </w:rPr>
      </w:pPr>
      <w:r w:rsidRPr="005E61E2">
        <w:rPr>
          <w:rFonts w:ascii="Arial" w:hAnsi="Arial" w:cs="Arial"/>
          <w:sz w:val="22"/>
          <w:szCs w:val="22"/>
        </w:rPr>
        <w:t xml:space="preserve">                    </w:t>
      </w:r>
      <w:r w:rsidR="004A28ED" w:rsidRPr="005E61E2">
        <w:rPr>
          <w:rFonts w:ascii="Arial" w:hAnsi="Arial" w:cs="Arial"/>
          <w:sz w:val="22"/>
          <w:szCs w:val="22"/>
        </w:rPr>
        <w:t xml:space="preserve">   </w:t>
      </w:r>
      <w:r w:rsidR="00DC3CCC" w:rsidRPr="005E61E2">
        <w:rPr>
          <w:rFonts w:ascii="Arial" w:hAnsi="Arial" w:cs="Arial"/>
          <w:sz w:val="22"/>
          <w:szCs w:val="22"/>
        </w:rPr>
        <w:t>Task 1</w:t>
      </w:r>
      <w:r w:rsidRPr="005E61E2">
        <w:rPr>
          <w:rFonts w:ascii="Arial" w:hAnsi="Arial" w:cs="Arial"/>
          <w:sz w:val="22"/>
          <w:szCs w:val="22"/>
        </w:rPr>
        <w:t>:  Residential Care Homes</w:t>
      </w:r>
    </w:p>
    <w:p w14:paraId="5855ECA2" w14:textId="436FE217" w:rsidR="009A6C4D" w:rsidRPr="005E61E2" w:rsidRDefault="009A6C4D" w:rsidP="005E61E2">
      <w:pPr>
        <w:spacing w:line="360" w:lineRule="auto"/>
        <w:rPr>
          <w:rFonts w:ascii="Arial" w:hAnsi="Arial" w:cs="Arial"/>
          <w:sz w:val="22"/>
          <w:szCs w:val="22"/>
        </w:rPr>
      </w:pPr>
      <w:r w:rsidRPr="005E61E2">
        <w:rPr>
          <w:rFonts w:ascii="Arial" w:hAnsi="Arial" w:cs="Arial"/>
          <w:sz w:val="22"/>
          <w:szCs w:val="22"/>
        </w:rPr>
        <w:t>Name: Akosua Ntow</w:t>
      </w:r>
    </w:p>
    <w:p w14:paraId="7363EB13" w14:textId="77777777" w:rsidR="009A6C4D" w:rsidRPr="005E61E2" w:rsidRDefault="009A6C4D" w:rsidP="005E61E2">
      <w:pPr>
        <w:spacing w:line="360" w:lineRule="auto"/>
        <w:rPr>
          <w:rFonts w:ascii="Arial" w:hAnsi="Arial" w:cs="Arial"/>
          <w:sz w:val="22"/>
          <w:szCs w:val="22"/>
        </w:rPr>
      </w:pPr>
      <w:r w:rsidRPr="005E61E2">
        <w:rPr>
          <w:rFonts w:ascii="Arial" w:hAnsi="Arial" w:cs="Arial"/>
          <w:sz w:val="22"/>
          <w:szCs w:val="22"/>
        </w:rPr>
        <w:t>Student Number: 2535577</w:t>
      </w:r>
    </w:p>
    <w:p w14:paraId="5B3E2B24" w14:textId="77777777" w:rsidR="009A6C4D" w:rsidRPr="005E61E2" w:rsidRDefault="009A6C4D" w:rsidP="005E61E2">
      <w:pPr>
        <w:spacing w:line="360" w:lineRule="auto"/>
        <w:rPr>
          <w:rFonts w:ascii="Arial" w:hAnsi="Arial" w:cs="Arial"/>
          <w:sz w:val="22"/>
          <w:szCs w:val="22"/>
        </w:rPr>
      </w:pPr>
      <w:r w:rsidRPr="005E61E2">
        <w:rPr>
          <w:rFonts w:ascii="Arial" w:hAnsi="Arial" w:cs="Arial"/>
          <w:sz w:val="22"/>
          <w:szCs w:val="22"/>
        </w:rPr>
        <w:t>Module Code and Title: Itroduction to Health and Social Care (LCHS4003_BIRM)</w:t>
      </w:r>
    </w:p>
    <w:p w14:paraId="7B09EC00" w14:textId="77777777" w:rsidR="009A6C4D" w:rsidRPr="005E61E2" w:rsidRDefault="009A6C4D" w:rsidP="005E61E2">
      <w:pPr>
        <w:spacing w:line="360" w:lineRule="auto"/>
        <w:rPr>
          <w:rFonts w:ascii="Arial" w:hAnsi="Arial" w:cs="Arial"/>
          <w:sz w:val="22"/>
          <w:szCs w:val="22"/>
        </w:rPr>
      </w:pPr>
      <w:r w:rsidRPr="005E61E2">
        <w:rPr>
          <w:rFonts w:ascii="Arial" w:hAnsi="Arial" w:cs="Arial"/>
          <w:sz w:val="22"/>
          <w:szCs w:val="22"/>
        </w:rPr>
        <w:t>Lecture Name: Zarah Ahmed</w:t>
      </w:r>
    </w:p>
    <w:p w14:paraId="29F50A41" w14:textId="0E44209A" w:rsidR="0015663B" w:rsidRPr="005E61E2" w:rsidRDefault="00667F37" w:rsidP="005E61E2">
      <w:pPr>
        <w:spacing w:line="360" w:lineRule="auto"/>
        <w:rPr>
          <w:rFonts w:ascii="Arial" w:hAnsi="Arial" w:cs="Arial"/>
          <w:sz w:val="22"/>
          <w:szCs w:val="22"/>
        </w:rPr>
      </w:pPr>
      <w:r w:rsidRPr="005E61E2">
        <w:rPr>
          <w:rFonts w:ascii="Arial" w:hAnsi="Arial" w:cs="Arial"/>
          <w:sz w:val="22"/>
          <w:szCs w:val="22"/>
        </w:rPr>
        <w:t xml:space="preserve">Assignment Title: </w:t>
      </w:r>
      <w:r w:rsidR="00DC0C27" w:rsidRPr="005E61E2">
        <w:rPr>
          <w:rFonts w:ascii="Arial" w:hAnsi="Arial" w:cs="Arial"/>
          <w:sz w:val="22"/>
          <w:szCs w:val="22"/>
        </w:rPr>
        <w:t>Reside</w:t>
      </w:r>
      <w:r w:rsidR="001041AA" w:rsidRPr="005E61E2">
        <w:rPr>
          <w:rFonts w:ascii="Arial" w:hAnsi="Arial" w:cs="Arial"/>
          <w:sz w:val="22"/>
          <w:szCs w:val="22"/>
        </w:rPr>
        <w:t>ntial Care homes</w:t>
      </w:r>
    </w:p>
    <w:p w14:paraId="69432972" w14:textId="77777777" w:rsidR="00BB5721" w:rsidRPr="005E61E2" w:rsidRDefault="00BB5721" w:rsidP="005E61E2">
      <w:pPr>
        <w:spacing w:line="360" w:lineRule="auto"/>
        <w:rPr>
          <w:rFonts w:ascii="Arial" w:hAnsi="Arial" w:cs="Arial"/>
          <w:sz w:val="22"/>
          <w:szCs w:val="22"/>
        </w:rPr>
      </w:pPr>
    </w:p>
    <w:p w14:paraId="7D25C95D" w14:textId="77777777" w:rsidR="00597A90" w:rsidRPr="005E61E2" w:rsidRDefault="00597A90" w:rsidP="005E61E2">
      <w:pPr>
        <w:spacing w:line="360" w:lineRule="auto"/>
        <w:rPr>
          <w:rFonts w:ascii="Arial" w:hAnsi="Arial" w:cs="Arial"/>
          <w:sz w:val="22"/>
          <w:szCs w:val="22"/>
        </w:rPr>
      </w:pPr>
    </w:p>
    <w:p w14:paraId="7CC75F90" w14:textId="7DC802F1" w:rsidR="0091607C" w:rsidRPr="005E61E2" w:rsidRDefault="0091607C" w:rsidP="005E61E2">
      <w:pPr>
        <w:spacing w:line="360" w:lineRule="auto"/>
        <w:rPr>
          <w:rFonts w:ascii="Arial" w:hAnsi="Arial" w:cs="Arial"/>
          <w:sz w:val="22"/>
          <w:szCs w:val="22"/>
        </w:rPr>
      </w:pPr>
      <w:r w:rsidRPr="005E61E2">
        <w:rPr>
          <w:rFonts w:ascii="Arial" w:hAnsi="Arial" w:cs="Arial"/>
          <w:sz w:val="22"/>
          <w:szCs w:val="22"/>
        </w:rPr>
        <w:t xml:space="preserve">To Councillor Oneida Ahmed  </w:t>
      </w:r>
    </w:p>
    <w:p w14:paraId="07AA0084" w14:textId="77777777" w:rsidR="0091607C" w:rsidRPr="005E61E2" w:rsidRDefault="0091607C" w:rsidP="005E61E2">
      <w:pPr>
        <w:spacing w:line="360" w:lineRule="auto"/>
        <w:rPr>
          <w:rFonts w:ascii="Arial" w:hAnsi="Arial" w:cs="Arial"/>
          <w:sz w:val="22"/>
          <w:szCs w:val="22"/>
        </w:rPr>
      </w:pPr>
      <w:r w:rsidRPr="005E61E2">
        <w:rPr>
          <w:rFonts w:ascii="Arial" w:hAnsi="Arial" w:cs="Arial"/>
          <w:sz w:val="22"/>
          <w:szCs w:val="22"/>
        </w:rPr>
        <w:t xml:space="preserve">Health and Wellbeing Councillor  </w:t>
      </w:r>
    </w:p>
    <w:p w14:paraId="1FE27C55" w14:textId="77777777" w:rsidR="0091607C" w:rsidRPr="005E61E2" w:rsidRDefault="0091607C" w:rsidP="005E61E2">
      <w:pPr>
        <w:spacing w:line="360" w:lineRule="auto"/>
        <w:rPr>
          <w:rFonts w:ascii="Arial" w:hAnsi="Arial" w:cs="Arial"/>
          <w:sz w:val="22"/>
          <w:szCs w:val="22"/>
        </w:rPr>
      </w:pPr>
      <w:r w:rsidRPr="005E61E2">
        <w:rPr>
          <w:rFonts w:ascii="Arial" w:hAnsi="Arial" w:cs="Arial"/>
          <w:sz w:val="22"/>
          <w:szCs w:val="22"/>
        </w:rPr>
        <w:t xml:space="preserve">c/o Civic Centre  </w:t>
      </w:r>
    </w:p>
    <w:p w14:paraId="4EC87B15" w14:textId="77777777" w:rsidR="0091607C" w:rsidRPr="005E61E2" w:rsidRDefault="0091607C" w:rsidP="005E61E2">
      <w:pPr>
        <w:spacing w:line="360" w:lineRule="auto"/>
        <w:rPr>
          <w:rFonts w:ascii="Arial" w:hAnsi="Arial" w:cs="Arial"/>
          <w:sz w:val="22"/>
          <w:szCs w:val="22"/>
        </w:rPr>
      </w:pPr>
      <w:r w:rsidRPr="005E61E2">
        <w:rPr>
          <w:rFonts w:ascii="Arial" w:hAnsi="Arial" w:cs="Arial"/>
          <w:sz w:val="22"/>
          <w:szCs w:val="22"/>
        </w:rPr>
        <w:t xml:space="preserve">St Peter’s Square  </w:t>
      </w:r>
    </w:p>
    <w:p w14:paraId="7C26A2ED" w14:textId="77777777" w:rsidR="0091607C" w:rsidRPr="005E61E2" w:rsidRDefault="0091607C" w:rsidP="005E61E2">
      <w:pPr>
        <w:spacing w:line="360" w:lineRule="auto"/>
        <w:rPr>
          <w:rFonts w:ascii="Arial" w:hAnsi="Arial" w:cs="Arial"/>
          <w:sz w:val="22"/>
          <w:szCs w:val="22"/>
        </w:rPr>
      </w:pPr>
      <w:r w:rsidRPr="005E61E2">
        <w:rPr>
          <w:rFonts w:ascii="Arial" w:hAnsi="Arial" w:cs="Arial"/>
          <w:sz w:val="22"/>
          <w:szCs w:val="22"/>
        </w:rPr>
        <w:t xml:space="preserve">Wolverhampton  </w:t>
      </w:r>
    </w:p>
    <w:p w14:paraId="7145572E" w14:textId="77777777" w:rsidR="0091607C" w:rsidRPr="005E61E2" w:rsidRDefault="0091607C" w:rsidP="005E61E2">
      <w:pPr>
        <w:spacing w:line="360" w:lineRule="auto"/>
        <w:rPr>
          <w:rFonts w:ascii="Arial" w:hAnsi="Arial" w:cs="Arial"/>
          <w:sz w:val="22"/>
          <w:szCs w:val="22"/>
        </w:rPr>
      </w:pPr>
      <w:r w:rsidRPr="005E61E2">
        <w:rPr>
          <w:rFonts w:ascii="Arial" w:hAnsi="Arial" w:cs="Arial"/>
          <w:sz w:val="22"/>
          <w:szCs w:val="22"/>
        </w:rPr>
        <w:t xml:space="preserve">WV1 1SH  </w:t>
      </w:r>
    </w:p>
    <w:p w14:paraId="1FF3FE71" w14:textId="5E9B5BDE" w:rsidR="0091607C" w:rsidRPr="005E61E2" w:rsidRDefault="0091607C" w:rsidP="005E61E2">
      <w:pPr>
        <w:spacing w:line="360" w:lineRule="auto"/>
        <w:rPr>
          <w:rFonts w:ascii="Arial" w:hAnsi="Arial" w:cs="Arial"/>
          <w:sz w:val="22"/>
          <w:szCs w:val="22"/>
        </w:rPr>
      </w:pPr>
      <w:r w:rsidRPr="005E61E2">
        <w:rPr>
          <w:rFonts w:ascii="Arial" w:hAnsi="Arial" w:cs="Arial"/>
          <w:sz w:val="22"/>
          <w:szCs w:val="22"/>
        </w:rPr>
        <w:t>Prepared by: Akosua Ntow</w:t>
      </w:r>
    </w:p>
    <w:p w14:paraId="6C3C24CA" w14:textId="599C5CA7" w:rsidR="0091607C" w:rsidRPr="005E61E2" w:rsidRDefault="0091607C" w:rsidP="005E61E2">
      <w:pPr>
        <w:spacing w:line="360" w:lineRule="auto"/>
        <w:rPr>
          <w:rFonts w:ascii="Arial" w:hAnsi="Arial" w:cs="Arial"/>
          <w:sz w:val="22"/>
          <w:szCs w:val="22"/>
        </w:rPr>
      </w:pPr>
      <w:r w:rsidRPr="005E61E2">
        <w:rPr>
          <w:rFonts w:ascii="Arial" w:hAnsi="Arial" w:cs="Arial"/>
          <w:sz w:val="22"/>
          <w:szCs w:val="22"/>
        </w:rPr>
        <w:t>Date: 19 October 2026</w:t>
      </w:r>
    </w:p>
    <w:p w14:paraId="6F994D82" w14:textId="77777777" w:rsidR="00597A90" w:rsidRPr="005E61E2" w:rsidRDefault="00597A90" w:rsidP="005E61E2">
      <w:pPr>
        <w:spacing w:line="360" w:lineRule="auto"/>
        <w:rPr>
          <w:rFonts w:ascii="Arial" w:hAnsi="Arial" w:cs="Arial"/>
          <w:sz w:val="22"/>
          <w:szCs w:val="22"/>
        </w:rPr>
      </w:pPr>
    </w:p>
    <w:p w14:paraId="3B7C0AB1" w14:textId="2D995D34"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t>Subject: Improving Residential Care Home Services and Addressing Care Shortages in Wolverhampton.</w:t>
      </w:r>
    </w:p>
    <w:p w14:paraId="3A1E48EA" w14:textId="77777777" w:rsidR="003F77E2" w:rsidRPr="005E61E2" w:rsidRDefault="003F77E2" w:rsidP="005E61E2">
      <w:pPr>
        <w:spacing w:line="360" w:lineRule="auto"/>
        <w:rPr>
          <w:rFonts w:ascii="Arial" w:hAnsi="Arial" w:cs="Arial"/>
          <w:sz w:val="22"/>
          <w:szCs w:val="22"/>
        </w:rPr>
      </w:pPr>
    </w:p>
    <w:p w14:paraId="0D775B7D" w14:textId="7117D39E"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t xml:space="preserve">Introduction </w:t>
      </w:r>
    </w:p>
    <w:p w14:paraId="5781DEF2" w14:textId="77777777" w:rsidR="00276A3B" w:rsidRPr="005E61E2" w:rsidRDefault="00EC7540" w:rsidP="005E61E2">
      <w:pPr>
        <w:spacing w:line="360" w:lineRule="auto"/>
        <w:rPr>
          <w:rFonts w:ascii="Arial" w:hAnsi="Arial" w:cs="Arial"/>
          <w:sz w:val="22"/>
          <w:szCs w:val="22"/>
        </w:rPr>
      </w:pPr>
      <w:r w:rsidRPr="005E61E2">
        <w:rPr>
          <w:rFonts w:ascii="Arial" w:hAnsi="Arial" w:cs="Arial"/>
          <w:sz w:val="22"/>
          <w:szCs w:val="22"/>
        </w:rPr>
        <w:t>Residential care homes provide accommodation, personal care, protection and support for adults who cannot safely manage alone at home. They are particularly important for older people, individuals living with dementia, adults with disabilities and people with complex health needs. In Wolverhampton, residential care is needed because some residents require continuous assistance with washing, dressing, eating, medication, mobility and social activities. The service also supports families and unpaid carers who may be unable to provide twenty-four-hour care.</w:t>
      </w:r>
    </w:p>
    <w:p w14:paraId="68AFB676" w14:textId="65CF77D6"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lastRenderedPageBreak/>
        <w:t>The Care Act 2014 provides the central legal framework for adult social care in England. It places a duty on local authorities to promote individual wellbeing, prevent or delay care needs, meet eligible needs and promote a diverse and good-quality care market. Wolverhampton currently has residential care provision, but the Council reports increasing pressure following the closure of some residential homes. Any further closures could leave no spare capacity. Therefore, the local authority must strengthen residential care services while protecting people’s dignity, independence and safety.  (City of Wolverhampton council, 2025).</w:t>
      </w:r>
    </w:p>
    <w:p w14:paraId="37F7AF19" w14:textId="77777777"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t xml:space="preserve">Impact on the Community </w:t>
      </w:r>
    </w:p>
    <w:p w14:paraId="340530F1" w14:textId="77777777"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t>A shortage of residential care places affects residents, hospitals and the wider community. When suitable homes are unavailable, older or vulnerable adults may remain in hospital after they are medically ready to leave. This can delay recovery, increase hospital pressure and prevent other patients from receiving treatment. Wolverhampton has previously identified staff shortages as contributing to delayed discharges and limits on care services.</w:t>
      </w:r>
    </w:p>
    <w:p w14:paraId="463365BE" w14:textId="77777777"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t xml:space="preserve"> Families may also experience stress, financial pressure and emotional exhaustion. Relatives who are not trained to provide personal or dementia care may reduce their working hours or leave employment. If a person is placed far away because there is no local vacancy, family visits can become less frequent. This can increase loneliness and reduce emotional wellbeing. It may also create inequality for people without reliable transport or relatives who live nearby. (Jha et al., 2013).</w:t>
      </w:r>
    </w:p>
    <w:p w14:paraId="051474CC" w14:textId="77777777"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t>The shortage can reduce choice and control. People may accept a home that does not meet their cultural, religious, medical or communication needs. This conflicts with the Care Act principle of promoting wellbeing because wellbeing includes dignity, relationships, mental health, suitable accommodation and control over daily life. It can also undermine independence if people are placed in services that focus only on basic physical care rather than rehabilitation, activities and personal goals (Care Act 2014).</w:t>
      </w:r>
    </w:p>
    <w:p w14:paraId="7CD17C17" w14:textId="77777777"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t xml:space="preserve">There may also be risks to quality. When homes operate under pressure, staff can become overworked and turnover can increase. Remaining providers may struggle to offer individualised care, meaningful activities and safe staffing levels. Wolverhampton reports that its residential market currently has supply, but further closures would leave no spare capacity. This shows that the shortage is not only a future problem, but also a current vulnerability requiring preventative action. Damery et al. (2017). </w:t>
      </w:r>
    </w:p>
    <w:p w14:paraId="0B927139" w14:textId="77777777"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t xml:space="preserve">Recommendations </w:t>
      </w:r>
    </w:p>
    <w:p w14:paraId="0C0E5CB8" w14:textId="77777777"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lastRenderedPageBreak/>
        <w:t>First, the Council should develop a clear residential care capacity plan with the Integrated Care Board, care providers, residents and carers. The plan should identify present and future demand, including dementia, and complex-care needs. This would help the Council meet its responsibilities under the Care Act 2014 and support a sustainable and diverse and high-quality care market. (Department of Health and Social Care 2023).</w:t>
      </w:r>
    </w:p>
    <w:p w14:paraId="1E07BD7C" w14:textId="77777777"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t>Second, the Council should provide fair and sustainable funding for Care homes. Fees should reflect staffing, training, insurance and safety costs. Contracts should reward quality and outcomes rather focusing only on the number of beds occupied. Wolverhampton is already considering an outcomes-based care-home framework should be develop with meaningful involvement from residents and providers.</w:t>
      </w:r>
    </w:p>
    <w:p w14:paraId="29FD1231" w14:textId="77777777"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t>Third, recruitment and retention should be improved. The Council could work with colleges, and care providers to offer apprenticeships, career progression and specialist dementia training. Better pay, supervision and staff wellbeing support could reduce turnover and improve continuity, safety and the quality of care. (Skills for Care 2024).</w:t>
      </w:r>
    </w:p>
    <w:p w14:paraId="6CAFBAF7" w14:textId="77777777"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t>Fourth, the Council should invest in prevention and early intervention. This could include falls prevention, reablement after hospital discharge, occupational therapy, adaptations, day services and support for unpaid carers. These services may delay admission to residential care while ensuring that people who need residential care while ensuring that people who need residential support receive it at the appropriate time. (NICE 2025).</w:t>
      </w:r>
    </w:p>
    <w:p w14:paraId="2CA4756A" w14:textId="77777777"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t>Finally, every placement should be person-centred. Assessments must consider wishes, relationships, independence and risks. Homes should provide activities, community links, accessible transport and family involvement. Regular monitoring, complaints procedures and Care Quality Commission (CQC) information should be used to protect residents from neglect and inequality.</w:t>
      </w:r>
    </w:p>
    <w:p w14:paraId="3C393BB3" w14:textId="77777777" w:rsidR="00EC7540" w:rsidRPr="005E61E2" w:rsidRDefault="00EC7540" w:rsidP="005E61E2">
      <w:pPr>
        <w:spacing w:line="360" w:lineRule="auto"/>
        <w:rPr>
          <w:rFonts w:ascii="Arial" w:hAnsi="Arial" w:cs="Arial"/>
          <w:sz w:val="22"/>
          <w:szCs w:val="22"/>
        </w:rPr>
      </w:pPr>
    </w:p>
    <w:p w14:paraId="7AB413D9" w14:textId="77777777"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t xml:space="preserve">Conclusion </w:t>
      </w:r>
    </w:p>
    <w:p w14:paraId="7C9B9DFC" w14:textId="77777777" w:rsidR="00BB4B5D" w:rsidRPr="005E61E2" w:rsidRDefault="00BB4B5D" w:rsidP="005E61E2">
      <w:pPr>
        <w:spacing w:line="360" w:lineRule="auto"/>
        <w:rPr>
          <w:rFonts w:ascii="Arial" w:hAnsi="Arial" w:cs="Arial"/>
          <w:sz w:val="22"/>
          <w:szCs w:val="22"/>
        </w:rPr>
      </w:pPr>
    </w:p>
    <w:p w14:paraId="2F0511F4" w14:textId="652CA3FA" w:rsidR="00EC7540" w:rsidRPr="005E61E2" w:rsidRDefault="00EC7540" w:rsidP="005E61E2">
      <w:pPr>
        <w:spacing w:line="360" w:lineRule="auto"/>
        <w:rPr>
          <w:rFonts w:ascii="Arial" w:hAnsi="Arial" w:cs="Arial"/>
          <w:sz w:val="22"/>
          <w:szCs w:val="22"/>
        </w:rPr>
      </w:pPr>
      <w:r w:rsidRPr="005E61E2">
        <w:rPr>
          <w:rFonts w:ascii="Arial" w:hAnsi="Arial" w:cs="Arial"/>
          <w:sz w:val="22"/>
          <w:szCs w:val="22"/>
        </w:rPr>
        <w:t>Residential care homes are an essential service for Wolverhampton residents who require continuous support, protection and accommodation. A shortage affects dignity, independence, families, and community equality. The Care Act 2014 gives the Council a strong framework for responding through wellbeing, prevention, needs assessment, independence and market development. The Council should therefore protect existing homes, support new provision, improve funding, develop the workforce and increase early-</w:t>
      </w:r>
      <w:r w:rsidRPr="005E61E2">
        <w:rPr>
          <w:rFonts w:ascii="Arial" w:hAnsi="Arial" w:cs="Arial"/>
          <w:sz w:val="22"/>
          <w:szCs w:val="22"/>
        </w:rPr>
        <w:lastRenderedPageBreak/>
        <w:t>intervention services. (The Care Quality commission 2025). Residential care should not be viewed only as accommodation, it should help people live meaningful, safe and connected lives. By working with residents, carers, health services and providers, Wolverhampton can create a stronger and fairer care system.</w:t>
      </w:r>
    </w:p>
    <w:p w14:paraId="4E212595" w14:textId="77777777" w:rsidR="0091607C" w:rsidRPr="005E61E2" w:rsidRDefault="0091607C" w:rsidP="005E61E2">
      <w:pPr>
        <w:spacing w:line="360" w:lineRule="auto"/>
        <w:rPr>
          <w:rFonts w:ascii="Arial" w:hAnsi="Arial" w:cs="Arial"/>
          <w:sz w:val="22"/>
          <w:szCs w:val="22"/>
        </w:rPr>
      </w:pPr>
    </w:p>
    <w:p w14:paraId="7ACDB66D" w14:textId="77777777" w:rsidR="007A1BA7" w:rsidRPr="005E61E2" w:rsidRDefault="007A1BA7" w:rsidP="005E61E2">
      <w:pPr>
        <w:spacing w:line="360" w:lineRule="auto"/>
        <w:rPr>
          <w:rFonts w:ascii="Arial" w:hAnsi="Arial" w:cs="Arial"/>
          <w:sz w:val="22"/>
          <w:szCs w:val="22"/>
        </w:rPr>
      </w:pPr>
    </w:p>
    <w:p w14:paraId="432F1DFE" w14:textId="4A856703" w:rsidR="0093638C" w:rsidRPr="005E61E2" w:rsidRDefault="0091607C" w:rsidP="005E61E2">
      <w:pPr>
        <w:spacing w:line="360" w:lineRule="auto"/>
        <w:rPr>
          <w:rFonts w:ascii="Arial" w:hAnsi="Arial" w:cs="Arial"/>
          <w:sz w:val="22"/>
          <w:szCs w:val="22"/>
        </w:rPr>
      </w:pPr>
      <w:r w:rsidRPr="005E61E2">
        <w:rPr>
          <w:rFonts w:ascii="Arial" w:hAnsi="Arial" w:cs="Arial"/>
          <w:sz w:val="22"/>
          <w:szCs w:val="22"/>
        </w:rPr>
        <w:t>References</w:t>
      </w:r>
    </w:p>
    <w:p w14:paraId="632FF49B" w14:textId="434EFFF5" w:rsidR="0093638C" w:rsidRPr="005E61E2" w:rsidRDefault="0093638C" w:rsidP="005E61E2">
      <w:pPr>
        <w:spacing w:line="360" w:lineRule="auto"/>
        <w:rPr>
          <w:rFonts w:ascii="Arial" w:hAnsi="Arial" w:cs="Arial"/>
          <w:sz w:val="22"/>
          <w:szCs w:val="22"/>
        </w:rPr>
      </w:pPr>
      <w:r w:rsidRPr="005E61E2">
        <w:rPr>
          <w:rFonts w:ascii="Arial" w:hAnsi="Arial" w:cs="Arial"/>
          <w:sz w:val="22"/>
          <w:szCs w:val="22"/>
        </w:rPr>
        <w:t>Care Act (2014). legislation.gov.uk</w:t>
      </w:r>
      <w:r w:rsidR="00C62E41" w:rsidRPr="005E61E2">
        <w:rPr>
          <w:rFonts w:ascii="Arial" w:hAnsi="Arial" w:cs="Arial"/>
          <w:sz w:val="22"/>
          <w:szCs w:val="22"/>
        </w:rPr>
        <w:t xml:space="preserve"> </w:t>
      </w:r>
      <w:r w:rsidR="0035456F" w:rsidRPr="005E61E2">
        <w:rPr>
          <w:rFonts w:ascii="Arial" w:hAnsi="Arial" w:cs="Arial"/>
          <w:sz w:val="22"/>
          <w:szCs w:val="22"/>
        </w:rPr>
        <w:t>Available</w:t>
      </w:r>
      <w:r w:rsidR="00202F02" w:rsidRPr="005E61E2">
        <w:rPr>
          <w:rFonts w:ascii="Arial" w:hAnsi="Arial" w:cs="Arial"/>
          <w:sz w:val="22"/>
          <w:szCs w:val="22"/>
        </w:rPr>
        <w:t xml:space="preserve"> at</w:t>
      </w:r>
      <w:r w:rsidR="009E39EC" w:rsidRPr="005E61E2">
        <w:rPr>
          <w:rFonts w:ascii="Arial" w:hAnsi="Arial" w:cs="Arial"/>
          <w:sz w:val="22"/>
          <w:szCs w:val="22"/>
        </w:rPr>
        <w:t>:</w:t>
      </w:r>
    </w:p>
    <w:p w14:paraId="1D7C850F" w14:textId="12CAEDBD" w:rsidR="0091607C" w:rsidRPr="005E61E2" w:rsidRDefault="00EB190A" w:rsidP="005E61E2">
      <w:pPr>
        <w:spacing w:line="360" w:lineRule="auto"/>
        <w:rPr>
          <w:rFonts w:ascii="Arial" w:hAnsi="Arial" w:cs="Arial"/>
          <w:sz w:val="22"/>
          <w:szCs w:val="22"/>
        </w:rPr>
      </w:pPr>
      <w:hyperlink r:id="rId4" w:history="1">
        <w:r w:rsidRPr="005E61E2">
          <w:rPr>
            <w:rStyle w:val="Hyperlink"/>
            <w:rFonts w:ascii="Arial" w:hAnsi="Arial" w:cs="Arial"/>
            <w:sz w:val="22"/>
            <w:szCs w:val="22"/>
          </w:rPr>
          <w:t>https://www.legislation.gov.uk/ukpga/2014/23/data.xht?wrap=true</w:t>
        </w:r>
      </w:hyperlink>
      <w:r w:rsidRPr="005E61E2">
        <w:rPr>
          <w:rFonts w:ascii="Arial" w:hAnsi="Arial" w:cs="Arial"/>
          <w:sz w:val="22"/>
          <w:szCs w:val="22"/>
        </w:rPr>
        <w:t xml:space="preserve"> </w:t>
      </w:r>
      <w:r w:rsidR="00695CCA" w:rsidRPr="005E61E2">
        <w:rPr>
          <w:rFonts w:ascii="Arial" w:hAnsi="Arial" w:cs="Arial"/>
          <w:sz w:val="22"/>
          <w:szCs w:val="22"/>
        </w:rPr>
        <w:t>(</w:t>
      </w:r>
      <w:r w:rsidR="0082414D" w:rsidRPr="005E61E2">
        <w:rPr>
          <w:rFonts w:ascii="Arial" w:hAnsi="Arial" w:cs="Arial"/>
          <w:sz w:val="22"/>
          <w:szCs w:val="22"/>
        </w:rPr>
        <w:t xml:space="preserve">Accessed: </w:t>
      </w:r>
      <w:r w:rsidR="007363B5" w:rsidRPr="005E61E2">
        <w:rPr>
          <w:rFonts w:ascii="Arial" w:hAnsi="Arial" w:cs="Arial"/>
          <w:sz w:val="22"/>
          <w:szCs w:val="22"/>
        </w:rPr>
        <w:t xml:space="preserve">6 </w:t>
      </w:r>
      <w:r w:rsidR="006C238E" w:rsidRPr="005E61E2">
        <w:rPr>
          <w:rFonts w:ascii="Arial" w:hAnsi="Arial" w:cs="Arial"/>
          <w:sz w:val="22"/>
          <w:szCs w:val="22"/>
        </w:rPr>
        <w:t>October</w:t>
      </w:r>
      <w:r w:rsidR="007363B5" w:rsidRPr="005E61E2">
        <w:rPr>
          <w:rFonts w:ascii="Arial" w:hAnsi="Arial" w:cs="Arial"/>
          <w:sz w:val="22"/>
          <w:szCs w:val="22"/>
        </w:rPr>
        <w:t xml:space="preserve"> 2026</w:t>
      </w:r>
      <w:r w:rsidR="006C238E" w:rsidRPr="005E61E2">
        <w:rPr>
          <w:rFonts w:ascii="Arial" w:hAnsi="Arial" w:cs="Arial"/>
          <w:sz w:val="22"/>
          <w:szCs w:val="22"/>
        </w:rPr>
        <w:t>).</w:t>
      </w:r>
    </w:p>
    <w:p w14:paraId="39E6B061" w14:textId="47343FE7" w:rsidR="00B37684" w:rsidRPr="005E61E2" w:rsidRDefault="00B37684" w:rsidP="005E61E2">
      <w:pPr>
        <w:spacing w:line="360" w:lineRule="auto"/>
        <w:rPr>
          <w:rFonts w:ascii="Arial" w:hAnsi="Arial" w:cs="Arial"/>
          <w:sz w:val="22"/>
          <w:szCs w:val="22"/>
        </w:rPr>
      </w:pPr>
      <w:r w:rsidRPr="005E61E2">
        <w:rPr>
          <w:rFonts w:ascii="Arial" w:hAnsi="Arial" w:cs="Arial"/>
          <w:sz w:val="22"/>
          <w:szCs w:val="22"/>
        </w:rPr>
        <w:t>City of Wolverhampton Council (2025) Adult Social Care Interim Market Position Statement 2025–2027.</w:t>
      </w:r>
      <w:r w:rsidR="0035456F" w:rsidRPr="005E61E2">
        <w:rPr>
          <w:rFonts w:ascii="Arial" w:hAnsi="Arial" w:cs="Arial"/>
          <w:sz w:val="22"/>
          <w:szCs w:val="22"/>
        </w:rPr>
        <w:t>Avillable at</w:t>
      </w:r>
      <w:r w:rsidR="000A359F" w:rsidRPr="005E61E2">
        <w:rPr>
          <w:rFonts w:ascii="Arial" w:hAnsi="Arial" w:cs="Arial"/>
          <w:sz w:val="22"/>
          <w:szCs w:val="22"/>
        </w:rPr>
        <w:t>:</w:t>
      </w:r>
    </w:p>
    <w:p w14:paraId="5A4BDAE9" w14:textId="16FF4100" w:rsidR="0093638C" w:rsidRPr="005E61E2" w:rsidRDefault="00B37684" w:rsidP="005E61E2">
      <w:pPr>
        <w:spacing w:line="360" w:lineRule="auto"/>
        <w:rPr>
          <w:rFonts w:ascii="Arial" w:hAnsi="Arial" w:cs="Arial"/>
          <w:sz w:val="22"/>
          <w:szCs w:val="22"/>
        </w:rPr>
      </w:pPr>
      <w:hyperlink r:id="rId5" w:history="1">
        <w:r w:rsidRPr="005E61E2">
          <w:rPr>
            <w:rStyle w:val="Hyperlink"/>
            <w:rFonts w:ascii="Arial" w:hAnsi="Arial" w:cs="Arial"/>
            <w:sz w:val="22"/>
            <w:szCs w:val="22"/>
          </w:rPr>
          <w:t>Interim Market Position Statement for ASC 2025-27 Final.pdf</w:t>
        </w:r>
      </w:hyperlink>
      <w:r w:rsidR="000A463C" w:rsidRPr="005E61E2">
        <w:rPr>
          <w:rFonts w:ascii="Arial" w:hAnsi="Arial" w:cs="Arial"/>
          <w:sz w:val="22"/>
          <w:szCs w:val="22"/>
        </w:rPr>
        <w:t xml:space="preserve"> </w:t>
      </w:r>
      <w:r w:rsidR="006C238E" w:rsidRPr="005E61E2">
        <w:rPr>
          <w:rFonts w:ascii="Arial" w:hAnsi="Arial" w:cs="Arial"/>
          <w:sz w:val="22"/>
          <w:szCs w:val="22"/>
        </w:rPr>
        <w:t>(A</w:t>
      </w:r>
      <w:r w:rsidR="001A0761" w:rsidRPr="005E61E2">
        <w:rPr>
          <w:rFonts w:ascii="Arial" w:hAnsi="Arial" w:cs="Arial"/>
          <w:sz w:val="22"/>
          <w:szCs w:val="22"/>
        </w:rPr>
        <w:t>ccessed: 6 October 202</w:t>
      </w:r>
      <w:r w:rsidR="00E22D61" w:rsidRPr="005E61E2">
        <w:rPr>
          <w:rFonts w:ascii="Arial" w:hAnsi="Arial" w:cs="Arial"/>
          <w:sz w:val="22"/>
          <w:szCs w:val="22"/>
        </w:rPr>
        <w:t>6).</w:t>
      </w:r>
    </w:p>
    <w:p w14:paraId="5E6257B1" w14:textId="77777777" w:rsidR="00B37684" w:rsidRPr="005E61E2" w:rsidRDefault="00B37684" w:rsidP="005E61E2">
      <w:pPr>
        <w:spacing w:line="360" w:lineRule="auto"/>
        <w:rPr>
          <w:rFonts w:ascii="Arial" w:hAnsi="Arial" w:cs="Arial"/>
          <w:sz w:val="22"/>
          <w:szCs w:val="22"/>
        </w:rPr>
      </w:pPr>
    </w:p>
    <w:p w14:paraId="09B3DCA2" w14:textId="658D5D15" w:rsidR="00D157FF" w:rsidRPr="005E61E2" w:rsidRDefault="00D157FF" w:rsidP="005E61E2">
      <w:pPr>
        <w:spacing w:line="360" w:lineRule="auto"/>
        <w:rPr>
          <w:rFonts w:ascii="Arial" w:hAnsi="Arial" w:cs="Arial"/>
          <w:sz w:val="22"/>
          <w:szCs w:val="22"/>
        </w:rPr>
      </w:pPr>
      <w:r w:rsidRPr="005E61E2">
        <w:rPr>
          <w:rFonts w:ascii="Arial" w:hAnsi="Arial" w:cs="Arial"/>
          <w:sz w:val="22"/>
          <w:szCs w:val="22"/>
        </w:rPr>
        <w:t xml:space="preserve">Jha, A., Jan, F., Gale, T. and Newman, C. (2013) ‘Effectiveness of a recovery-orientated psychiatric intervention package on the wellbeing of people with early dementia. A preliminary randomised controlled trial, International Journal of Geriatric Psychiatry, </w:t>
      </w:r>
      <w:r w:rsidR="00B37684" w:rsidRPr="005E61E2">
        <w:rPr>
          <w:rFonts w:ascii="Arial" w:hAnsi="Arial" w:cs="Arial"/>
          <w:sz w:val="22"/>
          <w:szCs w:val="22"/>
        </w:rPr>
        <w:t>volume:</w:t>
      </w:r>
      <w:r w:rsidRPr="005E61E2">
        <w:rPr>
          <w:rFonts w:ascii="Arial" w:hAnsi="Arial" w:cs="Arial"/>
          <w:sz w:val="22"/>
          <w:szCs w:val="22"/>
        </w:rPr>
        <w:t>28</w:t>
      </w:r>
      <w:r w:rsidR="00B37684" w:rsidRPr="005E61E2">
        <w:rPr>
          <w:rFonts w:ascii="Arial" w:hAnsi="Arial" w:cs="Arial"/>
          <w:sz w:val="22"/>
          <w:szCs w:val="22"/>
        </w:rPr>
        <w:t xml:space="preserve"> </w:t>
      </w:r>
      <w:r w:rsidRPr="005E61E2">
        <w:rPr>
          <w:rFonts w:ascii="Arial" w:hAnsi="Arial" w:cs="Arial"/>
          <w:sz w:val="22"/>
          <w:szCs w:val="22"/>
        </w:rPr>
        <w:t>(6), pp. 589–596.</w:t>
      </w:r>
    </w:p>
    <w:p w14:paraId="1971B874" w14:textId="2F064BD2" w:rsidR="00B37684" w:rsidRPr="005E61E2" w:rsidRDefault="00C91FD8" w:rsidP="005E61E2">
      <w:pPr>
        <w:spacing w:line="360" w:lineRule="auto"/>
        <w:rPr>
          <w:rFonts w:ascii="Arial" w:hAnsi="Arial" w:cs="Arial"/>
          <w:sz w:val="22"/>
          <w:szCs w:val="22"/>
        </w:rPr>
      </w:pPr>
      <w:r w:rsidRPr="005E61E2">
        <w:rPr>
          <w:rFonts w:ascii="Arial" w:hAnsi="Arial" w:cs="Arial"/>
          <w:sz w:val="22"/>
          <w:szCs w:val="22"/>
        </w:rPr>
        <w:t>Available</w:t>
      </w:r>
      <w:r w:rsidR="007A7D5B" w:rsidRPr="005E61E2">
        <w:rPr>
          <w:rFonts w:ascii="Arial" w:hAnsi="Arial" w:cs="Arial"/>
          <w:sz w:val="22"/>
          <w:szCs w:val="22"/>
        </w:rPr>
        <w:t xml:space="preserve"> </w:t>
      </w:r>
      <w:r w:rsidRPr="005E61E2">
        <w:rPr>
          <w:rFonts w:ascii="Arial" w:hAnsi="Arial" w:cs="Arial"/>
          <w:sz w:val="22"/>
          <w:szCs w:val="22"/>
        </w:rPr>
        <w:t xml:space="preserve">at: </w:t>
      </w:r>
      <w:hyperlink r:id="rId6" w:history="1">
        <w:r w:rsidR="00B37684" w:rsidRPr="005E61E2">
          <w:rPr>
            <w:rStyle w:val="Hyperlink"/>
            <w:rFonts w:ascii="Arial" w:hAnsi="Arial" w:cs="Arial"/>
            <w:sz w:val="22"/>
            <w:szCs w:val="22"/>
          </w:rPr>
          <w:t>MODEM Dementia Evidence Database</w:t>
        </w:r>
      </w:hyperlink>
      <w:r w:rsidR="00513FB6" w:rsidRPr="005E61E2">
        <w:rPr>
          <w:rFonts w:ascii="Arial" w:hAnsi="Arial" w:cs="Arial"/>
          <w:sz w:val="22"/>
          <w:szCs w:val="22"/>
        </w:rPr>
        <w:t xml:space="preserve"> </w:t>
      </w:r>
      <w:r w:rsidR="00A5790C" w:rsidRPr="005E61E2">
        <w:rPr>
          <w:rFonts w:ascii="Arial" w:hAnsi="Arial" w:cs="Arial"/>
          <w:sz w:val="22"/>
          <w:szCs w:val="22"/>
        </w:rPr>
        <w:t>(</w:t>
      </w:r>
      <w:r w:rsidR="00513FB6" w:rsidRPr="005E61E2">
        <w:rPr>
          <w:rFonts w:ascii="Arial" w:hAnsi="Arial" w:cs="Arial"/>
          <w:sz w:val="22"/>
          <w:szCs w:val="22"/>
        </w:rPr>
        <w:t xml:space="preserve">Accessed: </w:t>
      </w:r>
      <w:r w:rsidR="00A5790C" w:rsidRPr="005E61E2">
        <w:rPr>
          <w:rFonts w:ascii="Arial" w:hAnsi="Arial" w:cs="Arial"/>
          <w:sz w:val="22"/>
          <w:szCs w:val="22"/>
        </w:rPr>
        <w:t>6 October 2026).</w:t>
      </w:r>
    </w:p>
    <w:p w14:paraId="4DA9A5E4" w14:textId="77777777" w:rsidR="00B37684" w:rsidRPr="005E61E2" w:rsidRDefault="00B37684" w:rsidP="005E61E2">
      <w:pPr>
        <w:spacing w:line="360" w:lineRule="auto"/>
        <w:rPr>
          <w:rFonts w:ascii="Arial" w:hAnsi="Arial" w:cs="Arial"/>
          <w:sz w:val="22"/>
          <w:szCs w:val="22"/>
        </w:rPr>
      </w:pPr>
    </w:p>
    <w:p w14:paraId="58148064" w14:textId="77777777" w:rsidR="00504645" w:rsidRPr="005E61E2" w:rsidRDefault="00504645" w:rsidP="005E61E2">
      <w:pPr>
        <w:spacing w:line="360" w:lineRule="auto"/>
        <w:rPr>
          <w:rFonts w:ascii="Arial" w:hAnsi="Arial" w:cs="Arial"/>
          <w:sz w:val="22"/>
          <w:szCs w:val="22"/>
        </w:rPr>
      </w:pPr>
    </w:p>
    <w:p w14:paraId="2AF953D4" w14:textId="2D40C80B" w:rsidR="00103448" w:rsidRPr="005E61E2" w:rsidRDefault="00103448" w:rsidP="005E61E2">
      <w:pPr>
        <w:spacing w:line="360" w:lineRule="auto"/>
        <w:rPr>
          <w:rFonts w:ascii="Arial" w:hAnsi="Arial" w:cs="Arial"/>
          <w:sz w:val="22"/>
          <w:szCs w:val="22"/>
        </w:rPr>
      </w:pPr>
    </w:p>
    <w:p w14:paraId="6194F565" w14:textId="29474CC1" w:rsidR="00504645" w:rsidRPr="005E61E2" w:rsidRDefault="00CF6721" w:rsidP="005E61E2">
      <w:pPr>
        <w:tabs>
          <w:tab w:val="left" w:pos="1680"/>
        </w:tabs>
        <w:spacing w:line="360" w:lineRule="auto"/>
        <w:rPr>
          <w:rFonts w:ascii="Arial" w:hAnsi="Arial" w:cs="Arial"/>
          <w:sz w:val="22"/>
          <w:szCs w:val="22"/>
        </w:rPr>
      </w:pPr>
      <w:r w:rsidRPr="005E61E2">
        <w:rPr>
          <w:rFonts w:ascii="Arial" w:hAnsi="Arial" w:cs="Arial"/>
          <w:sz w:val="22"/>
          <w:szCs w:val="22"/>
        </w:rPr>
        <w:tab/>
      </w:r>
    </w:p>
    <w:p w14:paraId="7E245517" w14:textId="77777777" w:rsidR="00504645" w:rsidRPr="005E61E2" w:rsidRDefault="00504645" w:rsidP="005E61E2">
      <w:pPr>
        <w:spacing w:line="360" w:lineRule="auto"/>
        <w:rPr>
          <w:rFonts w:ascii="Arial" w:hAnsi="Arial" w:cs="Arial"/>
          <w:sz w:val="22"/>
          <w:szCs w:val="22"/>
        </w:rPr>
      </w:pPr>
    </w:p>
    <w:p w14:paraId="02DF1CB0" w14:textId="77777777" w:rsidR="00D80408" w:rsidRPr="005E61E2" w:rsidRDefault="00D80408" w:rsidP="005E61E2">
      <w:pPr>
        <w:spacing w:line="360" w:lineRule="auto"/>
        <w:rPr>
          <w:rFonts w:ascii="Arial" w:hAnsi="Arial" w:cs="Arial"/>
          <w:sz w:val="22"/>
          <w:szCs w:val="22"/>
        </w:rPr>
      </w:pPr>
    </w:p>
    <w:p w14:paraId="1F9552BB" w14:textId="77777777" w:rsidR="00D80408" w:rsidRPr="005E61E2" w:rsidRDefault="00D80408" w:rsidP="005E61E2">
      <w:pPr>
        <w:spacing w:line="360" w:lineRule="auto"/>
        <w:rPr>
          <w:rFonts w:ascii="Arial" w:hAnsi="Arial" w:cs="Arial"/>
          <w:sz w:val="22"/>
          <w:szCs w:val="22"/>
        </w:rPr>
      </w:pPr>
    </w:p>
    <w:p w14:paraId="3ED705C7" w14:textId="77777777" w:rsidR="00D80408" w:rsidRPr="005E61E2" w:rsidRDefault="00D80408" w:rsidP="005E61E2">
      <w:pPr>
        <w:spacing w:line="360" w:lineRule="auto"/>
        <w:rPr>
          <w:rFonts w:ascii="Arial" w:hAnsi="Arial" w:cs="Arial"/>
          <w:sz w:val="22"/>
          <w:szCs w:val="22"/>
        </w:rPr>
      </w:pPr>
    </w:p>
    <w:p w14:paraId="20CF0551" w14:textId="77777777" w:rsidR="00D80408" w:rsidRPr="005E61E2" w:rsidRDefault="00D80408" w:rsidP="005E61E2">
      <w:pPr>
        <w:spacing w:line="360" w:lineRule="auto"/>
        <w:rPr>
          <w:rFonts w:ascii="Arial" w:hAnsi="Arial" w:cs="Arial"/>
          <w:sz w:val="22"/>
          <w:szCs w:val="22"/>
        </w:rPr>
      </w:pPr>
    </w:p>
    <w:p w14:paraId="3811FC45" w14:textId="77777777" w:rsidR="007A1BA7" w:rsidRPr="005E61E2" w:rsidRDefault="005C321D" w:rsidP="005E61E2">
      <w:pPr>
        <w:spacing w:line="360" w:lineRule="auto"/>
        <w:rPr>
          <w:rFonts w:ascii="Arial" w:hAnsi="Arial" w:cs="Arial"/>
          <w:sz w:val="22"/>
          <w:szCs w:val="22"/>
        </w:rPr>
      </w:pPr>
      <w:r w:rsidRPr="005E61E2">
        <w:rPr>
          <w:rFonts w:ascii="Arial" w:hAnsi="Arial" w:cs="Arial"/>
          <w:sz w:val="22"/>
          <w:szCs w:val="22"/>
        </w:rPr>
        <w:lastRenderedPageBreak/>
        <w:t xml:space="preserve">                                                   </w:t>
      </w:r>
    </w:p>
    <w:p w14:paraId="32E4591B" w14:textId="77777777" w:rsidR="007A1BA7" w:rsidRPr="005E61E2" w:rsidRDefault="007A1BA7" w:rsidP="005E61E2">
      <w:pPr>
        <w:spacing w:line="360" w:lineRule="auto"/>
        <w:rPr>
          <w:rFonts w:ascii="Arial" w:hAnsi="Arial" w:cs="Arial"/>
          <w:sz w:val="22"/>
          <w:szCs w:val="22"/>
        </w:rPr>
      </w:pPr>
    </w:p>
    <w:p w14:paraId="5FC517D6" w14:textId="77777777" w:rsidR="007A1BA7" w:rsidRPr="005E61E2" w:rsidRDefault="007A1BA7" w:rsidP="005E61E2">
      <w:pPr>
        <w:spacing w:line="360" w:lineRule="auto"/>
        <w:rPr>
          <w:rFonts w:ascii="Arial" w:hAnsi="Arial" w:cs="Arial"/>
          <w:sz w:val="22"/>
          <w:szCs w:val="22"/>
        </w:rPr>
      </w:pPr>
    </w:p>
    <w:p w14:paraId="02724F68" w14:textId="77777777" w:rsidR="007A1BA7" w:rsidRPr="005E61E2" w:rsidRDefault="007A1BA7" w:rsidP="005E61E2">
      <w:pPr>
        <w:spacing w:line="360" w:lineRule="auto"/>
        <w:rPr>
          <w:rFonts w:ascii="Arial" w:hAnsi="Arial" w:cs="Arial"/>
          <w:sz w:val="22"/>
          <w:szCs w:val="22"/>
        </w:rPr>
      </w:pPr>
    </w:p>
    <w:p w14:paraId="6A34AB68" w14:textId="77777777" w:rsidR="007A1BA7" w:rsidRPr="005E61E2" w:rsidRDefault="007A1BA7" w:rsidP="005E61E2">
      <w:pPr>
        <w:spacing w:line="360" w:lineRule="auto"/>
        <w:rPr>
          <w:rFonts w:ascii="Arial" w:hAnsi="Arial" w:cs="Arial"/>
          <w:sz w:val="22"/>
          <w:szCs w:val="22"/>
        </w:rPr>
      </w:pPr>
    </w:p>
    <w:p w14:paraId="7AAA72C1" w14:textId="6E54E941" w:rsidR="00D80408" w:rsidRPr="005E61E2" w:rsidRDefault="007A1BA7" w:rsidP="005E61E2">
      <w:pPr>
        <w:spacing w:line="360" w:lineRule="auto"/>
        <w:rPr>
          <w:rFonts w:ascii="Arial" w:hAnsi="Arial" w:cs="Arial"/>
          <w:sz w:val="22"/>
          <w:szCs w:val="22"/>
        </w:rPr>
      </w:pPr>
      <w:r w:rsidRPr="005E61E2">
        <w:rPr>
          <w:rFonts w:ascii="Arial" w:hAnsi="Arial" w:cs="Arial"/>
          <w:sz w:val="22"/>
          <w:szCs w:val="22"/>
        </w:rPr>
        <w:t xml:space="preserve">                                              </w:t>
      </w:r>
      <w:r w:rsidR="005C321D" w:rsidRPr="005E61E2">
        <w:rPr>
          <w:rFonts w:ascii="Arial" w:hAnsi="Arial" w:cs="Arial"/>
          <w:sz w:val="22"/>
          <w:szCs w:val="22"/>
        </w:rPr>
        <w:t xml:space="preserve"> Task 2</w:t>
      </w:r>
    </w:p>
    <w:p w14:paraId="587F42C7" w14:textId="462EFEC4" w:rsidR="00504645" w:rsidRPr="005E61E2" w:rsidRDefault="00BB3EFF" w:rsidP="005E61E2">
      <w:pPr>
        <w:spacing w:line="360" w:lineRule="auto"/>
        <w:rPr>
          <w:rFonts w:ascii="Arial" w:hAnsi="Arial" w:cs="Arial"/>
          <w:sz w:val="22"/>
          <w:szCs w:val="22"/>
        </w:rPr>
      </w:pPr>
      <w:r w:rsidRPr="005E61E2">
        <w:rPr>
          <w:rFonts w:ascii="Arial" w:hAnsi="Arial" w:cs="Arial"/>
          <w:sz w:val="22"/>
          <w:szCs w:val="22"/>
        </w:rPr>
        <w:t>Name: Akos</w:t>
      </w:r>
      <w:r w:rsidR="00A32741" w:rsidRPr="005E61E2">
        <w:rPr>
          <w:rFonts w:ascii="Arial" w:hAnsi="Arial" w:cs="Arial"/>
          <w:sz w:val="22"/>
          <w:szCs w:val="22"/>
        </w:rPr>
        <w:t>ua Ntow</w:t>
      </w:r>
    </w:p>
    <w:p w14:paraId="5BB61C42" w14:textId="69042146" w:rsidR="00636E76" w:rsidRPr="005E61E2" w:rsidRDefault="00636E76" w:rsidP="005E61E2">
      <w:pPr>
        <w:spacing w:line="360" w:lineRule="auto"/>
        <w:rPr>
          <w:rFonts w:ascii="Arial" w:hAnsi="Arial" w:cs="Arial"/>
          <w:sz w:val="22"/>
          <w:szCs w:val="22"/>
        </w:rPr>
      </w:pPr>
      <w:r w:rsidRPr="005E61E2">
        <w:rPr>
          <w:rFonts w:ascii="Arial" w:hAnsi="Arial" w:cs="Arial"/>
          <w:sz w:val="22"/>
          <w:szCs w:val="22"/>
        </w:rPr>
        <w:t xml:space="preserve">Student Number: </w:t>
      </w:r>
      <w:r w:rsidR="0002314F" w:rsidRPr="005E61E2">
        <w:rPr>
          <w:rFonts w:ascii="Arial" w:hAnsi="Arial" w:cs="Arial"/>
          <w:sz w:val="22"/>
          <w:szCs w:val="22"/>
        </w:rPr>
        <w:t>2535577</w:t>
      </w:r>
    </w:p>
    <w:p w14:paraId="6F4CB389" w14:textId="2935C58E" w:rsidR="008B35CF" w:rsidRPr="005E61E2" w:rsidRDefault="00BD2539" w:rsidP="005E61E2">
      <w:pPr>
        <w:spacing w:line="360" w:lineRule="auto"/>
        <w:rPr>
          <w:rFonts w:ascii="Arial" w:hAnsi="Arial" w:cs="Arial"/>
          <w:sz w:val="22"/>
          <w:szCs w:val="22"/>
        </w:rPr>
      </w:pPr>
      <w:r w:rsidRPr="005E61E2">
        <w:rPr>
          <w:rFonts w:ascii="Arial" w:hAnsi="Arial" w:cs="Arial"/>
          <w:sz w:val="22"/>
          <w:szCs w:val="22"/>
        </w:rPr>
        <w:t>Module Code and Tit</w:t>
      </w:r>
      <w:r w:rsidR="00C87530" w:rsidRPr="005E61E2">
        <w:rPr>
          <w:rFonts w:ascii="Arial" w:hAnsi="Arial" w:cs="Arial"/>
          <w:sz w:val="22"/>
          <w:szCs w:val="22"/>
        </w:rPr>
        <w:t xml:space="preserve">le: </w:t>
      </w:r>
      <w:r w:rsidR="00D906AD" w:rsidRPr="005E61E2">
        <w:rPr>
          <w:rFonts w:ascii="Arial" w:hAnsi="Arial" w:cs="Arial"/>
          <w:sz w:val="22"/>
          <w:szCs w:val="22"/>
        </w:rPr>
        <w:t>It</w:t>
      </w:r>
      <w:r w:rsidR="00D3168D" w:rsidRPr="005E61E2">
        <w:rPr>
          <w:rFonts w:ascii="Arial" w:hAnsi="Arial" w:cs="Arial"/>
          <w:sz w:val="22"/>
          <w:szCs w:val="22"/>
        </w:rPr>
        <w:t>roduction to Health and Social Care</w:t>
      </w:r>
      <w:r w:rsidR="00BC28B0" w:rsidRPr="005E61E2">
        <w:rPr>
          <w:rFonts w:ascii="Arial" w:hAnsi="Arial" w:cs="Arial"/>
          <w:sz w:val="22"/>
          <w:szCs w:val="22"/>
        </w:rPr>
        <w:t xml:space="preserve"> (LCHS</w:t>
      </w:r>
      <w:r w:rsidR="009F0A47" w:rsidRPr="005E61E2">
        <w:rPr>
          <w:rFonts w:ascii="Arial" w:hAnsi="Arial" w:cs="Arial"/>
          <w:sz w:val="22"/>
          <w:szCs w:val="22"/>
        </w:rPr>
        <w:t>4003_BIRM</w:t>
      </w:r>
      <w:r w:rsidR="00693A42" w:rsidRPr="005E61E2">
        <w:rPr>
          <w:rFonts w:ascii="Arial" w:hAnsi="Arial" w:cs="Arial"/>
          <w:sz w:val="22"/>
          <w:szCs w:val="22"/>
        </w:rPr>
        <w:t>)</w:t>
      </w:r>
    </w:p>
    <w:p w14:paraId="0D1DD349" w14:textId="4E5781B2" w:rsidR="00693A42" w:rsidRPr="005E61E2" w:rsidRDefault="00693A42" w:rsidP="005E61E2">
      <w:pPr>
        <w:spacing w:line="360" w:lineRule="auto"/>
        <w:rPr>
          <w:rFonts w:ascii="Arial" w:hAnsi="Arial" w:cs="Arial"/>
          <w:sz w:val="22"/>
          <w:szCs w:val="22"/>
        </w:rPr>
      </w:pPr>
      <w:r w:rsidRPr="005E61E2">
        <w:rPr>
          <w:rFonts w:ascii="Arial" w:hAnsi="Arial" w:cs="Arial"/>
          <w:sz w:val="22"/>
          <w:szCs w:val="22"/>
        </w:rPr>
        <w:t>Lecture</w:t>
      </w:r>
      <w:r w:rsidR="00492994" w:rsidRPr="005E61E2">
        <w:rPr>
          <w:rFonts w:ascii="Arial" w:hAnsi="Arial" w:cs="Arial"/>
          <w:sz w:val="22"/>
          <w:szCs w:val="22"/>
        </w:rPr>
        <w:t xml:space="preserve"> Name: </w:t>
      </w:r>
      <w:r w:rsidR="000E1A5A" w:rsidRPr="005E61E2">
        <w:rPr>
          <w:rFonts w:ascii="Arial" w:hAnsi="Arial" w:cs="Arial"/>
          <w:sz w:val="22"/>
          <w:szCs w:val="22"/>
        </w:rPr>
        <w:t>Zarah A</w:t>
      </w:r>
      <w:r w:rsidR="006D7877" w:rsidRPr="005E61E2">
        <w:rPr>
          <w:rFonts w:ascii="Arial" w:hAnsi="Arial" w:cs="Arial"/>
          <w:sz w:val="22"/>
          <w:szCs w:val="22"/>
        </w:rPr>
        <w:t>hmed</w:t>
      </w:r>
    </w:p>
    <w:p w14:paraId="3453A663" w14:textId="75E593DF" w:rsidR="006D7877" w:rsidRPr="005E61E2" w:rsidRDefault="00A04F59" w:rsidP="005E61E2">
      <w:pPr>
        <w:spacing w:line="360" w:lineRule="auto"/>
        <w:rPr>
          <w:rFonts w:ascii="Arial" w:hAnsi="Arial" w:cs="Arial"/>
          <w:sz w:val="22"/>
          <w:szCs w:val="22"/>
        </w:rPr>
      </w:pPr>
      <w:r w:rsidRPr="005E61E2">
        <w:rPr>
          <w:rFonts w:ascii="Arial" w:hAnsi="Arial" w:cs="Arial"/>
          <w:sz w:val="22"/>
          <w:szCs w:val="22"/>
        </w:rPr>
        <w:t>Assignment Title:</w:t>
      </w:r>
      <w:r w:rsidR="002A2A0C" w:rsidRPr="005E61E2">
        <w:rPr>
          <w:rFonts w:ascii="Arial" w:hAnsi="Arial" w:cs="Arial"/>
          <w:sz w:val="22"/>
          <w:szCs w:val="22"/>
        </w:rPr>
        <w:t xml:space="preserve"> </w:t>
      </w:r>
      <w:r w:rsidR="00C55BC3" w:rsidRPr="005E61E2">
        <w:rPr>
          <w:rFonts w:ascii="Arial" w:hAnsi="Arial" w:cs="Arial"/>
          <w:sz w:val="22"/>
          <w:szCs w:val="22"/>
        </w:rPr>
        <w:t>Comm</w:t>
      </w:r>
      <w:r w:rsidR="005D4638" w:rsidRPr="005E61E2">
        <w:rPr>
          <w:rFonts w:ascii="Arial" w:hAnsi="Arial" w:cs="Arial"/>
          <w:sz w:val="22"/>
          <w:szCs w:val="22"/>
        </w:rPr>
        <w:t>unity Antena</w:t>
      </w:r>
      <w:r w:rsidR="00BC0F91" w:rsidRPr="005E61E2">
        <w:rPr>
          <w:rFonts w:ascii="Arial" w:hAnsi="Arial" w:cs="Arial"/>
          <w:sz w:val="22"/>
          <w:szCs w:val="22"/>
        </w:rPr>
        <w:t>tal Midwi</w:t>
      </w:r>
      <w:r w:rsidR="00795482" w:rsidRPr="005E61E2">
        <w:rPr>
          <w:rFonts w:ascii="Arial" w:hAnsi="Arial" w:cs="Arial"/>
          <w:sz w:val="22"/>
          <w:szCs w:val="22"/>
        </w:rPr>
        <w:t>fery Services</w:t>
      </w:r>
    </w:p>
    <w:p w14:paraId="1AAD8995" w14:textId="77777777" w:rsidR="00BF7DB0" w:rsidRPr="005E61E2" w:rsidRDefault="00BF7DB0" w:rsidP="005E61E2">
      <w:pPr>
        <w:spacing w:line="360" w:lineRule="auto"/>
        <w:rPr>
          <w:rFonts w:ascii="Arial" w:hAnsi="Arial" w:cs="Arial"/>
          <w:sz w:val="22"/>
          <w:szCs w:val="22"/>
        </w:rPr>
      </w:pPr>
    </w:p>
    <w:p w14:paraId="426A76F4" w14:textId="77777777" w:rsidR="006F02FE" w:rsidRPr="005E61E2" w:rsidRDefault="006F02FE" w:rsidP="005E61E2">
      <w:pPr>
        <w:spacing w:line="360" w:lineRule="auto"/>
        <w:rPr>
          <w:rFonts w:ascii="Arial" w:hAnsi="Arial" w:cs="Arial"/>
          <w:sz w:val="22"/>
          <w:szCs w:val="22"/>
        </w:rPr>
      </w:pPr>
      <w:r w:rsidRPr="005E61E2">
        <w:rPr>
          <w:rFonts w:ascii="Arial" w:hAnsi="Arial" w:cs="Arial"/>
          <w:sz w:val="22"/>
          <w:szCs w:val="22"/>
        </w:rPr>
        <w:t xml:space="preserve">introduction </w:t>
      </w:r>
    </w:p>
    <w:p w14:paraId="09624509" w14:textId="77777777" w:rsidR="006F02FE" w:rsidRPr="005E61E2" w:rsidRDefault="006F02FE" w:rsidP="005E61E2">
      <w:pPr>
        <w:spacing w:line="360" w:lineRule="auto"/>
        <w:rPr>
          <w:rFonts w:ascii="Arial" w:hAnsi="Arial" w:cs="Arial"/>
          <w:sz w:val="22"/>
          <w:szCs w:val="22"/>
        </w:rPr>
      </w:pPr>
      <w:r w:rsidRPr="005E61E2">
        <w:rPr>
          <w:rFonts w:ascii="Arial" w:hAnsi="Arial" w:cs="Arial"/>
          <w:sz w:val="22"/>
          <w:szCs w:val="22"/>
        </w:rPr>
        <w:t xml:space="preserve">Community antenatal midwifery services provide pregnancy care outside hospital, usually through general practices, children’s centres, community clinics, women’s homes and maternity hubs. Their central purpose is to promote maternal and fatal wellbeing, identify complications early, provide health education, and coordinate referral to obstetric, medical and social-care services. In England, community midwives undertake booking assessments, routine observations, screening, emotional support, preparation for birth and parenting, safeguarding, and care planning in partnership with women and multidisciplinary professionals (NICE, 2021). National guidance recommends early booking, continuity of carer, effective communication and additional appointments where medical, psychological or social needs exist (NICE, 2021). These services are therefore both clinical and public-health interventions. Their significance extends beyond monitoring pregnancy, they can improve accessibility, strengthen professional relationships and identify domestic abuse, poverty, mental-health difficulties and social isolation. Nevertheless, workforce shortages, inconsistent access and persistent inequalities limit their effectiveness. </w:t>
      </w:r>
    </w:p>
    <w:p w14:paraId="19FF2E4F" w14:textId="77777777" w:rsidR="006F02FE" w:rsidRPr="005E61E2" w:rsidRDefault="006F02FE" w:rsidP="005E61E2">
      <w:pPr>
        <w:spacing w:line="360" w:lineRule="auto"/>
        <w:rPr>
          <w:rFonts w:ascii="Arial" w:hAnsi="Arial" w:cs="Arial"/>
          <w:sz w:val="22"/>
          <w:szCs w:val="22"/>
        </w:rPr>
      </w:pPr>
    </w:p>
    <w:p w14:paraId="6DA03D7A" w14:textId="77777777" w:rsidR="006F02FE" w:rsidRPr="005E61E2" w:rsidRDefault="006F02FE" w:rsidP="005E61E2">
      <w:pPr>
        <w:spacing w:line="360" w:lineRule="auto"/>
        <w:rPr>
          <w:rFonts w:ascii="Arial" w:hAnsi="Arial" w:cs="Arial"/>
          <w:sz w:val="22"/>
          <w:szCs w:val="22"/>
        </w:rPr>
      </w:pPr>
      <w:r w:rsidRPr="005E61E2">
        <w:rPr>
          <w:rFonts w:ascii="Arial" w:hAnsi="Arial" w:cs="Arial"/>
          <w:sz w:val="22"/>
          <w:szCs w:val="22"/>
        </w:rPr>
        <w:t xml:space="preserve">Historical context and current function </w:t>
      </w:r>
    </w:p>
    <w:p w14:paraId="376354AD" w14:textId="77777777" w:rsidR="006F02FE" w:rsidRPr="005E61E2" w:rsidRDefault="006F02FE" w:rsidP="005E61E2">
      <w:pPr>
        <w:spacing w:line="360" w:lineRule="auto"/>
        <w:rPr>
          <w:rFonts w:ascii="Arial" w:hAnsi="Arial" w:cs="Arial"/>
          <w:sz w:val="22"/>
          <w:szCs w:val="22"/>
        </w:rPr>
      </w:pPr>
      <w:r w:rsidRPr="005E61E2">
        <w:rPr>
          <w:rFonts w:ascii="Arial" w:hAnsi="Arial" w:cs="Arial"/>
          <w:sz w:val="22"/>
          <w:szCs w:val="22"/>
        </w:rPr>
        <w:lastRenderedPageBreak/>
        <w:t>Modern community antenatal midwifery developed from longstanding community-based childbirth practices, which were gradually professionalised through public-health reform. The Midwives Act 1902 legally regulated midwifery in England and Wales by requiring training, examination and registration. This responded to concerns about maternal mortality, unsafe practice and the need to extend maternity provision to poorer communities (Dale and Fisher, 2009). During the 1930s, the National Maternity Service promoted salaried district midwives who provided antenatal and postnatal care, home birth and general-practitioner support. The 1936 Midwives Act and wider interwar welfare policies therefore linked midwifery with national public health and maternal protection (Benoit, 2005).</w:t>
      </w:r>
    </w:p>
    <w:p w14:paraId="78B4454A" w14:textId="77777777" w:rsidR="006F02FE" w:rsidRPr="005E61E2" w:rsidRDefault="006F02FE" w:rsidP="005E61E2">
      <w:pPr>
        <w:spacing w:line="360" w:lineRule="auto"/>
        <w:rPr>
          <w:rFonts w:ascii="Arial" w:hAnsi="Arial" w:cs="Arial"/>
          <w:sz w:val="22"/>
          <w:szCs w:val="22"/>
        </w:rPr>
      </w:pPr>
    </w:p>
    <w:p w14:paraId="36D31CEC" w14:textId="77777777" w:rsidR="006F02FE" w:rsidRPr="005E61E2" w:rsidRDefault="006F02FE" w:rsidP="005E61E2">
      <w:pPr>
        <w:spacing w:line="360" w:lineRule="auto"/>
        <w:rPr>
          <w:rFonts w:ascii="Arial" w:hAnsi="Arial" w:cs="Arial"/>
          <w:sz w:val="22"/>
          <w:szCs w:val="22"/>
        </w:rPr>
      </w:pPr>
      <w:r w:rsidRPr="005E61E2">
        <w:rPr>
          <w:rFonts w:ascii="Arial" w:hAnsi="Arial" w:cs="Arial"/>
          <w:sz w:val="22"/>
          <w:szCs w:val="22"/>
        </w:rPr>
        <w:t>The creation of the NHS in 1948 brought district midwifery into a tripartite system involving local authorities, general practitioners and hospitals. However, increasing medicalisation, technological development and public confidence in hospital birth shifted maternity care towards hospitals. By the early 1970s, almost all births occurred in hospital. The 1974 NHS reorganisation transferred district midwives from local authorities to hospital management, after which community midwifery increasingly became centred on antenatal clinics and postnatal visits rather than autonomous home-based care (Staras, 2022).</w:t>
      </w:r>
    </w:p>
    <w:p w14:paraId="471E7D15" w14:textId="77777777" w:rsidR="006D437D" w:rsidRPr="005E61E2" w:rsidRDefault="006D437D" w:rsidP="005E61E2">
      <w:pPr>
        <w:spacing w:line="360" w:lineRule="auto"/>
        <w:rPr>
          <w:rFonts w:ascii="Arial" w:hAnsi="Arial" w:cs="Arial"/>
          <w:sz w:val="22"/>
          <w:szCs w:val="22"/>
        </w:rPr>
      </w:pPr>
    </w:p>
    <w:p w14:paraId="6DAB622D" w14:textId="433E465F" w:rsidR="006F02FE" w:rsidRPr="005E61E2" w:rsidRDefault="006F02FE" w:rsidP="005E61E2">
      <w:pPr>
        <w:spacing w:line="360" w:lineRule="auto"/>
        <w:rPr>
          <w:rFonts w:ascii="Arial" w:hAnsi="Arial" w:cs="Arial"/>
          <w:sz w:val="22"/>
          <w:szCs w:val="22"/>
        </w:rPr>
      </w:pPr>
      <w:r w:rsidRPr="005E61E2">
        <w:rPr>
          <w:rFonts w:ascii="Arial" w:hAnsi="Arial" w:cs="Arial"/>
          <w:sz w:val="22"/>
          <w:szCs w:val="22"/>
        </w:rPr>
        <w:t>Today, community midwives normally provide a booking appointment, assess medical and social circumstances, arrange screening and establish an individualised care plan. They monitor blood pressure, urine, fatal growth and wellbeing; discuss nutrition, smoking, immunisation, mental health, infant feeding and birth choices; and refer women to obstetricians or specialist services when required. NICE recommends ten routine appointments for first pregnancies and seven for subsequent pregnancies, with longer or additional appointments according to need (NICE, 2021). NHS England also promotes midwifery continuity of carer, in which a woman receives care from a named midwife or small team across pregnancy, birth and the postnatal period (NHS England, 2021).</w:t>
      </w:r>
    </w:p>
    <w:p w14:paraId="62E25999" w14:textId="77777777" w:rsidR="006F02FE" w:rsidRPr="005E61E2" w:rsidRDefault="006F02FE" w:rsidP="005E61E2">
      <w:pPr>
        <w:spacing w:line="360" w:lineRule="auto"/>
        <w:rPr>
          <w:rFonts w:ascii="Arial" w:hAnsi="Arial" w:cs="Arial"/>
          <w:sz w:val="22"/>
          <w:szCs w:val="22"/>
        </w:rPr>
      </w:pPr>
    </w:p>
    <w:p w14:paraId="20942929" w14:textId="77777777" w:rsidR="006F02FE" w:rsidRPr="005E61E2" w:rsidRDefault="006F02FE" w:rsidP="005E61E2">
      <w:pPr>
        <w:spacing w:line="360" w:lineRule="auto"/>
        <w:rPr>
          <w:rFonts w:ascii="Arial" w:hAnsi="Arial" w:cs="Arial"/>
          <w:sz w:val="22"/>
          <w:szCs w:val="22"/>
        </w:rPr>
      </w:pPr>
      <w:r w:rsidRPr="005E61E2">
        <w:rPr>
          <w:rFonts w:ascii="Arial" w:hAnsi="Arial" w:cs="Arial"/>
          <w:sz w:val="22"/>
          <w:szCs w:val="22"/>
        </w:rPr>
        <w:t xml:space="preserve">Critical evaluation and significance for service users </w:t>
      </w:r>
    </w:p>
    <w:p w14:paraId="6EFBD6EB" w14:textId="77777777" w:rsidR="006F02FE" w:rsidRPr="005E61E2" w:rsidRDefault="006F02FE" w:rsidP="005E61E2">
      <w:pPr>
        <w:spacing w:line="360" w:lineRule="auto"/>
        <w:rPr>
          <w:rFonts w:ascii="Arial" w:hAnsi="Arial" w:cs="Arial"/>
          <w:sz w:val="22"/>
          <w:szCs w:val="22"/>
        </w:rPr>
      </w:pPr>
      <w:r w:rsidRPr="005E61E2">
        <w:rPr>
          <w:rFonts w:ascii="Arial" w:hAnsi="Arial" w:cs="Arial"/>
          <w:sz w:val="22"/>
          <w:szCs w:val="22"/>
        </w:rPr>
        <w:t xml:space="preserve">A major strength of community antenatal midwifery is its accessibility. Care delivered near women’s homes can reduce travel, support earlier engagement and make services more acceptable to people who experience poverty, disability, insecure housing or limited transport. Midwives can develop trusting relationships, enabling person-centred education and shared decision-making. Continuity is particularly valuable because women report </w:t>
      </w:r>
      <w:r w:rsidRPr="005E61E2">
        <w:rPr>
          <w:rFonts w:ascii="Arial" w:hAnsi="Arial" w:cs="Arial"/>
          <w:sz w:val="22"/>
          <w:szCs w:val="22"/>
        </w:rPr>
        <w:lastRenderedPageBreak/>
        <w:t>frustration when repeatedly explaining their circumstances to different professionals; recent NHS evidence shows that only a minority experienced consistent antenatal midwife contact (NHS England, 2025).</w:t>
      </w:r>
    </w:p>
    <w:p w14:paraId="4E70EB15" w14:textId="77777777" w:rsidR="006F02FE" w:rsidRPr="005E61E2" w:rsidRDefault="006F02FE" w:rsidP="005E61E2">
      <w:pPr>
        <w:spacing w:line="360" w:lineRule="auto"/>
        <w:rPr>
          <w:rFonts w:ascii="Arial" w:hAnsi="Arial" w:cs="Arial"/>
          <w:sz w:val="22"/>
          <w:szCs w:val="22"/>
        </w:rPr>
      </w:pPr>
    </w:p>
    <w:p w14:paraId="5CF76C41" w14:textId="77777777" w:rsidR="006F02FE" w:rsidRPr="005E61E2" w:rsidRDefault="006F02FE" w:rsidP="005E61E2">
      <w:pPr>
        <w:spacing w:line="360" w:lineRule="auto"/>
        <w:rPr>
          <w:rFonts w:ascii="Arial" w:hAnsi="Arial" w:cs="Arial"/>
          <w:sz w:val="22"/>
          <w:szCs w:val="22"/>
        </w:rPr>
      </w:pPr>
      <w:r w:rsidRPr="005E61E2">
        <w:rPr>
          <w:rFonts w:ascii="Arial" w:hAnsi="Arial" w:cs="Arial"/>
          <w:sz w:val="22"/>
          <w:szCs w:val="22"/>
        </w:rPr>
        <w:t>Community midwives provide an important preventive function. Routine contact creates opportunities to identify hypertension, diabetes, mental-health difficulties, substance use, domestic abuse and safeguarding risks. Private conversations and professional interpreting services can support disclosure and protect autonomy. SCIE emphasises that practitioners should recognise abuse, speak with people privately, respond to disclosures and make appropriate referrals (SCIE, 2020). Community care can therefore address social determinants rather than treating pregnancy solely as a biomedical process.</w:t>
      </w:r>
    </w:p>
    <w:p w14:paraId="1B00DB79" w14:textId="77777777" w:rsidR="006F02FE" w:rsidRPr="005E61E2" w:rsidRDefault="006F02FE" w:rsidP="005E61E2">
      <w:pPr>
        <w:spacing w:line="360" w:lineRule="auto"/>
        <w:rPr>
          <w:rFonts w:ascii="Arial" w:hAnsi="Arial" w:cs="Arial"/>
          <w:sz w:val="22"/>
          <w:szCs w:val="22"/>
        </w:rPr>
      </w:pPr>
    </w:p>
    <w:p w14:paraId="0AF06CFA" w14:textId="21EF6094" w:rsidR="006F02FE" w:rsidRPr="005E61E2" w:rsidRDefault="006F02FE" w:rsidP="005E61E2">
      <w:pPr>
        <w:spacing w:line="360" w:lineRule="auto"/>
        <w:rPr>
          <w:rFonts w:ascii="Arial" w:hAnsi="Arial" w:cs="Arial"/>
          <w:sz w:val="22"/>
          <w:szCs w:val="22"/>
        </w:rPr>
      </w:pPr>
      <w:r w:rsidRPr="005E61E2">
        <w:rPr>
          <w:rFonts w:ascii="Arial" w:hAnsi="Arial" w:cs="Arial"/>
          <w:sz w:val="22"/>
          <w:szCs w:val="22"/>
        </w:rPr>
        <w:t xml:space="preserve">However, these benefits are not distributed equally. Booking by ten weeks remains inconsistent in 2024/25, rates varied substantially between providers, and Black women had lower early-booking rates than White women (NICE, 2025). Persistent racial disparities in maternal mortality demonstrate that access alone does not guarantee culturally safe or equitable care. Furthermore, workforce shortages and service pressures have caused national guidance to pause or modify continuity programmes, weakening the model’s intended relational benefits (NHS England, 2022). Community services may also become fragmented when hospitals, GPs, health visitors and social care use incompatible systems or communicate poorly. Finally, midwifery-led care is not appropriate for every pregnancy </w:t>
      </w:r>
      <w:r w:rsidR="00CB1892" w:rsidRPr="005E61E2">
        <w:rPr>
          <w:rFonts w:ascii="Arial" w:hAnsi="Arial" w:cs="Arial"/>
          <w:sz w:val="22"/>
          <w:szCs w:val="22"/>
        </w:rPr>
        <w:t>woman</w:t>
      </w:r>
      <w:r w:rsidRPr="005E61E2">
        <w:rPr>
          <w:rFonts w:ascii="Arial" w:hAnsi="Arial" w:cs="Arial"/>
          <w:sz w:val="22"/>
          <w:szCs w:val="22"/>
        </w:rPr>
        <w:t xml:space="preserve"> with complex medical or obstetric needs require rapid specialist referral. Overall, community antenatal midwifery is strongest when adequately staffed, locally accessible, culturally responsive and integrated with specialist and social-care services.</w:t>
      </w:r>
    </w:p>
    <w:p w14:paraId="44917941" w14:textId="77777777" w:rsidR="006F02FE" w:rsidRPr="005E61E2" w:rsidRDefault="006F02FE" w:rsidP="005E61E2">
      <w:pPr>
        <w:spacing w:line="360" w:lineRule="auto"/>
        <w:rPr>
          <w:rFonts w:ascii="Arial" w:hAnsi="Arial" w:cs="Arial"/>
          <w:sz w:val="22"/>
          <w:szCs w:val="22"/>
        </w:rPr>
      </w:pPr>
    </w:p>
    <w:p w14:paraId="1BE58290" w14:textId="77777777" w:rsidR="006F02FE" w:rsidRPr="005E61E2" w:rsidRDefault="006F02FE" w:rsidP="005E61E2">
      <w:pPr>
        <w:spacing w:line="360" w:lineRule="auto"/>
        <w:rPr>
          <w:rFonts w:ascii="Arial" w:hAnsi="Arial" w:cs="Arial"/>
          <w:sz w:val="22"/>
          <w:szCs w:val="22"/>
        </w:rPr>
      </w:pPr>
      <w:r w:rsidRPr="005E61E2">
        <w:rPr>
          <w:rFonts w:ascii="Arial" w:hAnsi="Arial" w:cs="Arial"/>
          <w:sz w:val="22"/>
          <w:szCs w:val="22"/>
        </w:rPr>
        <w:t xml:space="preserve">Conclusion </w:t>
      </w:r>
    </w:p>
    <w:p w14:paraId="4ECEA0E2" w14:textId="77777777" w:rsidR="006F02FE" w:rsidRPr="005E61E2" w:rsidRDefault="006F02FE" w:rsidP="005E61E2">
      <w:pPr>
        <w:spacing w:line="360" w:lineRule="auto"/>
        <w:rPr>
          <w:rFonts w:ascii="Arial" w:hAnsi="Arial" w:cs="Arial"/>
          <w:sz w:val="22"/>
          <w:szCs w:val="22"/>
        </w:rPr>
      </w:pPr>
      <w:r w:rsidRPr="005E61E2">
        <w:rPr>
          <w:rFonts w:ascii="Arial" w:hAnsi="Arial" w:cs="Arial"/>
          <w:sz w:val="22"/>
          <w:szCs w:val="22"/>
        </w:rPr>
        <w:t xml:space="preserve">Community antenatal midwifery services evolved from regulated district midwifery and public-health reform into an essential NHS component. Their contemporary role combines clinical surveillance, health promotion, safeguarding, education, emotional support and multidisciplinary coordination. They are significant because they bring pregnancy care closer to communities and can promote trust, early intervention and informed choice. Nevertheless, historical hospital centralisation, workforce pressures, fragmented communication and racial inequalities continue to restrict their potential. The service should therefore prioritise sustained staffing, continuity, culturally safe practice, professional interpreting, robust </w:t>
      </w:r>
      <w:r w:rsidRPr="005E61E2">
        <w:rPr>
          <w:rFonts w:ascii="Arial" w:hAnsi="Arial" w:cs="Arial"/>
          <w:sz w:val="22"/>
          <w:szCs w:val="22"/>
        </w:rPr>
        <w:lastRenderedPageBreak/>
        <w:t xml:space="preserve">information-sharing and meaningful service-user participation. Community antenatal midwifery is most effective when relational care and clinical safety are treated as complementary rather than competing objectives.       </w:t>
      </w:r>
    </w:p>
    <w:p w14:paraId="67FEDE62" w14:textId="77777777" w:rsidR="006F02FE" w:rsidRPr="005E61E2" w:rsidRDefault="006F02FE" w:rsidP="005E61E2">
      <w:pPr>
        <w:spacing w:line="360" w:lineRule="auto"/>
        <w:rPr>
          <w:rFonts w:ascii="Arial" w:hAnsi="Arial" w:cs="Arial"/>
          <w:sz w:val="22"/>
          <w:szCs w:val="22"/>
        </w:rPr>
      </w:pPr>
    </w:p>
    <w:p w14:paraId="12588778" w14:textId="25E3CEF7" w:rsidR="00291251" w:rsidRPr="005E61E2" w:rsidRDefault="00291251" w:rsidP="005E61E2">
      <w:pPr>
        <w:spacing w:line="360" w:lineRule="auto"/>
        <w:rPr>
          <w:rFonts w:ascii="Arial" w:hAnsi="Arial" w:cs="Arial"/>
          <w:sz w:val="22"/>
          <w:szCs w:val="22"/>
        </w:rPr>
      </w:pPr>
    </w:p>
    <w:p w14:paraId="7D28B65A" w14:textId="77777777" w:rsidR="00771B3A" w:rsidRPr="005E61E2" w:rsidRDefault="00771B3A" w:rsidP="005E61E2">
      <w:pPr>
        <w:spacing w:line="360" w:lineRule="auto"/>
        <w:rPr>
          <w:rFonts w:ascii="Arial" w:hAnsi="Arial" w:cs="Arial"/>
          <w:sz w:val="22"/>
          <w:szCs w:val="22"/>
        </w:rPr>
      </w:pPr>
    </w:p>
    <w:p w14:paraId="011DA933" w14:textId="77777777" w:rsidR="00771B3A" w:rsidRPr="005E61E2" w:rsidRDefault="00771B3A" w:rsidP="005E61E2">
      <w:pPr>
        <w:spacing w:line="360" w:lineRule="auto"/>
        <w:rPr>
          <w:rFonts w:ascii="Arial" w:hAnsi="Arial" w:cs="Arial"/>
          <w:sz w:val="22"/>
          <w:szCs w:val="22"/>
        </w:rPr>
      </w:pPr>
    </w:p>
    <w:p w14:paraId="5450385F" w14:textId="77777777" w:rsidR="00771B3A" w:rsidRPr="005E61E2" w:rsidRDefault="00771B3A" w:rsidP="005E61E2">
      <w:pPr>
        <w:spacing w:line="360" w:lineRule="auto"/>
        <w:rPr>
          <w:rFonts w:ascii="Arial" w:hAnsi="Arial" w:cs="Arial"/>
          <w:sz w:val="22"/>
          <w:szCs w:val="22"/>
        </w:rPr>
      </w:pPr>
    </w:p>
    <w:p w14:paraId="4C656EDB" w14:textId="69F0C205" w:rsidR="00A82072" w:rsidRPr="005E61E2" w:rsidRDefault="00A82072" w:rsidP="005E61E2">
      <w:pPr>
        <w:spacing w:line="360" w:lineRule="auto"/>
        <w:rPr>
          <w:rFonts w:ascii="Arial" w:hAnsi="Arial" w:cs="Arial"/>
          <w:sz w:val="22"/>
          <w:szCs w:val="22"/>
        </w:rPr>
      </w:pPr>
      <w:r w:rsidRPr="005E61E2">
        <w:rPr>
          <w:rFonts w:ascii="Arial" w:hAnsi="Arial" w:cs="Arial"/>
          <w:sz w:val="22"/>
          <w:szCs w:val="22"/>
        </w:rPr>
        <w:t>References</w:t>
      </w:r>
    </w:p>
    <w:p w14:paraId="62D6E699" w14:textId="0EA6BCFA" w:rsidR="004C6D3B" w:rsidRPr="005E61E2" w:rsidRDefault="003E58EB" w:rsidP="005E61E2">
      <w:pPr>
        <w:spacing w:line="360" w:lineRule="auto"/>
        <w:rPr>
          <w:rFonts w:ascii="Arial" w:hAnsi="Arial" w:cs="Arial"/>
          <w:sz w:val="22"/>
          <w:szCs w:val="22"/>
        </w:rPr>
      </w:pPr>
      <w:r w:rsidRPr="005E61E2">
        <w:rPr>
          <w:rFonts w:ascii="Arial" w:hAnsi="Arial" w:cs="Arial"/>
          <w:sz w:val="22"/>
          <w:szCs w:val="22"/>
        </w:rPr>
        <w:t>Dale, P. and Fisher, K. (2009) ‘Implementing the 1902 Midwives Act</w:t>
      </w:r>
      <w:r w:rsidR="002D5A89" w:rsidRPr="005E61E2">
        <w:rPr>
          <w:rFonts w:ascii="Arial" w:hAnsi="Arial" w:cs="Arial"/>
          <w:sz w:val="22"/>
          <w:szCs w:val="22"/>
        </w:rPr>
        <w:t>,</w:t>
      </w:r>
      <w:r w:rsidRPr="005E61E2">
        <w:rPr>
          <w:rFonts w:ascii="Arial" w:hAnsi="Arial" w:cs="Arial"/>
          <w:sz w:val="22"/>
          <w:szCs w:val="22"/>
        </w:rPr>
        <w:t xml:space="preserve"> </w:t>
      </w:r>
      <w:r w:rsidR="00EF32F7" w:rsidRPr="005E61E2">
        <w:rPr>
          <w:rFonts w:ascii="Arial" w:hAnsi="Arial" w:cs="Arial"/>
          <w:sz w:val="22"/>
          <w:szCs w:val="22"/>
        </w:rPr>
        <w:t>assessing</w:t>
      </w:r>
      <w:r w:rsidRPr="005E61E2">
        <w:rPr>
          <w:rFonts w:ascii="Arial" w:hAnsi="Arial" w:cs="Arial"/>
          <w:sz w:val="22"/>
          <w:szCs w:val="22"/>
        </w:rPr>
        <w:t xml:space="preserve"> problems, developing services and creating a new role for a variety of female practitioners’ Women’s History Review, 18(3), pp. 427–452.</w:t>
      </w:r>
    </w:p>
    <w:p w14:paraId="14C23F59" w14:textId="1FC2DB07" w:rsidR="00ED5CE3" w:rsidRPr="005E61E2" w:rsidRDefault="00FD3E30" w:rsidP="005E61E2">
      <w:pPr>
        <w:spacing w:line="360" w:lineRule="auto"/>
        <w:rPr>
          <w:rFonts w:ascii="Arial" w:hAnsi="Arial" w:cs="Arial"/>
          <w:sz w:val="22"/>
          <w:szCs w:val="22"/>
        </w:rPr>
      </w:pPr>
      <w:r w:rsidRPr="005E61E2">
        <w:rPr>
          <w:rFonts w:ascii="Arial" w:hAnsi="Arial" w:cs="Arial"/>
          <w:sz w:val="22"/>
          <w:szCs w:val="22"/>
        </w:rPr>
        <w:t xml:space="preserve">National Institute for Health and Care Excellence (NICE) (2021) Antenatal care. NICE guideline NG201. </w:t>
      </w:r>
      <w:r w:rsidR="00666C9B" w:rsidRPr="005E61E2">
        <w:rPr>
          <w:rFonts w:ascii="Arial" w:hAnsi="Arial" w:cs="Arial"/>
          <w:sz w:val="22"/>
          <w:szCs w:val="22"/>
        </w:rPr>
        <w:t>Av</w:t>
      </w:r>
      <w:r w:rsidR="00C314B6" w:rsidRPr="005E61E2">
        <w:rPr>
          <w:rFonts w:ascii="Arial" w:hAnsi="Arial" w:cs="Arial"/>
          <w:sz w:val="22"/>
          <w:szCs w:val="22"/>
        </w:rPr>
        <w:t>ailable at</w:t>
      </w:r>
      <w:r w:rsidR="00273228" w:rsidRPr="005E61E2">
        <w:rPr>
          <w:rFonts w:ascii="Arial" w:hAnsi="Arial" w:cs="Arial"/>
          <w:sz w:val="22"/>
          <w:szCs w:val="22"/>
        </w:rPr>
        <w:t>:</w:t>
      </w:r>
      <w:r w:rsidR="00BD68D1" w:rsidRPr="005E61E2">
        <w:rPr>
          <w:rFonts w:ascii="Arial" w:hAnsi="Arial" w:cs="Arial"/>
          <w:sz w:val="22"/>
          <w:szCs w:val="22"/>
        </w:rPr>
        <w:t xml:space="preserve"> </w:t>
      </w:r>
      <w:hyperlink r:id="rId7" w:history="1">
        <w:r w:rsidR="00086FEA" w:rsidRPr="005E61E2">
          <w:rPr>
            <w:rStyle w:val="Hyperlink"/>
            <w:rFonts w:ascii="Arial" w:hAnsi="Arial" w:cs="Arial"/>
            <w:sz w:val="22"/>
            <w:szCs w:val="22"/>
          </w:rPr>
          <w:t>https://www.nice.org.uk/guidance/ng201</w:t>
        </w:r>
      </w:hyperlink>
      <w:r w:rsidR="008D254A" w:rsidRPr="005E61E2">
        <w:rPr>
          <w:rFonts w:ascii="Arial" w:hAnsi="Arial" w:cs="Arial"/>
          <w:sz w:val="22"/>
          <w:szCs w:val="22"/>
        </w:rPr>
        <w:t xml:space="preserve"> </w:t>
      </w:r>
      <w:r w:rsidR="00BA050F" w:rsidRPr="005E61E2">
        <w:rPr>
          <w:rFonts w:ascii="Arial" w:hAnsi="Arial" w:cs="Arial"/>
          <w:sz w:val="22"/>
          <w:szCs w:val="22"/>
        </w:rPr>
        <w:t>(</w:t>
      </w:r>
      <w:r w:rsidR="00385612" w:rsidRPr="005E61E2">
        <w:rPr>
          <w:rFonts w:ascii="Arial" w:hAnsi="Arial" w:cs="Arial"/>
          <w:sz w:val="22"/>
          <w:szCs w:val="22"/>
        </w:rPr>
        <w:t>Accessed</w:t>
      </w:r>
      <w:r w:rsidR="00BA050F" w:rsidRPr="005E61E2">
        <w:rPr>
          <w:rFonts w:ascii="Arial" w:hAnsi="Arial" w:cs="Arial"/>
          <w:sz w:val="22"/>
          <w:szCs w:val="22"/>
        </w:rPr>
        <w:t>:</w:t>
      </w:r>
      <w:r w:rsidR="000E34A8" w:rsidRPr="005E61E2">
        <w:rPr>
          <w:rFonts w:ascii="Arial" w:hAnsi="Arial" w:cs="Arial"/>
          <w:sz w:val="22"/>
          <w:szCs w:val="22"/>
        </w:rPr>
        <w:t>10 October 2026).</w:t>
      </w:r>
    </w:p>
    <w:p w14:paraId="29D470C8" w14:textId="345E062E" w:rsidR="006C24E3" w:rsidRPr="005E61E2" w:rsidRDefault="00D12181" w:rsidP="005E61E2">
      <w:pPr>
        <w:spacing w:line="360" w:lineRule="auto"/>
        <w:rPr>
          <w:rFonts w:ascii="Arial" w:hAnsi="Arial" w:cs="Arial"/>
          <w:sz w:val="22"/>
          <w:szCs w:val="22"/>
        </w:rPr>
      </w:pPr>
      <w:r w:rsidRPr="005E61E2">
        <w:rPr>
          <w:rFonts w:ascii="Arial" w:hAnsi="Arial" w:cs="Arial"/>
          <w:sz w:val="22"/>
          <w:szCs w:val="22"/>
        </w:rPr>
        <w:t xml:space="preserve">National Institute for Health and Care Excellence (NICE) (2025) Attendance at, and content of, routine antenatal appointments. Available at: </w:t>
      </w:r>
      <w:hyperlink r:id="rId8" w:history="1">
        <w:r w:rsidR="00E255C8" w:rsidRPr="005E61E2">
          <w:rPr>
            <w:rStyle w:val="Hyperlink"/>
            <w:rFonts w:ascii="Arial" w:hAnsi="Arial" w:cs="Arial"/>
            <w:sz w:val="22"/>
            <w:szCs w:val="22"/>
          </w:rPr>
          <w:t>https://www.nice.org.uk/guidance/ng201/resources/implementation-support-toolkit-15242806765/chapter/Attendance-at-and-content-of-routine-antenatal-appointments</w:t>
        </w:r>
      </w:hyperlink>
      <w:r w:rsidR="000622E4" w:rsidRPr="005E61E2">
        <w:rPr>
          <w:rFonts w:ascii="Arial" w:hAnsi="Arial" w:cs="Arial"/>
          <w:sz w:val="22"/>
          <w:szCs w:val="22"/>
        </w:rPr>
        <w:t xml:space="preserve"> (</w:t>
      </w:r>
      <w:r w:rsidR="006B1AEA" w:rsidRPr="005E61E2">
        <w:rPr>
          <w:rFonts w:ascii="Arial" w:hAnsi="Arial" w:cs="Arial"/>
          <w:sz w:val="22"/>
          <w:szCs w:val="22"/>
        </w:rPr>
        <w:t>Accessed:10 Octobe</w:t>
      </w:r>
      <w:r w:rsidR="00841944" w:rsidRPr="005E61E2">
        <w:rPr>
          <w:rFonts w:ascii="Arial" w:hAnsi="Arial" w:cs="Arial"/>
          <w:sz w:val="22"/>
          <w:szCs w:val="22"/>
        </w:rPr>
        <w:t>r 2026).</w:t>
      </w:r>
    </w:p>
    <w:p w14:paraId="25CC05AA" w14:textId="63E740F9" w:rsidR="00E255C8" w:rsidRPr="005E61E2" w:rsidRDefault="00791A4D" w:rsidP="005E61E2">
      <w:pPr>
        <w:spacing w:line="360" w:lineRule="auto"/>
        <w:rPr>
          <w:rFonts w:ascii="Arial" w:hAnsi="Arial" w:cs="Arial"/>
          <w:sz w:val="22"/>
          <w:szCs w:val="22"/>
        </w:rPr>
      </w:pPr>
      <w:r w:rsidRPr="005E61E2">
        <w:rPr>
          <w:rFonts w:ascii="Arial" w:hAnsi="Arial" w:cs="Arial"/>
          <w:sz w:val="22"/>
          <w:szCs w:val="22"/>
        </w:rPr>
        <w:t xml:space="preserve">Staras, T. (2022) ‘A brief history of district midwifery’ AIMS Journal. Available at: </w:t>
      </w:r>
      <w:hyperlink r:id="rId9" w:history="1">
        <w:r w:rsidR="005A491C" w:rsidRPr="005E61E2">
          <w:rPr>
            <w:rStyle w:val="Hyperlink"/>
            <w:rFonts w:ascii="Arial" w:hAnsi="Arial" w:cs="Arial"/>
            <w:sz w:val="22"/>
            <w:szCs w:val="22"/>
          </w:rPr>
          <w:t>https://www.aims.org.uk/journal/item/history-district-midwifery</w:t>
        </w:r>
      </w:hyperlink>
      <w:r w:rsidR="00841944" w:rsidRPr="005E61E2">
        <w:rPr>
          <w:rFonts w:ascii="Arial" w:hAnsi="Arial" w:cs="Arial"/>
          <w:sz w:val="22"/>
          <w:szCs w:val="22"/>
        </w:rPr>
        <w:t xml:space="preserve"> (Access</w:t>
      </w:r>
      <w:r w:rsidR="009F21CC" w:rsidRPr="005E61E2">
        <w:rPr>
          <w:rFonts w:ascii="Arial" w:hAnsi="Arial" w:cs="Arial"/>
          <w:sz w:val="22"/>
          <w:szCs w:val="22"/>
        </w:rPr>
        <w:t>ed:10 October 2026).</w:t>
      </w:r>
    </w:p>
    <w:p w14:paraId="00551B0F" w14:textId="77777777" w:rsidR="005A491C" w:rsidRPr="005E61E2" w:rsidRDefault="005A491C" w:rsidP="005E61E2">
      <w:pPr>
        <w:spacing w:line="360" w:lineRule="auto"/>
        <w:rPr>
          <w:rFonts w:ascii="Arial" w:hAnsi="Arial" w:cs="Arial"/>
          <w:sz w:val="22"/>
          <w:szCs w:val="22"/>
        </w:rPr>
      </w:pPr>
    </w:p>
    <w:p w14:paraId="33FFC47A" w14:textId="77777777" w:rsidR="00823C60" w:rsidRPr="005E61E2" w:rsidRDefault="00823C60" w:rsidP="005E61E2">
      <w:pPr>
        <w:spacing w:line="360" w:lineRule="auto"/>
        <w:rPr>
          <w:rFonts w:ascii="Arial" w:hAnsi="Arial" w:cs="Arial"/>
          <w:sz w:val="22"/>
          <w:szCs w:val="22"/>
        </w:rPr>
      </w:pPr>
    </w:p>
    <w:p w14:paraId="6A5AA0F2" w14:textId="77777777" w:rsidR="00A82072" w:rsidRPr="005E61E2" w:rsidRDefault="00A82072" w:rsidP="005E61E2">
      <w:pPr>
        <w:spacing w:line="360" w:lineRule="auto"/>
        <w:rPr>
          <w:rFonts w:ascii="Arial" w:hAnsi="Arial" w:cs="Arial"/>
          <w:sz w:val="22"/>
          <w:szCs w:val="22"/>
        </w:rPr>
      </w:pPr>
    </w:p>
    <w:p w14:paraId="48B8B712" w14:textId="19D4F987" w:rsidR="00A82072" w:rsidRPr="005E61E2" w:rsidRDefault="00A82072" w:rsidP="005E61E2">
      <w:pPr>
        <w:spacing w:line="360" w:lineRule="auto"/>
        <w:rPr>
          <w:rFonts w:ascii="Arial" w:hAnsi="Arial" w:cs="Arial"/>
          <w:sz w:val="22"/>
          <w:szCs w:val="22"/>
        </w:rPr>
      </w:pPr>
    </w:p>
    <w:p w14:paraId="71540A26" w14:textId="77777777" w:rsidR="00A82072" w:rsidRPr="005E61E2" w:rsidRDefault="00A82072" w:rsidP="005E61E2">
      <w:pPr>
        <w:spacing w:line="360" w:lineRule="auto"/>
        <w:rPr>
          <w:rFonts w:ascii="Arial" w:hAnsi="Arial" w:cs="Arial"/>
          <w:sz w:val="22"/>
          <w:szCs w:val="22"/>
        </w:rPr>
      </w:pPr>
    </w:p>
    <w:p w14:paraId="756938A5" w14:textId="77777777" w:rsidR="00BF7DB0" w:rsidRPr="005E61E2" w:rsidRDefault="00BF7DB0" w:rsidP="005E61E2">
      <w:pPr>
        <w:spacing w:line="360" w:lineRule="auto"/>
        <w:rPr>
          <w:rFonts w:ascii="Arial" w:hAnsi="Arial" w:cs="Arial"/>
          <w:sz w:val="22"/>
          <w:szCs w:val="22"/>
        </w:rPr>
      </w:pPr>
    </w:p>
    <w:sectPr w:rsidR="00BF7DB0" w:rsidRPr="005E61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7C"/>
    <w:rsid w:val="00003BB5"/>
    <w:rsid w:val="00021A25"/>
    <w:rsid w:val="00021D26"/>
    <w:rsid w:val="00022A61"/>
    <w:rsid w:val="0002314F"/>
    <w:rsid w:val="00032556"/>
    <w:rsid w:val="0003634E"/>
    <w:rsid w:val="00056E95"/>
    <w:rsid w:val="00056F58"/>
    <w:rsid w:val="000622E4"/>
    <w:rsid w:val="00081D4B"/>
    <w:rsid w:val="00086FEA"/>
    <w:rsid w:val="00093167"/>
    <w:rsid w:val="000A0909"/>
    <w:rsid w:val="000A359F"/>
    <w:rsid w:val="000A463C"/>
    <w:rsid w:val="000C1355"/>
    <w:rsid w:val="000E1A5A"/>
    <w:rsid w:val="000E34A8"/>
    <w:rsid w:val="000E4E88"/>
    <w:rsid w:val="00103448"/>
    <w:rsid w:val="001041AA"/>
    <w:rsid w:val="00123DC0"/>
    <w:rsid w:val="0015663B"/>
    <w:rsid w:val="00162416"/>
    <w:rsid w:val="00166DD1"/>
    <w:rsid w:val="00176901"/>
    <w:rsid w:val="00190107"/>
    <w:rsid w:val="00197A21"/>
    <w:rsid w:val="001A0761"/>
    <w:rsid w:val="001A14F6"/>
    <w:rsid w:val="001A2330"/>
    <w:rsid w:val="001C6050"/>
    <w:rsid w:val="00202F02"/>
    <w:rsid w:val="00232B69"/>
    <w:rsid w:val="00262DB0"/>
    <w:rsid w:val="00273228"/>
    <w:rsid w:val="00276A3B"/>
    <w:rsid w:val="00291251"/>
    <w:rsid w:val="002969E0"/>
    <w:rsid w:val="002A2A0C"/>
    <w:rsid w:val="002A33C1"/>
    <w:rsid w:val="002B566E"/>
    <w:rsid w:val="002C395C"/>
    <w:rsid w:val="002D5A89"/>
    <w:rsid w:val="002E176B"/>
    <w:rsid w:val="00341FEA"/>
    <w:rsid w:val="0035456F"/>
    <w:rsid w:val="00370F27"/>
    <w:rsid w:val="00385612"/>
    <w:rsid w:val="003B70EB"/>
    <w:rsid w:val="003E58EB"/>
    <w:rsid w:val="003F77E2"/>
    <w:rsid w:val="004170FE"/>
    <w:rsid w:val="00426C1B"/>
    <w:rsid w:val="0043574D"/>
    <w:rsid w:val="00445656"/>
    <w:rsid w:val="00451343"/>
    <w:rsid w:val="004742FC"/>
    <w:rsid w:val="00475C38"/>
    <w:rsid w:val="00476051"/>
    <w:rsid w:val="00492994"/>
    <w:rsid w:val="004A28ED"/>
    <w:rsid w:val="004C6D3B"/>
    <w:rsid w:val="004F4EB6"/>
    <w:rsid w:val="00504645"/>
    <w:rsid w:val="00505957"/>
    <w:rsid w:val="00513FB6"/>
    <w:rsid w:val="00524949"/>
    <w:rsid w:val="0053157B"/>
    <w:rsid w:val="0056004B"/>
    <w:rsid w:val="005762D9"/>
    <w:rsid w:val="0059799A"/>
    <w:rsid w:val="00597A90"/>
    <w:rsid w:val="005A491C"/>
    <w:rsid w:val="005C321D"/>
    <w:rsid w:val="005D4638"/>
    <w:rsid w:val="005E61E2"/>
    <w:rsid w:val="00620D16"/>
    <w:rsid w:val="0063281D"/>
    <w:rsid w:val="006352B3"/>
    <w:rsid w:val="00636E76"/>
    <w:rsid w:val="00657F84"/>
    <w:rsid w:val="00666C9B"/>
    <w:rsid w:val="00667F37"/>
    <w:rsid w:val="00673029"/>
    <w:rsid w:val="006870BA"/>
    <w:rsid w:val="00693A42"/>
    <w:rsid w:val="00695CCA"/>
    <w:rsid w:val="006A38D6"/>
    <w:rsid w:val="006A5226"/>
    <w:rsid w:val="006B1680"/>
    <w:rsid w:val="006B1AEA"/>
    <w:rsid w:val="006C238E"/>
    <w:rsid w:val="006C24E3"/>
    <w:rsid w:val="006C548D"/>
    <w:rsid w:val="006D3CBB"/>
    <w:rsid w:val="006D437D"/>
    <w:rsid w:val="006D7877"/>
    <w:rsid w:val="006F02FE"/>
    <w:rsid w:val="00714D7B"/>
    <w:rsid w:val="007363B5"/>
    <w:rsid w:val="00740DCA"/>
    <w:rsid w:val="00771B3A"/>
    <w:rsid w:val="00791253"/>
    <w:rsid w:val="00791A4D"/>
    <w:rsid w:val="00795482"/>
    <w:rsid w:val="007A1BA7"/>
    <w:rsid w:val="007A7D5B"/>
    <w:rsid w:val="007B6C18"/>
    <w:rsid w:val="007E07BB"/>
    <w:rsid w:val="008015D2"/>
    <w:rsid w:val="00815664"/>
    <w:rsid w:val="00823B0B"/>
    <w:rsid w:val="00823C60"/>
    <w:rsid w:val="0082414D"/>
    <w:rsid w:val="00841944"/>
    <w:rsid w:val="0085073E"/>
    <w:rsid w:val="00880B5A"/>
    <w:rsid w:val="008B35CF"/>
    <w:rsid w:val="008D254A"/>
    <w:rsid w:val="0091607C"/>
    <w:rsid w:val="00926847"/>
    <w:rsid w:val="0093638C"/>
    <w:rsid w:val="00943BE5"/>
    <w:rsid w:val="009508CA"/>
    <w:rsid w:val="0096469F"/>
    <w:rsid w:val="00987B41"/>
    <w:rsid w:val="009A6C4D"/>
    <w:rsid w:val="009C55D9"/>
    <w:rsid w:val="009E06AE"/>
    <w:rsid w:val="009E2C03"/>
    <w:rsid w:val="009E39EC"/>
    <w:rsid w:val="009F0A47"/>
    <w:rsid w:val="009F21CC"/>
    <w:rsid w:val="00A04F59"/>
    <w:rsid w:val="00A14636"/>
    <w:rsid w:val="00A15834"/>
    <w:rsid w:val="00A26FB6"/>
    <w:rsid w:val="00A32741"/>
    <w:rsid w:val="00A53030"/>
    <w:rsid w:val="00A5790C"/>
    <w:rsid w:val="00A57E9A"/>
    <w:rsid w:val="00A82072"/>
    <w:rsid w:val="00A97B7B"/>
    <w:rsid w:val="00AA2734"/>
    <w:rsid w:val="00AB05D1"/>
    <w:rsid w:val="00AD7499"/>
    <w:rsid w:val="00AE2841"/>
    <w:rsid w:val="00AF2FD8"/>
    <w:rsid w:val="00B37684"/>
    <w:rsid w:val="00B54CA0"/>
    <w:rsid w:val="00B647BE"/>
    <w:rsid w:val="00B66478"/>
    <w:rsid w:val="00B75380"/>
    <w:rsid w:val="00B84A71"/>
    <w:rsid w:val="00B85B8D"/>
    <w:rsid w:val="00B877C5"/>
    <w:rsid w:val="00B904B2"/>
    <w:rsid w:val="00BA050F"/>
    <w:rsid w:val="00BA6E06"/>
    <w:rsid w:val="00BB3EFF"/>
    <w:rsid w:val="00BB4B5D"/>
    <w:rsid w:val="00BB5721"/>
    <w:rsid w:val="00BC0F91"/>
    <w:rsid w:val="00BC28B0"/>
    <w:rsid w:val="00BC2E55"/>
    <w:rsid w:val="00BC2F5F"/>
    <w:rsid w:val="00BC3D97"/>
    <w:rsid w:val="00BD2539"/>
    <w:rsid w:val="00BD68D1"/>
    <w:rsid w:val="00BE3D6D"/>
    <w:rsid w:val="00BF7DB0"/>
    <w:rsid w:val="00C314B6"/>
    <w:rsid w:val="00C35C64"/>
    <w:rsid w:val="00C50955"/>
    <w:rsid w:val="00C55BC3"/>
    <w:rsid w:val="00C628F4"/>
    <w:rsid w:val="00C62E41"/>
    <w:rsid w:val="00C87530"/>
    <w:rsid w:val="00C918F8"/>
    <w:rsid w:val="00C91FD8"/>
    <w:rsid w:val="00CB1892"/>
    <w:rsid w:val="00CB63D5"/>
    <w:rsid w:val="00CC5D76"/>
    <w:rsid w:val="00CE0F6E"/>
    <w:rsid w:val="00CE6660"/>
    <w:rsid w:val="00CF6721"/>
    <w:rsid w:val="00CF707E"/>
    <w:rsid w:val="00D03118"/>
    <w:rsid w:val="00D1098D"/>
    <w:rsid w:val="00D12181"/>
    <w:rsid w:val="00D157FF"/>
    <w:rsid w:val="00D3168D"/>
    <w:rsid w:val="00D32953"/>
    <w:rsid w:val="00D65960"/>
    <w:rsid w:val="00D80408"/>
    <w:rsid w:val="00D84C15"/>
    <w:rsid w:val="00D906AD"/>
    <w:rsid w:val="00DB52A1"/>
    <w:rsid w:val="00DC0C27"/>
    <w:rsid w:val="00DC39C2"/>
    <w:rsid w:val="00DC3CCC"/>
    <w:rsid w:val="00DF5512"/>
    <w:rsid w:val="00E161A1"/>
    <w:rsid w:val="00E22D61"/>
    <w:rsid w:val="00E24447"/>
    <w:rsid w:val="00E255C8"/>
    <w:rsid w:val="00E44A15"/>
    <w:rsid w:val="00E54977"/>
    <w:rsid w:val="00E607A0"/>
    <w:rsid w:val="00E64C4A"/>
    <w:rsid w:val="00E67086"/>
    <w:rsid w:val="00EB190A"/>
    <w:rsid w:val="00EC7540"/>
    <w:rsid w:val="00ED4940"/>
    <w:rsid w:val="00ED5CE3"/>
    <w:rsid w:val="00EE2E73"/>
    <w:rsid w:val="00EE430E"/>
    <w:rsid w:val="00EE7A8D"/>
    <w:rsid w:val="00EF32F7"/>
    <w:rsid w:val="00EF5D00"/>
    <w:rsid w:val="00EF72C4"/>
    <w:rsid w:val="00F14CFD"/>
    <w:rsid w:val="00F325CA"/>
    <w:rsid w:val="00F40F32"/>
    <w:rsid w:val="00F60809"/>
    <w:rsid w:val="00F62D4A"/>
    <w:rsid w:val="00F97BFD"/>
    <w:rsid w:val="00FC7994"/>
    <w:rsid w:val="00FD23DC"/>
    <w:rsid w:val="00FD3E30"/>
    <w:rsid w:val="00FE26DF"/>
    <w:rsid w:val="00FE792A"/>
    <w:rsid w:val="00FF3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3CD1F"/>
  <w15:chartTrackingRefBased/>
  <w15:docId w15:val="{4A7A1672-ECC9-4F8C-84D3-209E71AB0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60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60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60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60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60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60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60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60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60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0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60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60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60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60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60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60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60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607C"/>
    <w:rPr>
      <w:rFonts w:eastAsiaTheme="majorEastAsia" w:cstheme="majorBidi"/>
      <w:color w:val="272727" w:themeColor="text1" w:themeTint="D8"/>
    </w:rPr>
  </w:style>
  <w:style w:type="paragraph" w:styleId="Title">
    <w:name w:val="Title"/>
    <w:basedOn w:val="Normal"/>
    <w:next w:val="Normal"/>
    <w:link w:val="TitleChar"/>
    <w:uiPriority w:val="10"/>
    <w:qFormat/>
    <w:rsid w:val="009160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60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60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60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607C"/>
    <w:pPr>
      <w:spacing w:before="160"/>
      <w:jc w:val="center"/>
    </w:pPr>
    <w:rPr>
      <w:i/>
      <w:iCs/>
      <w:color w:val="404040" w:themeColor="text1" w:themeTint="BF"/>
    </w:rPr>
  </w:style>
  <w:style w:type="character" w:customStyle="1" w:styleId="QuoteChar">
    <w:name w:val="Quote Char"/>
    <w:basedOn w:val="DefaultParagraphFont"/>
    <w:link w:val="Quote"/>
    <w:uiPriority w:val="29"/>
    <w:rsid w:val="0091607C"/>
    <w:rPr>
      <w:i/>
      <w:iCs/>
      <w:color w:val="404040" w:themeColor="text1" w:themeTint="BF"/>
    </w:rPr>
  </w:style>
  <w:style w:type="paragraph" w:styleId="ListParagraph">
    <w:name w:val="List Paragraph"/>
    <w:basedOn w:val="Normal"/>
    <w:uiPriority w:val="34"/>
    <w:qFormat/>
    <w:rsid w:val="0091607C"/>
    <w:pPr>
      <w:ind w:left="720"/>
      <w:contextualSpacing/>
    </w:pPr>
  </w:style>
  <w:style w:type="character" w:styleId="IntenseEmphasis">
    <w:name w:val="Intense Emphasis"/>
    <w:basedOn w:val="DefaultParagraphFont"/>
    <w:uiPriority w:val="21"/>
    <w:qFormat/>
    <w:rsid w:val="0091607C"/>
    <w:rPr>
      <w:i/>
      <w:iCs/>
      <w:color w:val="0F4761" w:themeColor="accent1" w:themeShade="BF"/>
    </w:rPr>
  </w:style>
  <w:style w:type="paragraph" w:styleId="IntenseQuote">
    <w:name w:val="Intense Quote"/>
    <w:basedOn w:val="Normal"/>
    <w:next w:val="Normal"/>
    <w:link w:val="IntenseQuoteChar"/>
    <w:uiPriority w:val="30"/>
    <w:qFormat/>
    <w:rsid w:val="009160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607C"/>
    <w:rPr>
      <w:i/>
      <w:iCs/>
      <w:color w:val="0F4761" w:themeColor="accent1" w:themeShade="BF"/>
    </w:rPr>
  </w:style>
  <w:style w:type="character" w:styleId="IntenseReference">
    <w:name w:val="Intense Reference"/>
    <w:basedOn w:val="DefaultParagraphFont"/>
    <w:uiPriority w:val="32"/>
    <w:qFormat/>
    <w:rsid w:val="0091607C"/>
    <w:rPr>
      <w:b/>
      <w:bCs/>
      <w:smallCaps/>
      <w:color w:val="0F4761" w:themeColor="accent1" w:themeShade="BF"/>
      <w:spacing w:val="5"/>
    </w:rPr>
  </w:style>
  <w:style w:type="character" w:styleId="Hyperlink">
    <w:name w:val="Hyperlink"/>
    <w:basedOn w:val="DefaultParagraphFont"/>
    <w:uiPriority w:val="99"/>
    <w:unhideWhenUsed/>
    <w:rsid w:val="00D157FF"/>
    <w:rPr>
      <w:color w:val="467886" w:themeColor="hyperlink"/>
      <w:u w:val="single"/>
    </w:rPr>
  </w:style>
  <w:style w:type="character" w:styleId="UnresolvedMention">
    <w:name w:val="Unresolved Mention"/>
    <w:basedOn w:val="DefaultParagraphFont"/>
    <w:uiPriority w:val="99"/>
    <w:semiHidden/>
    <w:unhideWhenUsed/>
    <w:rsid w:val="00D157FF"/>
    <w:rPr>
      <w:color w:val="605E5C"/>
      <w:shd w:val="clear" w:color="auto" w:fill="E1DFDD"/>
    </w:rPr>
  </w:style>
  <w:style w:type="character" w:styleId="FollowedHyperlink">
    <w:name w:val="FollowedHyperlink"/>
    <w:basedOn w:val="DefaultParagraphFont"/>
    <w:uiPriority w:val="99"/>
    <w:semiHidden/>
    <w:unhideWhenUsed/>
    <w:rsid w:val="00D157F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201/resources/implementation-support-toolkit-15242806765/chapter/Attendance-at-and-content-of-routine-antenatal-appointments" TargetMode="External"/><Relationship Id="rId3" Type="http://schemas.openxmlformats.org/officeDocument/2006/relationships/webSettings" Target="webSettings.xml"/><Relationship Id="rId7" Type="http://schemas.openxmlformats.org/officeDocument/2006/relationships/hyperlink" Target="https://www.nice.org.uk/guidance/ng20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oolkit.modem-dementia.org.uk/studies/effectiveness-of-a-recovery%e2%80%90orientated-psychiatric-intervention-package-on-the-wellbeing-of-people-with-early-dementia-a-preliminary-randomised-controlled-trial/" TargetMode="External"/><Relationship Id="rId11" Type="http://schemas.openxmlformats.org/officeDocument/2006/relationships/theme" Target="theme/theme1.xml"/><Relationship Id="rId5" Type="http://schemas.openxmlformats.org/officeDocument/2006/relationships/hyperlink" Target="https://www.wolverhampton.gov.uk/sites/default/files/2025-05/Interim%20Market%20Position%20Statement%20for%20ASC%202025-27%20Final.pdf?utm_source=chatgpt.com" TargetMode="External"/><Relationship Id="rId10" Type="http://schemas.openxmlformats.org/officeDocument/2006/relationships/fontTable" Target="fontTable.xml"/><Relationship Id="rId4" Type="http://schemas.openxmlformats.org/officeDocument/2006/relationships/hyperlink" Target="https://www.legislation.gov.uk/ukpga/2014/23/data.xht?wrap=true" TargetMode="External"/><Relationship Id="rId9" Type="http://schemas.openxmlformats.org/officeDocument/2006/relationships/hyperlink" Target="https://www.aims.org.uk/journal/item/history-district-midwif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2391</Words>
  <Characters>13630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Akosua Ntow</dc:creator>
  <cp:keywords/>
  <dc:description/>
  <cp:lastModifiedBy>Akosua Ntow</cp:lastModifiedBy>
  <cp:revision>2</cp:revision>
  <dcterms:created xsi:type="dcterms:W3CDTF">2026-10-16T19:25:00Z</dcterms:created>
  <dcterms:modified xsi:type="dcterms:W3CDTF">2026-10-16T19:25:00Z</dcterms:modified>
</cp:coreProperties>
</file>