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C8B9E" w14:textId="459261A5" w:rsidR="00E80D26" w:rsidRDefault="00E80D26" w:rsidP="00E80D26">
      <w:pPr>
        <w:pStyle w:val="NormalWeb"/>
        <w:spacing w:before="0" w:beforeAutospacing="0" w:after="0" w:afterAutospacing="0"/>
        <w:ind w:left="-180" w:right="-334"/>
      </w:pPr>
      <w:bookmarkStart w:id="0" w:name="_Hlk3622917"/>
      <w:r>
        <w:rPr>
          <w:noProof/>
        </w:rPr>
        <w:drawing>
          <wp:inline distT="0" distB="0" distL="0" distR="0" wp14:anchorId="0C464408" wp14:editId="729B2975">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C752CC0" w14:textId="77777777" w:rsidR="00E80D26" w:rsidRDefault="00E80D26" w:rsidP="00E80D26">
      <w:pPr>
        <w:pStyle w:val="NormalWeb"/>
        <w:spacing w:before="0" w:beforeAutospacing="0" w:after="0" w:afterAutospacing="0"/>
        <w:ind w:left="-180" w:right="-334"/>
      </w:pPr>
    </w:p>
    <w:p w14:paraId="7642A16E" w14:textId="77777777" w:rsidR="00E80D26" w:rsidRDefault="00E80D26" w:rsidP="00E80D26">
      <w:pPr>
        <w:pStyle w:val="NormalWeb"/>
        <w:spacing w:before="0" w:beforeAutospacing="0" w:after="0" w:afterAutospacing="0"/>
        <w:ind w:left="-180" w:right="-334"/>
      </w:pPr>
    </w:p>
    <w:p w14:paraId="7537F770" w14:textId="77777777" w:rsidR="00E80D26" w:rsidRDefault="00E80D26" w:rsidP="00E80D2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F1C74E7" w14:textId="77777777" w:rsidR="00E80D26" w:rsidRPr="00230F35" w:rsidRDefault="00E80D26" w:rsidP="00E80D2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1BDAD72" w14:textId="77777777" w:rsidR="00E80D26" w:rsidRPr="00230F35" w:rsidRDefault="00E80D26" w:rsidP="00E80D26">
      <w:pPr>
        <w:rPr>
          <w:rFonts w:ascii="Arial" w:hAnsi="Arial" w:cs="Arial"/>
          <w:sz w:val="28"/>
          <w:szCs w:val="28"/>
          <w:lang w:val="cy-GB"/>
        </w:rPr>
      </w:pPr>
    </w:p>
    <w:p w14:paraId="64B394B3" w14:textId="77777777" w:rsidR="00E80D26" w:rsidRDefault="00E80D26" w:rsidP="00E80D26">
      <w:pPr>
        <w:pStyle w:val="Heading3"/>
        <w:jc w:val="center"/>
        <w:rPr>
          <w:lang w:val="cy-GB"/>
        </w:rPr>
      </w:pPr>
      <w:r>
        <w:rPr>
          <w:lang w:val="cy-GB"/>
        </w:rPr>
        <w:t>THIS SHEET MUST BE THE FIRST PAGE OF THE ASSIGNMENT YOU ARE SUBMITTING  (DO NOT SEND AS A SEPARATE FILE)</w:t>
      </w:r>
    </w:p>
    <w:p w14:paraId="585C9043" w14:textId="77777777" w:rsidR="00E80D26" w:rsidRDefault="00E80D26" w:rsidP="00E80D2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80D26" w:rsidRPr="00230F35" w14:paraId="0210D9AB" w14:textId="77777777" w:rsidTr="0049072F">
        <w:trPr>
          <w:trHeight w:val="614"/>
        </w:trPr>
        <w:tc>
          <w:tcPr>
            <w:tcW w:w="8856" w:type="dxa"/>
            <w:gridSpan w:val="5"/>
          </w:tcPr>
          <w:p w14:paraId="72174722"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80D26" w:rsidRPr="00230F35" w14:paraId="403BF36C" w14:textId="77777777" w:rsidTr="0049072F">
        <w:trPr>
          <w:trHeight w:val="718"/>
        </w:trPr>
        <w:tc>
          <w:tcPr>
            <w:tcW w:w="8856" w:type="dxa"/>
            <w:gridSpan w:val="5"/>
          </w:tcPr>
          <w:p w14:paraId="5B7B2167" w14:textId="77777777" w:rsidR="00E80D26"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Kim Harrer</w:t>
            </w:r>
          </w:p>
          <w:p w14:paraId="1DBD53AD" w14:textId="77777777" w:rsidR="00E80D26" w:rsidRPr="00230F35" w:rsidRDefault="00E80D26" w:rsidP="0049072F">
            <w:pPr>
              <w:pStyle w:val="NormalWeb"/>
              <w:spacing w:before="0" w:beforeAutospacing="0" w:after="0" w:afterAutospacing="0"/>
              <w:ind w:right="34"/>
              <w:rPr>
                <w:rFonts w:ascii="Arial" w:hAnsi="Arial" w:cs="Arial"/>
                <w:sz w:val="22"/>
                <w:szCs w:val="22"/>
              </w:rPr>
            </w:pPr>
          </w:p>
          <w:p w14:paraId="033FC382"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1814398@student.uwtsd.ac.uk</w:t>
            </w:r>
          </w:p>
        </w:tc>
      </w:tr>
      <w:tr w:rsidR="00E80D26" w:rsidRPr="00230F35" w14:paraId="08A7FBA2" w14:textId="77777777" w:rsidTr="0049072F">
        <w:trPr>
          <w:trHeight w:val="849"/>
        </w:trPr>
        <w:tc>
          <w:tcPr>
            <w:tcW w:w="4788" w:type="dxa"/>
          </w:tcPr>
          <w:p w14:paraId="56F63B9F"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3F5A14E2" w14:textId="77777777" w:rsidR="00E80D26" w:rsidRPr="00230F35" w:rsidRDefault="00E80D26" w:rsidP="0049072F">
            <w:pPr>
              <w:pStyle w:val="NormalWeb"/>
              <w:spacing w:before="0" w:beforeAutospacing="0" w:after="0" w:afterAutospacing="0"/>
              <w:ind w:right="34"/>
              <w:rPr>
                <w:rFonts w:ascii="Arial" w:hAnsi="Arial" w:cs="Arial"/>
                <w:sz w:val="22"/>
                <w:szCs w:val="22"/>
              </w:rPr>
            </w:pPr>
          </w:p>
          <w:p w14:paraId="7DDFFEEF" w14:textId="77777777" w:rsidR="00E80D26"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1544190D" w14:textId="77777777" w:rsidR="00E80D26" w:rsidRDefault="00E80D26" w:rsidP="0049072F">
            <w:pPr>
              <w:pStyle w:val="NormalWeb"/>
              <w:spacing w:before="0" w:beforeAutospacing="0" w:after="0" w:afterAutospacing="0"/>
              <w:ind w:right="34"/>
              <w:rPr>
                <w:rFonts w:ascii="Arial" w:hAnsi="Arial" w:cs="Arial"/>
                <w:sz w:val="22"/>
                <w:szCs w:val="22"/>
              </w:rPr>
            </w:pPr>
          </w:p>
          <w:p w14:paraId="7081D5DF" w14:textId="77777777" w:rsidR="00E80D26" w:rsidRPr="00230F35" w:rsidRDefault="00E80D26" w:rsidP="0049072F">
            <w:pPr>
              <w:pStyle w:val="NormalWeb"/>
              <w:spacing w:before="0" w:beforeAutospacing="0" w:after="0" w:afterAutospacing="0"/>
              <w:ind w:right="34"/>
              <w:rPr>
                <w:rFonts w:ascii="Arial" w:hAnsi="Arial" w:cs="Arial"/>
                <w:sz w:val="22"/>
                <w:szCs w:val="22"/>
              </w:rPr>
            </w:pPr>
          </w:p>
        </w:tc>
        <w:tc>
          <w:tcPr>
            <w:tcW w:w="2266" w:type="dxa"/>
            <w:gridSpan w:val="3"/>
          </w:tcPr>
          <w:p w14:paraId="3FF6B729"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1814398</w:t>
            </w:r>
          </w:p>
        </w:tc>
        <w:tc>
          <w:tcPr>
            <w:tcW w:w="1802" w:type="dxa"/>
          </w:tcPr>
          <w:p w14:paraId="76DD7024"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8240386"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Pr>
                <w:rFonts w:ascii="Arial" w:hAnsi="Arial" w:cs="Arial"/>
                <w:sz w:val="22"/>
                <w:szCs w:val="22"/>
              </w:rPr>
              <w:t xml:space="preserve"> (pending documentation)</w:t>
            </w:r>
          </w:p>
        </w:tc>
      </w:tr>
      <w:tr w:rsidR="00E80D26" w:rsidRPr="00230F35" w14:paraId="75A23D7B" w14:textId="77777777" w:rsidTr="0049072F">
        <w:trPr>
          <w:trHeight w:val="1139"/>
        </w:trPr>
        <w:tc>
          <w:tcPr>
            <w:tcW w:w="8856" w:type="dxa"/>
            <w:gridSpan w:val="5"/>
          </w:tcPr>
          <w:p w14:paraId="2F6D2210" w14:textId="4DAF4911"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EC5608">
              <w:rPr>
                <w:rFonts w:ascii="Arial" w:hAnsi="Arial" w:cs="Arial"/>
                <w:sz w:val="22"/>
                <w:szCs w:val="22"/>
              </w:rPr>
              <w:t>A Critical Comparison of Two JSTOR Papers</w:t>
            </w:r>
          </w:p>
          <w:p w14:paraId="08C079BC" w14:textId="77777777" w:rsidR="00E80D26" w:rsidRPr="00230F35" w:rsidRDefault="00E80D26" w:rsidP="0049072F">
            <w:pPr>
              <w:pStyle w:val="NormalWeb"/>
              <w:spacing w:before="0" w:beforeAutospacing="0" w:after="0" w:afterAutospacing="0"/>
              <w:ind w:right="34"/>
              <w:rPr>
                <w:rFonts w:ascii="Arial" w:hAnsi="Arial" w:cs="Arial"/>
                <w:sz w:val="22"/>
                <w:szCs w:val="22"/>
              </w:rPr>
            </w:pPr>
          </w:p>
          <w:p w14:paraId="5B0AE46E" w14:textId="77777777" w:rsidR="00E80D26" w:rsidRDefault="00E80D26" w:rsidP="0049072F">
            <w:pPr>
              <w:pStyle w:val="NormalWeb"/>
              <w:spacing w:before="0" w:beforeAutospacing="0" w:after="0" w:afterAutospacing="0"/>
              <w:ind w:right="34"/>
              <w:rPr>
                <w:rFonts w:ascii="Arial" w:hAnsi="Arial" w:cs="Arial"/>
                <w:sz w:val="22"/>
                <w:szCs w:val="22"/>
              </w:rPr>
            </w:pPr>
          </w:p>
          <w:p w14:paraId="4BEA4692"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11/03/2019</w:t>
            </w:r>
          </w:p>
        </w:tc>
      </w:tr>
      <w:tr w:rsidR="00E80D26" w:rsidRPr="00230F35" w14:paraId="44D7828B" w14:textId="77777777" w:rsidTr="0049072F">
        <w:trPr>
          <w:trHeight w:val="978"/>
        </w:trPr>
        <w:tc>
          <w:tcPr>
            <w:tcW w:w="8856" w:type="dxa"/>
            <w:gridSpan w:val="5"/>
            <w:tcBorders>
              <w:bottom w:val="single" w:sz="4" w:space="0" w:color="000000"/>
            </w:tcBorders>
          </w:tcPr>
          <w:p w14:paraId="6C1D8DD8" w14:textId="77777777" w:rsidR="00E80D26" w:rsidRPr="00230F35" w:rsidRDefault="00E80D26" w:rsidP="0049072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902CC">
              <w:rPr>
                <w:rFonts w:ascii="Arial" w:hAnsi="Arial" w:cs="Arial"/>
              </w:rPr>
            </w:r>
            <w:r w:rsidR="000902CC">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902CC">
              <w:rPr>
                <w:rFonts w:ascii="Arial" w:hAnsi="Arial" w:cs="Arial"/>
              </w:rPr>
            </w:r>
            <w:r w:rsidR="000902CC">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902CC">
              <w:rPr>
                <w:rFonts w:ascii="Arial" w:hAnsi="Arial" w:cs="Arial"/>
              </w:rPr>
            </w:r>
            <w:r w:rsidR="000902CC">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902CC">
              <w:rPr>
                <w:rFonts w:ascii="Arial" w:hAnsi="Arial" w:cs="Arial"/>
              </w:rPr>
            </w:r>
            <w:r w:rsidR="000902CC">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902CC">
              <w:rPr>
                <w:rFonts w:ascii="Arial" w:hAnsi="Arial" w:cs="Arial"/>
              </w:rPr>
            </w:r>
            <w:r w:rsidR="000902CC">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E80D26" w:rsidRPr="00230F35" w14:paraId="2008EF23" w14:textId="77777777" w:rsidTr="0049072F">
        <w:trPr>
          <w:trHeight w:val="978"/>
        </w:trPr>
        <w:tc>
          <w:tcPr>
            <w:tcW w:w="8856" w:type="dxa"/>
            <w:gridSpan w:val="5"/>
            <w:shd w:val="clear" w:color="auto" w:fill="D9D9D9"/>
          </w:tcPr>
          <w:p w14:paraId="1AB7D7B4"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9DAD9A1" w14:textId="77777777" w:rsidR="00E80D26"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p>
          <w:p w14:paraId="7BDBA2AB" w14:textId="77777777" w:rsidR="00E80D26" w:rsidRDefault="00E80D26" w:rsidP="0049072F">
            <w:pPr>
              <w:pStyle w:val="NormalWeb"/>
              <w:spacing w:before="0" w:beforeAutospacing="0" w:after="0" w:afterAutospacing="0"/>
              <w:ind w:right="34"/>
              <w:rPr>
                <w:rFonts w:ascii="Arial" w:hAnsi="Arial" w:cs="Arial"/>
                <w:sz w:val="22"/>
                <w:szCs w:val="22"/>
              </w:rPr>
            </w:pPr>
            <w:r>
              <w:rPr>
                <w:rFonts w:ascii="Arial" w:hAnsi="Arial" w:cs="Arial"/>
                <w:sz w:val="22"/>
                <w:szCs w:val="22"/>
              </w:rPr>
              <w:t>Kimberley M. Harrer</w:t>
            </w:r>
          </w:p>
          <w:p w14:paraId="33FC6844" w14:textId="77777777" w:rsidR="00E80D26" w:rsidRDefault="00E80D26" w:rsidP="0049072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7538D323" w14:textId="77777777" w:rsidR="00E80D26" w:rsidRPr="00230F35" w:rsidRDefault="00E80D26" w:rsidP="0049072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80D26" w:rsidRPr="00230F35" w14:paraId="56BEB358" w14:textId="77777777" w:rsidTr="0049072F">
        <w:trPr>
          <w:trHeight w:val="3972"/>
        </w:trPr>
        <w:tc>
          <w:tcPr>
            <w:tcW w:w="8856" w:type="dxa"/>
            <w:gridSpan w:val="5"/>
          </w:tcPr>
          <w:p w14:paraId="11CACA4A" w14:textId="77777777" w:rsidR="00E80D26" w:rsidRDefault="00E80D26" w:rsidP="0049072F">
            <w:pPr>
              <w:rPr>
                <w:rFonts w:ascii="Arial" w:hAnsi="Arial"/>
                <w:b/>
              </w:rPr>
            </w:pPr>
          </w:p>
          <w:p w14:paraId="2BBF31AE" w14:textId="77777777" w:rsidR="00E80D26" w:rsidRPr="00116CE6" w:rsidRDefault="00E80D26" w:rsidP="0049072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80D26" w:rsidRPr="00116CE6" w14:paraId="725C4501" w14:textId="77777777" w:rsidTr="0049072F">
              <w:tc>
                <w:tcPr>
                  <w:tcW w:w="6970" w:type="dxa"/>
                </w:tcPr>
                <w:p w14:paraId="60E1ADE9" w14:textId="77777777" w:rsidR="00E80D26" w:rsidRPr="00116CE6" w:rsidRDefault="00E80D26" w:rsidP="0049072F">
                  <w:pPr>
                    <w:rPr>
                      <w:rFonts w:ascii="Arial" w:hAnsi="Arial"/>
                      <w:sz w:val="20"/>
                      <w:szCs w:val="20"/>
                    </w:rPr>
                  </w:pPr>
                </w:p>
                <w:p w14:paraId="4CD9AB58" w14:textId="77777777" w:rsidR="00E80D26" w:rsidRPr="00116CE6" w:rsidRDefault="00E80D26" w:rsidP="0049072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58F37CB" w14:textId="77777777" w:rsidR="00E80D26" w:rsidRPr="00116CE6" w:rsidRDefault="00E80D26" w:rsidP="0049072F">
                  <w:pPr>
                    <w:rPr>
                      <w:rFonts w:ascii="Arial" w:hAnsi="Arial"/>
                      <w:sz w:val="20"/>
                      <w:szCs w:val="20"/>
                    </w:rPr>
                  </w:pPr>
                </w:p>
              </w:tc>
            </w:tr>
            <w:tr w:rsidR="00E80D26" w:rsidRPr="00116CE6" w14:paraId="7EB96FD1" w14:textId="77777777" w:rsidTr="0049072F">
              <w:tc>
                <w:tcPr>
                  <w:tcW w:w="6970" w:type="dxa"/>
                </w:tcPr>
                <w:p w14:paraId="58D02488" w14:textId="77777777" w:rsidR="00E80D26" w:rsidRPr="00116CE6" w:rsidRDefault="00E80D26" w:rsidP="0049072F">
                  <w:pPr>
                    <w:rPr>
                      <w:rFonts w:ascii="Arial" w:hAnsi="Arial"/>
                      <w:sz w:val="20"/>
                      <w:szCs w:val="20"/>
                    </w:rPr>
                  </w:pPr>
                </w:p>
                <w:p w14:paraId="44166845" w14:textId="77777777" w:rsidR="00E80D26" w:rsidRPr="00116CE6" w:rsidRDefault="00E80D26" w:rsidP="0049072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AAB0A5E" w14:textId="77777777" w:rsidR="00E80D26" w:rsidRPr="00116CE6" w:rsidRDefault="00E80D26" w:rsidP="0049072F">
                  <w:pPr>
                    <w:rPr>
                      <w:rFonts w:ascii="Arial" w:hAnsi="Arial"/>
                      <w:sz w:val="20"/>
                      <w:szCs w:val="20"/>
                    </w:rPr>
                  </w:pPr>
                </w:p>
              </w:tc>
            </w:tr>
            <w:tr w:rsidR="00E80D26" w:rsidRPr="00116CE6" w14:paraId="43BE7CC5" w14:textId="77777777" w:rsidTr="0049072F">
              <w:tc>
                <w:tcPr>
                  <w:tcW w:w="6970" w:type="dxa"/>
                </w:tcPr>
                <w:p w14:paraId="2B03A38E" w14:textId="77777777" w:rsidR="00E80D26" w:rsidRPr="00116CE6" w:rsidRDefault="00E80D26" w:rsidP="0049072F">
                  <w:pPr>
                    <w:rPr>
                      <w:rFonts w:ascii="Arial" w:hAnsi="Arial"/>
                      <w:sz w:val="20"/>
                      <w:szCs w:val="20"/>
                    </w:rPr>
                  </w:pPr>
                </w:p>
                <w:p w14:paraId="45A65787" w14:textId="77777777" w:rsidR="00E80D26" w:rsidRPr="00116CE6" w:rsidRDefault="00E80D26" w:rsidP="0049072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978A0D3" w14:textId="77777777" w:rsidR="00E80D26" w:rsidRPr="00116CE6" w:rsidRDefault="00E80D26" w:rsidP="0049072F">
                  <w:pPr>
                    <w:rPr>
                      <w:rFonts w:ascii="Arial" w:hAnsi="Arial"/>
                      <w:sz w:val="20"/>
                      <w:szCs w:val="20"/>
                    </w:rPr>
                  </w:pPr>
                </w:p>
              </w:tc>
            </w:tr>
            <w:tr w:rsidR="00E80D26" w:rsidRPr="00116CE6" w14:paraId="7AE96028" w14:textId="77777777" w:rsidTr="0049072F">
              <w:tc>
                <w:tcPr>
                  <w:tcW w:w="6970" w:type="dxa"/>
                </w:tcPr>
                <w:p w14:paraId="7DC55B4B" w14:textId="77777777" w:rsidR="00E80D26" w:rsidRDefault="00E80D26" w:rsidP="0049072F">
                  <w:pPr>
                    <w:rPr>
                      <w:rFonts w:ascii="Arial" w:hAnsi="Arial"/>
                      <w:sz w:val="20"/>
                      <w:szCs w:val="20"/>
                    </w:rPr>
                  </w:pPr>
                </w:p>
                <w:p w14:paraId="174C4243" w14:textId="77777777" w:rsidR="00E80D26" w:rsidRPr="00022345" w:rsidRDefault="00E80D26" w:rsidP="0049072F">
                  <w:pPr>
                    <w:rPr>
                      <w:rFonts w:ascii="Arial" w:hAnsi="Arial"/>
                      <w:b/>
                      <w:sz w:val="20"/>
                      <w:szCs w:val="20"/>
                    </w:rPr>
                  </w:pPr>
                  <w:r w:rsidRPr="00022345">
                    <w:rPr>
                      <w:rFonts w:ascii="Arial" w:hAnsi="Arial"/>
                      <w:b/>
                      <w:sz w:val="20"/>
                      <w:szCs w:val="20"/>
                    </w:rPr>
                    <w:t>Final Mark</w:t>
                  </w:r>
                </w:p>
                <w:p w14:paraId="6396BB1C" w14:textId="77777777" w:rsidR="00E80D26" w:rsidRPr="00116CE6" w:rsidRDefault="00E80D26" w:rsidP="0049072F">
                  <w:pPr>
                    <w:rPr>
                      <w:rFonts w:ascii="Arial" w:hAnsi="Arial"/>
                      <w:sz w:val="20"/>
                      <w:szCs w:val="20"/>
                    </w:rPr>
                  </w:pPr>
                </w:p>
              </w:tc>
              <w:tc>
                <w:tcPr>
                  <w:tcW w:w="1660" w:type="dxa"/>
                </w:tcPr>
                <w:p w14:paraId="289518E9" w14:textId="77777777" w:rsidR="00E80D26" w:rsidRPr="00116CE6" w:rsidRDefault="00E80D26" w:rsidP="0049072F">
                  <w:pPr>
                    <w:rPr>
                      <w:rFonts w:ascii="Arial" w:hAnsi="Arial"/>
                      <w:sz w:val="20"/>
                      <w:szCs w:val="20"/>
                    </w:rPr>
                  </w:pPr>
                </w:p>
              </w:tc>
            </w:tr>
          </w:tbl>
          <w:p w14:paraId="661AE39A" w14:textId="77777777" w:rsidR="00E80D26" w:rsidRDefault="00E80D26" w:rsidP="0049072F">
            <w:pPr>
              <w:pStyle w:val="NormalWeb"/>
              <w:spacing w:before="0" w:beforeAutospacing="0" w:after="0" w:afterAutospacing="0"/>
              <w:ind w:left="142" w:right="34"/>
              <w:rPr>
                <w:rFonts w:ascii="Arial" w:hAnsi="Arial" w:cs="Arial"/>
                <w:b/>
                <w:sz w:val="22"/>
                <w:szCs w:val="22"/>
              </w:rPr>
            </w:pPr>
          </w:p>
          <w:p w14:paraId="309A7B90" w14:textId="77777777" w:rsidR="00E80D26" w:rsidRPr="00230F35" w:rsidRDefault="00E80D26" w:rsidP="0049072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1831D61" w14:textId="77777777" w:rsidR="00E80D26" w:rsidRDefault="00E80D26" w:rsidP="0049072F">
            <w:pPr>
              <w:pStyle w:val="NormalWeb"/>
              <w:spacing w:before="0" w:beforeAutospacing="0" w:after="0" w:afterAutospacing="0"/>
              <w:rPr>
                <w:rFonts w:ascii="Arial" w:hAnsi="Arial" w:cs="Arial"/>
                <w:b/>
                <w:sz w:val="22"/>
                <w:szCs w:val="22"/>
              </w:rPr>
            </w:pPr>
          </w:p>
          <w:p w14:paraId="0E0AD275" w14:textId="77777777" w:rsidR="00E80D26" w:rsidRDefault="00E80D26" w:rsidP="0049072F">
            <w:pPr>
              <w:pStyle w:val="NormalWeb"/>
              <w:spacing w:before="0" w:beforeAutospacing="0" w:after="0" w:afterAutospacing="0"/>
              <w:rPr>
                <w:rFonts w:ascii="Arial" w:hAnsi="Arial" w:cs="Arial"/>
                <w:b/>
                <w:sz w:val="22"/>
                <w:szCs w:val="22"/>
              </w:rPr>
            </w:pPr>
          </w:p>
          <w:p w14:paraId="5038792B" w14:textId="77777777" w:rsidR="00E80D26" w:rsidRDefault="00E80D26" w:rsidP="0049072F">
            <w:pPr>
              <w:pStyle w:val="NormalWeb"/>
              <w:spacing w:before="0" w:beforeAutospacing="0" w:after="0" w:afterAutospacing="0"/>
              <w:rPr>
                <w:rFonts w:ascii="Arial" w:hAnsi="Arial" w:cs="Arial"/>
                <w:b/>
                <w:sz w:val="22"/>
                <w:szCs w:val="22"/>
              </w:rPr>
            </w:pPr>
          </w:p>
          <w:p w14:paraId="218D35F9" w14:textId="77777777" w:rsidR="00E80D26" w:rsidRDefault="00E80D26" w:rsidP="0049072F">
            <w:pPr>
              <w:pStyle w:val="NormalWeb"/>
              <w:spacing w:before="0" w:beforeAutospacing="0" w:after="0" w:afterAutospacing="0"/>
              <w:rPr>
                <w:rFonts w:ascii="Arial" w:hAnsi="Arial" w:cs="Arial"/>
                <w:b/>
                <w:sz w:val="22"/>
                <w:szCs w:val="22"/>
              </w:rPr>
            </w:pPr>
          </w:p>
          <w:p w14:paraId="415C52A5" w14:textId="77777777" w:rsidR="00E80D26" w:rsidRDefault="00E80D26" w:rsidP="0049072F">
            <w:pPr>
              <w:pStyle w:val="NormalWeb"/>
              <w:spacing w:before="0" w:beforeAutospacing="0" w:after="0" w:afterAutospacing="0"/>
              <w:rPr>
                <w:rFonts w:ascii="Arial" w:hAnsi="Arial" w:cs="Arial"/>
                <w:b/>
                <w:sz w:val="22"/>
                <w:szCs w:val="22"/>
              </w:rPr>
            </w:pPr>
          </w:p>
          <w:p w14:paraId="0DDB5ED5" w14:textId="77777777" w:rsidR="00E80D26" w:rsidRPr="00230F35" w:rsidRDefault="00E80D26" w:rsidP="0049072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3D1D185" w14:textId="77777777" w:rsidR="00E80D26" w:rsidRDefault="00E80D26" w:rsidP="0049072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35FA161" w14:textId="77777777" w:rsidR="00E80D26" w:rsidRPr="00001C3B" w:rsidRDefault="00E80D26" w:rsidP="0049072F">
            <w:pPr>
              <w:pStyle w:val="NormalWeb"/>
              <w:rPr>
                <w:rFonts w:ascii="Arial" w:hAnsi="Arial" w:cs="Arial"/>
                <w:sz w:val="22"/>
                <w:szCs w:val="22"/>
              </w:rPr>
            </w:pPr>
          </w:p>
        </w:tc>
      </w:tr>
      <w:tr w:rsidR="00E80D26" w:rsidRPr="00230F35" w14:paraId="167C32F1" w14:textId="77777777" w:rsidTr="0049072F">
        <w:trPr>
          <w:trHeight w:val="492"/>
        </w:trPr>
        <w:tc>
          <w:tcPr>
            <w:tcW w:w="6768" w:type="dxa"/>
            <w:gridSpan w:val="3"/>
          </w:tcPr>
          <w:p w14:paraId="6CF31E25" w14:textId="77777777" w:rsidR="00E80D26" w:rsidRPr="00230F35" w:rsidRDefault="00E80D26" w:rsidP="0049072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5D84FDA" w14:textId="77777777" w:rsidR="00E80D26" w:rsidRPr="00230F35" w:rsidRDefault="00E80D26" w:rsidP="0049072F">
            <w:pPr>
              <w:pStyle w:val="NormalWeb"/>
              <w:spacing w:after="0"/>
              <w:ind w:left="142" w:right="34"/>
              <w:rPr>
                <w:rFonts w:ascii="Arial" w:hAnsi="Arial" w:cs="Arial"/>
                <w:sz w:val="22"/>
                <w:szCs w:val="22"/>
              </w:rPr>
            </w:pPr>
            <w:r w:rsidRPr="00230F35">
              <w:rPr>
                <w:rFonts w:ascii="Arial" w:hAnsi="Arial" w:cs="Arial"/>
                <w:sz w:val="22"/>
                <w:szCs w:val="22"/>
              </w:rPr>
              <w:t>Date:</w:t>
            </w:r>
          </w:p>
        </w:tc>
      </w:tr>
      <w:tr w:rsidR="00E80D26" w:rsidRPr="002F467C" w14:paraId="18BA9914" w14:textId="77777777" w:rsidTr="0049072F">
        <w:tc>
          <w:tcPr>
            <w:tcW w:w="8856" w:type="dxa"/>
            <w:gridSpan w:val="5"/>
          </w:tcPr>
          <w:p w14:paraId="35BB0BBD" w14:textId="77777777" w:rsidR="00E80D26" w:rsidRPr="00230F35" w:rsidRDefault="00E80D26" w:rsidP="0049072F">
            <w:pPr>
              <w:pStyle w:val="NormalWeb"/>
              <w:spacing w:before="0" w:beforeAutospacing="0" w:after="0" w:afterAutospacing="0"/>
              <w:ind w:right="-334"/>
              <w:rPr>
                <w:rFonts w:ascii="Arial" w:hAnsi="Arial" w:cs="Arial"/>
                <w:bCs/>
                <w:i/>
                <w:sz w:val="22"/>
                <w:szCs w:val="22"/>
              </w:rPr>
            </w:pPr>
          </w:p>
          <w:p w14:paraId="63BE1060" w14:textId="77777777" w:rsidR="00E80D26" w:rsidRPr="00230F35" w:rsidRDefault="00E80D26" w:rsidP="0049072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D870DFE" w14:textId="77777777" w:rsidR="00E80D26" w:rsidRPr="00230F35" w:rsidRDefault="00E80D26" w:rsidP="0049072F">
            <w:pPr>
              <w:pStyle w:val="NormalWeb"/>
              <w:spacing w:before="0" w:beforeAutospacing="0" w:after="0" w:afterAutospacing="0"/>
              <w:ind w:right="-334"/>
              <w:rPr>
                <w:rFonts w:ascii="Arial" w:hAnsi="Arial" w:cs="Arial"/>
                <w:b/>
                <w:bCs/>
                <w:sz w:val="22"/>
                <w:szCs w:val="22"/>
              </w:rPr>
            </w:pPr>
          </w:p>
          <w:p w14:paraId="113077F5"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B76ABB4"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62A5C69F"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0CC19E60"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7AE58FD4"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53CBB8BE"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97B2D43"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15842DD2"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0ADE99E6"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18C2C068" w14:textId="77777777" w:rsidR="00E80D26" w:rsidRDefault="00E80D26" w:rsidP="0049072F">
            <w:pPr>
              <w:pStyle w:val="NormalWeb"/>
              <w:spacing w:before="0" w:beforeAutospacing="0" w:after="0" w:afterAutospacing="0"/>
              <w:ind w:right="-334"/>
              <w:rPr>
                <w:rFonts w:ascii="Arial" w:hAnsi="Arial" w:cs="Arial"/>
                <w:bCs/>
                <w:sz w:val="22"/>
                <w:szCs w:val="22"/>
              </w:rPr>
            </w:pPr>
          </w:p>
          <w:p w14:paraId="025C23F0"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23DB4C9C"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2F16CCC6"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tc>
      </w:tr>
      <w:tr w:rsidR="00E80D26" w:rsidRPr="002F467C" w14:paraId="32FEF4EE" w14:textId="77777777" w:rsidTr="0049072F">
        <w:trPr>
          <w:trHeight w:val="720"/>
        </w:trPr>
        <w:tc>
          <w:tcPr>
            <w:tcW w:w="5211" w:type="dxa"/>
            <w:gridSpan w:val="2"/>
          </w:tcPr>
          <w:p w14:paraId="498F633D"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1CDF063C"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80D26" w:rsidRPr="002F467C" w14:paraId="602C5784" w14:textId="77777777" w:rsidTr="0049072F">
        <w:trPr>
          <w:trHeight w:val="720"/>
        </w:trPr>
        <w:tc>
          <w:tcPr>
            <w:tcW w:w="8856" w:type="dxa"/>
            <w:gridSpan w:val="5"/>
          </w:tcPr>
          <w:p w14:paraId="7A070CB9" w14:textId="77777777" w:rsidR="00E80D26" w:rsidRPr="00B34964" w:rsidRDefault="00E80D26" w:rsidP="0049072F">
            <w:pPr>
              <w:rPr>
                <w:rFonts w:ascii="Arial" w:hAnsi="Arial" w:cs="Arial"/>
                <w:b/>
              </w:rPr>
            </w:pPr>
            <w:r w:rsidRPr="00B34964">
              <w:rPr>
                <w:rFonts w:ascii="Arial" w:hAnsi="Arial" w:cs="Arial"/>
                <w:b/>
              </w:rPr>
              <w:t>External Examiner’s comments (if relevant)</w:t>
            </w:r>
          </w:p>
          <w:p w14:paraId="7B80133C"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7B6ED2B7"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6596A24D"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5EDD4C7F"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6ACC8CE2"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445B7C2"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1A7587B"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BFA39B4"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5984921E" w14:textId="77777777" w:rsidR="00E80D26" w:rsidRDefault="00E80D26" w:rsidP="0049072F">
            <w:pPr>
              <w:pStyle w:val="NormalWeb"/>
              <w:spacing w:before="0" w:beforeAutospacing="0" w:after="0" w:afterAutospacing="0"/>
              <w:ind w:right="-334"/>
              <w:rPr>
                <w:rFonts w:ascii="Arial" w:hAnsi="Arial" w:cs="Arial"/>
                <w:bCs/>
                <w:sz w:val="22"/>
                <w:szCs w:val="22"/>
              </w:rPr>
            </w:pPr>
          </w:p>
          <w:p w14:paraId="4DE68009"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1ECAABC5"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tc>
      </w:tr>
      <w:tr w:rsidR="00E80D26" w:rsidRPr="002F467C" w14:paraId="59CE5A65" w14:textId="77777777" w:rsidTr="0049072F">
        <w:trPr>
          <w:trHeight w:val="720"/>
        </w:trPr>
        <w:tc>
          <w:tcPr>
            <w:tcW w:w="5211" w:type="dxa"/>
            <w:gridSpan w:val="2"/>
          </w:tcPr>
          <w:p w14:paraId="20265093" w14:textId="77777777" w:rsidR="00E80D26" w:rsidRPr="00230F35" w:rsidRDefault="00E80D26" w:rsidP="0049072F">
            <w:pPr>
              <w:rPr>
                <w:rFonts w:ascii="Arial" w:hAnsi="Arial" w:cs="Arial"/>
              </w:rPr>
            </w:pPr>
            <w:r w:rsidRPr="00230F35">
              <w:rPr>
                <w:rFonts w:ascii="Arial" w:hAnsi="Arial" w:cs="Arial"/>
              </w:rPr>
              <w:t>External Examiner’s Signature:</w:t>
            </w:r>
          </w:p>
        </w:tc>
        <w:tc>
          <w:tcPr>
            <w:tcW w:w="3645" w:type="dxa"/>
            <w:gridSpan w:val="3"/>
          </w:tcPr>
          <w:p w14:paraId="78EDE746" w14:textId="77777777" w:rsidR="00E80D26" w:rsidRPr="00230F35" w:rsidRDefault="00E80D26" w:rsidP="0049072F">
            <w:pPr>
              <w:rPr>
                <w:rFonts w:ascii="Arial" w:hAnsi="Arial" w:cs="Arial"/>
              </w:rPr>
            </w:pPr>
            <w:r w:rsidRPr="00230F35">
              <w:rPr>
                <w:rFonts w:ascii="Arial" w:hAnsi="Arial" w:cs="Arial"/>
              </w:rPr>
              <w:t>Date:</w:t>
            </w:r>
          </w:p>
        </w:tc>
      </w:tr>
    </w:tbl>
    <w:p w14:paraId="5C6EB92B" w14:textId="77777777" w:rsidR="00E80D26" w:rsidRPr="00D67BF8" w:rsidRDefault="00E80D26" w:rsidP="00E80D26">
      <w:pPr>
        <w:pStyle w:val="NormalWeb"/>
        <w:spacing w:before="0" w:beforeAutospacing="0" w:after="0" w:afterAutospacing="0"/>
        <w:ind w:right="-334"/>
        <w:rPr>
          <w:rFonts w:ascii="Trebuchet MS" w:hAnsi="Trebuchet MS" w:cs="Tahoma"/>
          <w:bCs/>
          <w:sz w:val="24"/>
          <w:szCs w:val="24"/>
        </w:rPr>
      </w:pPr>
    </w:p>
    <w:p w14:paraId="21A2C498" w14:textId="77777777" w:rsidR="00E80D26" w:rsidRDefault="00E80D26" w:rsidP="00E80D26"/>
    <w:p w14:paraId="0DF0EE72" w14:textId="77777777" w:rsidR="00E80D26" w:rsidRDefault="00E80D26" w:rsidP="00A27EC8">
      <w:pPr>
        <w:jc w:val="center"/>
      </w:pPr>
    </w:p>
    <w:p w14:paraId="4788605C" w14:textId="77777777" w:rsidR="00E80D26" w:rsidRDefault="00E80D26" w:rsidP="00A27EC8">
      <w:pPr>
        <w:jc w:val="center"/>
      </w:pPr>
    </w:p>
    <w:p w14:paraId="5ECD0B53" w14:textId="77777777" w:rsidR="00E80D26" w:rsidRDefault="00E80D26" w:rsidP="00A27EC8">
      <w:pPr>
        <w:jc w:val="center"/>
      </w:pPr>
    </w:p>
    <w:p w14:paraId="3A633DCA" w14:textId="77777777" w:rsidR="00E80D26" w:rsidRDefault="00E80D26" w:rsidP="00A27EC8">
      <w:pPr>
        <w:jc w:val="center"/>
      </w:pPr>
    </w:p>
    <w:p w14:paraId="3D8A0416" w14:textId="77777777" w:rsidR="000C27B3" w:rsidRDefault="000C27B3" w:rsidP="00A27EC8">
      <w:pPr>
        <w:jc w:val="center"/>
      </w:pPr>
    </w:p>
    <w:p w14:paraId="07E4D18A" w14:textId="77777777" w:rsidR="000C27B3" w:rsidRDefault="000C27B3" w:rsidP="00A27EC8">
      <w:pPr>
        <w:jc w:val="center"/>
      </w:pPr>
    </w:p>
    <w:p w14:paraId="781BA54F" w14:textId="77777777" w:rsidR="000C27B3" w:rsidRDefault="000C27B3" w:rsidP="00A27EC8">
      <w:pPr>
        <w:jc w:val="center"/>
      </w:pPr>
    </w:p>
    <w:p w14:paraId="74CF370A" w14:textId="77777777" w:rsidR="000C27B3" w:rsidRDefault="000C27B3" w:rsidP="00A27EC8">
      <w:pPr>
        <w:jc w:val="center"/>
      </w:pPr>
    </w:p>
    <w:p w14:paraId="5286CAD4" w14:textId="77777777" w:rsidR="000C27B3" w:rsidRDefault="000C27B3" w:rsidP="00A27EC8">
      <w:pPr>
        <w:jc w:val="center"/>
      </w:pPr>
    </w:p>
    <w:p w14:paraId="214EA665" w14:textId="77777777" w:rsidR="000C27B3" w:rsidRDefault="000C27B3" w:rsidP="00A27EC8">
      <w:pPr>
        <w:jc w:val="center"/>
      </w:pPr>
    </w:p>
    <w:p w14:paraId="27733519" w14:textId="77777777" w:rsidR="000C27B3" w:rsidRDefault="000C27B3" w:rsidP="00A27EC8">
      <w:pPr>
        <w:jc w:val="center"/>
      </w:pPr>
    </w:p>
    <w:p w14:paraId="748BDBE2" w14:textId="77777777" w:rsidR="000C27B3" w:rsidRDefault="000C27B3" w:rsidP="00A27EC8">
      <w:pPr>
        <w:jc w:val="center"/>
      </w:pPr>
    </w:p>
    <w:p w14:paraId="17FB763A" w14:textId="77777777" w:rsidR="000C27B3" w:rsidRDefault="000C27B3" w:rsidP="00A27EC8">
      <w:pPr>
        <w:jc w:val="center"/>
      </w:pPr>
    </w:p>
    <w:p w14:paraId="2360E5A1" w14:textId="77777777" w:rsidR="000C27B3" w:rsidRDefault="000C27B3" w:rsidP="00A27EC8">
      <w:pPr>
        <w:jc w:val="center"/>
      </w:pPr>
    </w:p>
    <w:p w14:paraId="1B6519C2" w14:textId="77777777" w:rsidR="000C27B3" w:rsidRDefault="000C27B3" w:rsidP="00A27EC8">
      <w:pPr>
        <w:jc w:val="center"/>
      </w:pPr>
    </w:p>
    <w:p w14:paraId="796334F5" w14:textId="77777777" w:rsidR="000C27B3" w:rsidRDefault="000C27B3" w:rsidP="00A27EC8">
      <w:pPr>
        <w:jc w:val="center"/>
      </w:pPr>
    </w:p>
    <w:p w14:paraId="32DB915A" w14:textId="77777777" w:rsidR="000C27B3" w:rsidRDefault="000C27B3" w:rsidP="00A27EC8">
      <w:pPr>
        <w:jc w:val="center"/>
      </w:pPr>
    </w:p>
    <w:p w14:paraId="4CC0420F" w14:textId="77777777" w:rsidR="00353286" w:rsidRDefault="00353286" w:rsidP="00A27EC8">
      <w:pPr>
        <w:jc w:val="center"/>
        <w:sectPr w:rsidR="00353286" w:rsidSect="00E27FAA">
          <w:footerReference w:type="default" r:id="rId8"/>
          <w:headerReference w:type="first" r:id="rId9"/>
          <w:footerReference w:type="first" r:id="rId10"/>
          <w:pgSz w:w="12240" w:h="15840"/>
          <w:pgMar w:top="1440" w:right="1440" w:bottom="1440" w:left="1440" w:header="576" w:footer="720" w:gutter="0"/>
          <w:cols w:space="720"/>
          <w:titlePg/>
          <w:docGrid w:linePitch="360"/>
        </w:sectPr>
      </w:pPr>
    </w:p>
    <w:p w14:paraId="7E44DDE8" w14:textId="42BD6822" w:rsidR="00BB18CC" w:rsidRDefault="00BB18CC" w:rsidP="00A27EC8">
      <w:pPr>
        <w:jc w:val="center"/>
      </w:pPr>
      <w:r>
        <w:lastRenderedPageBreak/>
        <w:t>A Critical Comparison of Two JSTOR Papers</w:t>
      </w:r>
      <w:r w:rsidR="00297F0B">
        <w:t>:</w:t>
      </w:r>
    </w:p>
    <w:p w14:paraId="7750B34B" w14:textId="4C411824" w:rsidR="00297F0B" w:rsidRDefault="00297F0B" w:rsidP="00A27EC8">
      <w:pPr>
        <w:jc w:val="center"/>
      </w:pPr>
      <w:r>
        <w:t>Word Count: 1,508</w:t>
      </w:r>
      <w:bookmarkStart w:id="6" w:name="_GoBack"/>
      <w:bookmarkEnd w:id="6"/>
    </w:p>
    <w:p w14:paraId="11D06F03" w14:textId="22633FE7" w:rsidR="00300CB1" w:rsidRDefault="00DF78D8" w:rsidP="003C65CD">
      <w:pPr>
        <w:ind w:firstLine="720"/>
      </w:pPr>
      <w:r w:rsidRPr="00E720C5">
        <w:t>This essay critically compares and contrasts two JSTOR paper</w:t>
      </w:r>
      <w:r w:rsidR="0035559C">
        <w:t>s</w:t>
      </w:r>
      <w:r w:rsidRPr="00E720C5">
        <w:t xml:space="preserve"> using the search items ‘Cosmology’ and ‘Culture’.  The two papers chosen are Richard Payne, ‘Cosmology and the Expansion of the Iranian Empire, 502-628 CE’, Past &amp; Present, No. 220 (August 2013), pp 3-33, and </w:t>
      </w:r>
      <w:proofErr w:type="spellStart"/>
      <w:r w:rsidRPr="00E720C5">
        <w:t>Junping</w:t>
      </w:r>
      <w:proofErr w:type="spellEnd"/>
      <w:r w:rsidRPr="00E720C5">
        <w:t xml:space="preserve"> Liu and </w:t>
      </w:r>
      <w:proofErr w:type="spellStart"/>
      <w:r w:rsidRPr="00E720C5">
        <w:t>Deyuan</w:t>
      </w:r>
      <w:proofErr w:type="spellEnd"/>
      <w:r w:rsidRPr="00E720C5">
        <w:t xml:space="preserve"> Huang, ‘The Evolution of </w:t>
      </w:r>
      <w:proofErr w:type="spellStart"/>
      <w:r w:rsidRPr="00E720C5">
        <w:t>Tianxia</w:t>
      </w:r>
      <w:proofErr w:type="spellEnd"/>
      <w:r w:rsidRPr="00E720C5">
        <w:t xml:space="preserve"> Cosmology and Its Philosophical Implications’, Frontiers of Philosophy in China, Vol. 1</w:t>
      </w:r>
      <w:r w:rsidR="001E099F" w:rsidRPr="00E720C5">
        <w:t>, No. 4 (Dec., 2006), pp. 517-538.</w:t>
      </w:r>
      <w:r w:rsidR="00E720C5">
        <w:t xml:space="preserve"> </w:t>
      </w:r>
      <w:r w:rsidR="009B63B6">
        <w:t xml:space="preserve">  While both articles focus on different </w:t>
      </w:r>
      <w:r w:rsidR="00ED450D">
        <w:t>spans of time, engage with different writing styles,</w:t>
      </w:r>
      <w:r w:rsidR="009B63B6">
        <w:t xml:space="preserve"> and </w:t>
      </w:r>
      <w:r w:rsidR="00AB2C61">
        <w:t>draw on</w:t>
      </w:r>
      <w:r w:rsidR="009B63B6">
        <w:t xml:space="preserve"> </w:t>
      </w:r>
      <w:r w:rsidR="00BE219A">
        <w:t>diverse</w:t>
      </w:r>
      <w:r w:rsidR="003C65CD">
        <w:t xml:space="preserve"> evidence, the authors share the perspective that cultural context</w:t>
      </w:r>
      <w:r w:rsidR="00D06FFC">
        <w:t>, empathy,</w:t>
      </w:r>
      <w:r w:rsidR="003C65CD">
        <w:t xml:space="preserve"> and knowledge of cultural perspectives is necessary for a </w:t>
      </w:r>
      <w:r w:rsidR="0027641A">
        <w:t>more sensitive and</w:t>
      </w:r>
      <w:r w:rsidR="003C65CD">
        <w:t xml:space="preserve"> accurate representation of history.</w:t>
      </w:r>
    </w:p>
    <w:p w14:paraId="4FFD68FF" w14:textId="1AD8AA45" w:rsidR="000E7D75" w:rsidRDefault="00EC26A1" w:rsidP="003C65CD">
      <w:pPr>
        <w:ind w:firstLine="720"/>
      </w:pPr>
      <w:r>
        <w:t>Liu and Huan</w:t>
      </w:r>
      <w:r w:rsidR="00C04B1C">
        <w:t>g</w:t>
      </w:r>
      <w:r>
        <w:t xml:space="preserve">’s article, as the title suggests, </w:t>
      </w:r>
      <w:r w:rsidR="00C66078">
        <w:t>concerns the philosophical and practical changes in the notion of ‘</w:t>
      </w:r>
      <w:proofErr w:type="spellStart"/>
      <w:r w:rsidR="00C66078">
        <w:t>Tianxia</w:t>
      </w:r>
      <w:proofErr w:type="spellEnd"/>
      <w:r w:rsidR="00C66078">
        <w:t>’</w:t>
      </w:r>
      <w:r w:rsidR="00724E76">
        <w:t xml:space="preserve"> over time</w:t>
      </w:r>
      <w:r w:rsidR="00C66078">
        <w:t xml:space="preserve"> – a highly-nuanced Chinese theory of the cosmos in which </w:t>
      </w:r>
      <w:r w:rsidR="003D1A55">
        <w:t>individuals</w:t>
      </w:r>
      <w:r w:rsidR="00C66078">
        <w:t xml:space="preserve"> actively engage with their surroundings and adhere to strictly defined social roles in order to </w:t>
      </w:r>
      <w:r w:rsidR="00E0122B">
        <w:t>maintain</w:t>
      </w:r>
      <w:r w:rsidR="00C66078">
        <w:t xml:space="preserve"> harmony throughout the universe.</w:t>
      </w:r>
      <w:r w:rsidR="00A1754F">
        <w:t xml:space="preserve"> </w:t>
      </w:r>
      <w:r w:rsidR="00D24204">
        <w:t>The</w:t>
      </w:r>
      <w:r w:rsidR="003D1A55">
        <w:t xml:space="preserve"> authors</w:t>
      </w:r>
      <w:r w:rsidR="00D24204">
        <w:t xml:space="preserve"> </w:t>
      </w:r>
      <w:r w:rsidR="00B078D3">
        <w:t>posit</w:t>
      </w:r>
      <w:r w:rsidR="00D24204">
        <w:t xml:space="preserve"> that the ways in which </w:t>
      </w:r>
      <w:proofErr w:type="spellStart"/>
      <w:r w:rsidR="00D24204">
        <w:t>Tianxia</w:t>
      </w:r>
      <w:proofErr w:type="spellEnd"/>
      <w:r w:rsidR="00D24204">
        <w:t xml:space="preserve"> manifests is adjusted over time and the meaning reconstructed.  Because of its flexibility and inclusivity in meaning, it has maintained its status as the source of a moral, ethical, social, and political framework that is shown throughout China’s rich and multifaceted history</w:t>
      </w:r>
      <w:r w:rsidR="00BE219A">
        <w:t xml:space="preserve"> and will continue to serve China’s position in an ever-expanding global environment</w:t>
      </w:r>
      <w:r w:rsidR="00D24204">
        <w:t>.</w:t>
      </w:r>
    </w:p>
    <w:p w14:paraId="22232ED7" w14:textId="67A386BE" w:rsidR="005446DD" w:rsidRDefault="00076FE7" w:rsidP="003C65CD">
      <w:pPr>
        <w:ind w:firstLine="720"/>
      </w:pPr>
      <w:r>
        <w:t xml:space="preserve">Liu and </w:t>
      </w:r>
      <w:r w:rsidR="00C04B1C">
        <w:t>Huang’s</w:t>
      </w:r>
      <w:r>
        <w:t xml:space="preserve"> focus </w:t>
      </w:r>
      <w:r w:rsidR="008056E4">
        <w:t>on</w:t>
      </w:r>
      <w:r w:rsidR="000E7D75">
        <w:t xml:space="preserve"> </w:t>
      </w:r>
      <w:r>
        <w:t xml:space="preserve">the development of China’s concept of the cosmos and how it relates </w:t>
      </w:r>
      <w:r w:rsidR="00EA1A71">
        <w:t xml:space="preserve">to </w:t>
      </w:r>
      <w:r>
        <w:t>or reflects cultural change</w:t>
      </w:r>
      <w:r w:rsidR="008056E4">
        <w:t xml:space="preserve"> </w:t>
      </w:r>
      <w:r w:rsidR="000E7D75">
        <w:t xml:space="preserve">is </w:t>
      </w:r>
      <w:r w:rsidR="008056E4">
        <w:t xml:space="preserve">mostly </w:t>
      </w:r>
      <w:r w:rsidR="00381CCD">
        <w:t>circumscribed</w:t>
      </w:r>
      <w:r w:rsidR="000E7D75">
        <w:t xml:space="preserve"> to the nation’s boundaries</w:t>
      </w:r>
      <w:r w:rsidR="00381CCD">
        <w:t xml:space="preserve"> but encompasses an extensive span of time</w:t>
      </w:r>
      <w:r w:rsidR="000E7D75">
        <w:t>.</w:t>
      </w:r>
      <w:r>
        <w:t xml:space="preserve"> </w:t>
      </w:r>
      <w:r w:rsidR="000E7D75">
        <w:t xml:space="preserve"> </w:t>
      </w:r>
      <w:r>
        <w:t>Richard Payne</w:t>
      </w:r>
      <w:r w:rsidR="000E7D75">
        <w:t>, however,</w:t>
      </w:r>
      <w:r>
        <w:t xml:space="preserve"> focuses on how </w:t>
      </w:r>
      <w:r w:rsidR="009F0EDB">
        <w:t>Zoroastrian cosmology</w:t>
      </w:r>
      <w:r>
        <w:t xml:space="preserve"> was used to </w:t>
      </w:r>
      <w:r w:rsidR="000E7D75">
        <w:t>wield power over rival empires</w:t>
      </w:r>
      <w:r w:rsidR="00EA1A71">
        <w:t xml:space="preserve"> </w:t>
      </w:r>
      <w:r w:rsidR="003D1A55">
        <w:t>specifically</w:t>
      </w:r>
      <w:r w:rsidR="00381CCD">
        <w:t xml:space="preserve"> during </w:t>
      </w:r>
      <w:r w:rsidR="00EA1A71">
        <w:t xml:space="preserve">502-628 BC and expand </w:t>
      </w:r>
      <w:r w:rsidR="00A65B54">
        <w:t>Iran’s</w:t>
      </w:r>
      <w:r w:rsidR="00EA1A71">
        <w:t xml:space="preserve"> own empire, culture, and ideas</w:t>
      </w:r>
      <w:r w:rsidR="003C168E">
        <w:t xml:space="preserve">.  </w:t>
      </w:r>
      <w:r w:rsidR="00C02BBC">
        <w:t xml:space="preserve">Similar to the fulfillment of one’s personal role in </w:t>
      </w:r>
      <w:proofErr w:type="spellStart"/>
      <w:r w:rsidR="00C02BBC">
        <w:t>Tianxia</w:t>
      </w:r>
      <w:proofErr w:type="spellEnd"/>
      <w:r w:rsidR="00C02BBC">
        <w:t xml:space="preserve"> to realize the natural order in the universe, Zoroastrianism dictates that individuals</w:t>
      </w:r>
      <w:r w:rsidR="0089203F">
        <w:t xml:space="preserve"> (particularly, but not exclusively, aristocrats)</w:t>
      </w:r>
      <w:r w:rsidR="00C02BBC">
        <w:t xml:space="preserve"> have </w:t>
      </w:r>
      <w:r w:rsidR="003D1A55">
        <w:t>particular</w:t>
      </w:r>
      <w:r w:rsidR="00C02BBC">
        <w:t xml:space="preserve"> roles to play, not in maintaining order as in </w:t>
      </w:r>
      <w:proofErr w:type="spellStart"/>
      <w:r w:rsidR="00C02BBC">
        <w:t>Tianxia</w:t>
      </w:r>
      <w:proofErr w:type="spellEnd"/>
      <w:r w:rsidR="00C02BBC">
        <w:t xml:space="preserve">, but to facilitate the re-emergence of the harmony existent at creation.  </w:t>
      </w:r>
      <w:r w:rsidR="00BE4777">
        <w:t xml:space="preserve"> </w:t>
      </w:r>
      <w:r w:rsidR="005446DD">
        <w:t xml:space="preserve">Payne </w:t>
      </w:r>
      <w:r w:rsidR="00B078D3">
        <w:t>proposes</w:t>
      </w:r>
      <w:r w:rsidR="005446DD">
        <w:t xml:space="preserve"> that the goal of expansion is synonymous with the goal of achieving this primordial harmony.  He says of this dual goal ‘the world was on the march towards the end of time, when the cosmos would be </w:t>
      </w:r>
      <w:r w:rsidR="0089203F">
        <w:t>restored</w:t>
      </w:r>
      <w:r w:rsidR="005446DD">
        <w:t xml:space="preserve"> to its originally pure and peaceful state</w:t>
      </w:r>
      <w:r w:rsidR="0089203F">
        <w:t xml:space="preserve">’, and through </w:t>
      </w:r>
      <w:r w:rsidR="00155E5F">
        <w:t>the aristocracy’s observation of</w:t>
      </w:r>
      <w:r w:rsidR="0089203F">
        <w:t xml:space="preserve"> their primary role in regaining universal harmony ‘Zoroastrian thought provided paradigms for political action in the late antique Iranian empire’</w:t>
      </w:r>
      <w:r w:rsidR="00155E5F">
        <w:t>, justifying its symbolic and military expansion.</w:t>
      </w:r>
      <w:r w:rsidR="0089203F">
        <w:rPr>
          <w:rStyle w:val="FootnoteReference"/>
        </w:rPr>
        <w:footnoteReference w:id="1"/>
      </w:r>
    </w:p>
    <w:p w14:paraId="6E3A1072" w14:textId="5E34504D" w:rsidR="004E49EC" w:rsidRDefault="003C168E" w:rsidP="005208D9">
      <w:pPr>
        <w:ind w:firstLine="720"/>
      </w:pPr>
      <w:r>
        <w:t xml:space="preserve">In order to make </w:t>
      </w:r>
      <w:r w:rsidR="00BE4777">
        <w:t>the</w:t>
      </w:r>
      <w:r>
        <w:t xml:space="preserve"> argument</w:t>
      </w:r>
      <w:r w:rsidR="00BE4777">
        <w:t xml:space="preserve"> for cosmology’s direct influence on </w:t>
      </w:r>
      <w:r w:rsidR="00A65B54">
        <w:t>the</w:t>
      </w:r>
      <w:r w:rsidR="00381CCD">
        <w:t xml:space="preserve"> Iranian</w:t>
      </w:r>
      <w:r w:rsidR="00A65B54">
        <w:t xml:space="preserve"> empire’s</w:t>
      </w:r>
      <w:r w:rsidR="00BE4777">
        <w:t xml:space="preserve"> expansion</w:t>
      </w:r>
      <w:r w:rsidR="00C5351F">
        <w:t xml:space="preserve"> and the misgivings of translation, </w:t>
      </w:r>
      <w:r>
        <w:t xml:space="preserve">Payne </w:t>
      </w:r>
      <w:r w:rsidR="00DB373A">
        <w:t>lends</w:t>
      </w:r>
      <w:r>
        <w:t xml:space="preserve"> a critique on the way this same issue of Iran’s </w:t>
      </w:r>
      <w:r w:rsidR="00381CCD">
        <w:t>growth</w:t>
      </w:r>
      <w:r w:rsidR="00547AC1">
        <w:t xml:space="preserve"> has previously been examined.  He proposes </w:t>
      </w:r>
      <w:r w:rsidR="00ED6034">
        <w:t>a cultural translation problem, citing that</w:t>
      </w:r>
      <w:r w:rsidR="00547AC1">
        <w:t xml:space="preserve"> </w:t>
      </w:r>
      <w:r w:rsidR="008F6C23">
        <w:t>‘Christian terminology and incautiously considered comparisons with the later Roman empire’ do disservice to efforts in cultural and political understanding of Zoroastrianism, instead suggesting that ‘a shift of emphasis towards cosmology will contribute to a recovery of the discourses, practices and possibilities of what was a distinctively Zoroastrian political culture’.</w:t>
      </w:r>
      <w:r w:rsidR="008F6C23">
        <w:rPr>
          <w:rStyle w:val="FootnoteReference"/>
        </w:rPr>
        <w:footnoteReference w:id="2"/>
      </w:r>
      <w:r w:rsidR="004350E2">
        <w:t xml:space="preserve">  </w:t>
      </w:r>
      <w:r w:rsidR="00ED6034">
        <w:t xml:space="preserve">In a critique of sources, he furthers this idea  </w:t>
      </w:r>
      <w:r w:rsidR="00ED6034">
        <w:lastRenderedPageBreak/>
        <w:t xml:space="preserve">by illuminating the western privileging of Roman </w:t>
      </w:r>
      <w:r w:rsidR="00C87E83">
        <w:t xml:space="preserve">and Christian </w:t>
      </w:r>
      <w:r w:rsidR="00ED6034">
        <w:t>historians</w:t>
      </w:r>
      <w:r w:rsidR="00C5351F">
        <w:t xml:space="preserve"> –</w:t>
      </w:r>
      <w:r w:rsidR="00BE219A">
        <w:t xml:space="preserve"> Pseudo Joshua the </w:t>
      </w:r>
      <w:proofErr w:type="spellStart"/>
      <w:r w:rsidR="00BE219A">
        <w:t>Stylite</w:t>
      </w:r>
      <w:proofErr w:type="spellEnd"/>
      <w:r w:rsidR="00BE219A">
        <w:t xml:space="preserve">, Procopius, and John </w:t>
      </w:r>
      <w:proofErr w:type="spellStart"/>
      <w:r w:rsidR="00BE219A">
        <w:t>Malalas</w:t>
      </w:r>
      <w:proofErr w:type="spellEnd"/>
      <w:r w:rsidR="00BE219A">
        <w:t xml:space="preserve"> are specifically mentioned – </w:t>
      </w:r>
      <w:r w:rsidR="00ED6034">
        <w:t xml:space="preserve">who </w:t>
      </w:r>
      <w:r w:rsidR="00C5351F">
        <w:t>read</w:t>
      </w:r>
      <w:r w:rsidR="00ED6034">
        <w:t xml:space="preserve"> history through a specific lens which highlight</w:t>
      </w:r>
      <w:r w:rsidR="00B94A4A">
        <w:t>ed</w:t>
      </w:r>
      <w:r w:rsidR="00ED6034">
        <w:t xml:space="preserve"> the values of their own culture</w:t>
      </w:r>
      <w:r w:rsidR="00B94A4A">
        <w:t xml:space="preserve"> and used those values to interpret the actions, language</w:t>
      </w:r>
      <w:r w:rsidR="00C5351F">
        <w:t>s</w:t>
      </w:r>
      <w:r w:rsidR="00B94A4A">
        <w:t>, and politics of another</w:t>
      </w:r>
      <w:r w:rsidR="00A576A3">
        <w:t>,</w:t>
      </w:r>
      <w:r w:rsidR="003D1A55">
        <w:t xml:space="preserve"> effectively</w:t>
      </w:r>
      <w:r w:rsidR="00B94A4A">
        <w:t xml:space="preserve"> </w:t>
      </w:r>
      <w:r w:rsidR="003D1A55">
        <w:t xml:space="preserve">ignoring </w:t>
      </w:r>
      <w:r w:rsidR="00B94A4A">
        <w:t xml:space="preserve">the diverse pool of </w:t>
      </w:r>
      <w:r w:rsidR="008056E4">
        <w:t>perspective</w:t>
      </w:r>
      <w:r w:rsidR="00B94A4A">
        <w:t xml:space="preserve"> surround</w:t>
      </w:r>
      <w:r w:rsidR="00C87E83">
        <w:t>ing</w:t>
      </w:r>
      <w:r w:rsidR="00B94A4A">
        <w:t xml:space="preserve"> them.</w:t>
      </w:r>
      <w:r w:rsidR="00C04B1C">
        <w:t xml:space="preserve">  Liu and</w:t>
      </w:r>
      <w:r w:rsidR="00CF0D80">
        <w:t xml:space="preserve"> </w:t>
      </w:r>
      <w:r w:rsidR="00C04B1C">
        <w:t>Huang offer the same argument for the shortcomings of cultural translation</w:t>
      </w:r>
      <w:r w:rsidR="00CF0D80">
        <w:t xml:space="preserve">.  The example they give to support this argument is linguistic, using the Chinese word “tian”.  This word is </w:t>
      </w:r>
      <w:r w:rsidR="004D3ADC">
        <w:t>teeming</w:t>
      </w:r>
      <w:r w:rsidR="00CF0D80">
        <w:t xml:space="preserve"> with cultural nuances which lend it a multitude of definitions </w:t>
      </w:r>
      <w:r w:rsidR="004D3ADC">
        <w:t>that</w:t>
      </w:r>
      <w:r w:rsidR="00CF0D80">
        <w:t xml:space="preserve"> exist simultaneously</w:t>
      </w:r>
      <w:r w:rsidR="00C5351F">
        <w:t xml:space="preserve"> in one utterance</w:t>
      </w:r>
      <w:r w:rsidR="009E6110">
        <w:t xml:space="preserve">.  </w:t>
      </w:r>
      <w:r w:rsidR="004D3ADC">
        <w:t>Among other things, i</w:t>
      </w:r>
      <w:r w:rsidR="009E6110">
        <w:t>t can mean Heaven, creator o</w:t>
      </w:r>
      <w:r w:rsidR="004D3ADC">
        <w:t>f</w:t>
      </w:r>
      <w:r w:rsidR="009E6110">
        <w:t xml:space="preserve"> morals and the natural world, sky, and fortuitous destiny. </w:t>
      </w:r>
      <w:r w:rsidR="009E6110">
        <w:rPr>
          <w:rStyle w:val="FootnoteReference"/>
        </w:rPr>
        <w:footnoteReference w:id="3"/>
      </w:r>
      <w:r w:rsidR="009E6110">
        <w:t xml:space="preserve"> When translated into English by British Sinologist, Arthur </w:t>
      </w:r>
      <w:proofErr w:type="spellStart"/>
      <w:r w:rsidR="00C5351F">
        <w:t>Waley</w:t>
      </w:r>
      <w:proofErr w:type="spellEnd"/>
      <w:r w:rsidR="00C5351F">
        <w:t>,</w:t>
      </w:r>
      <w:r w:rsidR="009E6110">
        <w:t xml:space="preserve"> the multifaceted nature of the word </w:t>
      </w:r>
      <w:r w:rsidR="004D3ADC">
        <w:t>wa</w:t>
      </w:r>
      <w:r w:rsidR="009E6110">
        <w:t>s lost, transcribed merely as “Heaven”.</w:t>
      </w:r>
      <w:r w:rsidR="009E6110">
        <w:rPr>
          <w:rStyle w:val="FootnoteReference"/>
        </w:rPr>
        <w:footnoteReference w:id="4"/>
      </w:r>
      <w:r w:rsidR="009E6110">
        <w:t xml:space="preserve">  </w:t>
      </w:r>
      <w:r w:rsidR="00C5351F">
        <w:t xml:space="preserve">Without cultural familiarity, according to these authors, the subtleties of meaning and </w:t>
      </w:r>
      <w:r w:rsidR="00A576A3">
        <w:t>authenticity</w:t>
      </w:r>
      <w:r w:rsidR="00C5351F">
        <w:t xml:space="preserve"> </w:t>
      </w:r>
      <w:r w:rsidR="00AB2C61">
        <w:t xml:space="preserve">are </w:t>
      </w:r>
      <w:r w:rsidR="00381CCD">
        <w:t>concealed</w:t>
      </w:r>
      <w:r w:rsidR="00AB2C61">
        <w:t>.</w:t>
      </w:r>
    </w:p>
    <w:p w14:paraId="6D015C2B" w14:textId="5F20A277" w:rsidR="006278FA" w:rsidRDefault="00C5351F" w:rsidP="003C65CD">
      <w:pPr>
        <w:ind w:firstLine="720"/>
      </w:pPr>
      <w:r>
        <w:t xml:space="preserve">In an effort </w:t>
      </w:r>
      <w:r w:rsidR="00AB2C61">
        <w:t>t</w:t>
      </w:r>
      <w:r w:rsidR="0062345E">
        <w:t xml:space="preserve">o more accurately represent </w:t>
      </w:r>
      <w:r w:rsidR="0080657E">
        <w:t>Iran’s</w:t>
      </w:r>
      <w:r w:rsidR="0062345E">
        <w:t xml:space="preserve"> cultural </w:t>
      </w:r>
      <w:r w:rsidR="0080657E">
        <w:t>history</w:t>
      </w:r>
      <w:r w:rsidR="0015119B">
        <w:t>, Payne</w:t>
      </w:r>
      <w:r w:rsidR="0062345E">
        <w:t xml:space="preserve"> </w:t>
      </w:r>
      <w:r w:rsidR="00AB2C61">
        <w:t>utilizes</w:t>
      </w:r>
      <w:r w:rsidR="0062345E">
        <w:t xml:space="preserve"> symbolic evidence</w:t>
      </w:r>
      <w:r w:rsidR="0015119B">
        <w:t>, providing</w:t>
      </w:r>
      <w:r w:rsidR="00C87E83">
        <w:t xml:space="preserve"> the example of “tributes” (payments of gold) to the Iranian empire from Rome.  Although these transactions are, according to Payne, corroborated by both Iranian and Roman historical documents, the reasons for these tributes are explained largely through </w:t>
      </w:r>
      <w:r w:rsidR="00CF4391">
        <w:t xml:space="preserve">a </w:t>
      </w:r>
      <w:r w:rsidR="00C87E83">
        <w:t>western viewpoint</w:t>
      </w:r>
      <w:r w:rsidR="00CF4391">
        <w:t xml:space="preserve"> </w:t>
      </w:r>
      <w:r w:rsidR="00C87E83">
        <w:t xml:space="preserve">which </w:t>
      </w:r>
      <w:r w:rsidR="00CF4391">
        <w:t>has</w:t>
      </w:r>
      <w:r w:rsidR="00C87E83">
        <w:t xml:space="preserve"> </w:t>
      </w:r>
      <w:r w:rsidR="00742C82">
        <w:t>a limited scope of awareness in regards to Iranian culture</w:t>
      </w:r>
      <w:r w:rsidR="0015119B">
        <w:t xml:space="preserve"> and Zoroastrianism</w:t>
      </w:r>
      <w:r w:rsidR="00C87E83">
        <w:t xml:space="preserve">.  </w:t>
      </w:r>
      <w:r w:rsidR="004E49EC">
        <w:t xml:space="preserve">The commonly accepted explanation for these tributes given by </w:t>
      </w:r>
      <w:r w:rsidR="00742C82">
        <w:t>western</w:t>
      </w:r>
      <w:r w:rsidR="004E49EC">
        <w:t xml:space="preserve"> historians is that Rome paid </w:t>
      </w:r>
      <w:r w:rsidR="00742C82">
        <w:t>them</w:t>
      </w:r>
      <w:r w:rsidR="004E49EC">
        <w:t xml:space="preserve"> in order to fend off </w:t>
      </w:r>
      <w:r w:rsidR="00742C82">
        <w:t xml:space="preserve">Iranian </w:t>
      </w:r>
      <w:r w:rsidR="004E49EC">
        <w:t>military invasion. Payne suggests, however, that from the perspective of the Iranian empire</w:t>
      </w:r>
      <w:r w:rsidR="00742C82">
        <w:t>,</w:t>
      </w:r>
      <w:r w:rsidR="004E49EC">
        <w:t xml:space="preserve"> whose responsibility it was to achieve Zoroastrian primordial harmony, </w:t>
      </w:r>
      <w:r w:rsidR="0015119B">
        <w:t>its</w:t>
      </w:r>
      <w:r w:rsidR="00381A10">
        <w:t xml:space="preserve"> threats of invasion were merely </w:t>
      </w:r>
      <w:r w:rsidR="0015119B">
        <w:t>facades</w:t>
      </w:r>
      <w:r w:rsidR="00381A10">
        <w:t xml:space="preserve">.  </w:t>
      </w:r>
      <w:r w:rsidR="0015119B">
        <w:t>Its</w:t>
      </w:r>
      <w:r w:rsidR="00381A10">
        <w:t xml:space="preserve"> objective was not to conquer, but to </w:t>
      </w:r>
      <w:r w:rsidR="0015119B">
        <w:t>manipulate</w:t>
      </w:r>
      <w:r w:rsidR="00381A10">
        <w:t xml:space="preserve"> other empires into compliance</w:t>
      </w:r>
      <w:r w:rsidR="0015119B">
        <w:t xml:space="preserve"> </w:t>
      </w:r>
      <w:r w:rsidR="00A32F0B">
        <w:t xml:space="preserve">in order </w:t>
      </w:r>
      <w:r w:rsidR="0015119B">
        <w:t>to safeguard its</w:t>
      </w:r>
      <w:r w:rsidR="00381CCD">
        <w:t xml:space="preserve"> own</w:t>
      </w:r>
      <w:r w:rsidR="0015119B">
        <w:t xml:space="preserve"> supremacy</w:t>
      </w:r>
      <w:r w:rsidR="00381A10">
        <w:t xml:space="preserve">.  </w:t>
      </w:r>
      <w:r w:rsidR="00A576A3">
        <w:t>Reinforcing</w:t>
      </w:r>
      <w:r w:rsidR="00A32F0B">
        <w:t xml:space="preserve"> his argument, Payne points out that t</w:t>
      </w:r>
      <w:r w:rsidR="00381A10">
        <w:t xml:space="preserve">hese </w:t>
      </w:r>
      <w:r w:rsidR="004E49EC">
        <w:t>tributes</w:t>
      </w:r>
      <w:r w:rsidR="00381A10">
        <w:t xml:space="preserve"> were often very small sums of worth, </w:t>
      </w:r>
      <w:r w:rsidR="0015119B">
        <w:t>sums ‘hardly sufficient to have palpable effects on the fiscal welfare’ of Iran.</w:t>
      </w:r>
      <w:r w:rsidR="0015119B">
        <w:rPr>
          <w:rStyle w:val="FootnoteReference"/>
        </w:rPr>
        <w:footnoteReference w:id="5"/>
      </w:r>
      <w:r w:rsidR="0015119B">
        <w:t xml:space="preserve">  Instead, these tributes </w:t>
      </w:r>
      <w:r w:rsidR="004E49EC">
        <w:t>were symbol</w:t>
      </w:r>
      <w:r w:rsidR="003D1A55">
        <w:t>s</w:t>
      </w:r>
      <w:r w:rsidR="00296A46">
        <w:t xml:space="preserve"> </w:t>
      </w:r>
      <w:r w:rsidR="00742C82">
        <w:t>of power and prestige, sign</w:t>
      </w:r>
      <w:r w:rsidR="00E50AE1">
        <w:t>s</w:t>
      </w:r>
      <w:r w:rsidR="00742C82">
        <w:t xml:space="preserve"> of its </w:t>
      </w:r>
      <w:r w:rsidR="0015119B">
        <w:t>authorita</w:t>
      </w:r>
      <w:r w:rsidR="00A32F0B">
        <w:t>tive</w:t>
      </w:r>
      <w:r w:rsidR="0015119B">
        <w:t xml:space="preserve"> </w:t>
      </w:r>
      <w:r w:rsidR="00742C82">
        <w:t xml:space="preserve">centrality in the universe and </w:t>
      </w:r>
      <w:r w:rsidR="00A32F0B">
        <w:t>its efforts</w:t>
      </w:r>
      <w:r w:rsidR="00381A10">
        <w:t xml:space="preserve"> </w:t>
      </w:r>
      <w:r w:rsidR="00A32F0B">
        <w:t>toward</w:t>
      </w:r>
      <w:r w:rsidR="00381A10">
        <w:t xml:space="preserve"> the</w:t>
      </w:r>
      <w:r w:rsidR="00742C82">
        <w:t xml:space="preserve"> harmony it </w:t>
      </w:r>
      <w:proofErr w:type="spellStart"/>
      <w:r w:rsidR="00742C82">
        <w:t>endeavoured</w:t>
      </w:r>
      <w:proofErr w:type="spellEnd"/>
      <w:r w:rsidR="00742C82">
        <w:t xml:space="preserve"> to restore.</w:t>
      </w:r>
    </w:p>
    <w:p w14:paraId="5264995F" w14:textId="364AD7EA" w:rsidR="00353286" w:rsidRDefault="00A32F0B" w:rsidP="003C65CD">
      <w:pPr>
        <w:ind w:firstLine="720"/>
        <w:sectPr w:rsidR="00353286" w:rsidSect="00353286">
          <w:headerReference w:type="default" r:id="rId11"/>
          <w:footerReference w:type="default" r:id="rId12"/>
          <w:headerReference w:type="first" r:id="rId13"/>
          <w:footerReference w:type="first" r:id="rId14"/>
          <w:pgSz w:w="12240" w:h="15840"/>
          <w:pgMar w:top="1440" w:right="1440" w:bottom="1440" w:left="1440" w:header="576" w:footer="720" w:gutter="0"/>
          <w:pgNumType w:start="1"/>
          <w:cols w:space="720"/>
          <w:titlePg/>
          <w:docGrid w:linePitch="360"/>
        </w:sectPr>
      </w:pPr>
      <w:r>
        <w:t xml:space="preserve">Liu and Huang also </w:t>
      </w:r>
      <w:r w:rsidR="00AB2C61">
        <w:t>summon</w:t>
      </w:r>
      <w:r>
        <w:t xml:space="preserve"> symbolic evidence</w:t>
      </w:r>
      <w:r w:rsidR="00A576A3">
        <w:t>,</w:t>
      </w:r>
      <w:r>
        <w:t xml:space="preserve"> but of </w:t>
      </w:r>
      <w:r w:rsidR="00A576A3">
        <w:t>a different</w:t>
      </w:r>
      <w:r>
        <w:t xml:space="preserve"> sort.  The symbolism they </w:t>
      </w:r>
      <w:r w:rsidR="00DB373A">
        <w:t>call upon</w:t>
      </w:r>
      <w:r>
        <w:t xml:space="preserve"> is linguistic.  </w:t>
      </w:r>
      <w:proofErr w:type="spellStart"/>
      <w:r>
        <w:t>Tianxia</w:t>
      </w:r>
      <w:proofErr w:type="spellEnd"/>
      <w:r>
        <w:t>, according to Liu and Huan</w:t>
      </w:r>
      <w:r w:rsidR="00DB373A">
        <w:t>g</w:t>
      </w:r>
      <w:r>
        <w:t>, has a rich history of diverse meaning which ‘not only denotes a geographical and spatial meaning, but also implies the moral construct of metaphysics’.</w:t>
      </w:r>
      <w:r>
        <w:rPr>
          <w:rStyle w:val="FootnoteReference"/>
        </w:rPr>
        <w:footnoteReference w:id="6"/>
      </w:r>
      <w:r>
        <w:t xml:space="preserve">  In addition to its establishment of moral and social codes, the etymological changes in “</w:t>
      </w:r>
      <w:proofErr w:type="spellStart"/>
      <w:r>
        <w:t>Tianxia</w:t>
      </w:r>
      <w:proofErr w:type="spellEnd"/>
      <w:r>
        <w:t xml:space="preserve">” concomitantly reflect the social, political, and global changes occurring within and without the country.  </w:t>
      </w:r>
      <w:r w:rsidR="0051252E">
        <w:t>Much like tributes to the Iranian empire, i</w:t>
      </w:r>
      <w:r>
        <w:t xml:space="preserve">t is a word which </w:t>
      </w:r>
      <w:r w:rsidR="0051252E">
        <w:t>invokes</w:t>
      </w:r>
      <w:r>
        <w:t xml:space="preserve"> China’s position at the center of the universe</w:t>
      </w:r>
      <w:r w:rsidR="00AB2C61">
        <w:t xml:space="preserve">, but also </w:t>
      </w:r>
      <w:r w:rsidR="0051252E">
        <w:t>extends this meaning to signify</w:t>
      </w:r>
      <w:r>
        <w:t xml:space="preserve"> </w:t>
      </w:r>
      <w:r w:rsidR="0051252E">
        <w:t>China</w:t>
      </w:r>
      <w:r>
        <w:t xml:space="preserve"> as the universe itself.  It creates a hierarchical structure from the lofty matter of the universe down to its </w:t>
      </w:r>
      <w:r w:rsidR="00BE219A">
        <w:t>creatures</w:t>
      </w:r>
      <w:r>
        <w:t xml:space="preserve"> while simultaneously presenting each </w:t>
      </w:r>
      <w:r w:rsidR="00E50AE1">
        <w:t>piece</w:t>
      </w:r>
      <w:r w:rsidR="00BE219A">
        <w:t xml:space="preserve"> of the cosmos </w:t>
      </w:r>
      <w:r>
        <w:t xml:space="preserve">as a vital thread sewn into a seamless fabric, the integrity of which relies on unfaltering adherence to the established order. This reflective (and reflexive) change in the meaning of </w:t>
      </w:r>
      <w:r w:rsidR="0053393F">
        <w:t>“</w:t>
      </w:r>
      <w:proofErr w:type="spellStart"/>
      <w:r>
        <w:t>Tianxia</w:t>
      </w:r>
      <w:proofErr w:type="spellEnd"/>
      <w:r w:rsidR="0053393F">
        <w:t>”</w:t>
      </w:r>
      <w:r>
        <w:t xml:space="preserve"> is not unlike Terry Eagleton’s observation of the same behavior in the word “culture”.  In his </w:t>
      </w:r>
      <w:r w:rsidRPr="0037590D">
        <w:rPr>
          <w:i/>
        </w:rPr>
        <w:t>The Idea of Culture</w:t>
      </w:r>
      <w:r>
        <w:t xml:space="preserve">, Eagleton says of the word that its change in meaning over time </w:t>
      </w:r>
      <w:r w:rsidR="00A576A3">
        <w:t>‘</w:t>
      </w:r>
      <w:r>
        <w:t xml:space="preserve">thus charts with its </w:t>
      </w:r>
      <w:r>
        <w:lastRenderedPageBreak/>
        <w:t>semantic unfolding humanity’s own historic shift from rural to urban existence</w:t>
      </w:r>
      <w:r w:rsidR="00A576A3">
        <w:t>’</w:t>
      </w:r>
      <w:r>
        <w:t>.</w:t>
      </w:r>
      <w:r>
        <w:rPr>
          <w:rStyle w:val="FootnoteReference"/>
        </w:rPr>
        <w:footnoteReference w:id="7"/>
      </w:r>
      <w:r>
        <w:t xml:space="preserve">  Similarly, Liu and Huan</w:t>
      </w:r>
      <w:r w:rsidR="0051252E">
        <w:t>g</w:t>
      </w:r>
      <w:r>
        <w:t xml:space="preserve"> present the argument that the semantic changes in “</w:t>
      </w:r>
      <w:proofErr w:type="spellStart"/>
      <w:r>
        <w:t>Tianxia</w:t>
      </w:r>
      <w:proofErr w:type="spellEnd"/>
      <w:r>
        <w:t xml:space="preserve">” </w:t>
      </w:r>
      <w:r w:rsidR="0053393F">
        <w:t xml:space="preserve">‘manifest the historical processes of </w:t>
      </w:r>
    </w:p>
    <w:p w14:paraId="16AD3629" w14:textId="33643103" w:rsidR="00AB2C61" w:rsidRDefault="0053393F" w:rsidP="00353286">
      <w:r>
        <w:lastRenderedPageBreak/>
        <w:t>modern China evolving from “</w:t>
      </w:r>
      <w:proofErr w:type="spellStart"/>
      <w:r>
        <w:t>tianxia</w:t>
      </w:r>
      <w:proofErr w:type="spellEnd"/>
      <w:r>
        <w:t xml:space="preserve">” to a modern nation-state’. </w:t>
      </w:r>
      <w:r>
        <w:rPr>
          <w:rStyle w:val="FootnoteReference"/>
        </w:rPr>
        <w:footnoteReference w:id="8"/>
      </w:r>
      <w:r w:rsidR="00AB2C61">
        <w:t xml:space="preserve">  Through this example, Liu and Huang </w:t>
      </w:r>
      <w:r w:rsidR="00B078D3">
        <w:t>illuminate</w:t>
      </w:r>
      <w:r w:rsidR="00AB2C61">
        <w:t xml:space="preserve"> </w:t>
      </w:r>
      <w:r w:rsidR="00B078D3">
        <w:t>how a full scope of meaning</w:t>
      </w:r>
      <w:r w:rsidR="00A576A3">
        <w:t xml:space="preserve"> and history</w:t>
      </w:r>
      <w:r w:rsidR="00B078D3">
        <w:t xml:space="preserve"> presents itself when the cultural intricacies of a language and, by extension, a people are understood. </w:t>
      </w:r>
    </w:p>
    <w:p w14:paraId="3E4755DE" w14:textId="5402F01A" w:rsidR="001C0047" w:rsidRDefault="001C0047" w:rsidP="003C65CD">
      <w:pPr>
        <w:ind w:firstLine="720"/>
      </w:pPr>
      <w:r>
        <w:t xml:space="preserve">The arguments presented </w:t>
      </w:r>
      <w:r w:rsidR="008056E4">
        <w:t>in both articles</w:t>
      </w:r>
      <w:r w:rsidR="00DB373A">
        <w:t xml:space="preserve"> offer two different paths to cultural and historical understanding.  </w:t>
      </w:r>
      <w:r w:rsidR="002564D8">
        <w:t xml:space="preserve">Payne’s writing is conventional.  It </w:t>
      </w:r>
      <w:r w:rsidR="00DB373A">
        <w:t xml:space="preserve">strives to give the reader exact chronological context, naming precise dates </w:t>
      </w:r>
      <w:r w:rsidR="00BF6AF3">
        <w:t>in a</w:t>
      </w:r>
      <w:r w:rsidR="002564D8">
        <w:t xml:space="preserve"> matter-of-fact language which provides clarity and purpose.  </w:t>
      </w:r>
      <w:r w:rsidR="00E50AE1">
        <w:t xml:space="preserve">When speaking of a particular event or person, </w:t>
      </w:r>
      <w:r w:rsidR="008D7701">
        <w:t>the defeat of Roman forces in Roman Anatolia</w:t>
      </w:r>
      <w:r w:rsidR="00BF6AF3">
        <w:t xml:space="preserve">, for example, </w:t>
      </w:r>
      <w:r w:rsidR="00E50AE1">
        <w:t>a date is noted for reference</w:t>
      </w:r>
      <w:r w:rsidR="00BF6AF3">
        <w:t xml:space="preserve">, </w:t>
      </w:r>
      <w:r w:rsidR="008D7701">
        <w:t>502 CE</w:t>
      </w:r>
      <w:r w:rsidR="00E50AE1">
        <w:t>.</w:t>
      </w:r>
      <w:r w:rsidR="00BF6AF3">
        <w:rPr>
          <w:rStyle w:val="FootnoteReference"/>
        </w:rPr>
        <w:footnoteReference w:id="9"/>
      </w:r>
      <w:r w:rsidR="00E50AE1">
        <w:t xml:space="preserve">  </w:t>
      </w:r>
      <w:r w:rsidR="008D7701">
        <w:t>One absorbs</w:t>
      </w:r>
      <w:r w:rsidR="00DA54EA">
        <w:t xml:space="preserve"> information easily and concisely </w:t>
      </w:r>
      <w:r w:rsidR="00BF6AF3">
        <w:t>and</w:t>
      </w:r>
      <w:r w:rsidR="00DA54EA">
        <w:t xml:space="preserve"> build</w:t>
      </w:r>
      <w:r w:rsidR="008D7701">
        <w:t>s</w:t>
      </w:r>
      <w:r w:rsidR="00DA54EA">
        <w:t xml:space="preserve"> a concept of Zoroastrian culture through an Iranian lens.  </w:t>
      </w:r>
      <w:r w:rsidR="002564D8">
        <w:t>Conversely, Liu and Huang</w:t>
      </w:r>
      <w:r w:rsidR="00226F56">
        <w:t xml:space="preserve"> </w:t>
      </w:r>
      <w:r w:rsidR="002564D8">
        <w:t>avoid distinc</w:t>
      </w:r>
      <w:r w:rsidR="00226F56">
        <w:t>tion</w:t>
      </w:r>
      <w:r w:rsidR="00DA54EA">
        <w:t>s</w:t>
      </w:r>
      <w:r w:rsidR="00226F56">
        <w:t xml:space="preserve"> of time</w:t>
      </w:r>
      <w:r w:rsidR="002564D8">
        <w:t xml:space="preserve">, instead choosing </w:t>
      </w:r>
      <w:r w:rsidR="00226F56">
        <w:t xml:space="preserve">to </w:t>
      </w:r>
      <w:r w:rsidR="00DA54EA">
        <w:t>us</w:t>
      </w:r>
      <w:r w:rsidR="00BF6AF3">
        <w:t>e</w:t>
      </w:r>
      <w:r w:rsidR="00DA54EA">
        <w:t xml:space="preserve"> </w:t>
      </w:r>
      <w:r w:rsidR="008D7701">
        <w:t xml:space="preserve">often folkloric language to tell of significant people, places, and events.  </w:t>
      </w:r>
      <w:r w:rsidR="00DA54EA">
        <w:t>The</w:t>
      </w:r>
      <w:r w:rsidR="00226F56">
        <w:t xml:space="preserve"> </w:t>
      </w:r>
      <w:r w:rsidR="00DA54EA">
        <w:t>use of</w:t>
      </w:r>
      <w:r w:rsidR="00226F56">
        <w:t xml:space="preserve"> phrases like ‘in time immemorial of the tribal ages’</w:t>
      </w:r>
      <w:r w:rsidR="00DA54EA">
        <w:t xml:space="preserve"> </w:t>
      </w:r>
      <w:r w:rsidR="008D7701">
        <w:t>not only evokes storytelling traditions, but is</w:t>
      </w:r>
      <w:r w:rsidR="00DA54EA">
        <w:t xml:space="preserve"> a</w:t>
      </w:r>
      <w:r w:rsidR="008D7701">
        <w:t>lso a</w:t>
      </w:r>
      <w:r w:rsidR="00DA54EA">
        <w:t xml:space="preserve"> reflection of the boundless time and space of </w:t>
      </w:r>
      <w:proofErr w:type="spellStart"/>
      <w:r w:rsidR="00DA54EA">
        <w:t>Tianxia</w:t>
      </w:r>
      <w:proofErr w:type="spellEnd"/>
      <w:r w:rsidR="0027641A">
        <w:t>’.</w:t>
      </w:r>
      <w:r w:rsidR="0027641A" w:rsidRPr="0027641A">
        <w:rPr>
          <w:rStyle w:val="FootnoteReference"/>
        </w:rPr>
        <w:t xml:space="preserve"> </w:t>
      </w:r>
      <w:r w:rsidR="0027641A">
        <w:rPr>
          <w:rStyle w:val="FootnoteReference"/>
        </w:rPr>
        <w:footnoteReference w:id="10"/>
      </w:r>
      <w:r w:rsidR="0027641A">
        <w:t xml:space="preserve">   It is </w:t>
      </w:r>
      <w:r w:rsidR="008D7701">
        <w:t>a</w:t>
      </w:r>
      <w:r w:rsidR="0027641A">
        <w:t xml:space="preserve"> kind of scholarly</w:t>
      </w:r>
      <w:r w:rsidR="008D7701">
        <w:t xml:space="preserve"> </w:t>
      </w:r>
      <w:proofErr w:type="spellStart"/>
      <w:r w:rsidR="008D7701">
        <w:t>meta</w:t>
      </w:r>
      <w:r w:rsidR="0027641A">
        <w:t>story</w:t>
      </w:r>
      <w:proofErr w:type="spellEnd"/>
      <w:r w:rsidR="00226F56">
        <w:t>.  In lieu of exact dates, stories are used to construct a</w:t>
      </w:r>
      <w:r w:rsidR="00DA54EA">
        <w:t xml:space="preserve"> </w:t>
      </w:r>
      <w:r w:rsidR="00E50AE1">
        <w:t>timeline</w:t>
      </w:r>
      <w:r w:rsidR="0027641A">
        <w:t xml:space="preserve"> and imbue a</w:t>
      </w:r>
      <w:r w:rsidR="00DA54EA">
        <w:t xml:space="preserve"> deeper sense of Chinese</w:t>
      </w:r>
      <w:r w:rsidR="00ED450D">
        <w:t xml:space="preserve"> </w:t>
      </w:r>
      <w:r w:rsidR="00DA54EA">
        <w:t>culture</w:t>
      </w:r>
      <w:r w:rsidR="008D7701">
        <w:t xml:space="preserve"> </w:t>
      </w:r>
      <w:r w:rsidR="00DA54EA">
        <w:t>and cosmology.</w:t>
      </w:r>
    </w:p>
    <w:p w14:paraId="359A7861" w14:textId="7B501E3A" w:rsidR="00C5351F" w:rsidRDefault="00BB1C4F" w:rsidP="003C65CD">
      <w:pPr>
        <w:ind w:firstLine="720"/>
      </w:pPr>
      <w:r>
        <w:t xml:space="preserve">These authors make intentional choices in </w:t>
      </w:r>
      <w:r w:rsidR="00C35232">
        <w:t xml:space="preserve">how </w:t>
      </w:r>
      <w:r>
        <w:t xml:space="preserve">they engage </w:t>
      </w:r>
      <w:r w:rsidR="00BB18CC">
        <w:t xml:space="preserve">with </w:t>
      </w:r>
      <w:r>
        <w:t>information</w:t>
      </w:r>
      <w:r w:rsidR="00C35232">
        <w:t xml:space="preserve"> and</w:t>
      </w:r>
      <w:r>
        <w:t xml:space="preserve"> writing</w:t>
      </w:r>
      <w:r w:rsidR="00D06FFC">
        <w:t xml:space="preserve"> styles</w:t>
      </w:r>
      <w:r w:rsidR="00C35232">
        <w:t xml:space="preserve"> – in how they</w:t>
      </w:r>
      <w:r w:rsidR="00D06FFC">
        <w:t xml:space="preserve"> interact with the reader.  Regardless of </w:t>
      </w:r>
      <w:r w:rsidR="00C35232">
        <w:t>the way</w:t>
      </w:r>
      <w:r w:rsidR="00D06FFC">
        <w:t xml:space="preserve"> information is conveyed, </w:t>
      </w:r>
      <w:r w:rsidR="0027641A">
        <w:t xml:space="preserve">the </w:t>
      </w:r>
      <w:r w:rsidR="00C35232">
        <w:t>evidence</w:t>
      </w:r>
      <w:r w:rsidR="005E3D19">
        <w:t xml:space="preserve"> and ideas throughout these articles reveal the heart of these authors’ </w:t>
      </w:r>
      <w:r w:rsidR="0027641A">
        <w:t xml:space="preserve">shared </w:t>
      </w:r>
      <w:r w:rsidR="005E3D19">
        <w:t xml:space="preserve">belief.  </w:t>
      </w:r>
      <w:r w:rsidR="00C5351F">
        <w:t>More thorough and empathetic cultural understanding</w:t>
      </w:r>
      <w:r w:rsidR="005E3D19">
        <w:t xml:space="preserve"> </w:t>
      </w:r>
      <w:r w:rsidR="00C5351F">
        <w:t>bridges the gaps of cultural ignorance in historical narratives, providing a more complete, inclusive, and accurate representation of historical events.</w:t>
      </w:r>
      <w:r w:rsidR="00DA54EA">
        <w:t xml:space="preserve"> </w:t>
      </w:r>
    </w:p>
    <w:p w14:paraId="56B1F0EC" w14:textId="03748074" w:rsidR="00BB18CC" w:rsidRDefault="00BB18CC" w:rsidP="003C65CD">
      <w:pPr>
        <w:ind w:firstLine="720"/>
      </w:pPr>
    </w:p>
    <w:p w14:paraId="27709924" w14:textId="25AFB9FE" w:rsidR="00BB18CC" w:rsidRDefault="00BB18CC" w:rsidP="003C65CD">
      <w:pPr>
        <w:ind w:firstLine="720"/>
      </w:pPr>
    </w:p>
    <w:p w14:paraId="617F1CCA" w14:textId="64805137" w:rsidR="00BB18CC" w:rsidRDefault="00BB18CC" w:rsidP="003C65CD">
      <w:pPr>
        <w:ind w:firstLine="720"/>
      </w:pPr>
    </w:p>
    <w:p w14:paraId="29B89109" w14:textId="28A0C8E2" w:rsidR="00BB18CC" w:rsidRDefault="00BB18CC" w:rsidP="003C65CD">
      <w:pPr>
        <w:ind w:firstLine="720"/>
      </w:pPr>
    </w:p>
    <w:p w14:paraId="3B474BEF" w14:textId="3938F4C1" w:rsidR="00BB18CC" w:rsidRDefault="00BB18CC" w:rsidP="003C65CD">
      <w:pPr>
        <w:ind w:firstLine="720"/>
      </w:pPr>
    </w:p>
    <w:p w14:paraId="59125D4A" w14:textId="3091BD2B" w:rsidR="00BB18CC" w:rsidRDefault="00BB18CC" w:rsidP="003C65CD">
      <w:pPr>
        <w:ind w:firstLine="720"/>
      </w:pPr>
    </w:p>
    <w:p w14:paraId="6212F9EE" w14:textId="0D0AFB1A" w:rsidR="00BB18CC" w:rsidRDefault="00BB18CC" w:rsidP="003C65CD">
      <w:pPr>
        <w:ind w:firstLine="720"/>
      </w:pPr>
    </w:p>
    <w:p w14:paraId="794FCD8A" w14:textId="058D10B6" w:rsidR="00BB18CC" w:rsidRDefault="00BB18CC" w:rsidP="003C65CD">
      <w:pPr>
        <w:ind w:firstLine="720"/>
      </w:pPr>
    </w:p>
    <w:p w14:paraId="0FC6C70C" w14:textId="57CEE249" w:rsidR="00BB18CC" w:rsidRDefault="00BB18CC" w:rsidP="003C65CD">
      <w:pPr>
        <w:ind w:firstLine="720"/>
      </w:pPr>
    </w:p>
    <w:p w14:paraId="36CBFCF0" w14:textId="4AB344AD" w:rsidR="00BB18CC" w:rsidRDefault="00BB18CC" w:rsidP="003C65CD">
      <w:pPr>
        <w:ind w:firstLine="720"/>
      </w:pPr>
    </w:p>
    <w:p w14:paraId="319FEE4C" w14:textId="77777777" w:rsidR="00CC52C2" w:rsidRDefault="00CC52C2" w:rsidP="00BB18CC">
      <w:pPr>
        <w:rPr>
          <w:b/>
        </w:rPr>
        <w:sectPr w:rsidR="00CC52C2" w:rsidSect="00CC52C2">
          <w:headerReference w:type="default" r:id="rId15"/>
          <w:headerReference w:type="first" r:id="rId16"/>
          <w:pgSz w:w="12240" w:h="15840"/>
          <w:pgMar w:top="1440" w:right="1440" w:bottom="1440" w:left="1440" w:header="576" w:footer="720" w:gutter="0"/>
          <w:pgNumType w:start="1"/>
          <w:cols w:space="720"/>
          <w:docGrid w:linePitch="360"/>
        </w:sectPr>
      </w:pPr>
    </w:p>
    <w:bookmarkEnd w:id="0"/>
    <w:p w14:paraId="5EB016DF" w14:textId="77777777" w:rsidR="00BF6AF3" w:rsidRDefault="00BF6AF3" w:rsidP="00BF6AF3">
      <w:pPr>
        <w:jc w:val="center"/>
        <w:rPr>
          <w:b/>
        </w:rPr>
      </w:pPr>
      <w:r>
        <w:rPr>
          <w:b/>
        </w:rPr>
        <w:lastRenderedPageBreak/>
        <w:t>Bibliography</w:t>
      </w:r>
    </w:p>
    <w:p w14:paraId="246A6458" w14:textId="77777777" w:rsidR="00BF6AF3" w:rsidRPr="00BB18CC" w:rsidRDefault="00BF6AF3" w:rsidP="00BF6AF3">
      <w:pPr>
        <w:rPr>
          <w:b/>
        </w:rPr>
      </w:pPr>
      <w:r w:rsidRPr="00BB18CC">
        <w:rPr>
          <w:b/>
        </w:rPr>
        <w:t>JSTOR Papers</w:t>
      </w:r>
    </w:p>
    <w:p w14:paraId="20985D10" w14:textId="77777777" w:rsidR="00BF6AF3" w:rsidRDefault="00BF6AF3" w:rsidP="00BF6AF3">
      <w:proofErr w:type="spellStart"/>
      <w:r w:rsidRPr="00E720C5">
        <w:t>Junping</w:t>
      </w:r>
      <w:proofErr w:type="spellEnd"/>
      <w:r w:rsidRPr="00E720C5">
        <w:t xml:space="preserve"> Liu and </w:t>
      </w:r>
      <w:proofErr w:type="spellStart"/>
      <w:r w:rsidRPr="00E720C5">
        <w:t>Deyuan</w:t>
      </w:r>
      <w:proofErr w:type="spellEnd"/>
      <w:r w:rsidRPr="00E720C5">
        <w:t xml:space="preserve"> Huang, </w:t>
      </w:r>
      <w:r>
        <w:t>“</w:t>
      </w:r>
      <w:r w:rsidRPr="00E720C5">
        <w:t xml:space="preserve">The Evolution of </w:t>
      </w:r>
      <w:proofErr w:type="spellStart"/>
      <w:r w:rsidRPr="00E720C5">
        <w:t>Tianxia</w:t>
      </w:r>
      <w:proofErr w:type="spellEnd"/>
      <w:r w:rsidRPr="00E720C5">
        <w:t xml:space="preserve"> Cosmology and Its Philosophical Implications</w:t>
      </w:r>
      <w:r>
        <w:t>”</w:t>
      </w:r>
      <w:r w:rsidRPr="00E720C5">
        <w:t xml:space="preserve">, </w:t>
      </w:r>
      <w:r w:rsidRPr="00BB18CC">
        <w:rPr>
          <w:i/>
        </w:rPr>
        <w:t>Frontiers of Philosophy in China</w:t>
      </w:r>
      <w:r w:rsidRPr="00E720C5">
        <w:t>, Vol. 1, No. 4 (Dec., 2006), pp. 517-538</w:t>
      </w:r>
    </w:p>
    <w:p w14:paraId="1036E12B" w14:textId="77777777" w:rsidR="00BF6AF3" w:rsidRDefault="00BF6AF3" w:rsidP="00BF6AF3">
      <w:r w:rsidRPr="00E720C5">
        <w:t xml:space="preserve">Richard Payne, </w:t>
      </w:r>
      <w:r>
        <w:t>“</w:t>
      </w:r>
      <w:r w:rsidRPr="00E720C5">
        <w:t>Cosmology and the Expansion of the Iranian Empire, 502-628 CE</w:t>
      </w:r>
      <w:r>
        <w:t>”</w:t>
      </w:r>
      <w:r w:rsidRPr="00E720C5">
        <w:t xml:space="preserve">, </w:t>
      </w:r>
      <w:r w:rsidRPr="00BB18CC">
        <w:rPr>
          <w:i/>
        </w:rPr>
        <w:t>Past &amp; Present</w:t>
      </w:r>
      <w:r w:rsidRPr="00E720C5">
        <w:t>, No. 220 (August 2013), pp 3-33</w:t>
      </w:r>
    </w:p>
    <w:p w14:paraId="2468E47F" w14:textId="77777777" w:rsidR="00BF6AF3" w:rsidRPr="00BB18CC" w:rsidRDefault="00BF6AF3" w:rsidP="00BF6AF3">
      <w:pPr>
        <w:rPr>
          <w:b/>
        </w:rPr>
      </w:pPr>
      <w:r w:rsidRPr="00BB18CC">
        <w:rPr>
          <w:b/>
        </w:rPr>
        <w:t>Secondary Sources</w:t>
      </w:r>
    </w:p>
    <w:p w14:paraId="6712A69D" w14:textId="77777777" w:rsidR="00BF6AF3" w:rsidRPr="00E720C5" w:rsidRDefault="00BF6AF3" w:rsidP="00BF6AF3">
      <w:r>
        <w:t>Eagleton, Terry</w:t>
      </w:r>
      <w:r w:rsidRPr="00BB18CC">
        <w:rPr>
          <w:i/>
        </w:rPr>
        <w:t>, The Idea of Culture</w:t>
      </w:r>
      <w:r>
        <w:t>, Blackwell Publishers Ltd., 2000.</w:t>
      </w:r>
    </w:p>
    <w:p w14:paraId="35AA9F12" w14:textId="5A5EF3B3" w:rsidR="00BB18CC" w:rsidRPr="00E720C5" w:rsidRDefault="00BB18CC" w:rsidP="00BF6AF3"/>
    <w:sectPr w:rsidR="00BB18CC" w:rsidRPr="00E720C5" w:rsidSect="00CC52C2">
      <w:headerReference w:type="default" r:id="rId17"/>
      <w:pgSz w:w="12240" w:h="15840"/>
      <w:pgMar w:top="1440" w:right="1440" w:bottom="1440" w:left="1440" w:header="576"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2BF45" w14:textId="77777777" w:rsidR="000902CC" w:rsidRDefault="000902CC" w:rsidP="00C66078">
      <w:pPr>
        <w:spacing w:after="0" w:line="240" w:lineRule="auto"/>
      </w:pPr>
      <w:r>
        <w:separator/>
      </w:r>
    </w:p>
  </w:endnote>
  <w:endnote w:type="continuationSeparator" w:id="0">
    <w:p w14:paraId="4B379009" w14:textId="77777777" w:rsidR="000902CC" w:rsidRDefault="000902CC" w:rsidP="00C66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81B24B" w14:textId="75D69707" w:rsidR="00BB18CC" w:rsidRDefault="00BB18CC">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19F9EC" w14:textId="77777777" w:rsidR="00353286" w:rsidRDefault="00353286" w:rsidP="00353286">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5378F" w14:textId="77777777" w:rsidR="00353286" w:rsidRDefault="00353286">
    <w:pPr>
      <w:pStyle w:val="Footer"/>
    </w:pPr>
    <w:r>
      <w:tab/>
    </w: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CA678" w14:textId="77777777" w:rsidR="00353286" w:rsidRDefault="00353286" w:rsidP="0035328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A8053" w14:textId="77777777" w:rsidR="000902CC" w:rsidRDefault="000902CC" w:rsidP="00C66078">
      <w:pPr>
        <w:spacing w:after="0" w:line="240" w:lineRule="auto"/>
      </w:pPr>
      <w:r>
        <w:separator/>
      </w:r>
    </w:p>
  </w:footnote>
  <w:footnote w:type="continuationSeparator" w:id="0">
    <w:p w14:paraId="0C2A15A0" w14:textId="77777777" w:rsidR="000902CC" w:rsidRDefault="000902CC" w:rsidP="00C66078">
      <w:pPr>
        <w:spacing w:after="0" w:line="240" w:lineRule="auto"/>
      </w:pPr>
      <w:r>
        <w:continuationSeparator/>
      </w:r>
    </w:p>
  </w:footnote>
  <w:footnote w:id="1">
    <w:p w14:paraId="102C229D" w14:textId="7CFF7D77" w:rsidR="0089203F" w:rsidRDefault="0089203F" w:rsidP="0089203F">
      <w:pPr>
        <w:pStyle w:val="FootnoteText"/>
        <w:ind w:firstLine="720"/>
      </w:pPr>
      <w:r>
        <w:rPr>
          <w:rStyle w:val="FootnoteReference"/>
        </w:rPr>
        <w:footnoteRef/>
      </w:r>
      <w:r>
        <w:t xml:space="preserve"> </w:t>
      </w:r>
      <w:r w:rsidRPr="00E720C5">
        <w:t>Payne,</w:t>
      </w:r>
      <w:r>
        <w:t xml:space="preserve"> </w:t>
      </w:r>
      <w:r w:rsidRPr="00E720C5">
        <w:t>Richard</w:t>
      </w:r>
      <w:r>
        <w:t>,</w:t>
      </w:r>
      <w:r w:rsidRPr="00E720C5">
        <w:t xml:space="preserve"> </w:t>
      </w:r>
      <w:r w:rsidR="00DE2784">
        <w:t>‘</w:t>
      </w:r>
      <w:r w:rsidRPr="00E720C5">
        <w:t>Cosmology and the Expansion of the Iranian Empire, 502-628 CE</w:t>
      </w:r>
      <w:r w:rsidR="00DE2784">
        <w:t>’,</w:t>
      </w:r>
      <w:r w:rsidRPr="00E720C5">
        <w:t xml:space="preserve"> Past &amp; Present, No. 220 (August 2013),</w:t>
      </w:r>
      <w:r>
        <w:t xml:space="preserve"> p 10. </w:t>
      </w:r>
    </w:p>
  </w:footnote>
  <w:footnote w:id="2">
    <w:p w14:paraId="683E2A01" w14:textId="5981E09B" w:rsidR="008F6C23" w:rsidRDefault="008F6C23" w:rsidP="008F6C23">
      <w:pPr>
        <w:pStyle w:val="FootnoteText"/>
        <w:ind w:firstLine="720"/>
      </w:pPr>
      <w:r>
        <w:rPr>
          <w:rStyle w:val="FootnoteReference"/>
        </w:rPr>
        <w:footnoteRef/>
      </w:r>
      <w:r>
        <w:t xml:space="preserve"> </w:t>
      </w:r>
      <w:r w:rsidRPr="00E720C5">
        <w:t>Payne,</w:t>
      </w:r>
      <w:r>
        <w:t xml:space="preserve"> </w:t>
      </w:r>
      <w:r w:rsidRPr="00E720C5">
        <w:t>Richard</w:t>
      </w:r>
      <w:r>
        <w:t>,</w:t>
      </w:r>
      <w:r w:rsidRPr="00E720C5">
        <w:t xml:space="preserve"> </w:t>
      </w:r>
      <w:r w:rsidR="00DE2784">
        <w:t>‘</w:t>
      </w:r>
      <w:r w:rsidRPr="00E720C5">
        <w:t>Expansion of the Iranian Empire</w:t>
      </w:r>
      <w:r w:rsidR="00DE2784">
        <w:t>’</w:t>
      </w:r>
      <w:r w:rsidRPr="00E720C5">
        <w:t xml:space="preserve">, </w:t>
      </w:r>
      <w:r>
        <w:t>p 8.</w:t>
      </w:r>
    </w:p>
  </w:footnote>
  <w:footnote w:id="3">
    <w:p w14:paraId="1184706A" w14:textId="015E7DEC" w:rsidR="009E6110" w:rsidRDefault="009E6110" w:rsidP="009E6110">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 xml:space="preserve">, </w:t>
      </w:r>
      <w:r w:rsidR="00DE2784">
        <w:t>‘</w:t>
      </w:r>
      <w:r w:rsidR="0053393F" w:rsidRPr="00A1754F">
        <w:t xml:space="preserve">The Evolution of </w:t>
      </w:r>
      <w:proofErr w:type="spellStart"/>
      <w:r w:rsidR="0053393F" w:rsidRPr="00A1754F">
        <w:t>Tianxia</w:t>
      </w:r>
      <w:proofErr w:type="spellEnd"/>
      <w:r w:rsidR="0053393F" w:rsidRPr="00A1754F">
        <w:t xml:space="preserve"> Cosmology and Its Philosophical Implications</w:t>
      </w:r>
      <w:r w:rsidR="00DE2784">
        <w:t>’</w:t>
      </w:r>
      <w:r w:rsidR="0053393F">
        <w:t xml:space="preserve">, </w:t>
      </w:r>
      <w:r w:rsidR="0053393F" w:rsidRPr="00A1754F">
        <w:rPr>
          <w:i/>
        </w:rPr>
        <w:t>Frontiers of Philosophy in China</w:t>
      </w:r>
      <w:r w:rsidR="0053393F" w:rsidRPr="00E720C5">
        <w:t>, Vol. 1, No. 4 (Dec., 2006</w:t>
      </w:r>
      <w:r w:rsidR="0053393F">
        <w:t xml:space="preserve">), </w:t>
      </w:r>
      <w:r>
        <w:t xml:space="preserve">p 524-25. </w:t>
      </w:r>
    </w:p>
  </w:footnote>
  <w:footnote w:id="4">
    <w:p w14:paraId="73254ED5" w14:textId="5288D4E4" w:rsidR="009E6110" w:rsidRPr="00285B49" w:rsidRDefault="009E6110" w:rsidP="009E6110">
      <w:pPr>
        <w:pStyle w:val="FootnoteText"/>
        <w:ind w:firstLine="720"/>
      </w:pPr>
      <w:r>
        <w:rPr>
          <w:rStyle w:val="FootnoteReference"/>
        </w:rPr>
        <w:footnoteRef/>
      </w:r>
      <w:r>
        <w:t xml:space="preserve"> </w:t>
      </w:r>
      <w:r w:rsidRPr="009E6110">
        <w:rPr>
          <w:i/>
        </w:rPr>
        <w:t>Ibid</w:t>
      </w:r>
      <w:r>
        <w:rPr>
          <w:i/>
        </w:rPr>
        <w:t>.</w:t>
      </w:r>
      <w:r w:rsidR="00285B49">
        <w:rPr>
          <w:i/>
        </w:rPr>
        <w:t xml:space="preserve"> </w:t>
      </w:r>
      <w:r w:rsidR="005C032A">
        <w:t>525</w:t>
      </w:r>
    </w:p>
  </w:footnote>
  <w:footnote w:id="5">
    <w:p w14:paraId="4284A208" w14:textId="7851A14A" w:rsidR="0015119B" w:rsidRDefault="0015119B" w:rsidP="0015119B">
      <w:pPr>
        <w:pStyle w:val="FootnoteText"/>
        <w:ind w:firstLine="720"/>
      </w:pPr>
      <w:r>
        <w:rPr>
          <w:rStyle w:val="FootnoteReference"/>
        </w:rPr>
        <w:footnoteRef/>
      </w:r>
      <w:r>
        <w:t xml:space="preserve"> Payne, Richard, </w:t>
      </w:r>
      <w:r w:rsidR="00DE2784">
        <w:t>‘</w:t>
      </w:r>
      <w:r w:rsidRPr="00E720C5">
        <w:t>Expansion of the Iranian Empire</w:t>
      </w:r>
      <w:r w:rsidR="00DE2784">
        <w:t>’</w:t>
      </w:r>
      <w:r>
        <w:t>, p 12.</w:t>
      </w:r>
    </w:p>
  </w:footnote>
  <w:footnote w:id="6">
    <w:p w14:paraId="79365BBE" w14:textId="7FC76243" w:rsidR="00A32F0B" w:rsidRDefault="00A32F0B" w:rsidP="00A32F0B">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w:t>
      </w:r>
      <w:r w:rsidR="0053393F" w:rsidRPr="0053393F">
        <w:t xml:space="preserve"> </w:t>
      </w:r>
      <w:r w:rsidR="00DE2784">
        <w:t>‘</w:t>
      </w:r>
      <w:r w:rsidR="0053393F">
        <w:t xml:space="preserve">Evolution of </w:t>
      </w:r>
      <w:proofErr w:type="spellStart"/>
      <w:r w:rsidR="0053393F">
        <w:t>Tianxia</w:t>
      </w:r>
      <w:proofErr w:type="spellEnd"/>
      <w:r w:rsidR="0053393F">
        <w:t xml:space="preserve"> Cosmology</w:t>
      </w:r>
      <w:r w:rsidR="00DE2784">
        <w:t>’</w:t>
      </w:r>
      <w:r>
        <w:t>, p 517.</w:t>
      </w:r>
    </w:p>
  </w:footnote>
  <w:footnote w:id="7">
    <w:p w14:paraId="356A890D" w14:textId="77777777" w:rsidR="00A32F0B" w:rsidRDefault="00A32F0B" w:rsidP="00A32F0B">
      <w:pPr>
        <w:pStyle w:val="FootnoteText"/>
        <w:ind w:firstLine="720"/>
      </w:pPr>
      <w:r>
        <w:rPr>
          <w:rStyle w:val="FootnoteReference"/>
        </w:rPr>
        <w:footnoteRef/>
      </w:r>
      <w:r>
        <w:t xml:space="preserve"> Eagleton, Terry, </w:t>
      </w:r>
      <w:r w:rsidRPr="001E7885">
        <w:rPr>
          <w:i/>
        </w:rPr>
        <w:t>The Idea of Culture</w:t>
      </w:r>
      <w:r>
        <w:t>, Blackwell Publishers Ltd (2000), p 1.</w:t>
      </w:r>
    </w:p>
  </w:footnote>
  <w:footnote w:id="8">
    <w:p w14:paraId="393DA240" w14:textId="61A5BF0E" w:rsidR="0053393F" w:rsidRDefault="0053393F" w:rsidP="0053393F">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 xml:space="preserve">, </w:t>
      </w:r>
      <w:r w:rsidR="00DE2784">
        <w:t>‘</w:t>
      </w:r>
      <w:r>
        <w:t xml:space="preserve">Evolution of </w:t>
      </w:r>
      <w:proofErr w:type="spellStart"/>
      <w:r>
        <w:t>Tianxia</w:t>
      </w:r>
      <w:proofErr w:type="spellEnd"/>
      <w:r>
        <w:t xml:space="preserve"> Cosmology</w:t>
      </w:r>
      <w:r w:rsidR="00DE2784">
        <w:t>’</w:t>
      </w:r>
      <w:r>
        <w:t>, p 517.</w:t>
      </w:r>
    </w:p>
  </w:footnote>
  <w:footnote w:id="9">
    <w:p w14:paraId="3B54C2C8" w14:textId="279F60C2" w:rsidR="00BF6AF3" w:rsidRDefault="00BF6AF3" w:rsidP="00BF6AF3">
      <w:pPr>
        <w:pStyle w:val="FootnoteText"/>
        <w:ind w:firstLine="720"/>
      </w:pPr>
      <w:r>
        <w:rPr>
          <w:rStyle w:val="FootnoteReference"/>
        </w:rPr>
        <w:footnoteRef/>
      </w:r>
      <w:r>
        <w:t xml:space="preserve"> Payne, Richard,  </w:t>
      </w:r>
      <w:r w:rsidR="00DE2784">
        <w:t>‘</w:t>
      </w:r>
      <w:r w:rsidRPr="00E720C5">
        <w:t>Expansion of the Iranian Empire</w:t>
      </w:r>
      <w:r w:rsidR="00DE2784">
        <w:t>’</w:t>
      </w:r>
      <w:r>
        <w:t>, p 3.</w:t>
      </w:r>
    </w:p>
  </w:footnote>
  <w:footnote w:id="10">
    <w:p w14:paraId="56E5DA98" w14:textId="77E917F5" w:rsidR="0027641A" w:rsidRPr="00BB18CC" w:rsidRDefault="0027641A" w:rsidP="0027641A">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 xml:space="preserve">, </w:t>
      </w:r>
      <w:r w:rsidR="00DE2784">
        <w:t>‘</w:t>
      </w:r>
      <w:r>
        <w:t xml:space="preserve">Evolution of </w:t>
      </w:r>
      <w:proofErr w:type="spellStart"/>
      <w:r>
        <w:t>Tianxia</w:t>
      </w:r>
      <w:proofErr w:type="spellEnd"/>
      <w:r>
        <w:t xml:space="preserve"> Cosmology</w:t>
      </w:r>
      <w:r w:rsidR="00DE2784">
        <w:t>’</w:t>
      </w:r>
      <w:r>
        <w:t xml:space="preserve">, </w:t>
      </w:r>
      <w:r w:rsidRPr="00226F56">
        <w:t>p 520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FF48D" w14:textId="44E10544" w:rsidR="00353286" w:rsidRDefault="00353286" w:rsidP="00353286">
    <w:pPr>
      <w:pStyle w:val="Header"/>
      <w:tabs>
        <w:tab w:val="clear" w:pos="4680"/>
        <w:tab w:val="clear" w:pos="9360"/>
        <w:tab w:val="left" w:pos="2445"/>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B6A011" w14:textId="7B0E2D90" w:rsidR="00353286" w:rsidRDefault="00353286">
    <w:pPr>
      <w:pStyle w:val="Header"/>
    </w:pPr>
    <w:r>
      <w:t>Kim Harrer 1814389</w:t>
    </w:r>
    <w:r>
      <w:tab/>
    </w:r>
    <w:r>
      <w:tab/>
      <w:t xml:space="preserve">page </w:t>
    </w:r>
    <w:r w:rsidR="00CC52C2">
      <w:t>2</w:t>
    </w:r>
    <w:r>
      <w:t xml:space="preserve"> of </w:t>
    </w:r>
    <w:r w:rsidR="00E27FAA">
      <w:t>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A9D51" w14:textId="09DA3347" w:rsidR="00353286" w:rsidRDefault="00E27FAA" w:rsidP="00353286">
    <w:pPr>
      <w:pStyle w:val="Header"/>
      <w:tabs>
        <w:tab w:val="clear" w:pos="4680"/>
        <w:tab w:val="clear" w:pos="9360"/>
        <w:tab w:val="left" w:pos="2445"/>
      </w:tabs>
    </w:pPr>
    <w:r>
      <w:t>Kim Harrer 1814389</w:t>
    </w:r>
    <w:r>
      <w:ptab w:relativeTo="margin" w:alignment="center" w:leader="none"/>
    </w:r>
    <w:r>
      <w:ptab w:relativeTo="margin" w:alignment="right" w:leader="none"/>
    </w:r>
    <w:r>
      <w:t>page 1 of 3</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E6CEC7" w14:textId="429DC048" w:rsidR="00CC52C2" w:rsidRDefault="00CC52C2">
    <w:pPr>
      <w:pStyle w:val="Header"/>
    </w:pPr>
    <w:r>
      <w:t>Kim Harrer 1814389</w:t>
    </w:r>
    <w:r>
      <w:tab/>
    </w:r>
    <w:r>
      <w:tab/>
      <w:t xml:space="preserve">page 3 of </w:t>
    </w:r>
    <w:r w:rsidR="00E27FAA">
      <w:t>4</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7A4F4" w14:textId="77777777" w:rsidR="00CC52C2" w:rsidRDefault="00CC52C2" w:rsidP="00353286">
    <w:pPr>
      <w:pStyle w:val="Header"/>
      <w:tabs>
        <w:tab w:val="clear" w:pos="4680"/>
        <w:tab w:val="clear" w:pos="9360"/>
        <w:tab w:val="left" w:pos="2445"/>
      </w:tabs>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EC401" w14:textId="79889FF4" w:rsidR="00CC52C2" w:rsidRDefault="00E27FAA">
    <w:pPr>
      <w:pStyle w:val="Header"/>
    </w:pPr>
    <w:r>
      <w:t>Kim Harrer 1814389</w:t>
    </w:r>
    <w:r>
      <w:ptab w:relativeTo="margin" w:alignment="center" w:leader="none"/>
    </w:r>
    <w:r>
      <w:ptab w:relativeTo="margin" w:alignment="right" w:leader="none"/>
    </w:r>
    <w:r>
      <w:t>page 4 of 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8D8"/>
    <w:rsid w:val="00022BD6"/>
    <w:rsid w:val="00035605"/>
    <w:rsid w:val="00076FE7"/>
    <w:rsid w:val="000902CC"/>
    <w:rsid w:val="00093B91"/>
    <w:rsid w:val="000C27B3"/>
    <w:rsid w:val="000D1A78"/>
    <w:rsid w:val="000E7D75"/>
    <w:rsid w:val="00100BF6"/>
    <w:rsid w:val="0015119B"/>
    <w:rsid w:val="00155E5F"/>
    <w:rsid w:val="001964F2"/>
    <w:rsid w:val="001C0047"/>
    <w:rsid w:val="001E099F"/>
    <w:rsid w:val="001E7885"/>
    <w:rsid w:val="00226F56"/>
    <w:rsid w:val="002564D8"/>
    <w:rsid w:val="0027641A"/>
    <w:rsid w:val="00285B49"/>
    <w:rsid w:val="00296A46"/>
    <w:rsid w:val="00297F0B"/>
    <w:rsid w:val="002B1E45"/>
    <w:rsid w:val="002C04B9"/>
    <w:rsid w:val="00300CB1"/>
    <w:rsid w:val="00353286"/>
    <w:rsid w:val="0035559C"/>
    <w:rsid w:val="0037590D"/>
    <w:rsid w:val="00381A10"/>
    <w:rsid w:val="00381CCD"/>
    <w:rsid w:val="003C168E"/>
    <w:rsid w:val="003C65CD"/>
    <w:rsid w:val="003C7802"/>
    <w:rsid w:val="003D1A55"/>
    <w:rsid w:val="004266EA"/>
    <w:rsid w:val="004350E2"/>
    <w:rsid w:val="00476259"/>
    <w:rsid w:val="004800FF"/>
    <w:rsid w:val="004B1955"/>
    <w:rsid w:val="004D3ADC"/>
    <w:rsid w:val="004E49EC"/>
    <w:rsid w:val="0051252E"/>
    <w:rsid w:val="005208D9"/>
    <w:rsid w:val="00530C2E"/>
    <w:rsid w:val="0053393F"/>
    <w:rsid w:val="005446DD"/>
    <w:rsid w:val="00547AC1"/>
    <w:rsid w:val="005840AB"/>
    <w:rsid w:val="005C032A"/>
    <w:rsid w:val="005E3D19"/>
    <w:rsid w:val="0062345E"/>
    <w:rsid w:val="006278FA"/>
    <w:rsid w:val="006A17CC"/>
    <w:rsid w:val="00724E76"/>
    <w:rsid w:val="00726466"/>
    <w:rsid w:val="00742C82"/>
    <w:rsid w:val="00750C34"/>
    <w:rsid w:val="007D5FDE"/>
    <w:rsid w:val="008056E4"/>
    <w:rsid w:val="00805FC3"/>
    <w:rsid w:val="0080657E"/>
    <w:rsid w:val="0089203F"/>
    <w:rsid w:val="008D7701"/>
    <w:rsid w:val="008F6C23"/>
    <w:rsid w:val="0098410E"/>
    <w:rsid w:val="00993257"/>
    <w:rsid w:val="009B63B6"/>
    <w:rsid w:val="009E3732"/>
    <w:rsid w:val="009E6110"/>
    <w:rsid w:val="009F0EDB"/>
    <w:rsid w:val="00A1754F"/>
    <w:rsid w:val="00A27EC8"/>
    <w:rsid w:val="00A32F0B"/>
    <w:rsid w:val="00A47CE2"/>
    <w:rsid w:val="00A576A3"/>
    <w:rsid w:val="00A65B54"/>
    <w:rsid w:val="00AB2C61"/>
    <w:rsid w:val="00AF436F"/>
    <w:rsid w:val="00B078D3"/>
    <w:rsid w:val="00B94A4A"/>
    <w:rsid w:val="00BB18CC"/>
    <w:rsid w:val="00BB1C4F"/>
    <w:rsid w:val="00BD1B00"/>
    <w:rsid w:val="00BE219A"/>
    <w:rsid w:val="00BE4777"/>
    <w:rsid w:val="00BF6AF3"/>
    <w:rsid w:val="00C02BBC"/>
    <w:rsid w:val="00C04B1C"/>
    <w:rsid w:val="00C35232"/>
    <w:rsid w:val="00C5351F"/>
    <w:rsid w:val="00C66078"/>
    <w:rsid w:val="00C87E83"/>
    <w:rsid w:val="00CC52C2"/>
    <w:rsid w:val="00CF0D80"/>
    <w:rsid w:val="00CF4391"/>
    <w:rsid w:val="00D06FFC"/>
    <w:rsid w:val="00D24204"/>
    <w:rsid w:val="00D43E6E"/>
    <w:rsid w:val="00D53B05"/>
    <w:rsid w:val="00DA54EA"/>
    <w:rsid w:val="00DB373A"/>
    <w:rsid w:val="00DE2784"/>
    <w:rsid w:val="00DF22C1"/>
    <w:rsid w:val="00DF78D8"/>
    <w:rsid w:val="00E0122B"/>
    <w:rsid w:val="00E27FAA"/>
    <w:rsid w:val="00E50AE1"/>
    <w:rsid w:val="00E720C5"/>
    <w:rsid w:val="00E80D26"/>
    <w:rsid w:val="00EA1A71"/>
    <w:rsid w:val="00EC26A1"/>
    <w:rsid w:val="00EC5608"/>
    <w:rsid w:val="00ED450D"/>
    <w:rsid w:val="00ED6034"/>
    <w:rsid w:val="00F16D05"/>
    <w:rsid w:val="00FB08BC"/>
    <w:rsid w:val="00FD2A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F06147"/>
  <w15:chartTrackingRefBased/>
  <w15:docId w15:val="{BD2F509D-4AE3-4821-8DFB-18D9AFA84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semiHidden/>
    <w:unhideWhenUsed/>
    <w:qFormat/>
    <w:rsid w:val="00022BD6"/>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720C5"/>
    <w:pPr>
      <w:spacing w:after="0" w:line="240" w:lineRule="auto"/>
    </w:pPr>
  </w:style>
  <w:style w:type="paragraph" w:styleId="FootnoteText">
    <w:name w:val="footnote text"/>
    <w:basedOn w:val="Normal"/>
    <w:link w:val="FootnoteTextChar"/>
    <w:uiPriority w:val="99"/>
    <w:semiHidden/>
    <w:unhideWhenUsed/>
    <w:rsid w:val="00C660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6078"/>
    <w:rPr>
      <w:sz w:val="20"/>
      <w:szCs w:val="20"/>
    </w:rPr>
  </w:style>
  <w:style w:type="character" w:styleId="FootnoteReference">
    <w:name w:val="footnote reference"/>
    <w:basedOn w:val="DefaultParagraphFont"/>
    <w:uiPriority w:val="99"/>
    <w:semiHidden/>
    <w:unhideWhenUsed/>
    <w:rsid w:val="00C66078"/>
    <w:rPr>
      <w:vertAlign w:val="superscript"/>
    </w:rPr>
  </w:style>
  <w:style w:type="paragraph" w:styleId="Header">
    <w:name w:val="header"/>
    <w:basedOn w:val="Normal"/>
    <w:link w:val="HeaderChar"/>
    <w:uiPriority w:val="99"/>
    <w:unhideWhenUsed/>
    <w:rsid w:val="00BB18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8CC"/>
  </w:style>
  <w:style w:type="paragraph" w:styleId="Footer">
    <w:name w:val="footer"/>
    <w:basedOn w:val="Normal"/>
    <w:link w:val="FooterChar"/>
    <w:uiPriority w:val="99"/>
    <w:unhideWhenUsed/>
    <w:rsid w:val="00BB18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8CC"/>
  </w:style>
  <w:style w:type="character" w:customStyle="1" w:styleId="i">
    <w:name w:val="i"/>
    <w:basedOn w:val="DefaultParagraphFont"/>
    <w:rsid w:val="00BB18CC"/>
  </w:style>
  <w:style w:type="character" w:customStyle="1" w:styleId="Heading3Char">
    <w:name w:val="Heading 3 Char"/>
    <w:basedOn w:val="DefaultParagraphFont"/>
    <w:link w:val="Heading3"/>
    <w:semiHidden/>
    <w:rsid w:val="00022BD6"/>
    <w:rPr>
      <w:rFonts w:ascii="Tahoma" w:eastAsia="Times New Roman" w:hAnsi="Tahoma" w:cs="Tahoma"/>
      <w:b/>
      <w:bCs/>
      <w:sz w:val="20"/>
      <w:szCs w:val="20"/>
      <w:lang w:val="en-GB" w:eastAsia="zh-CN"/>
    </w:rPr>
  </w:style>
  <w:style w:type="paragraph" w:styleId="NormalWeb">
    <w:name w:val="Normal (Web)"/>
    <w:basedOn w:val="Normal"/>
    <w:unhideWhenUsed/>
    <w:rsid w:val="00022BD6"/>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022B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BD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173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A7BB8-780F-47C4-8DB9-6C3445593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1475</TotalTime>
  <Pages>8</Pages>
  <Words>1668</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dc:description/>
  <cp:lastModifiedBy>Kim Harrer</cp:lastModifiedBy>
  <cp:revision>9</cp:revision>
  <dcterms:created xsi:type="dcterms:W3CDTF">2019-03-09T16:46:00Z</dcterms:created>
  <dcterms:modified xsi:type="dcterms:W3CDTF">2019-03-18T01:29:00Z</dcterms:modified>
</cp:coreProperties>
</file>