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5E0E63F9" w:rsidR="004E568D"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w:t>
      </w:r>
      <w:proofErr w:type="gramStart"/>
      <w:r w:rsidRPr="0033182A">
        <w:rPr>
          <w:rFonts w:ascii="Arial" w:hAnsi="Arial" w:cs="Arial"/>
          <w:sz w:val="24"/>
          <w:lang w:val="en-US" w:eastAsia="en-US"/>
        </w:rPr>
        <w:t>require</w:t>
      </w:r>
      <w:proofErr w:type="gramEnd"/>
      <w:r w:rsidRPr="0033182A">
        <w:rPr>
          <w:rFonts w:ascii="Arial" w:hAnsi="Arial" w:cs="Arial"/>
          <w:sz w:val="24"/>
          <w:lang w:val="en-US" w:eastAsia="en-US"/>
        </w:rPr>
        <w:t xml:space="preserv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691E4197" w14:textId="48C71A8B" w:rsidR="0011019F" w:rsidRDefault="0011019F" w:rsidP="00C319EB">
      <w:pPr>
        <w:rPr>
          <w:rFonts w:ascii="Arial" w:hAnsi="Arial" w:cs="Arial"/>
          <w:sz w:val="22"/>
          <w:lang w:val="en-US" w:eastAsia="en-US"/>
        </w:rPr>
      </w:pPr>
    </w:p>
    <w:p w14:paraId="260F577D" w14:textId="13C7BD85" w:rsidR="00FC26A9" w:rsidRDefault="00F15757" w:rsidP="00C319EB">
      <w:p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IP addresses are used</w:t>
      </w:r>
      <w:r w:rsidR="0071561A" w:rsidRPr="00FC26A9">
        <w:rPr>
          <w:rFonts w:ascii="Arial" w:hAnsi="Arial" w:cs="Arial"/>
          <w:color w:val="4F6228" w:themeColor="accent3" w:themeShade="80"/>
          <w:sz w:val="22"/>
          <w:lang w:val="en-US" w:eastAsia="en-US"/>
        </w:rPr>
        <w:t xml:space="preserve"> to send and receive data over a network.  </w:t>
      </w:r>
      <w:r w:rsidR="00FC26A9">
        <w:rPr>
          <w:rFonts w:ascii="Arial" w:hAnsi="Arial" w:cs="Arial"/>
          <w:color w:val="4F6228" w:themeColor="accent3" w:themeShade="80"/>
          <w:sz w:val="22"/>
          <w:lang w:val="en-US" w:eastAsia="en-US"/>
        </w:rPr>
        <w:t xml:space="preserve">The Internet Protocol (IP) is one </w:t>
      </w:r>
      <w:r w:rsidR="0089101E">
        <w:rPr>
          <w:rFonts w:ascii="Arial" w:hAnsi="Arial" w:cs="Arial"/>
          <w:color w:val="4F6228" w:themeColor="accent3" w:themeShade="80"/>
          <w:sz w:val="22"/>
          <w:lang w:val="en-US" w:eastAsia="en-US"/>
        </w:rPr>
        <w:t>of the most important standards in the modern connected world, wherein IP is used for the logical addressing of connected devices.</w:t>
      </w:r>
      <w:sdt>
        <w:sdtPr>
          <w:rPr>
            <w:rFonts w:ascii="Arial" w:hAnsi="Arial" w:cs="Arial"/>
            <w:color w:val="4F6228" w:themeColor="accent3" w:themeShade="80"/>
            <w:sz w:val="22"/>
            <w:lang w:val="en-US" w:eastAsia="en-US"/>
          </w:rPr>
          <w:id w:val="-1114436433"/>
          <w:citation/>
        </w:sdtPr>
        <w:sdtEndPr/>
        <w:sdtContent>
          <w:r w:rsidR="0089101E">
            <w:rPr>
              <w:rFonts w:ascii="Arial" w:hAnsi="Arial" w:cs="Arial"/>
              <w:color w:val="4F6228" w:themeColor="accent3" w:themeShade="80"/>
              <w:sz w:val="22"/>
              <w:lang w:val="en-US" w:eastAsia="en-US"/>
            </w:rPr>
            <w:fldChar w:fldCharType="begin"/>
          </w:r>
          <w:r w:rsidR="0089101E">
            <w:rPr>
              <w:rFonts w:ascii="Arial" w:hAnsi="Arial" w:cs="Arial"/>
              <w:color w:val="4F6228" w:themeColor="accent3" w:themeShade="80"/>
              <w:sz w:val="22"/>
              <w:lang w:eastAsia="en-US"/>
            </w:rPr>
            <w:instrText xml:space="preserve"> CITATION Wan18 \l 2057 </w:instrText>
          </w:r>
          <w:r w:rsidR="0089101E">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[1]</w:t>
          </w:r>
          <w:r w:rsidR="0089101E">
            <w:rPr>
              <w:rFonts w:ascii="Arial" w:hAnsi="Arial" w:cs="Arial"/>
              <w:color w:val="4F6228" w:themeColor="accent3" w:themeShade="80"/>
              <w:sz w:val="22"/>
              <w:lang w:val="en-US" w:eastAsia="en-US"/>
            </w:rPr>
            <w:fldChar w:fldCharType="end"/>
          </w:r>
        </w:sdtContent>
      </w:sdt>
      <w:r w:rsidR="003B4FD1">
        <w:rPr>
          <w:rFonts w:ascii="Arial" w:hAnsi="Arial" w:cs="Arial"/>
          <w:color w:val="4F6228" w:themeColor="accent3" w:themeShade="80"/>
          <w:sz w:val="22"/>
          <w:lang w:val="en-US" w:eastAsia="en-US"/>
        </w:rPr>
        <w:t xml:space="preserve"> In non-technical terms, an IP address is like a postal address for data. When one types in a web address, this is converted in to an IP address for the destination the user is attempting to reach. The data is then returned to the senders IP with the requested content, which might be a website, a video, and so on.</w:t>
      </w:r>
    </w:p>
    <w:p w14:paraId="40EBBBD7" w14:textId="77777777" w:rsidR="00FC26A9" w:rsidRDefault="00FC26A9" w:rsidP="00C319EB">
      <w:pPr>
        <w:rPr>
          <w:rFonts w:ascii="Arial" w:hAnsi="Arial" w:cs="Arial"/>
          <w:color w:val="4F6228" w:themeColor="accent3" w:themeShade="80"/>
          <w:sz w:val="22"/>
          <w:lang w:val="en-US" w:eastAsia="en-US"/>
        </w:rPr>
      </w:pPr>
    </w:p>
    <w:p w14:paraId="52B7B7D8" w14:textId="77777777" w:rsidR="001A5A64" w:rsidRDefault="0071561A" w:rsidP="00C319EB">
      <w:p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 xml:space="preserve">The two types </w:t>
      </w:r>
      <w:r w:rsidR="003962D2">
        <w:rPr>
          <w:rFonts w:ascii="Arial" w:hAnsi="Arial" w:cs="Arial"/>
          <w:color w:val="4F6228" w:themeColor="accent3" w:themeShade="80"/>
          <w:sz w:val="22"/>
          <w:lang w:val="en-US" w:eastAsia="en-US"/>
        </w:rPr>
        <w:t xml:space="preserve">of IP address </w:t>
      </w:r>
      <w:r w:rsidRPr="00FC26A9">
        <w:rPr>
          <w:rFonts w:ascii="Arial" w:hAnsi="Arial" w:cs="Arial"/>
          <w:color w:val="4F6228" w:themeColor="accent3" w:themeShade="80"/>
          <w:sz w:val="22"/>
          <w:lang w:val="en-US" w:eastAsia="en-US"/>
        </w:rPr>
        <w:t>in main use are IPv4 and IPv6. IPv4 is the most common of these but has limitations. There are only a limited number of possible IPv4 addresses, and so we have to pay to use the available range.</w:t>
      </w:r>
      <w:r w:rsidR="00DC008C" w:rsidRPr="00FC26A9">
        <w:rPr>
          <w:rFonts w:ascii="Arial" w:hAnsi="Arial" w:cs="Arial"/>
          <w:color w:val="4F6228" w:themeColor="accent3" w:themeShade="80"/>
          <w:sz w:val="22"/>
          <w:lang w:val="en-US" w:eastAsia="en-US"/>
        </w:rPr>
        <w:t xml:space="preserve"> There are further limitations on IPv4 including internet routing table expansion and lack of end to end connectivity.</w:t>
      </w:r>
      <w:r w:rsidR="00EE6394">
        <w:rPr>
          <w:rFonts w:ascii="Arial" w:hAnsi="Arial" w:cs="Arial"/>
          <w:color w:val="4F6228" w:themeColor="accent3" w:themeShade="80"/>
          <w:sz w:val="22"/>
          <w:lang w:val="en-US" w:eastAsia="en-US"/>
        </w:rPr>
        <w:t xml:space="preserve"> </w:t>
      </w:r>
    </w:p>
    <w:p w14:paraId="4EDC279C" w14:textId="77777777" w:rsidR="001A5A64" w:rsidRDefault="001A5A64" w:rsidP="00C319EB">
      <w:pPr>
        <w:rPr>
          <w:rFonts w:ascii="Arial" w:hAnsi="Arial" w:cs="Arial"/>
          <w:color w:val="4F6228" w:themeColor="accent3" w:themeShade="80"/>
          <w:sz w:val="22"/>
          <w:lang w:val="en-US" w:eastAsia="en-US"/>
        </w:rPr>
      </w:pPr>
    </w:p>
    <w:p w14:paraId="1952146D" w14:textId="6D14B7CD" w:rsidR="0011019F" w:rsidRPr="00FC26A9" w:rsidRDefault="00EE6394" w:rsidP="00C319EB">
      <w:p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Routing tables store a list of IP addresses for external network gateways. In a home network this would generally hold less than 10 addresses and rely on the ISP for the rest of the required functionality.</w:t>
      </w:r>
      <w:sdt>
        <w:sdtPr>
          <w:rPr>
            <w:rFonts w:ascii="Arial" w:hAnsi="Arial" w:cs="Arial"/>
            <w:color w:val="4F6228" w:themeColor="accent3" w:themeShade="80"/>
            <w:sz w:val="22"/>
            <w:lang w:val="en-US" w:eastAsia="en-US"/>
          </w:rPr>
          <w:id w:val="-770854199"/>
          <w:citation/>
        </w:sdtPr>
        <w:sdtContent>
          <w:r>
            <w:rPr>
              <w:rFonts w:ascii="Arial" w:hAnsi="Arial" w:cs="Arial"/>
              <w:color w:val="4F6228" w:themeColor="accent3" w:themeShade="80"/>
              <w:sz w:val="22"/>
              <w:lang w:val="en-US" w:eastAsia="en-US"/>
            </w:rPr>
            <w:fldChar w:fldCharType="begin"/>
          </w:r>
          <w:r>
            <w:rPr>
              <w:rFonts w:ascii="Arial" w:hAnsi="Arial" w:cs="Arial"/>
              <w:color w:val="4F6228" w:themeColor="accent3" w:themeShade="80"/>
              <w:sz w:val="22"/>
              <w:lang w:eastAsia="en-US"/>
            </w:rPr>
            <w:instrText xml:space="preserve"> CITATION Mit19 \l 2057 </w:instrText>
          </w:r>
          <w:r>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[2]</w:t>
          </w:r>
          <w:r>
            <w:rPr>
              <w:rFonts w:ascii="Arial" w:hAnsi="Arial" w:cs="Arial"/>
              <w:color w:val="4F6228" w:themeColor="accent3" w:themeShade="80"/>
              <w:sz w:val="22"/>
              <w:lang w:val="en-US" w:eastAsia="en-US"/>
            </w:rPr>
            <w:fldChar w:fldCharType="end"/>
          </w:r>
        </w:sdtContent>
      </w:sdt>
    </w:p>
    <w:p w14:paraId="7D10FFBC" w14:textId="0F8D00CD" w:rsidR="00DC008C" w:rsidRPr="00FC26A9" w:rsidRDefault="00DC008C" w:rsidP="00C319EB">
      <w:pPr>
        <w:rPr>
          <w:rFonts w:ascii="Arial" w:hAnsi="Arial" w:cs="Arial"/>
          <w:color w:val="4F6228" w:themeColor="accent3" w:themeShade="80"/>
          <w:sz w:val="22"/>
          <w:lang w:val="en-US" w:eastAsia="en-US"/>
        </w:rPr>
      </w:pPr>
    </w:p>
    <w:p w14:paraId="2F647278" w14:textId="2BB42085" w:rsidR="00DC008C" w:rsidRPr="00FC26A9" w:rsidRDefault="00DC008C" w:rsidP="00C319EB">
      <w:p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IPv6 was developed to combat v4 limitations. It has vastly increased address space to allow for every device to have a unique address. It also has improved packet handling and eliminates the need for NAT.  Unique addressing means there is no longer a need to pay to use the limited IPv4 addresses.</w:t>
      </w:r>
    </w:p>
    <w:p w14:paraId="38506383" w14:textId="7F066038" w:rsidR="00DC008C" w:rsidRPr="00FC26A9" w:rsidRDefault="00DC008C" w:rsidP="00C319EB">
      <w:pPr>
        <w:rPr>
          <w:rFonts w:ascii="Arial" w:hAnsi="Arial" w:cs="Arial"/>
          <w:color w:val="4F6228" w:themeColor="accent3" w:themeShade="80"/>
          <w:sz w:val="22"/>
          <w:lang w:val="en-US" w:eastAsia="en-US"/>
        </w:rPr>
      </w:pPr>
    </w:p>
    <w:p w14:paraId="6985F842" w14:textId="5EA3EB53" w:rsidR="00B441E9" w:rsidRPr="00FC26A9" w:rsidRDefault="00DC008C" w:rsidP="00C319EB">
      <w:p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The successor of IPv4 is not designed to be backwards compatible.</w:t>
      </w:r>
      <w:sdt>
        <w:sdtPr>
          <w:rPr>
            <w:rFonts w:ascii="Arial" w:hAnsi="Arial" w:cs="Arial"/>
            <w:color w:val="4F6228" w:themeColor="accent3" w:themeShade="80"/>
            <w:sz w:val="22"/>
            <w:lang w:val="en-US" w:eastAsia="en-US"/>
          </w:rPr>
          <w:id w:val="838653424"/>
          <w:citation/>
        </w:sdtPr>
        <w:sdtEndPr/>
        <w:sdtContent>
          <w:r w:rsidRPr="00FC26A9">
            <w:rPr>
              <w:rFonts w:ascii="Arial" w:hAnsi="Arial" w:cs="Arial"/>
              <w:color w:val="4F6228" w:themeColor="accent3" w:themeShade="80"/>
              <w:sz w:val="22"/>
              <w:lang w:val="en-US" w:eastAsia="en-US"/>
            </w:rPr>
            <w:fldChar w:fldCharType="begin"/>
          </w:r>
          <w:r w:rsidRPr="00FC26A9">
            <w:rPr>
              <w:rFonts w:ascii="Arial" w:hAnsi="Arial" w:cs="Arial"/>
              <w:color w:val="4F6228" w:themeColor="accent3" w:themeShade="80"/>
              <w:sz w:val="22"/>
              <w:lang w:eastAsia="en-US"/>
            </w:rPr>
            <w:instrText xml:space="preserve"> CITATION IPv19 \l 2057 </w:instrText>
          </w:r>
          <w:r w:rsidRPr="00FC26A9">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[3]</w:t>
          </w:r>
          <w:r w:rsidRPr="00FC26A9">
            <w:rPr>
              <w:rFonts w:ascii="Arial" w:hAnsi="Arial" w:cs="Arial"/>
              <w:color w:val="4F6228" w:themeColor="accent3" w:themeShade="80"/>
              <w:sz w:val="22"/>
              <w:lang w:val="en-US" w:eastAsia="en-US"/>
            </w:rPr>
            <w:fldChar w:fldCharType="end"/>
          </w:r>
        </w:sdtContent>
      </w:sdt>
      <w:r w:rsidR="00B441E9" w:rsidRPr="00FC26A9">
        <w:rPr>
          <w:rFonts w:ascii="Arial" w:hAnsi="Arial" w:cs="Arial"/>
          <w:color w:val="4F6228" w:themeColor="accent3" w:themeShade="80"/>
          <w:sz w:val="22"/>
          <w:lang w:val="en-US" w:eastAsia="en-US"/>
        </w:rPr>
        <w:t xml:space="preserve"> The specific developments include: </w:t>
      </w:r>
    </w:p>
    <w:p w14:paraId="74669341" w14:textId="1721A484" w:rsidR="00B441E9" w:rsidRPr="00FC26A9" w:rsidRDefault="00B441E9" w:rsidP="00B441E9">
      <w:pPr>
        <w:pStyle w:val="ListParagraph"/>
        <w:numPr>
          <w:ilvl w:val="0"/>
          <w:numId w:val="21"/>
        </w:num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Four times the number of bits used for addressing in comparison to IPv4</w:t>
      </w:r>
      <w:r w:rsidR="00063BB2" w:rsidRPr="00FC26A9">
        <w:rPr>
          <w:rFonts w:ascii="Arial" w:hAnsi="Arial" w:cs="Arial"/>
          <w:color w:val="4F6228" w:themeColor="accent3" w:themeShade="80"/>
          <w:sz w:val="22"/>
          <w:lang w:val="en-US" w:eastAsia="en-US"/>
        </w:rPr>
        <w:t>.  Source and destination addresses are 128 bits in lengths compared to 32 bits.</w:t>
      </w:r>
      <w:sdt>
        <w:sdtPr>
          <w:rPr>
            <w:rFonts w:ascii="Arial" w:hAnsi="Arial" w:cs="Arial"/>
            <w:color w:val="4F6228" w:themeColor="accent3" w:themeShade="80"/>
            <w:sz w:val="22"/>
            <w:lang w:val="en-US" w:eastAsia="en-US"/>
          </w:rPr>
          <w:id w:val="-1671016586"/>
          <w:citation/>
        </w:sdtPr>
        <w:sdtEndPr/>
        <w:sdtContent>
          <w:r w:rsidR="00E36BFB" w:rsidRPr="00FC26A9">
            <w:rPr>
              <w:rFonts w:ascii="Arial" w:hAnsi="Arial" w:cs="Arial"/>
              <w:color w:val="4F6228" w:themeColor="accent3" w:themeShade="80"/>
              <w:sz w:val="22"/>
              <w:lang w:val="en-US" w:eastAsia="en-US"/>
            </w:rPr>
            <w:fldChar w:fldCharType="begin"/>
          </w:r>
          <w:r w:rsidR="00E36BFB" w:rsidRPr="00FC26A9">
            <w:rPr>
              <w:rFonts w:ascii="Arial" w:hAnsi="Arial" w:cs="Arial"/>
              <w:color w:val="4F6228" w:themeColor="accent3" w:themeShade="80"/>
              <w:sz w:val="22"/>
              <w:lang w:eastAsia="en-US"/>
            </w:rPr>
            <w:instrText xml:space="preserve"> CITATION Com19 \l 2057 </w:instrText>
          </w:r>
          <w:r w:rsidR="00E36BFB" w:rsidRPr="00FC26A9">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[4]</w:t>
          </w:r>
          <w:r w:rsidR="00E36BFB" w:rsidRPr="00FC26A9">
            <w:rPr>
              <w:rFonts w:ascii="Arial" w:hAnsi="Arial" w:cs="Arial"/>
              <w:color w:val="4F6228" w:themeColor="accent3" w:themeShade="80"/>
              <w:sz w:val="22"/>
              <w:lang w:val="en-US" w:eastAsia="en-US"/>
            </w:rPr>
            <w:fldChar w:fldCharType="end"/>
          </w:r>
        </w:sdtContent>
      </w:sdt>
    </w:p>
    <w:p w14:paraId="32A6370F" w14:textId="384883B0" w:rsidR="00DC008C" w:rsidRPr="00FC26A9" w:rsidRDefault="00B441E9" w:rsidP="00B441E9">
      <w:pPr>
        <w:pStyle w:val="ListParagraph"/>
        <w:numPr>
          <w:ilvl w:val="0"/>
          <w:numId w:val="21"/>
        </w:num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 xml:space="preserve">Simplified headers; </w:t>
      </w:r>
      <w:r w:rsidR="00E36BFB" w:rsidRPr="00FC26A9">
        <w:rPr>
          <w:rFonts w:ascii="Arial" w:hAnsi="Arial" w:cs="Arial"/>
          <w:color w:val="4F6228" w:themeColor="accent3" w:themeShade="80"/>
          <w:sz w:val="22"/>
          <w:lang w:val="en-US" w:eastAsia="en-US"/>
        </w:rPr>
        <w:t>wherein unnecessary information has been removed.</w:t>
      </w:r>
    </w:p>
    <w:p w14:paraId="50F0BD38" w14:textId="64CD8B96" w:rsidR="00E36BFB" w:rsidRPr="00FC26A9" w:rsidRDefault="00814B18" w:rsidP="00B441E9">
      <w:pPr>
        <w:pStyle w:val="ListParagraph"/>
        <w:numPr>
          <w:ilvl w:val="0"/>
          <w:numId w:val="21"/>
        </w:num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With unique IP addressing, after it has been fully implemented every host will be able to connect directly without the limitations of Firewall and such.</w:t>
      </w:r>
      <w:sdt>
        <w:sdtPr>
          <w:rPr>
            <w:rFonts w:ascii="Arial" w:hAnsi="Arial" w:cs="Arial"/>
            <w:color w:val="4F6228" w:themeColor="accent3" w:themeShade="80"/>
            <w:sz w:val="22"/>
            <w:lang w:val="en-US" w:eastAsia="en-US"/>
          </w:rPr>
          <w:id w:val="1220175235"/>
          <w:citation/>
        </w:sdtPr>
        <w:sdtEndPr/>
        <w:sdtContent>
          <w:r w:rsidRPr="00FC26A9">
            <w:rPr>
              <w:rFonts w:ascii="Arial" w:hAnsi="Arial" w:cs="Arial"/>
              <w:color w:val="4F6228" w:themeColor="accent3" w:themeShade="80"/>
              <w:sz w:val="22"/>
              <w:lang w:val="en-US" w:eastAsia="en-US"/>
            </w:rPr>
            <w:fldChar w:fldCharType="begin"/>
          </w:r>
          <w:r w:rsidRPr="00FC26A9">
            <w:rPr>
              <w:rFonts w:ascii="Arial" w:hAnsi="Arial" w:cs="Arial"/>
              <w:color w:val="4F6228" w:themeColor="accent3" w:themeShade="80"/>
              <w:sz w:val="22"/>
              <w:lang w:eastAsia="en-US"/>
            </w:rPr>
            <w:instrText xml:space="preserve"> CITATION IPv19 \l 2057 </w:instrText>
          </w:r>
          <w:r w:rsidRPr="00FC26A9">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[3]</w:t>
          </w:r>
          <w:r w:rsidRPr="00FC26A9">
            <w:rPr>
              <w:rFonts w:ascii="Arial" w:hAnsi="Arial" w:cs="Arial"/>
              <w:color w:val="4F6228" w:themeColor="accent3" w:themeShade="80"/>
              <w:sz w:val="22"/>
              <w:lang w:val="en-US" w:eastAsia="en-US"/>
            </w:rPr>
            <w:fldChar w:fldCharType="end"/>
          </w:r>
        </w:sdtContent>
      </w:sdt>
    </w:p>
    <w:p w14:paraId="424D8BFA" w14:textId="7E834B74" w:rsidR="00814B18" w:rsidRPr="00FC26A9" w:rsidRDefault="00814B18" w:rsidP="00B441E9">
      <w:pPr>
        <w:pStyle w:val="ListParagraph"/>
        <w:numPr>
          <w:ilvl w:val="0"/>
          <w:numId w:val="21"/>
        </w:num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Automatic configuration</w:t>
      </w:r>
    </w:p>
    <w:p w14:paraId="0DF28B8B" w14:textId="7AD65ACC" w:rsidR="00814B18" w:rsidRPr="00FC26A9" w:rsidRDefault="00814B18" w:rsidP="00B441E9">
      <w:pPr>
        <w:pStyle w:val="ListParagraph"/>
        <w:numPr>
          <w:ilvl w:val="0"/>
          <w:numId w:val="21"/>
        </w:num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Faster routing</w:t>
      </w:r>
    </w:p>
    <w:p w14:paraId="0C663FF8" w14:textId="611CB7AC" w:rsidR="00814B18" w:rsidRPr="00FC26A9" w:rsidRDefault="00814B18" w:rsidP="00B441E9">
      <w:pPr>
        <w:pStyle w:val="ListParagraph"/>
        <w:numPr>
          <w:ilvl w:val="0"/>
          <w:numId w:val="21"/>
        </w:num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Anycast support</w:t>
      </w:r>
    </w:p>
    <w:p w14:paraId="25BF32C7" w14:textId="76BB84A0" w:rsidR="00814B18" w:rsidRDefault="00814B18" w:rsidP="00B441E9">
      <w:pPr>
        <w:pStyle w:val="ListParagraph"/>
        <w:numPr>
          <w:ilvl w:val="0"/>
          <w:numId w:val="21"/>
        </w:numPr>
        <w:rPr>
          <w:rFonts w:ascii="Arial" w:hAnsi="Arial" w:cs="Arial"/>
          <w:color w:val="4F6228" w:themeColor="accent3" w:themeShade="80"/>
          <w:sz w:val="22"/>
          <w:lang w:val="en-US" w:eastAsia="en-US"/>
        </w:rPr>
      </w:pPr>
      <w:r w:rsidRPr="00FC26A9">
        <w:rPr>
          <w:rFonts w:ascii="Arial" w:hAnsi="Arial" w:cs="Arial"/>
          <w:color w:val="4F6228" w:themeColor="accent3" w:themeShade="80"/>
          <w:sz w:val="22"/>
          <w:lang w:val="en-US" w:eastAsia="en-US"/>
        </w:rPr>
        <w:t>IPv6 was designed with mobility in mind; enabling roaming devices (such as phones, tablets and other smart devices) to change geographical area while maintaining a static IP address.</w:t>
      </w:r>
      <w:sdt>
        <w:sdtPr>
          <w:rPr>
            <w:rFonts w:ascii="Arial" w:hAnsi="Arial" w:cs="Arial"/>
            <w:color w:val="4F6228" w:themeColor="accent3" w:themeShade="80"/>
            <w:sz w:val="22"/>
            <w:lang w:val="en-US" w:eastAsia="en-US"/>
          </w:rPr>
          <w:id w:val="1746453290"/>
          <w:citation/>
        </w:sdtPr>
        <w:sdtEndPr/>
        <w:sdtContent>
          <w:r w:rsidRPr="00FC26A9">
            <w:rPr>
              <w:rFonts w:ascii="Arial" w:hAnsi="Arial" w:cs="Arial"/>
              <w:color w:val="4F6228" w:themeColor="accent3" w:themeShade="80"/>
              <w:sz w:val="22"/>
              <w:lang w:val="en-US" w:eastAsia="en-US"/>
            </w:rPr>
            <w:fldChar w:fldCharType="begin"/>
          </w:r>
          <w:r w:rsidRPr="00FC26A9">
            <w:rPr>
              <w:rFonts w:ascii="Arial" w:hAnsi="Arial" w:cs="Arial"/>
              <w:color w:val="4F6228" w:themeColor="accent3" w:themeShade="80"/>
              <w:sz w:val="22"/>
              <w:lang w:eastAsia="en-US"/>
            </w:rPr>
            <w:instrText xml:space="preserve"> CITATION IPv19 \l 2057 </w:instrText>
          </w:r>
          <w:r w:rsidRPr="00FC26A9">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[3]</w:t>
          </w:r>
          <w:r w:rsidRPr="00FC26A9">
            <w:rPr>
              <w:rFonts w:ascii="Arial" w:hAnsi="Arial" w:cs="Arial"/>
              <w:color w:val="4F6228" w:themeColor="accent3" w:themeShade="80"/>
              <w:sz w:val="22"/>
              <w:lang w:val="en-US" w:eastAsia="en-US"/>
            </w:rPr>
            <w:fldChar w:fldCharType="end"/>
          </w:r>
        </w:sdtContent>
      </w:sdt>
    </w:p>
    <w:p w14:paraId="18382106" w14:textId="1CEF0E22" w:rsidR="00164180" w:rsidRDefault="00164180" w:rsidP="00164180">
      <w:pPr>
        <w:rPr>
          <w:rFonts w:ascii="Arial" w:hAnsi="Arial" w:cs="Arial"/>
          <w:color w:val="4F6228" w:themeColor="accent3" w:themeShade="80"/>
          <w:sz w:val="22"/>
          <w:lang w:val="en-US" w:eastAsia="en-US"/>
        </w:rPr>
      </w:pPr>
    </w:p>
    <w:p w14:paraId="19FDE8B9" w14:textId="552953D6" w:rsidR="00164180" w:rsidRDefault="00164180" w:rsidP="00164180">
      <w:p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When IPv4 was developed in the 70s, it was naturally deemed sufficient to cope with future growth, however by the 80s it had become apparent that this was not the case.</w:t>
      </w:r>
      <w:sdt>
        <w:sdtPr>
          <w:rPr>
            <w:rFonts w:ascii="Arial" w:hAnsi="Arial" w:cs="Arial"/>
            <w:color w:val="4F6228" w:themeColor="accent3" w:themeShade="80"/>
            <w:sz w:val="22"/>
            <w:lang w:val="en-US" w:eastAsia="en-US"/>
          </w:rPr>
          <w:id w:val="943495194"/>
          <w:citation/>
        </w:sdtPr>
        <w:sdtEndPr/>
        <w:sdtContent>
          <w:r>
            <w:rPr>
              <w:rFonts w:ascii="Arial" w:hAnsi="Arial" w:cs="Arial"/>
              <w:color w:val="4F6228" w:themeColor="accent3" w:themeShade="80"/>
              <w:sz w:val="22"/>
              <w:lang w:val="en-US" w:eastAsia="en-US"/>
            </w:rPr>
            <w:fldChar w:fldCharType="begin"/>
          </w:r>
          <w:r>
            <w:rPr>
              <w:rFonts w:ascii="Arial" w:hAnsi="Arial" w:cs="Arial"/>
              <w:color w:val="4F6228" w:themeColor="accent3" w:themeShade="80"/>
              <w:sz w:val="22"/>
              <w:lang w:eastAsia="en-US"/>
            </w:rPr>
            <w:instrText xml:space="preserve"> CITATION Wan18 \l 2057 </w:instrText>
          </w:r>
          <w:r>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[1]</w:t>
          </w:r>
          <w:r>
            <w:rPr>
              <w:rFonts w:ascii="Arial" w:hAnsi="Arial" w:cs="Arial"/>
              <w:color w:val="4F6228" w:themeColor="accent3" w:themeShade="80"/>
              <w:sz w:val="22"/>
              <w:lang w:val="en-US" w:eastAsia="en-US"/>
            </w:rPr>
            <w:fldChar w:fldCharType="end"/>
          </w:r>
        </w:sdtContent>
      </w:sdt>
      <w:r>
        <w:rPr>
          <w:rFonts w:ascii="Arial" w:hAnsi="Arial" w:cs="Arial"/>
          <w:color w:val="4F6228" w:themeColor="accent3" w:themeShade="80"/>
          <w:sz w:val="22"/>
          <w:lang w:val="en-US" w:eastAsia="en-US"/>
        </w:rPr>
        <w:t xml:space="preserve"> IPv6 was standardized in 1998, but due to the incompatibility issue with IPv4, the premise was unappealing.  There were not enough new features or benefits to warrant the cost of implementation for the majority of </w:t>
      </w:r>
      <w:r>
        <w:rPr>
          <w:rFonts w:ascii="Arial" w:hAnsi="Arial" w:cs="Arial"/>
          <w:color w:val="4F6228" w:themeColor="accent3" w:themeShade="80"/>
          <w:sz w:val="22"/>
          <w:lang w:val="en-US" w:eastAsia="en-US"/>
        </w:rPr>
        <w:lastRenderedPageBreak/>
        <w:t>organizations, especially when, from an end user perspective, the system in place was not broken, it did the required job and therefore didn’t need replacing.</w:t>
      </w:r>
    </w:p>
    <w:p w14:paraId="0259A61A" w14:textId="4445ECFE" w:rsidR="00164180" w:rsidRDefault="00164180" w:rsidP="00164180">
      <w:pPr>
        <w:rPr>
          <w:rFonts w:ascii="Arial" w:hAnsi="Arial" w:cs="Arial"/>
          <w:color w:val="4F6228" w:themeColor="accent3" w:themeShade="80"/>
          <w:sz w:val="22"/>
          <w:lang w:val="en-US" w:eastAsia="en-US"/>
        </w:rPr>
      </w:pPr>
    </w:p>
    <w:p w14:paraId="49A192EF" w14:textId="61332182" w:rsidR="00164180" w:rsidRDefault="00164180" w:rsidP="00164180">
      <w:p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 xml:space="preserve">While this was the general thought across much of the world, China is a perfect example for a case where this differed.  Countries are allocated a portion of IPv4 addresses by the </w:t>
      </w:r>
      <w:r w:rsidR="00EF11CC">
        <w:rPr>
          <w:rFonts w:ascii="Arial" w:hAnsi="Arial" w:cs="Arial"/>
          <w:color w:val="4F6228" w:themeColor="accent3" w:themeShade="80"/>
          <w:sz w:val="22"/>
          <w:lang w:val="en-US" w:eastAsia="en-US"/>
        </w:rPr>
        <w:t>Internet As</w:t>
      </w:r>
      <w:r w:rsidR="007870A1">
        <w:rPr>
          <w:rFonts w:ascii="Arial" w:hAnsi="Arial" w:cs="Arial"/>
          <w:color w:val="4F6228" w:themeColor="accent3" w:themeShade="80"/>
          <w:sz w:val="22"/>
          <w:lang w:val="en-US" w:eastAsia="en-US"/>
        </w:rPr>
        <w:t>signed Numbers Authority (IANA), and by the Regional Internet Registries (RIRs) to which the IANA distributes to.</w:t>
      </w:r>
      <w:sdt>
        <w:sdtPr>
          <w:rPr>
            <w:rFonts w:ascii="Arial" w:hAnsi="Arial" w:cs="Arial"/>
            <w:color w:val="4F6228" w:themeColor="accent3" w:themeShade="80"/>
            <w:sz w:val="22"/>
            <w:lang w:val="en-US" w:eastAsia="en-US"/>
          </w:rPr>
          <w:id w:val="1219160289"/>
          <w:citation/>
        </w:sdtPr>
        <w:sdtEndPr/>
        <w:sdtContent>
          <w:r w:rsidR="00EF11CC">
            <w:rPr>
              <w:rFonts w:ascii="Arial" w:hAnsi="Arial" w:cs="Arial"/>
              <w:color w:val="4F6228" w:themeColor="accent3" w:themeShade="80"/>
              <w:sz w:val="22"/>
              <w:lang w:val="en-US" w:eastAsia="en-US"/>
            </w:rPr>
            <w:fldChar w:fldCharType="begin"/>
          </w:r>
          <w:r w:rsidR="00EF11CC">
            <w:rPr>
              <w:rFonts w:ascii="Arial" w:hAnsi="Arial" w:cs="Arial"/>
              <w:color w:val="4F6228" w:themeColor="accent3" w:themeShade="80"/>
              <w:sz w:val="22"/>
              <w:lang w:eastAsia="en-US"/>
            </w:rPr>
            <w:instrText xml:space="preserve"> CITATION ASh15 \l 2057 </w:instrText>
          </w:r>
          <w:r w:rsidR="00EF11CC">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[5]</w:t>
          </w:r>
          <w:r w:rsidR="00EF11CC">
            <w:rPr>
              <w:rFonts w:ascii="Arial" w:hAnsi="Arial" w:cs="Arial"/>
              <w:color w:val="4F6228" w:themeColor="accent3" w:themeShade="80"/>
              <w:sz w:val="22"/>
              <w:lang w:val="en-US" w:eastAsia="en-US"/>
            </w:rPr>
            <w:fldChar w:fldCharType="end"/>
          </w:r>
        </w:sdtContent>
      </w:sdt>
      <w:r w:rsidR="007870A1">
        <w:rPr>
          <w:rFonts w:ascii="Arial" w:hAnsi="Arial" w:cs="Arial"/>
          <w:color w:val="4F6228" w:themeColor="accent3" w:themeShade="80"/>
          <w:sz w:val="22"/>
          <w:lang w:val="en-US" w:eastAsia="en-US"/>
        </w:rPr>
        <w:t xml:space="preserve"> </w:t>
      </w:r>
    </w:p>
    <w:p w14:paraId="19217B6C" w14:textId="0A637EFD" w:rsidR="007870A1" w:rsidRDefault="007870A1" w:rsidP="007870A1">
      <w:p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There are five RIRs:</w:t>
      </w:r>
    </w:p>
    <w:p w14:paraId="260B6E54" w14:textId="71253653" w:rsidR="007870A1" w:rsidRDefault="007870A1" w:rsidP="007870A1">
      <w:pPr>
        <w:pStyle w:val="ListParagraph"/>
        <w:numPr>
          <w:ilvl w:val="0"/>
          <w:numId w:val="23"/>
        </w:numPr>
        <w:rPr>
          <w:rFonts w:ascii="Arial" w:hAnsi="Arial" w:cs="Arial"/>
          <w:color w:val="4F6228" w:themeColor="accent3" w:themeShade="80"/>
          <w:sz w:val="22"/>
          <w:lang w:val="en-US" w:eastAsia="en-US"/>
        </w:rPr>
      </w:pPr>
      <w:proofErr w:type="spellStart"/>
      <w:r>
        <w:rPr>
          <w:rFonts w:ascii="Arial" w:hAnsi="Arial" w:cs="Arial"/>
          <w:color w:val="4F6228" w:themeColor="accent3" w:themeShade="80"/>
          <w:sz w:val="22"/>
          <w:lang w:val="en-US" w:eastAsia="en-US"/>
        </w:rPr>
        <w:t>AfriNIC</w:t>
      </w:r>
      <w:proofErr w:type="spellEnd"/>
      <w:r>
        <w:rPr>
          <w:rFonts w:ascii="Arial" w:hAnsi="Arial" w:cs="Arial"/>
          <w:color w:val="4F6228" w:themeColor="accent3" w:themeShade="80"/>
          <w:sz w:val="22"/>
          <w:lang w:val="en-US" w:eastAsia="en-US"/>
        </w:rPr>
        <w:t xml:space="preserve"> (Africa)</w:t>
      </w:r>
    </w:p>
    <w:p w14:paraId="7DDE5561" w14:textId="61E28D94" w:rsidR="007870A1" w:rsidRDefault="007870A1" w:rsidP="007870A1">
      <w:pPr>
        <w:pStyle w:val="ListParagraph"/>
        <w:numPr>
          <w:ilvl w:val="0"/>
          <w:numId w:val="23"/>
        </w:num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APNIC (Pacific Asia)</w:t>
      </w:r>
    </w:p>
    <w:p w14:paraId="6266B5E1" w14:textId="00B187BE" w:rsidR="007870A1" w:rsidRDefault="007870A1" w:rsidP="007870A1">
      <w:pPr>
        <w:pStyle w:val="ListParagraph"/>
        <w:numPr>
          <w:ilvl w:val="0"/>
          <w:numId w:val="23"/>
        </w:num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ARIN (North America and North Atlantic Islands)</w:t>
      </w:r>
    </w:p>
    <w:p w14:paraId="17BA7CE1" w14:textId="5DCB16A4" w:rsidR="007870A1" w:rsidRPr="007870A1" w:rsidRDefault="007870A1" w:rsidP="007870A1">
      <w:pPr>
        <w:pStyle w:val="ListParagraph"/>
        <w:numPr>
          <w:ilvl w:val="0"/>
          <w:numId w:val="23"/>
        </w:num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LACNIC (Latin America and the Caribbean)</w:t>
      </w:r>
    </w:p>
    <w:p w14:paraId="2B500EAE" w14:textId="2F3DE8CD" w:rsidR="007870A1" w:rsidRDefault="007870A1" w:rsidP="007870A1">
      <w:pPr>
        <w:pStyle w:val="ListParagraph"/>
        <w:numPr>
          <w:ilvl w:val="0"/>
          <w:numId w:val="23"/>
        </w:num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RIPE NCC (Europe, the Middle East and parts of Central Asia.)</w:t>
      </w:r>
    </w:p>
    <w:p w14:paraId="7518C33B" w14:textId="707BD938" w:rsidR="007870A1" w:rsidRDefault="007870A1" w:rsidP="007870A1">
      <w:pPr>
        <w:rPr>
          <w:rFonts w:ascii="Arial" w:hAnsi="Arial" w:cs="Arial"/>
          <w:color w:val="4F6228" w:themeColor="accent3" w:themeShade="80"/>
          <w:sz w:val="22"/>
          <w:lang w:val="en-US" w:eastAsia="en-US"/>
        </w:rPr>
      </w:pPr>
    </w:p>
    <w:p w14:paraId="5A493F77" w14:textId="4A7221BE" w:rsidR="007870A1" w:rsidRDefault="007870A1" w:rsidP="007870A1">
      <w:p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China’s allocation of IPv4 addresses is 330.3 million to share between a population of more than 1.3 billion people, which means there are only enough IP addresses for roughly a quarter of the population</w:t>
      </w:r>
      <w:r w:rsidR="00FD7A7B">
        <w:rPr>
          <w:rFonts w:ascii="Arial" w:hAnsi="Arial" w:cs="Arial"/>
          <w:color w:val="4F6228" w:themeColor="accent3" w:themeShade="80"/>
          <w:sz w:val="22"/>
          <w:lang w:val="en-US" w:eastAsia="en-US"/>
        </w:rPr>
        <w:t xml:space="preserve"> to have just one each</w:t>
      </w:r>
      <w:bookmarkStart w:id="0" w:name="_GoBack"/>
      <w:bookmarkEnd w:id="0"/>
      <w:r>
        <w:rPr>
          <w:rFonts w:ascii="Arial" w:hAnsi="Arial" w:cs="Arial"/>
          <w:color w:val="4F6228" w:themeColor="accent3" w:themeShade="80"/>
          <w:sz w:val="22"/>
          <w:lang w:val="en-US" w:eastAsia="en-US"/>
        </w:rPr>
        <w:t>.</w:t>
      </w:r>
      <w:sdt>
        <w:sdtPr>
          <w:rPr>
            <w:rFonts w:ascii="Arial" w:hAnsi="Arial" w:cs="Arial"/>
            <w:color w:val="4F6228" w:themeColor="accent3" w:themeShade="80"/>
            <w:sz w:val="22"/>
            <w:lang w:val="en-US" w:eastAsia="en-US"/>
          </w:rPr>
          <w:id w:val="224036354"/>
          <w:citation/>
        </w:sdtPr>
        <w:sdtEndPr/>
        <w:sdtContent>
          <w:r>
            <w:rPr>
              <w:rFonts w:ascii="Arial" w:hAnsi="Arial" w:cs="Arial"/>
              <w:color w:val="4F6228" w:themeColor="accent3" w:themeShade="80"/>
              <w:sz w:val="22"/>
              <w:lang w:val="en-US" w:eastAsia="en-US"/>
            </w:rPr>
            <w:fldChar w:fldCharType="begin"/>
          </w:r>
          <w:r>
            <w:rPr>
              <w:rFonts w:ascii="Arial" w:hAnsi="Arial" w:cs="Arial"/>
              <w:color w:val="4F6228" w:themeColor="accent3" w:themeShade="80"/>
              <w:sz w:val="22"/>
              <w:lang w:eastAsia="en-US"/>
            </w:rPr>
            <w:instrText xml:space="preserve"> CITATION Wan18 \l 2057 </w:instrText>
          </w:r>
          <w:r>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[1]</w:t>
          </w:r>
          <w:r>
            <w:rPr>
              <w:rFonts w:ascii="Arial" w:hAnsi="Arial" w:cs="Arial"/>
              <w:color w:val="4F6228" w:themeColor="accent3" w:themeShade="80"/>
              <w:sz w:val="22"/>
              <w:lang w:val="en-US" w:eastAsia="en-US"/>
            </w:rPr>
            <w:fldChar w:fldCharType="end"/>
          </w:r>
        </w:sdtContent>
      </w:sdt>
      <w:r>
        <w:rPr>
          <w:rFonts w:ascii="Arial" w:hAnsi="Arial" w:cs="Arial"/>
          <w:color w:val="4F6228" w:themeColor="accent3" w:themeShade="80"/>
          <w:sz w:val="22"/>
          <w:lang w:val="en-US" w:eastAsia="en-US"/>
        </w:rPr>
        <w:t xml:space="preserve"> Naturally, this means the transition to IPv6 is much more important here.</w:t>
      </w:r>
    </w:p>
    <w:p w14:paraId="5ECA3655" w14:textId="0E934834" w:rsidR="007870A1" w:rsidRDefault="007870A1" w:rsidP="007870A1">
      <w:pPr>
        <w:rPr>
          <w:rFonts w:ascii="Arial" w:hAnsi="Arial" w:cs="Arial"/>
          <w:color w:val="4F6228" w:themeColor="accent3" w:themeShade="80"/>
          <w:sz w:val="22"/>
          <w:lang w:val="en-US" w:eastAsia="en-US"/>
        </w:rPr>
      </w:pPr>
    </w:p>
    <w:p w14:paraId="4345A6E4" w14:textId="2170930A" w:rsidR="007870A1" w:rsidRDefault="00B64EF9" w:rsidP="007870A1">
      <w:p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We have moved forward, howe</w:t>
      </w:r>
      <w:r w:rsidR="00CF1053">
        <w:rPr>
          <w:rFonts w:ascii="Arial" w:hAnsi="Arial" w:cs="Arial"/>
          <w:color w:val="4F6228" w:themeColor="accent3" w:themeShade="80"/>
          <w:sz w:val="22"/>
          <w:lang w:val="en-US" w:eastAsia="en-US"/>
        </w:rPr>
        <w:t>ver slowly since the deployment of IPv6. A 2018 Report</w:t>
      </w:r>
      <w:sdt>
        <w:sdtPr>
          <w:rPr>
            <w:rFonts w:ascii="Arial" w:hAnsi="Arial" w:cs="Arial"/>
            <w:color w:val="4F6228" w:themeColor="accent3" w:themeShade="80"/>
            <w:sz w:val="22"/>
            <w:lang w:val="en-US" w:eastAsia="en-US"/>
          </w:rPr>
          <w:id w:val="1657031677"/>
          <w:citation/>
        </w:sdtPr>
        <w:sdtEndPr/>
        <w:sdtContent>
          <w:r w:rsidR="00CF1053">
            <w:rPr>
              <w:rFonts w:ascii="Arial" w:hAnsi="Arial" w:cs="Arial"/>
              <w:color w:val="4F6228" w:themeColor="accent3" w:themeShade="80"/>
              <w:sz w:val="22"/>
              <w:lang w:val="en-US" w:eastAsia="en-US"/>
            </w:rPr>
            <w:fldChar w:fldCharType="begin"/>
          </w:r>
          <w:r w:rsidR="00CF1053">
            <w:rPr>
              <w:rFonts w:ascii="Arial" w:hAnsi="Arial" w:cs="Arial"/>
              <w:color w:val="4F6228" w:themeColor="accent3" w:themeShade="80"/>
              <w:sz w:val="22"/>
              <w:lang w:eastAsia="en-US"/>
            </w:rPr>
            <w:instrText xml:space="preserve"> CITATION Sta18 \l 2057 </w:instrText>
          </w:r>
          <w:r w:rsidR="00CF1053">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[6]</w:t>
          </w:r>
          <w:r w:rsidR="00CF1053">
            <w:rPr>
              <w:rFonts w:ascii="Arial" w:hAnsi="Arial" w:cs="Arial"/>
              <w:color w:val="4F6228" w:themeColor="accent3" w:themeShade="80"/>
              <w:sz w:val="22"/>
              <w:lang w:val="en-US" w:eastAsia="en-US"/>
            </w:rPr>
            <w:fldChar w:fldCharType="end"/>
          </w:r>
        </w:sdtContent>
      </w:sdt>
      <w:r w:rsidR="00CF1053">
        <w:rPr>
          <w:rFonts w:ascii="Arial" w:hAnsi="Arial" w:cs="Arial"/>
          <w:color w:val="4F6228" w:themeColor="accent3" w:themeShade="80"/>
          <w:sz w:val="22"/>
          <w:lang w:val="en-US" w:eastAsia="en-US"/>
        </w:rPr>
        <w:t xml:space="preserve"> reports that 25% of all internet-connected networks advertise IPv6 connectivity. Google reports that 49 countries deliver more than 5% of traffic over IPv6, with 24 of these exceeding 15%. The culture is changing, and some cloud hosting providers are starting to charge for IPv4 addresses while IPv6 services remain free.</w:t>
      </w:r>
    </w:p>
    <w:p w14:paraId="47D9D122" w14:textId="0A38E33E" w:rsidR="00CF1053" w:rsidRDefault="00CF1053" w:rsidP="007870A1">
      <w:pPr>
        <w:rPr>
          <w:rFonts w:ascii="Arial" w:hAnsi="Arial" w:cs="Arial"/>
          <w:color w:val="4F6228" w:themeColor="accent3" w:themeShade="80"/>
          <w:sz w:val="22"/>
          <w:lang w:val="en-US" w:eastAsia="en-US"/>
        </w:rPr>
      </w:pPr>
    </w:p>
    <w:p w14:paraId="4372657D" w14:textId="7F149EA3" w:rsidR="00CF1053" w:rsidRDefault="00CF1053" w:rsidP="007870A1">
      <w:p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The balance is shifting as the number of smart devices in use around the world has greatly increased, and will continue to do so as not online smart phones and tablets increase in popularity, but other smart wearables, household appliances, etc. While we manage the demand to some extent with routers, mobile providers are moving to offer unlimited data packages, and as such we are moving away from our home Wi Fi networks increasingly, with increasing expectation for connected roaming devices.</w:t>
      </w:r>
    </w:p>
    <w:p w14:paraId="5516BED0" w14:textId="64A3051B" w:rsidR="00CF1053" w:rsidRDefault="00CF1053" w:rsidP="007870A1">
      <w:pPr>
        <w:rPr>
          <w:rFonts w:ascii="Arial" w:hAnsi="Arial" w:cs="Arial"/>
          <w:color w:val="4F6228" w:themeColor="accent3" w:themeShade="80"/>
          <w:sz w:val="22"/>
          <w:lang w:val="en-US" w:eastAsia="en-US"/>
        </w:rPr>
      </w:pPr>
    </w:p>
    <w:p w14:paraId="5D07CAF4" w14:textId="0FA7DDA7" w:rsidR="00CF1053" w:rsidRPr="007870A1" w:rsidRDefault="00CF1053" w:rsidP="007870A1">
      <w:p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 xml:space="preserve">IPv4 is becoming an increasingly unnecessary cost. An organization faced with purchasing </w:t>
      </w:r>
      <w:r w:rsidR="008649E7">
        <w:rPr>
          <w:rFonts w:ascii="Arial" w:hAnsi="Arial" w:cs="Arial"/>
          <w:color w:val="4F6228" w:themeColor="accent3" w:themeShade="80"/>
          <w:sz w:val="22"/>
          <w:lang w:val="en-US" w:eastAsia="en-US"/>
        </w:rPr>
        <w:t xml:space="preserve">additional IPv4 addresses, are increasingly likely to find it more economical to sell </w:t>
      </w:r>
      <w:r w:rsidR="009B408D">
        <w:rPr>
          <w:rFonts w:ascii="Arial" w:hAnsi="Arial" w:cs="Arial"/>
          <w:color w:val="4F6228" w:themeColor="accent3" w:themeShade="80"/>
          <w:sz w:val="22"/>
          <w:lang w:val="en-US" w:eastAsia="en-US"/>
        </w:rPr>
        <w:t>its</w:t>
      </w:r>
      <w:r w:rsidR="008649E7">
        <w:rPr>
          <w:rFonts w:ascii="Arial" w:hAnsi="Arial" w:cs="Arial"/>
          <w:color w:val="4F6228" w:themeColor="accent3" w:themeShade="80"/>
          <w:sz w:val="22"/>
          <w:lang w:val="en-US" w:eastAsia="en-US"/>
        </w:rPr>
        <w:t xml:space="preserve"> current IPv4 allocation and deploy IPv6 in its place.</w:t>
      </w:r>
      <w:sdt>
        <w:sdtPr>
          <w:rPr>
            <w:rFonts w:ascii="Arial" w:hAnsi="Arial" w:cs="Arial"/>
            <w:color w:val="4F6228" w:themeColor="accent3" w:themeShade="80"/>
            <w:sz w:val="22"/>
            <w:lang w:val="en-US" w:eastAsia="en-US"/>
          </w:rPr>
          <w:id w:val="-1060639321"/>
          <w:citation/>
        </w:sdtPr>
        <w:sdtEndPr/>
        <w:sdtContent>
          <w:r w:rsidR="008649E7">
            <w:rPr>
              <w:rFonts w:ascii="Arial" w:hAnsi="Arial" w:cs="Arial"/>
              <w:color w:val="4F6228" w:themeColor="accent3" w:themeShade="80"/>
              <w:sz w:val="22"/>
              <w:lang w:val="en-US" w:eastAsia="en-US"/>
            </w:rPr>
            <w:fldChar w:fldCharType="begin"/>
          </w:r>
          <w:r w:rsidR="008649E7">
            <w:rPr>
              <w:rFonts w:ascii="Arial" w:hAnsi="Arial" w:cs="Arial"/>
              <w:color w:val="4F6228" w:themeColor="accent3" w:themeShade="80"/>
              <w:sz w:val="22"/>
              <w:lang w:eastAsia="en-US"/>
            </w:rPr>
            <w:instrText xml:space="preserve"> CITATION Sta18 \l 2057 </w:instrText>
          </w:r>
          <w:r w:rsidR="008649E7">
            <w:rPr>
              <w:rFonts w:ascii="Arial" w:hAnsi="Arial" w:cs="Arial"/>
              <w:color w:val="4F6228" w:themeColor="accent3" w:themeShade="80"/>
              <w:sz w:val="22"/>
              <w:lang w:val="en-US" w:eastAsia="en-US"/>
            </w:rPr>
            <w:fldChar w:fldCharType="separate"/>
          </w:r>
          <w:r w:rsidR="001A5A64">
            <w:rPr>
              <w:rFonts w:ascii="Arial" w:hAnsi="Arial" w:cs="Arial"/>
              <w:noProof/>
              <w:color w:val="4F6228" w:themeColor="accent3" w:themeShade="80"/>
              <w:sz w:val="22"/>
              <w:lang w:eastAsia="en-US"/>
            </w:rPr>
            <w:t xml:space="preserve"> </w:t>
          </w:r>
          <w:r w:rsidR="001A5A64" w:rsidRPr="001A5A64">
            <w:rPr>
              <w:rFonts w:ascii="Arial" w:hAnsi="Arial" w:cs="Arial"/>
              <w:noProof/>
              <w:color w:val="4F6228" w:themeColor="accent3" w:themeShade="80"/>
              <w:sz w:val="22"/>
              <w:lang w:eastAsia="en-US"/>
            </w:rPr>
            <w:t>[6]</w:t>
          </w:r>
          <w:r w:rsidR="008649E7">
            <w:rPr>
              <w:rFonts w:ascii="Arial" w:hAnsi="Arial" w:cs="Arial"/>
              <w:color w:val="4F6228" w:themeColor="accent3" w:themeShade="80"/>
              <w:sz w:val="22"/>
              <w:lang w:val="en-US" w:eastAsia="en-US"/>
            </w:rPr>
            <w:fldChar w:fldCharType="end"/>
          </w:r>
        </w:sdtContent>
      </w:sdt>
    </w:p>
    <w:p w14:paraId="24CC5C0C" w14:textId="1A5FFF23" w:rsidR="007870A1" w:rsidRDefault="007870A1" w:rsidP="007870A1">
      <w:pPr>
        <w:rPr>
          <w:rFonts w:ascii="Arial" w:hAnsi="Arial" w:cs="Arial"/>
          <w:color w:val="4F6228" w:themeColor="accent3" w:themeShade="80"/>
          <w:sz w:val="22"/>
          <w:lang w:val="en-US" w:eastAsia="en-US"/>
        </w:rPr>
      </w:pPr>
    </w:p>
    <w:p w14:paraId="6FCB994F" w14:textId="5D550848" w:rsidR="009B408D" w:rsidRPr="007870A1" w:rsidRDefault="007C13E1" w:rsidP="007870A1">
      <w:pPr>
        <w:rPr>
          <w:rFonts w:ascii="Arial" w:hAnsi="Arial" w:cs="Arial"/>
          <w:color w:val="4F6228" w:themeColor="accent3" w:themeShade="80"/>
          <w:sz w:val="22"/>
          <w:lang w:val="en-US" w:eastAsia="en-US"/>
        </w:rPr>
      </w:pPr>
      <w:r>
        <w:rPr>
          <w:rFonts w:ascii="Arial" w:hAnsi="Arial" w:cs="Arial"/>
          <w:color w:val="4F6228" w:themeColor="accent3" w:themeShade="80"/>
          <w:sz w:val="22"/>
          <w:lang w:val="en-US" w:eastAsia="en-US"/>
        </w:rPr>
        <w:t>There is little doubt; certainly, looking at the reports available, such as from the Internet Society who actively promote the deployment of IPv6, that the world will one day have fully migrated to IPv6. However, given the adoption rate of the first decade of deployment, it probably won’t be any time soon. The differences between countries and cultures makes a large impact on the demand. Mobile networks have perhaps some of the greatest need for IPv6, and indeed lead the charge in many cases. More and more devices are becoming “smart”, demanding connectivity. On the other hand, as larger organizations such as Microsoft make the change, more IPv4 addresses free up which might perhaps mediate the demand to change further.</w:t>
      </w:r>
    </w:p>
    <w:p w14:paraId="2619BCB2" w14:textId="0094DC40" w:rsidR="00FC26A9" w:rsidRDefault="00FC26A9" w:rsidP="00814B18">
      <w:pPr>
        <w:pStyle w:val="ListParagraph"/>
        <w:rPr>
          <w:rFonts w:ascii="Arial" w:hAnsi="Arial" w:cs="Arial"/>
          <w:sz w:val="22"/>
          <w:lang w:val="en-US" w:eastAsia="en-US"/>
        </w:rPr>
      </w:pPr>
    </w:p>
    <w:p w14:paraId="0EDDC1C3" w14:textId="6C5F0844" w:rsidR="00FC26A9" w:rsidRPr="00B441E9" w:rsidRDefault="00FC26A9" w:rsidP="00FC26A9">
      <w:pPr>
        <w:pStyle w:val="ListParagraph"/>
        <w:ind w:left="0"/>
        <w:rPr>
          <w:rFonts w:ascii="Arial" w:hAnsi="Arial" w:cs="Arial"/>
          <w:sz w:val="22"/>
          <w:lang w:val="en-US" w:eastAsia="en-US"/>
        </w:rPr>
      </w:pP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762F93FA" w:rsidR="004A7D3D" w:rsidRPr="004A1148" w:rsidRDefault="009147DA" w:rsidP="00F5276B">
            <w:pPr>
              <w:pStyle w:val="TableText"/>
              <w:ind w:left="284"/>
              <w:rPr>
                <w:rFonts w:cs="Arial"/>
              </w:rPr>
            </w:pPr>
            <w:r>
              <w:rPr>
                <w:rFonts w:cs="Arial"/>
              </w:rPr>
              <w:t>B</w:t>
            </w:r>
          </w:p>
        </w:tc>
        <w:tc>
          <w:tcPr>
            <w:tcW w:w="2561" w:type="dxa"/>
            <w:vAlign w:val="bottom"/>
          </w:tcPr>
          <w:p w14:paraId="325D5AA6" w14:textId="3B46F1A6" w:rsidR="004A7D3D" w:rsidRPr="004A1148" w:rsidRDefault="00DA529A" w:rsidP="00F5276B">
            <w:pPr>
              <w:pStyle w:val="TableText"/>
              <w:rPr>
                <w:rFonts w:cs="Arial"/>
              </w:rPr>
            </w:pPr>
            <w:r>
              <w:rPr>
                <w:rFonts w:cs="Arial"/>
              </w:rPr>
              <w:t>172.16.2.0/2</w:t>
            </w:r>
            <w:r w:rsidR="009147DA">
              <w:rPr>
                <w:rFonts w:cs="Arial"/>
              </w:rPr>
              <w:t>1</w:t>
            </w:r>
          </w:p>
        </w:tc>
        <w:tc>
          <w:tcPr>
            <w:tcW w:w="2552" w:type="dxa"/>
          </w:tcPr>
          <w:p w14:paraId="64D79944" w14:textId="13C5C5E8" w:rsidR="004A7D3D" w:rsidRPr="004A1148" w:rsidRDefault="009147DA" w:rsidP="00F5276B">
            <w:pPr>
              <w:pStyle w:val="TableText"/>
              <w:rPr>
                <w:rFonts w:cs="Arial"/>
              </w:rPr>
            </w:pPr>
            <w:r>
              <w:rPr>
                <w:rFonts w:cs="Arial"/>
              </w:rPr>
              <w:t>255.255.248</w:t>
            </w:r>
            <w:r w:rsidR="00DA529A">
              <w:rPr>
                <w:rFonts w:cs="Arial"/>
              </w:rPr>
              <w:t>.</w:t>
            </w:r>
            <w:r>
              <w:rPr>
                <w:rFonts w:cs="Arial"/>
              </w:rPr>
              <w:t>0</w:t>
            </w:r>
          </w:p>
        </w:tc>
        <w:tc>
          <w:tcPr>
            <w:tcW w:w="2724" w:type="dxa"/>
            <w:vAlign w:val="bottom"/>
          </w:tcPr>
          <w:p w14:paraId="426B55D1" w14:textId="266D32F3" w:rsidR="004A7D3D" w:rsidRPr="004A1148" w:rsidRDefault="00DA529A" w:rsidP="00F5276B">
            <w:pPr>
              <w:pStyle w:val="TableText"/>
              <w:rPr>
                <w:rFonts w:cs="Arial"/>
              </w:rPr>
            </w:pPr>
            <w:r>
              <w:rPr>
                <w:rFonts w:cs="Arial"/>
              </w:rPr>
              <w:t>172.16.2.</w:t>
            </w:r>
            <w:r w:rsidR="00E856E8">
              <w:rPr>
                <w:rFonts w:cs="Arial"/>
              </w:rPr>
              <w:t>1</w:t>
            </w:r>
          </w:p>
        </w:tc>
        <w:tc>
          <w:tcPr>
            <w:tcW w:w="2922" w:type="dxa"/>
            <w:vAlign w:val="bottom"/>
          </w:tcPr>
          <w:p w14:paraId="2AC7FFA7" w14:textId="3BB7D841" w:rsidR="004A7D3D" w:rsidRPr="004A1148" w:rsidRDefault="009147DA" w:rsidP="00F5276B">
            <w:pPr>
              <w:pStyle w:val="TableText"/>
              <w:rPr>
                <w:rFonts w:cs="Arial"/>
              </w:rPr>
            </w:pPr>
            <w:r>
              <w:rPr>
                <w:rFonts w:cs="Arial"/>
              </w:rPr>
              <w:t>172.16.9.254</w:t>
            </w:r>
          </w:p>
        </w:tc>
        <w:tc>
          <w:tcPr>
            <w:tcW w:w="2905" w:type="dxa"/>
            <w:vAlign w:val="bottom"/>
          </w:tcPr>
          <w:p w14:paraId="55A78382" w14:textId="190E17D4" w:rsidR="004A7D3D" w:rsidRPr="004A1148" w:rsidRDefault="009147DA" w:rsidP="00F5276B">
            <w:pPr>
              <w:pStyle w:val="TableText"/>
              <w:ind w:left="284"/>
              <w:rPr>
                <w:rFonts w:cs="Arial"/>
              </w:rPr>
            </w:pPr>
            <w:r>
              <w:rPr>
                <w:rFonts w:cs="Arial"/>
              </w:rPr>
              <w:t>172.16.9.255</w:t>
            </w:r>
          </w:p>
        </w:tc>
      </w:tr>
      <w:tr w:rsidR="004A7D3D" w:rsidRPr="004A1148" w14:paraId="25431512" w14:textId="77777777" w:rsidTr="005554AB">
        <w:trPr>
          <w:cantSplit/>
          <w:trHeight w:val="510"/>
          <w:jc w:val="center"/>
        </w:trPr>
        <w:tc>
          <w:tcPr>
            <w:tcW w:w="1412" w:type="dxa"/>
            <w:vAlign w:val="bottom"/>
          </w:tcPr>
          <w:p w14:paraId="6A6FC7F1" w14:textId="69470842" w:rsidR="004A7D3D" w:rsidRPr="004A1148" w:rsidRDefault="009147DA" w:rsidP="00F5276B">
            <w:pPr>
              <w:pStyle w:val="TableText"/>
              <w:ind w:left="284"/>
              <w:rPr>
                <w:rFonts w:cs="Arial"/>
              </w:rPr>
            </w:pPr>
            <w:r>
              <w:rPr>
                <w:rFonts w:cs="Arial"/>
              </w:rPr>
              <w:t>D</w:t>
            </w:r>
          </w:p>
        </w:tc>
        <w:tc>
          <w:tcPr>
            <w:tcW w:w="2561" w:type="dxa"/>
            <w:vAlign w:val="bottom"/>
          </w:tcPr>
          <w:p w14:paraId="5D565D23" w14:textId="6B78A569" w:rsidR="004A7D3D" w:rsidRPr="004A1148" w:rsidRDefault="009147DA" w:rsidP="00F5276B">
            <w:pPr>
              <w:pStyle w:val="TableText"/>
              <w:rPr>
                <w:rFonts w:cs="Arial"/>
              </w:rPr>
            </w:pPr>
            <w:r>
              <w:rPr>
                <w:rFonts w:cs="Arial"/>
              </w:rPr>
              <w:t>172.16.10</w:t>
            </w:r>
            <w:r w:rsidR="00A709C8">
              <w:rPr>
                <w:rFonts w:cs="Arial"/>
              </w:rPr>
              <w:t>.0/</w:t>
            </w:r>
            <w:r w:rsidR="00A20AB6">
              <w:rPr>
                <w:rFonts w:cs="Arial"/>
              </w:rPr>
              <w:t>2</w:t>
            </w:r>
            <w:r>
              <w:rPr>
                <w:rFonts w:cs="Arial"/>
              </w:rPr>
              <w:t>3</w:t>
            </w:r>
          </w:p>
        </w:tc>
        <w:tc>
          <w:tcPr>
            <w:tcW w:w="2552" w:type="dxa"/>
          </w:tcPr>
          <w:p w14:paraId="5E77A652" w14:textId="0C2C1D41" w:rsidR="004A7D3D" w:rsidRPr="004A1148" w:rsidRDefault="009147DA" w:rsidP="00F5276B">
            <w:pPr>
              <w:pStyle w:val="TableText"/>
              <w:rPr>
                <w:rFonts w:cs="Arial"/>
              </w:rPr>
            </w:pPr>
            <w:r>
              <w:rPr>
                <w:rFonts w:cs="Arial"/>
              </w:rPr>
              <w:t>255.255.254</w:t>
            </w:r>
            <w:r w:rsidR="00A20AB6">
              <w:rPr>
                <w:rFonts w:cs="Arial"/>
              </w:rPr>
              <w:t>.0</w:t>
            </w:r>
          </w:p>
        </w:tc>
        <w:tc>
          <w:tcPr>
            <w:tcW w:w="2724" w:type="dxa"/>
            <w:vAlign w:val="bottom"/>
          </w:tcPr>
          <w:p w14:paraId="553FF9D4" w14:textId="25C33001" w:rsidR="004A7D3D" w:rsidRPr="004A1148" w:rsidRDefault="009147DA" w:rsidP="00F5276B">
            <w:pPr>
              <w:pStyle w:val="TableText"/>
              <w:rPr>
                <w:rFonts w:cs="Arial"/>
              </w:rPr>
            </w:pPr>
            <w:r>
              <w:rPr>
                <w:rFonts w:cs="Arial"/>
              </w:rPr>
              <w:t>172.16.10</w:t>
            </w:r>
            <w:r w:rsidR="00A20AB6">
              <w:rPr>
                <w:rFonts w:cs="Arial"/>
              </w:rPr>
              <w:t>.</w:t>
            </w:r>
            <w:r w:rsidR="00E856E8">
              <w:rPr>
                <w:rFonts w:cs="Arial"/>
              </w:rPr>
              <w:t>1</w:t>
            </w:r>
          </w:p>
        </w:tc>
        <w:tc>
          <w:tcPr>
            <w:tcW w:w="2922" w:type="dxa"/>
            <w:vAlign w:val="bottom"/>
          </w:tcPr>
          <w:p w14:paraId="12602C5C" w14:textId="373A4087" w:rsidR="004A7D3D" w:rsidRPr="004A1148" w:rsidRDefault="009147DA" w:rsidP="00F5276B">
            <w:pPr>
              <w:pStyle w:val="TableText"/>
              <w:rPr>
                <w:rFonts w:cs="Arial"/>
              </w:rPr>
            </w:pPr>
            <w:r>
              <w:rPr>
                <w:rFonts w:cs="Arial"/>
              </w:rPr>
              <w:t>172.16.11</w:t>
            </w:r>
            <w:r w:rsidR="00A20AB6">
              <w:rPr>
                <w:rFonts w:cs="Arial"/>
              </w:rPr>
              <w:t>.254</w:t>
            </w:r>
          </w:p>
        </w:tc>
        <w:tc>
          <w:tcPr>
            <w:tcW w:w="2905" w:type="dxa"/>
            <w:vAlign w:val="bottom"/>
          </w:tcPr>
          <w:p w14:paraId="0E927FF2" w14:textId="1246BDCF" w:rsidR="004A7D3D" w:rsidRPr="004A1148" w:rsidRDefault="009147DA" w:rsidP="00F5276B">
            <w:pPr>
              <w:pStyle w:val="TableText"/>
              <w:ind w:left="284"/>
              <w:rPr>
                <w:rFonts w:cs="Arial"/>
              </w:rPr>
            </w:pPr>
            <w:r>
              <w:rPr>
                <w:rFonts w:cs="Arial"/>
              </w:rPr>
              <w:t>172.16.11</w:t>
            </w:r>
            <w:r w:rsidR="00A20AB6">
              <w:rPr>
                <w:rFonts w:cs="Arial"/>
              </w:rPr>
              <w:t>.255</w:t>
            </w:r>
          </w:p>
        </w:tc>
      </w:tr>
      <w:tr w:rsidR="004A7D3D" w:rsidRPr="004A1148" w14:paraId="1804910C" w14:textId="77777777" w:rsidTr="005554AB">
        <w:trPr>
          <w:cantSplit/>
          <w:trHeight w:val="510"/>
          <w:jc w:val="center"/>
        </w:trPr>
        <w:tc>
          <w:tcPr>
            <w:tcW w:w="1412" w:type="dxa"/>
            <w:vAlign w:val="bottom"/>
          </w:tcPr>
          <w:p w14:paraId="198C292F" w14:textId="576F1D20" w:rsidR="004A7D3D" w:rsidRPr="004A1148" w:rsidRDefault="009147DA" w:rsidP="00F5276B">
            <w:pPr>
              <w:pStyle w:val="TableText"/>
              <w:ind w:left="284"/>
              <w:rPr>
                <w:rFonts w:cs="Arial"/>
              </w:rPr>
            </w:pPr>
            <w:r>
              <w:rPr>
                <w:rFonts w:cs="Arial"/>
              </w:rPr>
              <w:t>F</w:t>
            </w:r>
          </w:p>
        </w:tc>
        <w:tc>
          <w:tcPr>
            <w:tcW w:w="2561" w:type="dxa"/>
            <w:vAlign w:val="bottom"/>
          </w:tcPr>
          <w:p w14:paraId="3114BB27" w14:textId="75E8563E" w:rsidR="004A7D3D" w:rsidRPr="004A1148" w:rsidRDefault="00813C85" w:rsidP="00F5276B">
            <w:pPr>
              <w:pStyle w:val="TableText"/>
              <w:rPr>
                <w:rFonts w:cs="Arial"/>
              </w:rPr>
            </w:pPr>
            <w:r>
              <w:rPr>
                <w:rFonts w:cs="Arial"/>
              </w:rPr>
              <w:t>172.16.</w:t>
            </w:r>
            <w:r w:rsidR="009147DA">
              <w:rPr>
                <w:rFonts w:cs="Arial"/>
              </w:rPr>
              <w:t>1</w:t>
            </w:r>
            <w:r>
              <w:rPr>
                <w:rFonts w:cs="Arial"/>
              </w:rPr>
              <w:t>2.0/2</w:t>
            </w:r>
            <w:r w:rsidR="009147DA">
              <w:rPr>
                <w:rFonts w:cs="Arial"/>
              </w:rPr>
              <w:t>4</w:t>
            </w:r>
          </w:p>
        </w:tc>
        <w:tc>
          <w:tcPr>
            <w:tcW w:w="2552" w:type="dxa"/>
          </w:tcPr>
          <w:p w14:paraId="0D8FD5C7" w14:textId="3F5A36C9" w:rsidR="004A7D3D" w:rsidRPr="004A1148" w:rsidRDefault="009147DA" w:rsidP="00F5276B">
            <w:pPr>
              <w:pStyle w:val="TableText"/>
              <w:rPr>
                <w:rFonts w:cs="Arial"/>
              </w:rPr>
            </w:pPr>
            <w:r>
              <w:rPr>
                <w:rFonts w:cs="Arial"/>
              </w:rPr>
              <w:t>255.255.255.0</w:t>
            </w:r>
          </w:p>
        </w:tc>
        <w:tc>
          <w:tcPr>
            <w:tcW w:w="2724" w:type="dxa"/>
            <w:vAlign w:val="bottom"/>
          </w:tcPr>
          <w:p w14:paraId="035CA129" w14:textId="02F48089" w:rsidR="004A7D3D" w:rsidRPr="004A1148" w:rsidRDefault="00813C85" w:rsidP="00F5276B">
            <w:pPr>
              <w:pStyle w:val="TableText"/>
              <w:rPr>
                <w:rFonts w:cs="Arial"/>
              </w:rPr>
            </w:pPr>
            <w:r>
              <w:rPr>
                <w:rFonts w:cs="Arial"/>
              </w:rPr>
              <w:t>172.16.</w:t>
            </w:r>
            <w:r w:rsidR="009147DA">
              <w:rPr>
                <w:rFonts w:cs="Arial"/>
              </w:rPr>
              <w:t>1</w:t>
            </w:r>
            <w:r>
              <w:rPr>
                <w:rFonts w:cs="Arial"/>
              </w:rPr>
              <w:t>2.</w:t>
            </w:r>
            <w:r w:rsidR="00E856E8">
              <w:rPr>
                <w:rFonts w:cs="Arial"/>
              </w:rPr>
              <w:t>1</w:t>
            </w:r>
          </w:p>
        </w:tc>
        <w:tc>
          <w:tcPr>
            <w:tcW w:w="2922" w:type="dxa"/>
            <w:vAlign w:val="bottom"/>
          </w:tcPr>
          <w:p w14:paraId="139F5B25" w14:textId="0EF103F4" w:rsidR="004A7D3D" w:rsidRPr="004A1148" w:rsidRDefault="00813C85" w:rsidP="00F5276B">
            <w:pPr>
              <w:pStyle w:val="TableText"/>
              <w:rPr>
                <w:rFonts w:cs="Arial"/>
              </w:rPr>
            </w:pPr>
            <w:r>
              <w:rPr>
                <w:rFonts w:cs="Arial"/>
              </w:rPr>
              <w:t>172.16.</w:t>
            </w:r>
            <w:r w:rsidR="009147DA">
              <w:rPr>
                <w:rFonts w:cs="Arial"/>
              </w:rPr>
              <w:t>1</w:t>
            </w:r>
            <w:r>
              <w:rPr>
                <w:rFonts w:cs="Arial"/>
              </w:rPr>
              <w:t>2.</w:t>
            </w:r>
            <w:r w:rsidR="009147DA">
              <w:rPr>
                <w:rFonts w:cs="Arial"/>
              </w:rPr>
              <w:t>254</w:t>
            </w:r>
          </w:p>
        </w:tc>
        <w:tc>
          <w:tcPr>
            <w:tcW w:w="2905" w:type="dxa"/>
            <w:vAlign w:val="bottom"/>
          </w:tcPr>
          <w:p w14:paraId="63784539" w14:textId="26D47FF6" w:rsidR="004A7D3D" w:rsidRPr="004A1148" w:rsidRDefault="00813C85" w:rsidP="00F5276B">
            <w:pPr>
              <w:pStyle w:val="TableText"/>
              <w:ind w:left="284"/>
              <w:rPr>
                <w:rFonts w:cs="Arial"/>
              </w:rPr>
            </w:pPr>
            <w:r>
              <w:rPr>
                <w:rFonts w:cs="Arial"/>
              </w:rPr>
              <w:t>172.16.</w:t>
            </w:r>
            <w:r w:rsidR="009147DA">
              <w:rPr>
                <w:rFonts w:cs="Arial"/>
              </w:rPr>
              <w:t>1</w:t>
            </w:r>
            <w:r>
              <w:rPr>
                <w:rFonts w:cs="Arial"/>
              </w:rPr>
              <w:t>2.</w:t>
            </w:r>
            <w:r w:rsidR="009147DA">
              <w:rPr>
                <w:rFonts w:cs="Arial"/>
              </w:rPr>
              <w:t>255</w:t>
            </w:r>
          </w:p>
        </w:tc>
      </w:tr>
      <w:tr w:rsidR="004A7D3D" w:rsidRPr="004A1148" w14:paraId="6FCEA750" w14:textId="77777777" w:rsidTr="005554AB">
        <w:trPr>
          <w:cantSplit/>
          <w:trHeight w:val="510"/>
          <w:jc w:val="center"/>
        </w:trPr>
        <w:tc>
          <w:tcPr>
            <w:tcW w:w="1412" w:type="dxa"/>
            <w:vAlign w:val="bottom"/>
          </w:tcPr>
          <w:p w14:paraId="023D3E13" w14:textId="66E12913" w:rsidR="004A7D3D" w:rsidRPr="004A1148" w:rsidRDefault="009147DA" w:rsidP="00F5276B">
            <w:pPr>
              <w:pStyle w:val="TableText"/>
              <w:ind w:left="284"/>
              <w:rPr>
                <w:rFonts w:cs="Arial"/>
              </w:rPr>
            </w:pPr>
            <w:r>
              <w:rPr>
                <w:rFonts w:cs="Arial"/>
              </w:rPr>
              <w:t>E</w:t>
            </w:r>
          </w:p>
        </w:tc>
        <w:tc>
          <w:tcPr>
            <w:tcW w:w="2561" w:type="dxa"/>
            <w:vAlign w:val="bottom"/>
          </w:tcPr>
          <w:p w14:paraId="028301AC" w14:textId="2C2C5AC3" w:rsidR="004A7D3D" w:rsidRPr="004A1148" w:rsidRDefault="00D17265" w:rsidP="00F5276B">
            <w:pPr>
              <w:pStyle w:val="TableText"/>
              <w:rPr>
                <w:rFonts w:cs="Arial"/>
              </w:rPr>
            </w:pPr>
            <w:r>
              <w:rPr>
                <w:rFonts w:cs="Arial"/>
              </w:rPr>
              <w:t>172.16.13</w:t>
            </w:r>
            <w:r w:rsidR="00847F6E">
              <w:rPr>
                <w:rFonts w:cs="Arial"/>
              </w:rPr>
              <w:t>.0</w:t>
            </w:r>
            <w:r w:rsidR="009120AB">
              <w:rPr>
                <w:rFonts w:cs="Arial"/>
              </w:rPr>
              <w:t>/2</w:t>
            </w:r>
            <w:r>
              <w:rPr>
                <w:rFonts w:cs="Arial"/>
              </w:rPr>
              <w:t>6</w:t>
            </w:r>
          </w:p>
        </w:tc>
        <w:tc>
          <w:tcPr>
            <w:tcW w:w="2552" w:type="dxa"/>
          </w:tcPr>
          <w:p w14:paraId="0E107CA2" w14:textId="1EA1570D" w:rsidR="004A7D3D" w:rsidRPr="004A1148" w:rsidRDefault="00D17265" w:rsidP="00F5276B">
            <w:pPr>
              <w:pStyle w:val="TableText"/>
              <w:rPr>
                <w:rFonts w:cs="Arial"/>
              </w:rPr>
            </w:pPr>
            <w:r>
              <w:rPr>
                <w:rFonts w:cs="Arial"/>
              </w:rPr>
              <w:t>255.255.255</w:t>
            </w:r>
            <w:r w:rsidR="00847F6E">
              <w:rPr>
                <w:rFonts w:cs="Arial"/>
              </w:rPr>
              <w:t>.</w:t>
            </w:r>
            <w:r>
              <w:rPr>
                <w:rFonts w:cs="Arial"/>
              </w:rPr>
              <w:t>192</w:t>
            </w:r>
          </w:p>
        </w:tc>
        <w:tc>
          <w:tcPr>
            <w:tcW w:w="2724" w:type="dxa"/>
            <w:vAlign w:val="bottom"/>
          </w:tcPr>
          <w:p w14:paraId="76E3E1C0" w14:textId="035E6911" w:rsidR="004A7D3D" w:rsidRPr="004A1148" w:rsidRDefault="00D17265" w:rsidP="00F5276B">
            <w:pPr>
              <w:pStyle w:val="TableText"/>
              <w:rPr>
                <w:rFonts w:cs="Arial"/>
              </w:rPr>
            </w:pPr>
            <w:r>
              <w:rPr>
                <w:rFonts w:cs="Arial"/>
              </w:rPr>
              <w:t>172.16.13</w:t>
            </w:r>
            <w:r w:rsidR="00847F6E">
              <w:rPr>
                <w:rFonts w:cs="Arial"/>
              </w:rPr>
              <w:t>.</w:t>
            </w:r>
            <w:r w:rsidR="00E856E8">
              <w:rPr>
                <w:rFonts w:cs="Arial"/>
              </w:rPr>
              <w:t>1</w:t>
            </w:r>
          </w:p>
        </w:tc>
        <w:tc>
          <w:tcPr>
            <w:tcW w:w="2922" w:type="dxa"/>
            <w:vAlign w:val="bottom"/>
          </w:tcPr>
          <w:p w14:paraId="1F58716B" w14:textId="647E6D60" w:rsidR="004A7D3D" w:rsidRPr="004A1148" w:rsidRDefault="00D17265" w:rsidP="00F5276B">
            <w:pPr>
              <w:pStyle w:val="TableText"/>
              <w:rPr>
                <w:rFonts w:cs="Arial"/>
              </w:rPr>
            </w:pPr>
            <w:r>
              <w:rPr>
                <w:rFonts w:cs="Arial"/>
              </w:rPr>
              <w:t>172.16</w:t>
            </w:r>
            <w:r w:rsidR="009120AB">
              <w:rPr>
                <w:rFonts w:cs="Arial"/>
              </w:rPr>
              <w:t>.</w:t>
            </w:r>
            <w:r>
              <w:rPr>
                <w:rFonts w:cs="Arial"/>
              </w:rPr>
              <w:t>1</w:t>
            </w:r>
            <w:r w:rsidR="009120AB">
              <w:rPr>
                <w:rFonts w:cs="Arial"/>
              </w:rPr>
              <w:t>3.</w:t>
            </w:r>
            <w:r>
              <w:rPr>
                <w:rFonts w:cs="Arial"/>
              </w:rPr>
              <w:t>6</w:t>
            </w:r>
            <w:r w:rsidR="009120AB">
              <w:rPr>
                <w:rFonts w:cs="Arial"/>
              </w:rPr>
              <w:t>2</w:t>
            </w:r>
          </w:p>
        </w:tc>
        <w:tc>
          <w:tcPr>
            <w:tcW w:w="2905" w:type="dxa"/>
            <w:vAlign w:val="bottom"/>
          </w:tcPr>
          <w:p w14:paraId="1F03CCA5" w14:textId="12DE621E" w:rsidR="004A7D3D" w:rsidRPr="004A1148" w:rsidRDefault="00847F6E" w:rsidP="00F5276B">
            <w:pPr>
              <w:pStyle w:val="TableText"/>
              <w:ind w:left="284"/>
              <w:rPr>
                <w:rFonts w:cs="Arial"/>
              </w:rPr>
            </w:pPr>
            <w:r>
              <w:rPr>
                <w:rFonts w:cs="Arial"/>
              </w:rPr>
              <w:t>172.16.</w:t>
            </w:r>
            <w:r w:rsidR="00D17265">
              <w:rPr>
                <w:rFonts w:cs="Arial"/>
              </w:rPr>
              <w:t>1</w:t>
            </w:r>
            <w:r>
              <w:rPr>
                <w:rFonts w:cs="Arial"/>
              </w:rPr>
              <w:t>3.</w:t>
            </w:r>
            <w:r w:rsidR="00D17265">
              <w:rPr>
                <w:rFonts w:cs="Arial"/>
              </w:rPr>
              <w:t>63</w:t>
            </w:r>
          </w:p>
        </w:tc>
      </w:tr>
      <w:tr w:rsidR="004A7D3D" w:rsidRPr="004A1148" w14:paraId="6B34B8B1" w14:textId="77777777" w:rsidTr="005554AB">
        <w:trPr>
          <w:cantSplit/>
          <w:trHeight w:val="510"/>
          <w:jc w:val="center"/>
        </w:trPr>
        <w:tc>
          <w:tcPr>
            <w:tcW w:w="1412" w:type="dxa"/>
            <w:vAlign w:val="bottom"/>
          </w:tcPr>
          <w:p w14:paraId="65F58BF1" w14:textId="76E49961" w:rsidR="004A7D3D" w:rsidRPr="004A1148" w:rsidRDefault="00D17265" w:rsidP="00F5276B">
            <w:pPr>
              <w:pStyle w:val="TableText"/>
              <w:ind w:left="284"/>
              <w:rPr>
                <w:rFonts w:cs="Arial"/>
              </w:rPr>
            </w:pPr>
            <w:r>
              <w:rPr>
                <w:rFonts w:cs="Arial"/>
              </w:rPr>
              <w:t>A</w:t>
            </w:r>
          </w:p>
        </w:tc>
        <w:tc>
          <w:tcPr>
            <w:tcW w:w="2561" w:type="dxa"/>
            <w:vAlign w:val="bottom"/>
          </w:tcPr>
          <w:p w14:paraId="18067B56" w14:textId="4941A7AF" w:rsidR="004A7D3D" w:rsidRPr="004A1148" w:rsidRDefault="00D17265" w:rsidP="00F5276B">
            <w:pPr>
              <w:pStyle w:val="TableText"/>
              <w:rPr>
                <w:rFonts w:cs="Arial"/>
              </w:rPr>
            </w:pPr>
            <w:r>
              <w:rPr>
                <w:rFonts w:cs="Arial"/>
              </w:rPr>
              <w:t>172.16.13.64/27</w:t>
            </w:r>
          </w:p>
        </w:tc>
        <w:tc>
          <w:tcPr>
            <w:tcW w:w="2552" w:type="dxa"/>
          </w:tcPr>
          <w:p w14:paraId="309D051E" w14:textId="7D53E392" w:rsidR="004A7D3D" w:rsidRPr="004A1148" w:rsidRDefault="00D17265" w:rsidP="00F5276B">
            <w:pPr>
              <w:pStyle w:val="TableText"/>
              <w:rPr>
                <w:rFonts w:cs="Arial"/>
              </w:rPr>
            </w:pPr>
            <w:r>
              <w:rPr>
                <w:rFonts w:cs="Arial"/>
              </w:rPr>
              <w:t>255.255.255.224</w:t>
            </w:r>
          </w:p>
        </w:tc>
        <w:tc>
          <w:tcPr>
            <w:tcW w:w="2724" w:type="dxa"/>
            <w:vAlign w:val="bottom"/>
          </w:tcPr>
          <w:p w14:paraId="4BB66377" w14:textId="67FD70B8" w:rsidR="004A7D3D" w:rsidRPr="004A1148" w:rsidRDefault="00D17265" w:rsidP="00F5276B">
            <w:pPr>
              <w:pStyle w:val="TableText"/>
              <w:rPr>
                <w:rFonts w:cs="Arial"/>
              </w:rPr>
            </w:pPr>
            <w:r>
              <w:rPr>
                <w:rFonts w:cs="Arial"/>
              </w:rPr>
              <w:t>172.16.13</w:t>
            </w:r>
            <w:r w:rsidR="005325CA">
              <w:rPr>
                <w:rFonts w:cs="Arial"/>
              </w:rPr>
              <w:t>.</w:t>
            </w:r>
            <w:r w:rsidR="00952F89">
              <w:rPr>
                <w:rFonts w:cs="Arial"/>
              </w:rPr>
              <w:t>65</w:t>
            </w:r>
          </w:p>
        </w:tc>
        <w:tc>
          <w:tcPr>
            <w:tcW w:w="2922" w:type="dxa"/>
            <w:vAlign w:val="bottom"/>
          </w:tcPr>
          <w:p w14:paraId="2F12A22D" w14:textId="4339CF42" w:rsidR="004A7D3D" w:rsidRPr="004A1148" w:rsidRDefault="00952F89" w:rsidP="00F5276B">
            <w:pPr>
              <w:pStyle w:val="TableText"/>
              <w:rPr>
                <w:rFonts w:cs="Arial"/>
              </w:rPr>
            </w:pPr>
            <w:r>
              <w:rPr>
                <w:rFonts w:cs="Arial"/>
              </w:rPr>
              <w:t>172.16.13.94</w:t>
            </w:r>
          </w:p>
        </w:tc>
        <w:tc>
          <w:tcPr>
            <w:tcW w:w="2905" w:type="dxa"/>
            <w:vAlign w:val="bottom"/>
          </w:tcPr>
          <w:p w14:paraId="78E458EF" w14:textId="54E85024" w:rsidR="004A7D3D" w:rsidRPr="004A1148" w:rsidRDefault="00952F89" w:rsidP="00F5276B">
            <w:pPr>
              <w:pStyle w:val="TableText"/>
              <w:ind w:left="284"/>
              <w:rPr>
                <w:rFonts w:cs="Arial"/>
              </w:rPr>
            </w:pPr>
            <w:r>
              <w:rPr>
                <w:rFonts w:cs="Arial"/>
              </w:rPr>
              <w:t>172.16.13.95</w:t>
            </w:r>
          </w:p>
        </w:tc>
      </w:tr>
      <w:tr w:rsidR="004A7D3D" w:rsidRPr="004A1148" w14:paraId="0B4ED2B0" w14:textId="77777777" w:rsidTr="005554AB">
        <w:trPr>
          <w:cantSplit/>
          <w:trHeight w:val="510"/>
          <w:jc w:val="center"/>
        </w:trPr>
        <w:tc>
          <w:tcPr>
            <w:tcW w:w="1412" w:type="dxa"/>
            <w:vAlign w:val="bottom"/>
          </w:tcPr>
          <w:p w14:paraId="609E3F7B" w14:textId="6445E1F8" w:rsidR="004A7D3D" w:rsidRPr="004A1148" w:rsidRDefault="00952F89" w:rsidP="00F5276B">
            <w:pPr>
              <w:pStyle w:val="TableText"/>
              <w:ind w:left="284"/>
              <w:rPr>
                <w:rFonts w:cs="Arial"/>
              </w:rPr>
            </w:pPr>
            <w:r>
              <w:rPr>
                <w:rFonts w:cs="Arial"/>
              </w:rPr>
              <w:t>C</w:t>
            </w:r>
          </w:p>
        </w:tc>
        <w:tc>
          <w:tcPr>
            <w:tcW w:w="2561" w:type="dxa"/>
            <w:vAlign w:val="bottom"/>
          </w:tcPr>
          <w:p w14:paraId="31F64227" w14:textId="0214DBAF" w:rsidR="004A7D3D" w:rsidRPr="004A1148" w:rsidRDefault="00952F89" w:rsidP="00F5276B">
            <w:pPr>
              <w:pStyle w:val="TableText"/>
              <w:rPr>
                <w:rFonts w:cs="Arial"/>
              </w:rPr>
            </w:pPr>
            <w:r>
              <w:rPr>
                <w:rFonts w:cs="Arial"/>
              </w:rPr>
              <w:t>172.16.13.96/29</w:t>
            </w:r>
          </w:p>
        </w:tc>
        <w:tc>
          <w:tcPr>
            <w:tcW w:w="2552" w:type="dxa"/>
          </w:tcPr>
          <w:p w14:paraId="55665601" w14:textId="300D7682" w:rsidR="004A7D3D" w:rsidRPr="004A1148" w:rsidRDefault="008F559E" w:rsidP="00F5276B">
            <w:pPr>
              <w:pStyle w:val="TableText"/>
              <w:rPr>
                <w:rFonts w:cs="Arial"/>
              </w:rPr>
            </w:pPr>
            <w:r>
              <w:rPr>
                <w:rFonts w:cs="Arial"/>
              </w:rPr>
              <w:t>255.255.255.</w:t>
            </w:r>
            <w:r w:rsidR="00952F89">
              <w:rPr>
                <w:rFonts w:cs="Arial"/>
              </w:rPr>
              <w:t>248</w:t>
            </w:r>
          </w:p>
        </w:tc>
        <w:tc>
          <w:tcPr>
            <w:tcW w:w="2724" w:type="dxa"/>
            <w:vAlign w:val="bottom"/>
          </w:tcPr>
          <w:p w14:paraId="4F549E4B" w14:textId="7F028763" w:rsidR="004A7D3D" w:rsidRPr="004A1148" w:rsidRDefault="00952F89" w:rsidP="00F5276B">
            <w:pPr>
              <w:pStyle w:val="TableText"/>
              <w:rPr>
                <w:rFonts w:cs="Arial"/>
              </w:rPr>
            </w:pPr>
            <w:r>
              <w:rPr>
                <w:rFonts w:cs="Arial"/>
              </w:rPr>
              <w:t>172.16.13.97</w:t>
            </w:r>
          </w:p>
        </w:tc>
        <w:tc>
          <w:tcPr>
            <w:tcW w:w="2922" w:type="dxa"/>
            <w:vAlign w:val="bottom"/>
          </w:tcPr>
          <w:p w14:paraId="7C499210" w14:textId="2E5E1C58" w:rsidR="004A7D3D" w:rsidRPr="004A1148" w:rsidRDefault="00952F89" w:rsidP="00F5276B">
            <w:pPr>
              <w:pStyle w:val="TableText"/>
              <w:rPr>
                <w:rFonts w:cs="Arial"/>
              </w:rPr>
            </w:pPr>
            <w:r>
              <w:rPr>
                <w:rFonts w:cs="Arial"/>
              </w:rPr>
              <w:t>172.16.13.102</w:t>
            </w:r>
          </w:p>
        </w:tc>
        <w:tc>
          <w:tcPr>
            <w:tcW w:w="2905" w:type="dxa"/>
            <w:vAlign w:val="bottom"/>
          </w:tcPr>
          <w:p w14:paraId="2D756274" w14:textId="4A24CD5D" w:rsidR="004A7D3D" w:rsidRPr="004A1148" w:rsidRDefault="00952F89" w:rsidP="00F5276B">
            <w:pPr>
              <w:pStyle w:val="TableText"/>
              <w:ind w:left="284"/>
              <w:rPr>
                <w:rFonts w:cs="Arial"/>
              </w:rPr>
            </w:pPr>
            <w:r>
              <w:rPr>
                <w:rFonts w:cs="Arial"/>
              </w:rPr>
              <w:t>172.16.13.103</w:t>
            </w:r>
          </w:p>
        </w:tc>
      </w:tr>
      <w:tr w:rsidR="004A7D3D" w:rsidRPr="004A1148" w14:paraId="27709968" w14:textId="77777777" w:rsidTr="005554AB">
        <w:trPr>
          <w:cantSplit/>
          <w:trHeight w:val="510"/>
          <w:jc w:val="center"/>
        </w:trPr>
        <w:tc>
          <w:tcPr>
            <w:tcW w:w="1412" w:type="dxa"/>
            <w:vAlign w:val="bottom"/>
          </w:tcPr>
          <w:p w14:paraId="20984A5F" w14:textId="191076A0" w:rsidR="004A7D3D" w:rsidRPr="004A1148" w:rsidRDefault="008F559E" w:rsidP="00F5276B">
            <w:pPr>
              <w:pStyle w:val="TableText"/>
              <w:ind w:left="284"/>
              <w:rPr>
                <w:rFonts w:cs="Arial"/>
              </w:rPr>
            </w:pPr>
            <w:r>
              <w:rPr>
                <w:rFonts w:cs="Arial"/>
              </w:rPr>
              <w:t>R1</w:t>
            </w:r>
          </w:p>
        </w:tc>
        <w:tc>
          <w:tcPr>
            <w:tcW w:w="2561" w:type="dxa"/>
            <w:vAlign w:val="bottom"/>
          </w:tcPr>
          <w:p w14:paraId="0D69D9DC" w14:textId="2EAB52A0" w:rsidR="004A7D3D" w:rsidRPr="004A1148" w:rsidRDefault="00952F89" w:rsidP="00F5276B">
            <w:pPr>
              <w:pStyle w:val="TableText"/>
              <w:rPr>
                <w:rFonts w:cs="Arial"/>
              </w:rPr>
            </w:pPr>
            <w:r>
              <w:rPr>
                <w:rFonts w:cs="Arial"/>
              </w:rPr>
              <w:t>172.16.13.104</w:t>
            </w:r>
          </w:p>
        </w:tc>
        <w:tc>
          <w:tcPr>
            <w:tcW w:w="2552" w:type="dxa"/>
          </w:tcPr>
          <w:p w14:paraId="30D77B01" w14:textId="56863EC1" w:rsidR="004A7D3D" w:rsidRPr="004A1148" w:rsidRDefault="00A57161" w:rsidP="00F5276B">
            <w:pPr>
              <w:pStyle w:val="TableText"/>
              <w:rPr>
                <w:rFonts w:cs="Arial"/>
              </w:rPr>
            </w:pPr>
            <w:r>
              <w:rPr>
                <w:rFonts w:cs="Arial"/>
              </w:rPr>
              <w:t>255.255.255.252</w:t>
            </w:r>
          </w:p>
        </w:tc>
        <w:tc>
          <w:tcPr>
            <w:tcW w:w="2724" w:type="dxa"/>
            <w:vAlign w:val="bottom"/>
          </w:tcPr>
          <w:p w14:paraId="5596A409" w14:textId="0361878A" w:rsidR="004A7D3D" w:rsidRPr="004A1148" w:rsidRDefault="00952F89" w:rsidP="00F5276B">
            <w:pPr>
              <w:pStyle w:val="TableText"/>
              <w:rPr>
                <w:rFonts w:cs="Arial"/>
              </w:rPr>
            </w:pPr>
            <w:r>
              <w:rPr>
                <w:rFonts w:cs="Arial"/>
              </w:rPr>
              <w:t>172.16.13.105</w:t>
            </w:r>
          </w:p>
        </w:tc>
        <w:tc>
          <w:tcPr>
            <w:tcW w:w="2922" w:type="dxa"/>
            <w:vAlign w:val="bottom"/>
          </w:tcPr>
          <w:p w14:paraId="0F1FE2D6" w14:textId="3ED82598" w:rsidR="004A7D3D" w:rsidRPr="004A1148" w:rsidRDefault="00952F89" w:rsidP="00F5276B">
            <w:pPr>
              <w:pStyle w:val="TableText"/>
              <w:rPr>
                <w:rFonts w:cs="Arial"/>
              </w:rPr>
            </w:pPr>
            <w:r>
              <w:rPr>
                <w:rFonts w:cs="Arial"/>
              </w:rPr>
              <w:t>172.16.13.106</w:t>
            </w:r>
          </w:p>
        </w:tc>
        <w:tc>
          <w:tcPr>
            <w:tcW w:w="2905" w:type="dxa"/>
            <w:vAlign w:val="bottom"/>
          </w:tcPr>
          <w:p w14:paraId="554DDEFE" w14:textId="175BADB8" w:rsidR="004A7D3D" w:rsidRPr="004A1148" w:rsidRDefault="00952F89" w:rsidP="00F5276B">
            <w:pPr>
              <w:pStyle w:val="TableText"/>
              <w:ind w:left="284"/>
              <w:rPr>
                <w:rFonts w:cs="Arial"/>
              </w:rPr>
            </w:pPr>
            <w:r>
              <w:rPr>
                <w:rFonts w:cs="Arial"/>
              </w:rPr>
              <w:t>172.16.13.107</w:t>
            </w:r>
          </w:p>
        </w:tc>
      </w:tr>
      <w:tr w:rsidR="004A7D3D" w:rsidRPr="004A1148" w14:paraId="0B6C4A12" w14:textId="77777777" w:rsidTr="005554AB">
        <w:trPr>
          <w:cantSplit/>
          <w:trHeight w:val="510"/>
          <w:jc w:val="center"/>
        </w:trPr>
        <w:tc>
          <w:tcPr>
            <w:tcW w:w="1412" w:type="dxa"/>
            <w:vAlign w:val="bottom"/>
          </w:tcPr>
          <w:p w14:paraId="61BCB553" w14:textId="28B09352" w:rsidR="004A7D3D" w:rsidRPr="004A1148" w:rsidRDefault="008F559E" w:rsidP="00F5276B">
            <w:pPr>
              <w:pStyle w:val="TableText"/>
              <w:ind w:left="284"/>
              <w:rPr>
                <w:rFonts w:cs="Arial"/>
              </w:rPr>
            </w:pPr>
            <w:r>
              <w:rPr>
                <w:rFonts w:cs="Arial"/>
              </w:rPr>
              <w:t>R2</w:t>
            </w:r>
          </w:p>
        </w:tc>
        <w:tc>
          <w:tcPr>
            <w:tcW w:w="2561" w:type="dxa"/>
            <w:vAlign w:val="bottom"/>
          </w:tcPr>
          <w:p w14:paraId="1F850D77" w14:textId="2320529B" w:rsidR="004A7D3D" w:rsidRPr="004A1148" w:rsidRDefault="00952F89" w:rsidP="00F5276B">
            <w:pPr>
              <w:pStyle w:val="TableText"/>
              <w:rPr>
                <w:rFonts w:cs="Arial"/>
              </w:rPr>
            </w:pPr>
            <w:r>
              <w:rPr>
                <w:rFonts w:cs="Arial"/>
              </w:rPr>
              <w:t>172.16.13.108</w:t>
            </w:r>
          </w:p>
        </w:tc>
        <w:tc>
          <w:tcPr>
            <w:tcW w:w="2552" w:type="dxa"/>
          </w:tcPr>
          <w:p w14:paraId="4E625FAD" w14:textId="09C3B331" w:rsidR="004A7D3D" w:rsidRPr="004A1148" w:rsidRDefault="00A57161" w:rsidP="00F5276B">
            <w:pPr>
              <w:pStyle w:val="TableText"/>
              <w:rPr>
                <w:rFonts w:cs="Arial"/>
              </w:rPr>
            </w:pPr>
            <w:r>
              <w:rPr>
                <w:rFonts w:cs="Arial"/>
              </w:rPr>
              <w:t>255.255.255.252</w:t>
            </w:r>
          </w:p>
        </w:tc>
        <w:tc>
          <w:tcPr>
            <w:tcW w:w="2724" w:type="dxa"/>
            <w:vAlign w:val="bottom"/>
          </w:tcPr>
          <w:p w14:paraId="2EFD5AB2" w14:textId="4C9006FA" w:rsidR="004A7D3D" w:rsidRPr="004A1148" w:rsidRDefault="00952F89" w:rsidP="00F5276B">
            <w:pPr>
              <w:pStyle w:val="TableText"/>
              <w:rPr>
                <w:rFonts w:cs="Arial"/>
              </w:rPr>
            </w:pPr>
            <w:r>
              <w:rPr>
                <w:rFonts w:cs="Arial"/>
              </w:rPr>
              <w:t>172.16.13.109</w:t>
            </w:r>
          </w:p>
        </w:tc>
        <w:tc>
          <w:tcPr>
            <w:tcW w:w="2922" w:type="dxa"/>
            <w:vAlign w:val="bottom"/>
          </w:tcPr>
          <w:p w14:paraId="488D3941" w14:textId="1C08064F" w:rsidR="004A7D3D" w:rsidRPr="004A1148" w:rsidRDefault="00952F89" w:rsidP="00F5276B">
            <w:pPr>
              <w:pStyle w:val="TableText"/>
              <w:rPr>
                <w:rFonts w:cs="Arial"/>
              </w:rPr>
            </w:pPr>
            <w:r>
              <w:rPr>
                <w:rFonts w:cs="Arial"/>
              </w:rPr>
              <w:t>172.16.13.110</w:t>
            </w:r>
          </w:p>
        </w:tc>
        <w:tc>
          <w:tcPr>
            <w:tcW w:w="2905" w:type="dxa"/>
            <w:vAlign w:val="bottom"/>
          </w:tcPr>
          <w:p w14:paraId="6CDA3D3D" w14:textId="014DAAF5" w:rsidR="004A7D3D" w:rsidRPr="004A1148" w:rsidRDefault="00952F89" w:rsidP="00F5276B">
            <w:pPr>
              <w:pStyle w:val="TableText"/>
              <w:ind w:left="284"/>
              <w:rPr>
                <w:rFonts w:cs="Arial"/>
              </w:rPr>
            </w:pPr>
            <w:r>
              <w:rPr>
                <w:rFonts w:cs="Arial"/>
              </w:rPr>
              <w:t>172.16.13.111</w:t>
            </w:r>
          </w:p>
        </w:tc>
      </w:tr>
      <w:tr w:rsidR="004A7D3D" w:rsidRPr="004A1148" w14:paraId="7FC18FDC" w14:textId="77777777" w:rsidTr="005554AB">
        <w:trPr>
          <w:cantSplit/>
          <w:trHeight w:val="510"/>
          <w:jc w:val="center"/>
        </w:trPr>
        <w:tc>
          <w:tcPr>
            <w:tcW w:w="1412" w:type="dxa"/>
            <w:vAlign w:val="bottom"/>
          </w:tcPr>
          <w:p w14:paraId="1FB33D0A" w14:textId="1707FE39" w:rsidR="004A7D3D" w:rsidRPr="004A1148" w:rsidRDefault="008F559E" w:rsidP="00F5276B">
            <w:pPr>
              <w:pStyle w:val="TableText"/>
              <w:ind w:left="284"/>
              <w:rPr>
                <w:rFonts w:cs="Arial"/>
              </w:rPr>
            </w:pPr>
            <w:r>
              <w:rPr>
                <w:rFonts w:cs="Arial"/>
              </w:rPr>
              <w:t>R3</w:t>
            </w:r>
          </w:p>
        </w:tc>
        <w:tc>
          <w:tcPr>
            <w:tcW w:w="2561" w:type="dxa"/>
            <w:vAlign w:val="bottom"/>
          </w:tcPr>
          <w:p w14:paraId="3A3974FC" w14:textId="7A927559" w:rsidR="004A7D3D" w:rsidRPr="004A1148" w:rsidRDefault="00952F89" w:rsidP="00F5276B">
            <w:pPr>
              <w:pStyle w:val="TableText"/>
              <w:rPr>
                <w:rFonts w:cs="Arial"/>
              </w:rPr>
            </w:pPr>
            <w:r>
              <w:rPr>
                <w:rFonts w:cs="Arial"/>
              </w:rPr>
              <w:t>172.16.13.112</w:t>
            </w:r>
          </w:p>
        </w:tc>
        <w:tc>
          <w:tcPr>
            <w:tcW w:w="2552" w:type="dxa"/>
          </w:tcPr>
          <w:p w14:paraId="4949C4E8" w14:textId="57DD7C4E" w:rsidR="004A7D3D" w:rsidRPr="004A1148" w:rsidRDefault="00A57161" w:rsidP="00F5276B">
            <w:pPr>
              <w:pStyle w:val="TableText"/>
              <w:rPr>
                <w:rFonts w:cs="Arial"/>
              </w:rPr>
            </w:pPr>
            <w:r>
              <w:rPr>
                <w:rFonts w:cs="Arial"/>
              </w:rPr>
              <w:t>255.255.255.252</w:t>
            </w:r>
          </w:p>
        </w:tc>
        <w:tc>
          <w:tcPr>
            <w:tcW w:w="2724" w:type="dxa"/>
            <w:vAlign w:val="bottom"/>
          </w:tcPr>
          <w:p w14:paraId="2E13DE8F" w14:textId="5CCB6D0E" w:rsidR="004A7D3D" w:rsidRPr="004A1148" w:rsidRDefault="00952F89" w:rsidP="00F5276B">
            <w:pPr>
              <w:pStyle w:val="TableText"/>
              <w:rPr>
                <w:rFonts w:cs="Arial"/>
              </w:rPr>
            </w:pPr>
            <w:r>
              <w:rPr>
                <w:rFonts w:cs="Arial"/>
              </w:rPr>
              <w:t>172.16.13.113</w:t>
            </w:r>
          </w:p>
        </w:tc>
        <w:tc>
          <w:tcPr>
            <w:tcW w:w="2922" w:type="dxa"/>
            <w:vAlign w:val="bottom"/>
          </w:tcPr>
          <w:p w14:paraId="4B4DEB77" w14:textId="1A3101CC" w:rsidR="004A7D3D" w:rsidRPr="004A1148" w:rsidRDefault="00952F89" w:rsidP="00F5276B">
            <w:pPr>
              <w:pStyle w:val="TableText"/>
              <w:rPr>
                <w:rFonts w:cs="Arial"/>
              </w:rPr>
            </w:pPr>
            <w:r>
              <w:rPr>
                <w:rFonts w:cs="Arial"/>
              </w:rPr>
              <w:t>172.16.13.114</w:t>
            </w:r>
          </w:p>
        </w:tc>
        <w:tc>
          <w:tcPr>
            <w:tcW w:w="2905" w:type="dxa"/>
            <w:vAlign w:val="bottom"/>
          </w:tcPr>
          <w:p w14:paraId="074F1411" w14:textId="048A37C3" w:rsidR="004A7D3D" w:rsidRPr="004A1148" w:rsidRDefault="00952F89" w:rsidP="00F5276B">
            <w:pPr>
              <w:pStyle w:val="TableText"/>
              <w:ind w:left="284"/>
              <w:rPr>
                <w:rFonts w:cs="Arial"/>
              </w:rPr>
            </w:pPr>
            <w:r>
              <w:rPr>
                <w:rFonts w:cs="Arial"/>
              </w:rPr>
              <w:t>172.16.13.115</w:t>
            </w: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sdt>
      <w:sdtPr>
        <w:rPr>
          <w:b w:val="0"/>
          <w:sz w:val="20"/>
        </w:rPr>
        <w:id w:val="-890491519"/>
        <w:docPartObj>
          <w:docPartGallery w:val="Bibliographies"/>
          <w:docPartUnique/>
        </w:docPartObj>
      </w:sdtPr>
      <w:sdtEndPr/>
      <w:sdtContent>
        <w:p w14:paraId="15EF29AE" w14:textId="467DDC3C" w:rsidR="0089101E" w:rsidRDefault="0089101E">
          <w:pPr>
            <w:pStyle w:val="Heading1"/>
          </w:pPr>
          <w:r>
            <w:t>References</w:t>
          </w:r>
        </w:p>
        <w:sdt>
          <w:sdtPr>
            <w:id w:val="-573587230"/>
            <w:bibliography/>
          </w:sdtPr>
          <w:sdtEndPr/>
          <w:sdtContent>
            <w:p w14:paraId="1BD67D60" w14:textId="77777777" w:rsidR="001A5A64" w:rsidRDefault="0089101E">
              <w:pPr>
                <w:rPr>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6"/>
                <w:gridCol w:w="9475"/>
              </w:tblGrid>
              <w:tr w:rsidR="001A5A64" w14:paraId="03E25272" w14:textId="77777777">
                <w:trPr>
                  <w:divId w:val="1384258732"/>
                  <w:tblCellSpacing w:w="15" w:type="dxa"/>
                </w:trPr>
                <w:tc>
                  <w:tcPr>
                    <w:tcW w:w="50" w:type="pct"/>
                    <w:hideMark/>
                  </w:tcPr>
                  <w:p w14:paraId="13255F35" w14:textId="00CB8C6A" w:rsidR="001A5A64" w:rsidRDefault="001A5A64">
                    <w:pPr>
                      <w:pStyle w:val="Bibliography"/>
                      <w:rPr>
                        <w:noProof/>
                        <w:sz w:val="24"/>
                        <w:szCs w:val="24"/>
                      </w:rPr>
                    </w:pPr>
                    <w:r>
                      <w:rPr>
                        <w:noProof/>
                      </w:rPr>
                      <w:t xml:space="preserve">[1] </w:t>
                    </w:r>
                  </w:p>
                </w:tc>
                <w:tc>
                  <w:tcPr>
                    <w:tcW w:w="0" w:type="auto"/>
                    <w:hideMark/>
                  </w:tcPr>
                  <w:p w14:paraId="1BC23119" w14:textId="77777777" w:rsidR="001A5A64" w:rsidRDefault="001A5A64">
                    <w:pPr>
                      <w:pStyle w:val="Bibliography"/>
                      <w:rPr>
                        <w:noProof/>
                      </w:rPr>
                    </w:pPr>
                    <w:r>
                      <w:rPr>
                        <w:noProof/>
                      </w:rPr>
                      <w:t xml:space="preserve">X. Wang and S. Zander, “Extending the model of internet standards adoption: A cross-country comparison of IPv6 adoption.,” </w:t>
                    </w:r>
                    <w:r>
                      <w:rPr>
                        <w:i/>
                        <w:iCs/>
                        <w:noProof/>
                      </w:rPr>
                      <w:t xml:space="preserve">Information &amp; Management, </w:t>
                    </w:r>
                    <w:r>
                      <w:rPr>
                        <w:noProof/>
                      </w:rPr>
                      <w:t xml:space="preserve">vol. 55, no. 4, pp. 450-460, June 2018. </w:t>
                    </w:r>
                  </w:p>
                </w:tc>
              </w:tr>
              <w:tr w:rsidR="001A5A64" w14:paraId="013C247F" w14:textId="77777777">
                <w:trPr>
                  <w:divId w:val="1384258732"/>
                  <w:tblCellSpacing w:w="15" w:type="dxa"/>
                </w:trPr>
                <w:tc>
                  <w:tcPr>
                    <w:tcW w:w="50" w:type="pct"/>
                    <w:hideMark/>
                  </w:tcPr>
                  <w:p w14:paraId="1C818209" w14:textId="77777777" w:rsidR="001A5A64" w:rsidRDefault="001A5A64">
                    <w:pPr>
                      <w:pStyle w:val="Bibliography"/>
                      <w:rPr>
                        <w:noProof/>
                      </w:rPr>
                    </w:pPr>
                    <w:r>
                      <w:rPr>
                        <w:noProof/>
                      </w:rPr>
                      <w:t xml:space="preserve">[2] </w:t>
                    </w:r>
                  </w:p>
                </w:tc>
                <w:tc>
                  <w:tcPr>
                    <w:tcW w:w="0" w:type="auto"/>
                    <w:hideMark/>
                  </w:tcPr>
                  <w:p w14:paraId="2F66439A" w14:textId="77777777" w:rsidR="001A5A64" w:rsidRDefault="001A5A64">
                    <w:pPr>
                      <w:pStyle w:val="Bibliography"/>
                      <w:rPr>
                        <w:noProof/>
                      </w:rPr>
                    </w:pPr>
                    <w:r>
                      <w:rPr>
                        <w:noProof/>
                      </w:rPr>
                      <w:t>B. Mitchell, “What are TCP/IP Router (routing) Tables?,” 13 May 2019. [Online]. Available: https://www.lifewire.com/tcp-ip-router-routing-tables-817584. [Accessed 9 12 2019].</w:t>
                    </w:r>
                  </w:p>
                </w:tc>
              </w:tr>
              <w:tr w:rsidR="001A5A64" w14:paraId="02479FAD" w14:textId="77777777">
                <w:trPr>
                  <w:divId w:val="1384258732"/>
                  <w:tblCellSpacing w:w="15" w:type="dxa"/>
                </w:trPr>
                <w:tc>
                  <w:tcPr>
                    <w:tcW w:w="50" w:type="pct"/>
                    <w:hideMark/>
                  </w:tcPr>
                  <w:p w14:paraId="7B50BC6D" w14:textId="77777777" w:rsidR="001A5A64" w:rsidRDefault="001A5A64">
                    <w:pPr>
                      <w:pStyle w:val="Bibliography"/>
                      <w:rPr>
                        <w:noProof/>
                      </w:rPr>
                    </w:pPr>
                    <w:r>
                      <w:rPr>
                        <w:noProof/>
                      </w:rPr>
                      <w:t xml:space="preserve">[3] </w:t>
                    </w:r>
                  </w:p>
                </w:tc>
                <w:tc>
                  <w:tcPr>
                    <w:tcW w:w="0" w:type="auto"/>
                    <w:hideMark/>
                  </w:tcPr>
                  <w:p w14:paraId="6359ACD0" w14:textId="77777777" w:rsidR="001A5A64" w:rsidRDefault="001A5A64">
                    <w:pPr>
                      <w:pStyle w:val="Bibliography"/>
                      <w:rPr>
                        <w:noProof/>
                      </w:rPr>
                    </w:pPr>
                    <w:r>
                      <w:rPr>
                        <w:noProof/>
                      </w:rPr>
                      <w:t>“IPv6 - Features,” 2019. [Online]. Available: https://www.tutorialspoint.com/ipv6/ipv6_features.htm. [Accessed 05 12 2019].</w:t>
                    </w:r>
                  </w:p>
                </w:tc>
              </w:tr>
              <w:tr w:rsidR="001A5A64" w14:paraId="6EFEE388" w14:textId="77777777">
                <w:trPr>
                  <w:divId w:val="1384258732"/>
                  <w:tblCellSpacing w:w="15" w:type="dxa"/>
                </w:trPr>
                <w:tc>
                  <w:tcPr>
                    <w:tcW w:w="50" w:type="pct"/>
                    <w:hideMark/>
                  </w:tcPr>
                  <w:p w14:paraId="10C569D8" w14:textId="77777777" w:rsidR="001A5A64" w:rsidRDefault="001A5A64">
                    <w:pPr>
                      <w:pStyle w:val="Bibliography"/>
                      <w:rPr>
                        <w:noProof/>
                      </w:rPr>
                    </w:pPr>
                    <w:r>
                      <w:rPr>
                        <w:noProof/>
                      </w:rPr>
                      <w:t xml:space="preserve">[4] </w:t>
                    </w:r>
                  </w:p>
                </w:tc>
                <w:tc>
                  <w:tcPr>
                    <w:tcW w:w="0" w:type="auto"/>
                    <w:hideMark/>
                  </w:tcPr>
                  <w:p w14:paraId="007A4D94" w14:textId="77777777" w:rsidR="001A5A64" w:rsidRDefault="001A5A64">
                    <w:pPr>
                      <w:pStyle w:val="Bibliography"/>
                      <w:rPr>
                        <w:noProof/>
                      </w:rPr>
                    </w:pPr>
                    <w:r>
                      <w:rPr>
                        <w:noProof/>
                      </w:rPr>
                      <w:t>“Comparison of IPv6 and IPv4 characteristics,” IBM, [Online]. Available: https://www.ibm.com/support/knowledgecenter/en/SSLTBW_2.3.0/com.ibm.zos.v2r3.hale001/ipv6d0011006452.htm. [Accessed 05 12 2019].</w:t>
                    </w:r>
                  </w:p>
                </w:tc>
              </w:tr>
              <w:tr w:rsidR="001A5A64" w14:paraId="7F737409" w14:textId="77777777">
                <w:trPr>
                  <w:divId w:val="1384258732"/>
                  <w:tblCellSpacing w:w="15" w:type="dxa"/>
                </w:trPr>
                <w:tc>
                  <w:tcPr>
                    <w:tcW w:w="50" w:type="pct"/>
                    <w:hideMark/>
                  </w:tcPr>
                  <w:p w14:paraId="436BBE29" w14:textId="77777777" w:rsidR="001A5A64" w:rsidRDefault="001A5A64">
                    <w:pPr>
                      <w:pStyle w:val="Bibliography"/>
                      <w:rPr>
                        <w:noProof/>
                      </w:rPr>
                    </w:pPr>
                    <w:r>
                      <w:rPr>
                        <w:noProof/>
                      </w:rPr>
                      <w:t xml:space="preserve">[5] </w:t>
                    </w:r>
                  </w:p>
                </w:tc>
                <w:tc>
                  <w:tcPr>
                    <w:tcW w:w="0" w:type="auto"/>
                    <w:hideMark/>
                  </w:tcPr>
                  <w:p w14:paraId="176B038A" w14:textId="77777777" w:rsidR="001A5A64" w:rsidRDefault="001A5A64">
                    <w:pPr>
                      <w:pStyle w:val="Bibliography"/>
                      <w:rPr>
                        <w:noProof/>
                      </w:rPr>
                    </w:pPr>
                    <w:r>
                      <w:rPr>
                        <w:noProof/>
                      </w:rPr>
                      <w:t>“A Short Guide to IP Addressing,” 11 9 2015. [Online]. Available: https://www.internetsociety.org/resources/deploy360/2015/short-guide-ip-addressing/. [Accessed 5 12 2019].</w:t>
                    </w:r>
                  </w:p>
                </w:tc>
              </w:tr>
              <w:tr w:rsidR="001A5A64" w14:paraId="79103A25" w14:textId="77777777">
                <w:trPr>
                  <w:divId w:val="1384258732"/>
                  <w:tblCellSpacing w:w="15" w:type="dxa"/>
                </w:trPr>
                <w:tc>
                  <w:tcPr>
                    <w:tcW w:w="50" w:type="pct"/>
                    <w:hideMark/>
                  </w:tcPr>
                  <w:p w14:paraId="0B37723C" w14:textId="77777777" w:rsidR="001A5A64" w:rsidRDefault="001A5A64">
                    <w:pPr>
                      <w:pStyle w:val="Bibliography"/>
                      <w:rPr>
                        <w:noProof/>
                      </w:rPr>
                    </w:pPr>
                    <w:r>
                      <w:rPr>
                        <w:noProof/>
                      </w:rPr>
                      <w:t xml:space="preserve">[6] </w:t>
                    </w:r>
                  </w:p>
                </w:tc>
                <w:tc>
                  <w:tcPr>
                    <w:tcW w:w="0" w:type="auto"/>
                    <w:hideMark/>
                  </w:tcPr>
                  <w:p w14:paraId="6926301A" w14:textId="77777777" w:rsidR="001A5A64" w:rsidRDefault="001A5A64">
                    <w:pPr>
                      <w:pStyle w:val="Bibliography"/>
                      <w:rPr>
                        <w:noProof/>
                      </w:rPr>
                    </w:pPr>
                    <w:r>
                      <w:rPr>
                        <w:noProof/>
                      </w:rPr>
                      <w:t>“State of IPv6 Deployment 2018,” 2018. [Online]. Available: https://www.internetsociety.org/resources/2018/state-of-ipv6-deployment-2018/. [Accessed 5 12 2019].</w:t>
                    </w:r>
                  </w:p>
                </w:tc>
              </w:tr>
            </w:tbl>
            <w:p w14:paraId="7E93A270" w14:textId="77777777" w:rsidR="001A5A64" w:rsidRDefault="001A5A64">
              <w:pPr>
                <w:divId w:val="1384258732"/>
                <w:rPr>
                  <w:noProof/>
                </w:rPr>
              </w:pPr>
            </w:p>
            <w:p w14:paraId="131EC697" w14:textId="5338D630" w:rsidR="0089101E" w:rsidRDefault="0089101E">
              <w:r>
                <w:rPr>
                  <w:b/>
                  <w:bCs/>
                  <w:noProof/>
                </w:rPr>
                <w:fldChar w:fldCharType="end"/>
              </w:r>
            </w:p>
          </w:sdtContent>
        </w:sdt>
      </w:sdtContent>
    </w:sdt>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11C33" w14:textId="77777777" w:rsidR="00E95072" w:rsidRDefault="00E95072">
      <w:r>
        <w:separator/>
      </w:r>
    </w:p>
  </w:endnote>
  <w:endnote w:type="continuationSeparator" w:id="0">
    <w:p w14:paraId="464F108C" w14:textId="77777777" w:rsidR="00E95072" w:rsidRDefault="00E9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9CD6A" w14:textId="77777777" w:rsidR="00E95072" w:rsidRDefault="00E95072">
      <w:r>
        <w:separator/>
      </w:r>
    </w:p>
  </w:footnote>
  <w:footnote w:type="continuationSeparator" w:id="0">
    <w:p w14:paraId="276D3758" w14:textId="77777777" w:rsidR="00E95072" w:rsidRDefault="00E9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F94172A"/>
    <w:multiLevelType w:val="hybridMultilevel"/>
    <w:tmpl w:val="D452E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4887AEC"/>
    <w:multiLevelType w:val="hybridMultilevel"/>
    <w:tmpl w:val="2A080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15:restartNumberingAfterBreak="0">
    <w:nsid w:val="53911E11"/>
    <w:multiLevelType w:val="hybridMultilevel"/>
    <w:tmpl w:val="640ED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9"/>
  </w:num>
  <w:num w:numId="3">
    <w:abstractNumId w:val="15"/>
  </w:num>
  <w:num w:numId="4">
    <w:abstractNumId w:val="0"/>
  </w:num>
  <w:num w:numId="5">
    <w:abstractNumId w:val="1"/>
  </w:num>
  <w:num w:numId="6">
    <w:abstractNumId w:val="13"/>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4"/>
  </w:num>
  <w:num w:numId="14">
    <w:abstractNumId w:val="4"/>
  </w:num>
  <w:num w:numId="15">
    <w:abstractNumId w:val="17"/>
  </w:num>
  <w:num w:numId="16">
    <w:abstractNumId w:val="11"/>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7"/>
  </w:num>
  <w:num w:numId="19">
    <w:abstractNumId w:val="16"/>
  </w:num>
  <w:num w:numId="20">
    <w:abstractNumId w:val="10"/>
  </w:num>
  <w:num w:numId="21">
    <w:abstractNumId w:val="12"/>
  </w:num>
  <w:num w:numId="22">
    <w:abstractNumId w:val="8"/>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5A26"/>
    <w:rsid w:val="00036212"/>
    <w:rsid w:val="0003630C"/>
    <w:rsid w:val="00036BA6"/>
    <w:rsid w:val="00037919"/>
    <w:rsid w:val="00041EEA"/>
    <w:rsid w:val="00043FDA"/>
    <w:rsid w:val="00045DA5"/>
    <w:rsid w:val="00046D57"/>
    <w:rsid w:val="00054A8E"/>
    <w:rsid w:val="0005636C"/>
    <w:rsid w:val="00061286"/>
    <w:rsid w:val="00061975"/>
    <w:rsid w:val="00063BB2"/>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19F"/>
    <w:rsid w:val="001106E9"/>
    <w:rsid w:val="00113272"/>
    <w:rsid w:val="00113D93"/>
    <w:rsid w:val="00121E9B"/>
    <w:rsid w:val="00122A4D"/>
    <w:rsid w:val="00124246"/>
    <w:rsid w:val="001321E1"/>
    <w:rsid w:val="00140977"/>
    <w:rsid w:val="00142102"/>
    <w:rsid w:val="0014354E"/>
    <w:rsid w:val="00150F11"/>
    <w:rsid w:val="00154487"/>
    <w:rsid w:val="00162C99"/>
    <w:rsid w:val="00164180"/>
    <w:rsid w:val="00165B1E"/>
    <w:rsid w:val="00170256"/>
    <w:rsid w:val="00175630"/>
    <w:rsid w:val="00184D78"/>
    <w:rsid w:val="001851D5"/>
    <w:rsid w:val="00191FA0"/>
    <w:rsid w:val="00192350"/>
    <w:rsid w:val="00193A5F"/>
    <w:rsid w:val="001A0CC5"/>
    <w:rsid w:val="001A2951"/>
    <w:rsid w:val="001A5A64"/>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962D2"/>
    <w:rsid w:val="003A15D7"/>
    <w:rsid w:val="003A3CE5"/>
    <w:rsid w:val="003A4654"/>
    <w:rsid w:val="003B00A6"/>
    <w:rsid w:val="003B0823"/>
    <w:rsid w:val="003B2B6D"/>
    <w:rsid w:val="003B366F"/>
    <w:rsid w:val="003B3F9D"/>
    <w:rsid w:val="003B4FD1"/>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25CA"/>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38E"/>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1561A"/>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870A1"/>
    <w:rsid w:val="007919F0"/>
    <w:rsid w:val="00792A2A"/>
    <w:rsid w:val="007A0717"/>
    <w:rsid w:val="007A0994"/>
    <w:rsid w:val="007A4950"/>
    <w:rsid w:val="007B0E70"/>
    <w:rsid w:val="007B1BD0"/>
    <w:rsid w:val="007B5081"/>
    <w:rsid w:val="007B58FD"/>
    <w:rsid w:val="007B796B"/>
    <w:rsid w:val="007C13E1"/>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3C85"/>
    <w:rsid w:val="00814B18"/>
    <w:rsid w:val="008163EB"/>
    <w:rsid w:val="00816DB5"/>
    <w:rsid w:val="00835183"/>
    <w:rsid w:val="0083789E"/>
    <w:rsid w:val="008440C8"/>
    <w:rsid w:val="00847342"/>
    <w:rsid w:val="00847C8B"/>
    <w:rsid w:val="00847F6E"/>
    <w:rsid w:val="008509A4"/>
    <w:rsid w:val="008575DA"/>
    <w:rsid w:val="0086128A"/>
    <w:rsid w:val="008649E7"/>
    <w:rsid w:val="00864BE5"/>
    <w:rsid w:val="00864EF8"/>
    <w:rsid w:val="00866FF5"/>
    <w:rsid w:val="00884733"/>
    <w:rsid w:val="00887D16"/>
    <w:rsid w:val="00887FCC"/>
    <w:rsid w:val="0089101E"/>
    <w:rsid w:val="008923BB"/>
    <w:rsid w:val="00892A45"/>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559E"/>
    <w:rsid w:val="008F6E9D"/>
    <w:rsid w:val="00901E6B"/>
    <w:rsid w:val="00906E54"/>
    <w:rsid w:val="00906F5B"/>
    <w:rsid w:val="00910CEA"/>
    <w:rsid w:val="00911394"/>
    <w:rsid w:val="00911A75"/>
    <w:rsid w:val="009120AB"/>
    <w:rsid w:val="009147DA"/>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2F8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B408D"/>
    <w:rsid w:val="009C68DF"/>
    <w:rsid w:val="009C6E95"/>
    <w:rsid w:val="009E11D1"/>
    <w:rsid w:val="009E183D"/>
    <w:rsid w:val="009E541B"/>
    <w:rsid w:val="009F0BE7"/>
    <w:rsid w:val="009F5486"/>
    <w:rsid w:val="009F7BAE"/>
    <w:rsid w:val="00A05A11"/>
    <w:rsid w:val="00A153E4"/>
    <w:rsid w:val="00A1663B"/>
    <w:rsid w:val="00A16F86"/>
    <w:rsid w:val="00A20AB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57161"/>
    <w:rsid w:val="00A634FD"/>
    <w:rsid w:val="00A6727F"/>
    <w:rsid w:val="00A709C8"/>
    <w:rsid w:val="00A74203"/>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1E9"/>
    <w:rsid w:val="00B44521"/>
    <w:rsid w:val="00B47515"/>
    <w:rsid w:val="00B511A1"/>
    <w:rsid w:val="00B51702"/>
    <w:rsid w:val="00B51D6C"/>
    <w:rsid w:val="00B5249C"/>
    <w:rsid w:val="00B574DA"/>
    <w:rsid w:val="00B61BDE"/>
    <w:rsid w:val="00B62D82"/>
    <w:rsid w:val="00B64EF9"/>
    <w:rsid w:val="00B6685F"/>
    <w:rsid w:val="00B70122"/>
    <w:rsid w:val="00B73BAC"/>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499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1053"/>
    <w:rsid w:val="00CF22C3"/>
    <w:rsid w:val="00CF2B64"/>
    <w:rsid w:val="00CF3CEE"/>
    <w:rsid w:val="00CF4266"/>
    <w:rsid w:val="00CF4570"/>
    <w:rsid w:val="00D039EC"/>
    <w:rsid w:val="00D049CD"/>
    <w:rsid w:val="00D05E50"/>
    <w:rsid w:val="00D17265"/>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29A"/>
    <w:rsid w:val="00DA5E19"/>
    <w:rsid w:val="00DB116D"/>
    <w:rsid w:val="00DB5C98"/>
    <w:rsid w:val="00DC008C"/>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36BFB"/>
    <w:rsid w:val="00E42D50"/>
    <w:rsid w:val="00E47ACF"/>
    <w:rsid w:val="00E51AAC"/>
    <w:rsid w:val="00E52A80"/>
    <w:rsid w:val="00E539D7"/>
    <w:rsid w:val="00E6406E"/>
    <w:rsid w:val="00E66CC0"/>
    <w:rsid w:val="00E67885"/>
    <w:rsid w:val="00E7050F"/>
    <w:rsid w:val="00E7138B"/>
    <w:rsid w:val="00E72F65"/>
    <w:rsid w:val="00E7620F"/>
    <w:rsid w:val="00E856E8"/>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5600"/>
    <w:rsid w:val="00EE6394"/>
    <w:rsid w:val="00EE7714"/>
    <w:rsid w:val="00EF11CC"/>
    <w:rsid w:val="00EF4321"/>
    <w:rsid w:val="00EF618D"/>
    <w:rsid w:val="00F014E2"/>
    <w:rsid w:val="00F02126"/>
    <w:rsid w:val="00F15757"/>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26A9"/>
    <w:rsid w:val="00FC631C"/>
    <w:rsid w:val="00FD4AFF"/>
    <w:rsid w:val="00FD7A7B"/>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character" w:customStyle="1" w:styleId="Heading1Char">
    <w:name w:val="Heading 1 Char"/>
    <w:basedOn w:val="DefaultParagraphFont"/>
    <w:link w:val="Heading1"/>
    <w:uiPriority w:val="9"/>
    <w:rsid w:val="0089101E"/>
    <w:rPr>
      <w:b/>
      <w:sz w:val="36"/>
      <w:shd w:val="pct15" w:color="auto" w:fill="auto"/>
      <w:lang w:eastAsia="en-GB"/>
    </w:rPr>
  </w:style>
  <w:style w:type="paragraph" w:styleId="Bibliography">
    <w:name w:val="Bibliography"/>
    <w:basedOn w:val="Normal"/>
    <w:next w:val="Normal"/>
    <w:uiPriority w:val="37"/>
    <w:unhideWhenUsed/>
    <w:rsid w:val="00891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39210851">
      <w:bodyDiv w:val="1"/>
      <w:marLeft w:val="0"/>
      <w:marRight w:val="0"/>
      <w:marTop w:val="0"/>
      <w:marBottom w:val="0"/>
      <w:divBdr>
        <w:top w:val="none" w:sz="0" w:space="0" w:color="auto"/>
        <w:left w:val="none" w:sz="0" w:space="0" w:color="auto"/>
        <w:bottom w:val="none" w:sz="0" w:space="0" w:color="auto"/>
        <w:right w:val="none" w:sz="0" w:space="0" w:color="auto"/>
      </w:divBdr>
    </w:div>
    <w:div w:id="39785665">
      <w:bodyDiv w:val="1"/>
      <w:marLeft w:val="0"/>
      <w:marRight w:val="0"/>
      <w:marTop w:val="0"/>
      <w:marBottom w:val="0"/>
      <w:divBdr>
        <w:top w:val="none" w:sz="0" w:space="0" w:color="auto"/>
        <w:left w:val="none" w:sz="0" w:space="0" w:color="auto"/>
        <w:bottom w:val="none" w:sz="0" w:space="0" w:color="auto"/>
        <w:right w:val="none" w:sz="0" w:space="0" w:color="auto"/>
      </w:divBdr>
    </w:div>
    <w:div w:id="107627520">
      <w:bodyDiv w:val="1"/>
      <w:marLeft w:val="0"/>
      <w:marRight w:val="0"/>
      <w:marTop w:val="0"/>
      <w:marBottom w:val="0"/>
      <w:divBdr>
        <w:top w:val="none" w:sz="0" w:space="0" w:color="auto"/>
        <w:left w:val="none" w:sz="0" w:space="0" w:color="auto"/>
        <w:bottom w:val="none" w:sz="0" w:space="0" w:color="auto"/>
        <w:right w:val="none" w:sz="0" w:space="0" w:color="auto"/>
      </w:divBdr>
    </w:div>
    <w:div w:id="260336329">
      <w:bodyDiv w:val="1"/>
      <w:marLeft w:val="0"/>
      <w:marRight w:val="0"/>
      <w:marTop w:val="0"/>
      <w:marBottom w:val="0"/>
      <w:divBdr>
        <w:top w:val="none" w:sz="0" w:space="0" w:color="auto"/>
        <w:left w:val="none" w:sz="0" w:space="0" w:color="auto"/>
        <w:bottom w:val="none" w:sz="0" w:space="0" w:color="auto"/>
        <w:right w:val="none" w:sz="0" w:space="0" w:color="auto"/>
      </w:divBdr>
    </w:div>
    <w:div w:id="282615792">
      <w:bodyDiv w:val="1"/>
      <w:marLeft w:val="0"/>
      <w:marRight w:val="0"/>
      <w:marTop w:val="0"/>
      <w:marBottom w:val="0"/>
      <w:divBdr>
        <w:top w:val="none" w:sz="0" w:space="0" w:color="auto"/>
        <w:left w:val="none" w:sz="0" w:space="0" w:color="auto"/>
        <w:bottom w:val="none" w:sz="0" w:space="0" w:color="auto"/>
        <w:right w:val="none" w:sz="0" w:space="0" w:color="auto"/>
      </w:divBdr>
    </w:div>
    <w:div w:id="384641515">
      <w:bodyDiv w:val="1"/>
      <w:marLeft w:val="0"/>
      <w:marRight w:val="0"/>
      <w:marTop w:val="0"/>
      <w:marBottom w:val="0"/>
      <w:divBdr>
        <w:top w:val="none" w:sz="0" w:space="0" w:color="auto"/>
        <w:left w:val="none" w:sz="0" w:space="0" w:color="auto"/>
        <w:bottom w:val="none" w:sz="0" w:space="0" w:color="auto"/>
        <w:right w:val="none" w:sz="0" w:space="0" w:color="auto"/>
      </w:divBdr>
    </w:div>
    <w:div w:id="416365640">
      <w:bodyDiv w:val="1"/>
      <w:marLeft w:val="0"/>
      <w:marRight w:val="0"/>
      <w:marTop w:val="0"/>
      <w:marBottom w:val="0"/>
      <w:divBdr>
        <w:top w:val="none" w:sz="0" w:space="0" w:color="auto"/>
        <w:left w:val="none" w:sz="0" w:space="0" w:color="auto"/>
        <w:bottom w:val="none" w:sz="0" w:space="0" w:color="auto"/>
        <w:right w:val="none" w:sz="0" w:space="0" w:color="auto"/>
      </w:divBdr>
    </w:div>
    <w:div w:id="430856150">
      <w:bodyDiv w:val="1"/>
      <w:marLeft w:val="0"/>
      <w:marRight w:val="0"/>
      <w:marTop w:val="0"/>
      <w:marBottom w:val="0"/>
      <w:divBdr>
        <w:top w:val="none" w:sz="0" w:space="0" w:color="auto"/>
        <w:left w:val="none" w:sz="0" w:space="0" w:color="auto"/>
        <w:bottom w:val="none" w:sz="0" w:space="0" w:color="auto"/>
        <w:right w:val="none" w:sz="0" w:space="0" w:color="auto"/>
      </w:divBdr>
    </w:div>
    <w:div w:id="449400392">
      <w:bodyDiv w:val="1"/>
      <w:marLeft w:val="0"/>
      <w:marRight w:val="0"/>
      <w:marTop w:val="0"/>
      <w:marBottom w:val="0"/>
      <w:divBdr>
        <w:top w:val="none" w:sz="0" w:space="0" w:color="auto"/>
        <w:left w:val="none" w:sz="0" w:space="0" w:color="auto"/>
        <w:bottom w:val="none" w:sz="0" w:space="0" w:color="auto"/>
        <w:right w:val="none" w:sz="0" w:space="0" w:color="auto"/>
      </w:divBdr>
    </w:div>
    <w:div w:id="528222594">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694886733">
      <w:bodyDiv w:val="1"/>
      <w:marLeft w:val="0"/>
      <w:marRight w:val="0"/>
      <w:marTop w:val="0"/>
      <w:marBottom w:val="0"/>
      <w:divBdr>
        <w:top w:val="none" w:sz="0" w:space="0" w:color="auto"/>
        <w:left w:val="none" w:sz="0" w:space="0" w:color="auto"/>
        <w:bottom w:val="none" w:sz="0" w:space="0" w:color="auto"/>
        <w:right w:val="none" w:sz="0" w:space="0" w:color="auto"/>
      </w:divBdr>
    </w:div>
    <w:div w:id="748893890">
      <w:bodyDiv w:val="1"/>
      <w:marLeft w:val="0"/>
      <w:marRight w:val="0"/>
      <w:marTop w:val="0"/>
      <w:marBottom w:val="0"/>
      <w:divBdr>
        <w:top w:val="none" w:sz="0" w:space="0" w:color="auto"/>
        <w:left w:val="none" w:sz="0" w:space="0" w:color="auto"/>
        <w:bottom w:val="none" w:sz="0" w:space="0" w:color="auto"/>
        <w:right w:val="none" w:sz="0" w:space="0" w:color="auto"/>
      </w:divBdr>
    </w:div>
    <w:div w:id="752435205">
      <w:bodyDiv w:val="1"/>
      <w:marLeft w:val="0"/>
      <w:marRight w:val="0"/>
      <w:marTop w:val="0"/>
      <w:marBottom w:val="0"/>
      <w:divBdr>
        <w:top w:val="none" w:sz="0" w:space="0" w:color="auto"/>
        <w:left w:val="none" w:sz="0" w:space="0" w:color="auto"/>
        <w:bottom w:val="none" w:sz="0" w:space="0" w:color="auto"/>
        <w:right w:val="none" w:sz="0" w:space="0" w:color="auto"/>
      </w:divBdr>
    </w:div>
    <w:div w:id="754941917">
      <w:bodyDiv w:val="1"/>
      <w:marLeft w:val="0"/>
      <w:marRight w:val="0"/>
      <w:marTop w:val="0"/>
      <w:marBottom w:val="0"/>
      <w:divBdr>
        <w:top w:val="none" w:sz="0" w:space="0" w:color="auto"/>
        <w:left w:val="none" w:sz="0" w:space="0" w:color="auto"/>
        <w:bottom w:val="none" w:sz="0" w:space="0" w:color="auto"/>
        <w:right w:val="none" w:sz="0" w:space="0" w:color="auto"/>
      </w:divBdr>
    </w:div>
    <w:div w:id="814220590">
      <w:bodyDiv w:val="1"/>
      <w:marLeft w:val="0"/>
      <w:marRight w:val="0"/>
      <w:marTop w:val="0"/>
      <w:marBottom w:val="0"/>
      <w:divBdr>
        <w:top w:val="none" w:sz="0" w:space="0" w:color="auto"/>
        <w:left w:val="none" w:sz="0" w:space="0" w:color="auto"/>
        <w:bottom w:val="none" w:sz="0" w:space="0" w:color="auto"/>
        <w:right w:val="none" w:sz="0" w:space="0" w:color="auto"/>
      </w:divBdr>
    </w:div>
    <w:div w:id="868227194">
      <w:bodyDiv w:val="1"/>
      <w:marLeft w:val="0"/>
      <w:marRight w:val="0"/>
      <w:marTop w:val="0"/>
      <w:marBottom w:val="0"/>
      <w:divBdr>
        <w:top w:val="none" w:sz="0" w:space="0" w:color="auto"/>
        <w:left w:val="none" w:sz="0" w:space="0" w:color="auto"/>
        <w:bottom w:val="none" w:sz="0" w:space="0" w:color="auto"/>
        <w:right w:val="none" w:sz="0" w:space="0" w:color="auto"/>
      </w:divBdr>
    </w:div>
    <w:div w:id="889147682">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50892519">
      <w:bodyDiv w:val="1"/>
      <w:marLeft w:val="0"/>
      <w:marRight w:val="0"/>
      <w:marTop w:val="0"/>
      <w:marBottom w:val="0"/>
      <w:divBdr>
        <w:top w:val="none" w:sz="0" w:space="0" w:color="auto"/>
        <w:left w:val="none" w:sz="0" w:space="0" w:color="auto"/>
        <w:bottom w:val="none" w:sz="0" w:space="0" w:color="auto"/>
        <w:right w:val="none" w:sz="0" w:space="0" w:color="auto"/>
      </w:divBdr>
    </w:div>
    <w:div w:id="1004939045">
      <w:bodyDiv w:val="1"/>
      <w:marLeft w:val="0"/>
      <w:marRight w:val="0"/>
      <w:marTop w:val="0"/>
      <w:marBottom w:val="0"/>
      <w:divBdr>
        <w:top w:val="none" w:sz="0" w:space="0" w:color="auto"/>
        <w:left w:val="none" w:sz="0" w:space="0" w:color="auto"/>
        <w:bottom w:val="none" w:sz="0" w:space="0" w:color="auto"/>
        <w:right w:val="none" w:sz="0" w:space="0" w:color="auto"/>
      </w:divBdr>
    </w:div>
    <w:div w:id="1036393320">
      <w:bodyDiv w:val="1"/>
      <w:marLeft w:val="0"/>
      <w:marRight w:val="0"/>
      <w:marTop w:val="0"/>
      <w:marBottom w:val="0"/>
      <w:divBdr>
        <w:top w:val="none" w:sz="0" w:space="0" w:color="auto"/>
        <w:left w:val="none" w:sz="0" w:space="0" w:color="auto"/>
        <w:bottom w:val="none" w:sz="0" w:space="0" w:color="auto"/>
        <w:right w:val="none" w:sz="0" w:space="0" w:color="auto"/>
      </w:divBdr>
    </w:div>
    <w:div w:id="1116371610">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34252724">
      <w:bodyDiv w:val="1"/>
      <w:marLeft w:val="0"/>
      <w:marRight w:val="0"/>
      <w:marTop w:val="0"/>
      <w:marBottom w:val="0"/>
      <w:divBdr>
        <w:top w:val="none" w:sz="0" w:space="0" w:color="auto"/>
        <w:left w:val="none" w:sz="0" w:space="0" w:color="auto"/>
        <w:bottom w:val="none" w:sz="0" w:space="0" w:color="auto"/>
        <w:right w:val="none" w:sz="0" w:space="0" w:color="auto"/>
      </w:divBdr>
    </w:div>
    <w:div w:id="1199858786">
      <w:bodyDiv w:val="1"/>
      <w:marLeft w:val="0"/>
      <w:marRight w:val="0"/>
      <w:marTop w:val="0"/>
      <w:marBottom w:val="0"/>
      <w:divBdr>
        <w:top w:val="none" w:sz="0" w:space="0" w:color="auto"/>
        <w:left w:val="none" w:sz="0" w:space="0" w:color="auto"/>
        <w:bottom w:val="none" w:sz="0" w:space="0" w:color="auto"/>
        <w:right w:val="none" w:sz="0" w:space="0" w:color="auto"/>
      </w:divBdr>
    </w:div>
    <w:div w:id="1276791030">
      <w:bodyDiv w:val="1"/>
      <w:marLeft w:val="0"/>
      <w:marRight w:val="0"/>
      <w:marTop w:val="0"/>
      <w:marBottom w:val="0"/>
      <w:divBdr>
        <w:top w:val="none" w:sz="0" w:space="0" w:color="auto"/>
        <w:left w:val="none" w:sz="0" w:space="0" w:color="auto"/>
        <w:bottom w:val="none" w:sz="0" w:space="0" w:color="auto"/>
        <w:right w:val="none" w:sz="0" w:space="0" w:color="auto"/>
      </w:divBdr>
    </w:div>
    <w:div w:id="1296257108">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384258732">
      <w:bodyDiv w:val="1"/>
      <w:marLeft w:val="0"/>
      <w:marRight w:val="0"/>
      <w:marTop w:val="0"/>
      <w:marBottom w:val="0"/>
      <w:divBdr>
        <w:top w:val="none" w:sz="0" w:space="0" w:color="auto"/>
        <w:left w:val="none" w:sz="0" w:space="0" w:color="auto"/>
        <w:bottom w:val="none" w:sz="0" w:space="0" w:color="auto"/>
        <w:right w:val="none" w:sz="0" w:space="0" w:color="auto"/>
      </w:divBdr>
    </w:div>
    <w:div w:id="1415324149">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468814227">
      <w:bodyDiv w:val="1"/>
      <w:marLeft w:val="0"/>
      <w:marRight w:val="0"/>
      <w:marTop w:val="0"/>
      <w:marBottom w:val="0"/>
      <w:divBdr>
        <w:top w:val="none" w:sz="0" w:space="0" w:color="auto"/>
        <w:left w:val="none" w:sz="0" w:space="0" w:color="auto"/>
        <w:bottom w:val="none" w:sz="0" w:space="0" w:color="auto"/>
        <w:right w:val="none" w:sz="0" w:space="0" w:color="auto"/>
      </w:divBdr>
    </w:div>
    <w:div w:id="1510365268">
      <w:bodyDiv w:val="1"/>
      <w:marLeft w:val="0"/>
      <w:marRight w:val="0"/>
      <w:marTop w:val="0"/>
      <w:marBottom w:val="0"/>
      <w:divBdr>
        <w:top w:val="none" w:sz="0" w:space="0" w:color="auto"/>
        <w:left w:val="none" w:sz="0" w:space="0" w:color="auto"/>
        <w:bottom w:val="none" w:sz="0" w:space="0" w:color="auto"/>
        <w:right w:val="none" w:sz="0" w:space="0" w:color="auto"/>
      </w:divBdr>
    </w:div>
    <w:div w:id="1536693431">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556622456">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87037531">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37964382">
      <w:bodyDiv w:val="1"/>
      <w:marLeft w:val="0"/>
      <w:marRight w:val="0"/>
      <w:marTop w:val="0"/>
      <w:marBottom w:val="0"/>
      <w:divBdr>
        <w:top w:val="none" w:sz="0" w:space="0" w:color="auto"/>
        <w:left w:val="none" w:sz="0" w:space="0" w:color="auto"/>
        <w:bottom w:val="none" w:sz="0" w:space="0" w:color="auto"/>
        <w:right w:val="none" w:sz="0" w:space="0" w:color="auto"/>
      </w:divBdr>
    </w:div>
    <w:div w:id="1885365568">
      <w:bodyDiv w:val="1"/>
      <w:marLeft w:val="0"/>
      <w:marRight w:val="0"/>
      <w:marTop w:val="0"/>
      <w:marBottom w:val="0"/>
      <w:divBdr>
        <w:top w:val="none" w:sz="0" w:space="0" w:color="auto"/>
        <w:left w:val="none" w:sz="0" w:space="0" w:color="auto"/>
        <w:bottom w:val="none" w:sz="0" w:space="0" w:color="auto"/>
        <w:right w:val="none" w:sz="0" w:space="0" w:color="auto"/>
      </w:divBdr>
    </w:div>
    <w:div w:id="1901013950">
      <w:bodyDiv w:val="1"/>
      <w:marLeft w:val="0"/>
      <w:marRight w:val="0"/>
      <w:marTop w:val="0"/>
      <w:marBottom w:val="0"/>
      <w:divBdr>
        <w:top w:val="none" w:sz="0" w:space="0" w:color="auto"/>
        <w:left w:val="none" w:sz="0" w:space="0" w:color="auto"/>
        <w:bottom w:val="none" w:sz="0" w:space="0" w:color="auto"/>
        <w:right w:val="none" w:sz="0" w:space="0" w:color="auto"/>
      </w:divBdr>
    </w:div>
    <w:div w:id="1906407046">
      <w:bodyDiv w:val="1"/>
      <w:marLeft w:val="0"/>
      <w:marRight w:val="0"/>
      <w:marTop w:val="0"/>
      <w:marBottom w:val="0"/>
      <w:divBdr>
        <w:top w:val="none" w:sz="0" w:space="0" w:color="auto"/>
        <w:left w:val="none" w:sz="0" w:space="0" w:color="auto"/>
        <w:bottom w:val="none" w:sz="0" w:space="0" w:color="auto"/>
        <w:right w:val="none" w:sz="0" w:space="0" w:color="auto"/>
      </w:divBdr>
    </w:div>
    <w:div w:id="1931236164">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1943687362">
      <w:bodyDiv w:val="1"/>
      <w:marLeft w:val="0"/>
      <w:marRight w:val="0"/>
      <w:marTop w:val="0"/>
      <w:marBottom w:val="0"/>
      <w:divBdr>
        <w:top w:val="none" w:sz="0" w:space="0" w:color="auto"/>
        <w:left w:val="none" w:sz="0" w:space="0" w:color="auto"/>
        <w:bottom w:val="none" w:sz="0" w:space="0" w:color="auto"/>
        <w:right w:val="none" w:sz="0" w:space="0" w:color="auto"/>
      </w:divBdr>
    </w:div>
    <w:div w:id="1945646926">
      <w:bodyDiv w:val="1"/>
      <w:marLeft w:val="0"/>
      <w:marRight w:val="0"/>
      <w:marTop w:val="0"/>
      <w:marBottom w:val="0"/>
      <w:divBdr>
        <w:top w:val="none" w:sz="0" w:space="0" w:color="auto"/>
        <w:left w:val="none" w:sz="0" w:space="0" w:color="auto"/>
        <w:bottom w:val="none" w:sz="0" w:space="0" w:color="auto"/>
        <w:right w:val="none" w:sz="0" w:space="0" w:color="auto"/>
      </w:divBdr>
    </w:div>
    <w:div w:id="1981957167">
      <w:bodyDiv w:val="1"/>
      <w:marLeft w:val="0"/>
      <w:marRight w:val="0"/>
      <w:marTop w:val="0"/>
      <w:marBottom w:val="0"/>
      <w:divBdr>
        <w:top w:val="none" w:sz="0" w:space="0" w:color="auto"/>
        <w:left w:val="none" w:sz="0" w:space="0" w:color="auto"/>
        <w:bottom w:val="none" w:sz="0" w:space="0" w:color="auto"/>
        <w:right w:val="none" w:sz="0" w:space="0" w:color="auto"/>
      </w:divBdr>
    </w:div>
    <w:div w:id="2032025849">
      <w:bodyDiv w:val="1"/>
      <w:marLeft w:val="0"/>
      <w:marRight w:val="0"/>
      <w:marTop w:val="0"/>
      <w:marBottom w:val="0"/>
      <w:divBdr>
        <w:top w:val="none" w:sz="0" w:space="0" w:color="auto"/>
        <w:left w:val="none" w:sz="0" w:space="0" w:color="auto"/>
        <w:bottom w:val="none" w:sz="0" w:space="0" w:color="auto"/>
        <w:right w:val="none" w:sz="0" w:space="0" w:color="auto"/>
      </w:divBdr>
    </w:div>
    <w:div w:id="2050257845">
      <w:bodyDiv w:val="1"/>
      <w:marLeft w:val="0"/>
      <w:marRight w:val="0"/>
      <w:marTop w:val="0"/>
      <w:marBottom w:val="0"/>
      <w:divBdr>
        <w:top w:val="none" w:sz="0" w:space="0" w:color="auto"/>
        <w:left w:val="none" w:sz="0" w:space="0" w:color="auto"/>
        <w:bottom w:val="none" w:sz="0" w:space="0" w:color="auto"/>
        <w:right w:val="none" w:sz="0" w:space="0" w:color="auto"/>
      </w:divBdr>
    </w:div>
    <w:div w:id="2071608930">
      <w:bodyDiv w:val="1"/>
      <w:marLeft w:val="0"/>
      <w:marRight w:val="0"/>
      <w:marTop w:val="0"/>
      <w:marBottom w:val="0"/>
      <w:divBdr>
        <w:top w:val="none" w:sz="0" w:space="0" w:color="auto"/>
        <w:left w:val="none" w:sz="0" w:space="0" w:color="auto"/>
        <w:bottom w:val="none" w:sz="0" w:space="0" w:color="auto"/>
        <w:right w:val="none" w:sz="0" w:space="0" w:color="auto"/>
      </w:divBdr>
    </w:div>
    <w:div w:id="2084448072">
      <w:bodyDiv w:val="1"/>
      <w:marLeft w:val="0"/>
      <w:marRight w:val="0"/>
      <w:marTop w:val="0"/>
      <w:marBottom w:val="0"/>
      <w:divBdr>
        <w:top w:val="none" w:sz="0" w:space="0" w:color="auto"/>
        <w:left w:val="none" w:sz="0" w:space="0" w:color="auto"/>
        <w:bottom w:val="none" w:sz="0" w:space="0" w:color="auto"/>
        <w:right w:val="none" w:sz="0" w:space="0" w:color="auto"/>
      </w:divBdr>
    </w:div>
    <w:div w:id="2130388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IPv19</b:Tag>
    <b:SourceType>InternetSite</b:SourceType>
    <b:Guid>{B0D1E3D9-5CD9-4778-97D6-F6B36CFED1D8}</b:Guid>
    <b:Title>IPv6 - Features</b:Title>
    <b:InternetSiteTitle>tutorialspoint</b:InternetSiteTitle>
    <b:Year>2019</b:Year>
    <b:URL>https://www.tutorialspoint.com/ipv6/ipv6_features.htm</b:URL>
    <b:YearAccessed>2019</b:YearAccessed>
    <b:MonthAccessed>12</b:MonthAccessed>
    <b:DayAccessed>05</b:DayAccessed>
    <b:RefOrder>3</b:RefOrder>
  </b:Source>
  <b:Source>
    <b:Tag>Com19</b:Tag>
    <b:SourceType>InternetSite</b:SourceType>
    <b:Guid>{42C241AE-447F-436B-A07D-72582371D553}</b:Guid>
    <b:Title>Comparison of IPv6 and IPv4 characteristics</b:Title>
    <b:ProductionCompany>IBM</b:ProductionCompany>
    <b:YearAccessed>2019</b:YearAccessed>
    <b:MonthAccessed>12</b:MonthAccessed>
    <b:DayAccessed>05</b:DayAccessed>
    <b:URL>https://www.ibm.com/support/knowledgecenter/en/SSLTBW_2.3.0/com.ibm.zos.v2r3.hale001/ipv6d0011006452.htm</b:URL>
    <b:InternetSiteTitle>IBM</b:InternetSiteTitle>
    <b:RefOrder>4</b:RefOrder>
  </b:Source>
  <b:Source>
    <b:Tag>Wan18</b:Tag>
    <b:SourceType>JournalArticle</b:SourceType>
    <b:Guid>{CBB41ED6-3E9C-4C8C-ADF4-91D5EBCE1A65}</b:Guid>
    <b:Title>Extending the model of internet standards adoption: A cross-country comparison of IPv6 adoption.</b:Title>
    <b:Year>2018</b:Year>
    <b:Month>June</b:Month>
    <b:YearAccessed>2019</b:YearAccessed>
    <b:MonthAccessed>12</b:MonthAccessed>
    <b:DayAccessed>05</b:DayAccessed>
    <b:URL>https://www-sciencedirect-com.ezproxy.uwtsd.ac.uk/science/article/pii/S0378720616304487</b:URL>
    <b:JournalName>Information &amp; Management</b:JournalName>
    <b:Pages>450-460</b:Pages>
    <b:Volume>55</b:Volume>
    <b:Issue>4</b:Issue>
    <b:Author>
      <b:Author>
        <b:NameList>
          <b:Person>
            <b:Last>Wang</b:Last>
            <b:First>Xuequn</b:First>
          </b:Person>
          <b:Person>
            <b:Last>Zander</b:Last>
            <b:First>Sebastian</b:First>
          </b:Person>
        </b:NameList>
      </b:Author>
    </b:Author>
    <b:DOI>https://doi.org/10.1016/j.im.2017.10.005</b:DOI>
    <b:RefOrder>1</b:RefOrder>
  </b:Source>
  <b:Source>
    <b:Tag>ASh15</b:Tag>
    <b:SourceType>InternetSite</b:SourceType>
    <b:Guid>{260F7570-BF9B-4062-B555-7418503EF7C7}</b:Guid>
    <b:Title>A Short Guide to IP Addressing</b:Title>
    <b:Year>2015</b:Year>
    <b:Month>9</b:Month>
    <b:Day>11</b:Day>
    <b:YearAccessed>2019</b:YearAccessed>
    <b:MonthAccessed>12</b:MonthAccessed>
    <b:DayAccessed>5</b:DayAccessed>
    <b:URL>https://www.internetsociety.org/resources/deploy360/2015/short-guide-ip-addressing/</b:URL>
    <b:InternetSiteTitle>Internet Society</b:InternetSiteTitle>
    <b:RefOrder>5</b:RefOrder>
  </b:Source>
  <b:Source>
    <b:Tag>Sta18</b:Tag>
    <b:SourceType>InternetSite</b:SourceType>
    <b:Guid>{432F82A5-AB28-4F2E-BE4D-5DDA735EE2FF}</b:Guid>
    <b:Title>State of IPv6 Deployment 2018</b:Title>
    <b:Year>2018</b:Year>
    <b:YearAccessed>2019</b:YearAccessed>
    <b:MonthAccessed>12</b:MonthAccessed>
    <b:DayAccessed>5</b:DayAccessed>
    <b:URL>https://www.internetsociety.org/resources/2018/state-of-ipv6-deployment-2018/</b:URL>
    <b:InternetSiteTitle>Internet Society</b:InternetSiteTitle>
    <b:RefOrder>6</b:RefOrder>
  </b:Source>
  <b:Source>
    <b:Tag>Mit19</b:Tag>
    <b:SourceType>InternetSite</b:SourceType>
    <b:Guid>{0B6659DE-8555-47DF-9666-0C0C279279DA}</b:Guid>
    <b:Author>
      <b:Author>
        <b:NameList>
          <b:Person>
            <b:Last>Mitchell</b:Last>
            <b:First>Bradley</b:First>
          </b:Person>
        </b:NameList>
      </b:Author>
    </b:Author>
    <b:Title>What are TCP/IP Router (routing) Tables?</b:Title>
    <b:Year>2019</b:Year>
    <b:Month>May</b:Month>
    <b:Day>13</b:Day>
    <b:YearAccessed>2019</b:YearAccessed>
    <b:MonthAccessed>12</b:MonthAccessed>
    <b:DayAccessed>9</b:DayAccessed>
    <b:URL>https://www.lifewire.com/tcp-ip-router-routing-tables-817584</b:URL>
    <b:InternetSiteTitle>lifewire</b:InternetSiteTitle>
    <b:RefOrder>2</b:RefOrder>
  </b:Source>
</b:Sources>
</file>

<file path=customXml/itemProps1.xml><?xml version="1.0" encoding="utf-8"?>
<ds:datastoreItem xmlns:ds="http://schemas.openxmlformats.org/officeDocument/2006/customXml" ds:itemID="{931E3096-054F-41BD-8360-6D363FE79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353</TotalTime>
  <Pages>5</Pages>
  <Words>1177</Words>
  <Characters>7092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8253</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John Dunkley-Williams (NWIS - Clinical Informatics)</cp:lastModifiedBy>
  <cp:revision>27</cp:revision>
  <cp:lastPrinted>2014-11-07T14:47:00Z</cp:lastPrinted>
  <dcterms:created xsi:type="dcterms:W3CDTF">2019-11-18T16:10:00Z</dcterms:created>
  <dcterms:modified xsi:type="dcterms:W3CDTF">2019-12-09T13:41:00Z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