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8C26D"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Component 1: Presentation (Round-The-Table Group Discussion)</w:t>
      </w:r>
    </w:p>
    <w:p w14:paraId="5FADDC11"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Module Title: Protecting and Supporting Families in Health and Care</w:t>
      </w:r>
    </w:p>
    <w:p w14:paraId="5C857DC6"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Module Code: BMHP5021</w:t>
      </w:r>
    </w:p>
    <w:p w14:paraId="3E840C76"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Programme: BSc Health and Social Care</w:t>
      </w:r>
    </w:p>
    <w:p w14:paraId="05F2AEAB"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Case Study Selected: Child F (Lancashire Safeguarding Children Partnership, 2023)</w:t>
      </w:r>
    </w:p>
    <w:p w14:paraId="50E0FE90"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Professional Role Adopted: Children's Social Care Practitioner</w:t>
      </w:r>
    </w:p>
    <w:p w14:paraId="32973C83"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Student Name: [YOUR NAME]</w:t>
      </w:r>
    </w:p>
    <w:p w14:paraId="69E03388" w14:textId="77777777" w:rsidR="001F4B9F"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Student Number: [YOUR STUDENT NUMBER]</w:t>
      </w:r>
    </w:p>
    <w:p w14:paraId="121456A5" w14:textId="6EF937D7" w:rsidR="00A87085" w:rsidRPr="001F4B9F" w:rsidRDefault="0073663B" w:rsidP="0073663B">
      <w:pPr>
        <w:spacing w:before="0" w:after="160" w:line="259" w:lineRule="auto"/>
        <w:jc w:val="center"/>
        <w:rPr>
          <w:rFonts w:asciiTheme="minorBidi" w:hAnsiTheme="minorBidi"/>
          <w:b/>
          <w:bCs/>
          <w:sz w:val="22"/>
        </w:rPr>
      </w:pPr>
      <w:r w:rsidRPr="001F4B9F">
        <w:rPr>
          <w:rFonts w:asciiTheme="minorBidi" w:hAnsiTheme="minorBidi"/>
          <w:b/>
          <w:bCs/>
          <w:sz w:val="22"/>
        </w:rPr>
        <w:t xml:space="preserve">Submission Date: 23rd February 2026 </w:t>
      </w:r>
      <w:r w:rsidR="00A87085" w:rsidRPr="001F4B9F">
        <w:rPr>
          <w:rFonts w:asciiTheme="minorBidi" w:hAnsiTheme="minorBidi"/>
          <w:sz w:val="22"/>
        </w:rPr>
        <w:br w:type="page"/>
      </w:r>
    </w:p>
    <w:sdt>
      <w:sdtPr>
        <w:rPr>
          <w:rFonts w:asciiTheme="minorBidi" w:eastAsiaTheme="minorHAnsi" w:hAnsiTheme="minorBidi" w:cstheme="minorBidi"/>
          <w:b/>
          <w:bCs/>
          <w:noProof/>
          <w:color w:val="auto"/>
          <w:sz w:val="22"/>
          <w:szCs w:val="22"/>
          <w:lang w:val="en-GB"/>
        </w:rPr>
        <w:id w:val="-236867457"/>
        <w:docPartObj>
          <w:docPartGallery w:val="Table of Contents"/>
          <w:docPartUnique/>
        </w:docPartObj>
      </w:sdtPr>
      <w:sdtContent>
        <w:p w14:paraId="50BAA23C" w14:textId="7EA4F24F" w:rsidR="00A87085" w:rsidRPr="001F4B9F" w:rsidRDefault="00A87085" w:rsidP="00A87085">
          <w:pPr>
            <w:pStyle w:val="TOCHeading"/>
            <w:spacing w:line="360" w:lineRule="auto"/>
            <w:jc w:val="center"/>
            <w:rPr>
              <w:rFonts w:asciiTheme="minorBidi" w:hAnsiTheme="minorBidi" w:cstheme="minorBidi"/>
              <w:b/>
              <w:bCs/>
              <w:sz w:val="22"/>
              <w:szCs w:val="22"/>
            </w:rPr>
          </w:pPr>
          <w:r w:rsidRPr="001F4B9F">
            <w:rPr>
              <w:rFonts w:asciiTheme="minorBidi" w:hAnsiTheme="minorBidi" w:cstheme="minorBidi"/>
              <w:b/>
              <w:bCs/>
              <w:sz w:val="22"/>
              <w:szCs w:val="22"/>
            </w:rPr>
            <w:t>Table of Contents</w:t>
          </w:r>
        </w:p>
        <w:p w14:paraId="7B32878D" w14:textId="7D154CE0" w:rsidR="001F4B9F" w:rsidRDefault="00A87085">
          <w:pPr>
            <w:pStyle w:val="TOC1"/>
            <w:tabs>
              <w:tab w:val="right" w:leader="dot" w:pos="9350"/>
            </w:tabs>
            <w:rPr>
              <w:rFonts w:cstheme="minorBidi"/>
              <w:lang w:val="en-GB" w:eastAsia="en-GB"/>
            </w:rPr>
          </w:pPr>
          <w:r w:rsidRPr="001F4B9F">
            <w:rPr>
              <w:rFonts w:asciiTheme="minorBidi" w:hAnsiTheme="minorBidi" w:cstheme="minorBidi"/>
            </w:rPr>
            <w:fldChar w:fldCharType="begin"/>
          </w:r>
          <w:r w:rsidRPr="001F4B9F">
            <w:rPr>
              <w:rFonts w:asciiTheme="minorBidi" w:hAnsiTheme="minorBidi" w:cstheme="minorBidi"/>
            </w:rPr>
            <w:instrText xml:space="preserve"> TOC \o "1-3" \h \z \u </w:instrText>
          </w:r>
          <w:r w:rsidRPr="001F4B9F">
            <w:rPr>
              <w:rFonts w:asciiTheme="minorBidi" w:hAnsiTheme="minorBidi" w:cstheme="minorBidi"/>
            </w:rPr>
            <w:fldChar w:fldCharType="separate"/>
          </w:r>
          <w:hyperlink w:anchor="_Toc222399642" w:history="1">
            <w:r w:rsidR="001F4B9F" w:rsidRPr="004335B2">
              <w:rPr>
                <w:rStyle w:val="Hyperlink"/>
                <w:rFonts w:asciiTheme="minorBidi" w:hAnsiTheme="minorBidi"/>
              </w:rPr>
              <w:t>Slide 1: Partnership Working – What Failed in Child F's Case</w:t>
            </w:r>
            <w:r w:rsidR="001F4B9F">
              <w:rPr>
                <w:webHidden/>
              </w:rPr>
              <w:tab/>
            </w:r>
            <w:r w:rsidR="001F4B9F">
              <w:rPr>
                <w:webHidden/>
              </w:rPr>
              <w:fldChar w:fldCharType="begin"/>
            </w:r>
            <w:r w:rsidR="001F4B9F">
              <w:rPr>
                <w:webHidden/>
              </w:rPr>
              <w:instrText xml:space="preserve"> PAGEREF _Toc222399642 \h </w:instrText>
            </w:r>
            <w:r w:rsidR="001F4B9F">
              <w:rPr>
                <w:webHidden/>
              </w:rPr>
            </w:r>
            <w:r w:rsidR="001F4B9F">
              <w:rPr>
                <w:webHidden/>
              </w:rPr>
              <w:fldChar w:fldCharType="separate"/>
            </w:r>
            <w:r w:rsidR="001F4B9F">
              <w:rPr>
                <w:webHidden/>
              </w:rPr>
              <w:t>3</w:t>
            </w:r>
            <w:r w:rsidR="001F4B9F">
              <w:rPr>
                <w:webHidden/>
              </w:rPr>
              <w:fldChar w:fldCharType="end"/>
            </w:r>
          </w:hyperlink>
        </w:p>
        <w:p w14:paraId="5C8728D4" w14:textId="23EB1964" w:rsidR="001F4B9F" w:rsidRDefault="001F4B9F">
          <w:pPr>
            <w:pStyle w:val="TOC1"/>
            <w:tabs>
              <w:tab w:val="right" w:leader="dot" w:pos="9350"/>
            </w:tabs>
            <w:rPr>
              <w:rFonts w:cstheme="minorBidi"/>
              <w:lang w:val="en-GB" w:eastAsia="en-GB"/>
            </w:rPr>
          </w:pPr>
          <w:hyperlink w:anchor="_Toc222399643" w:history="1">
            <w:r w:rsidRPr="004335B2">
              <w:rPr>
                <w:rStyle w:val="Hyperlink"/>
                <w:rFonts w:asciiTheme="minorBidi" w:hAnsiTheme="minorBidi"/>
              </w:rPr>
              <w:t>Slide 2: The Consequence – When Partnerships Break Down</w:t>
            </w:r>
            <w:r>
              <w:rPr>
                <w:webHidden/>
              </w:rPr>
              <w:tab/>
            </w:r>
            <w:r>
              <w:rPr>
                <w:webHidden/>
              </w:rPr>
              <w:fldChar w:fldCharType="begin"/>
            </w:r>
            <w:r>
              <w:rPr>
                <w:webHidden/>
              </w:rPr>
              <w:instrText xml:space="preserve"> PAGEREF _Toc222399643 \h </w:instrText>
            </w:r>
            <w:r>
              <w:rPr>
                <w:webHidden/>
              </w:rPr>
            </w:r>
            <w:r>
              <w:rPr>
                <w:webHidden/>
              </w:rPr>
              <w:fldChar w:fldCharType="separate"/>
            </w:r>
            <w:r>
              <w:rPr>
                <w:webHidden/>
              </w:rPr>
              <w:t>3</w:t>
            </w:r>
            <w:r>
              <w:rPr>
                <w:webHidden/>
              </w:rPr>
              <w:fldChar w:fldCharType="end"/>
            </w:r>
          </w:hyperlink>
        </w:p>
        <w:p w14:paraId="4836298D" w14:textId="1B658469" w:rsidR="001F4B9F" w:rsidRDefault="001F4B9F">
          <w:pPr>
            <w:pStyle w:val="TOC1"/>
            <w:tabs>
              <w:tab w:val="right" w:leader="dot" w:pos="9350"/>
            </w:tabs>
            <w:rPr>
              <w:rFonts w:cstheme="minorBidi"/>
              <w:lang w:val="en-GB" w:eastAsia="en-GB"/>
            </w:rPr>
          </w:pPr>
          <w:hyperlink w:anchor="_Toc222399644" w:history="1">
            <w:r w:rsidRPr="004335B2">
              <w:rPr>
                <w:rStyle w:val="Hyperlink"/>
                <w:rFonts w:asciiTheme="minorBidi" w:hAnsiTheme="minorBidi"/>
              </w:rPr>
              <w:t>Slide 3: What Good Partnership Working Looks Like – Lessons from H</w:t>
            </w:r>
            <w:r>
              <w:rPr>
                <w:webHidden/>
              </w:rPr>
              <w:tab/>
            </w:r>
            <w:r>
              <w:rPr>
                <w:webHidden/>
              </w:rPr>
              <w:fldChar w:fldCharType="begin"/>
            </w:r>
            <w:r>
              <w:rPr>
                <w:webHidden/>
              </w:rPr>
              <w:instrText xml:space="preserve"> PAGEREF _Toc222399644 \h </w:instrText>
            </w:r>
            <w:r>
              <w:rPr>
                <w:webHidden/>
              </w:rPr>
            </w:r>
            <w:r>
              <w:rPr>
                <w:webHidden/>
              </w:rPr>
              <w:fldChar w:fldCharType="separate"/>
            </w:r>
            <w:r>
              <w:rPr>
                <w:webHidden/>
              </w:rPr>
              <w:t>4</w:t>
            </w:r>
            <w:r>
              <w:rPr>
                <w:webHidden/>
              </w:rPr>
              <w:fldChar w:fldCharType="end"/>
            </w:r>
          </w:hyperlink>
        </w:p>
        <w:p w14:paraId="60E4EC93" w14:textId="74D04FF9" w:rsidR="001F4B9F" w:rsidRDefault="001F4B9F">
          <w:pPr>
            <w:pStyle w:val="TOC1"/>
            <w:tabs>
              <w:tab w:val="right" w:leader="dot" w:pos="9350"/>
            </w:tabs>
            <w:rPr>
              <w:rFonts w:cstheme="minorBidi"/>
              <w:lang w:val="en-GB" w:eastAsia="en-GB"/>
            </w:rPr>
          </w:pPr>
          <w:hyperlink w:anchor="_Toc222399645" w:history="1">
            <w:r w:rsidRPr="004335B2">
              <w:rPr>
                <w:rStyle w:val="Hyperlink"/>
                <w:rFonts w:asciiTheme="minorBidi" w:hAnsiTheme="minorBidi"/>
              </w:rPr>
              <w:t>Slide 4: Recommendations – Building Partnerships That Protect</w:t>
            </w:r>
            <w:r>
              <w:rPr>
                <w:webHidden/>
              </w:rPr>
              <w:tab/>
            </w:r>
            <w:r>
              <w:rPr>
                <w:webHidden/>
              </w:rPr>
              <w:fldChar w:fldCharType="begin"/>
            </w:r>
            <w:r>
              <w:rPr>
                <w:webHidden/>
              </w:rPr>
              <w:instrText xml:space="preserve"> PAGEREF _Toc222399645 \h </w:instrText>
            </w:r>
            <w:r>
              <w:rPr>
                <w:webHidden/>
              </w:rPr>
            </w:r>
            <w:r>
              <w:rPr>
                <w:webHidden/>
              </w:rPr>
              <w:fldChar w:fldCharType="separate"/>
            </w:r>
            <w:r>
              <w:rPr>
                <w:webHidden/>
              </w:rPr>
              <w:t>4</w:t>
            </w:r>
            <w:r>
              <w:rPr>
                <w:webHidden/>
              </w:rPr>
              <w:fldChar w:fldCharType="end"/>
            </w:r>
          </w:hyperlink>
        </w:p>
        <w:p w14:paraId="4954A1E3" w14:textId="402C548C" w:rsidR="001F4B9F" w:rsidRDefault="001F4B9F">
          <w:pPr>
            <w:pStyle w:val="TOC1"/>
            <w:tabs>
              <w:tab w:val="right" w:leader="dot" w:pos="9350"/>
            </w:tabs>
            <w:rPr>
              <w:rFonts w:cstheme="minorBidi"/>
              <w:lang w:val="en-GB" w:eastAsia="en-GB"/>
            </w:rPr>
          </w:pPr>
          <w:hyperlink w:anchor="_Toc222399646" w:history="1">
            <w:r w:rsidRPr="004335B2">
              <w:rPr>
                <w:rStyle w:val="Hyperlink"/>
                <w:rFonts w:asciiTheme="minorBidi" w:hAnsiTheme="minorBidi"/>
              </w:rPr>
              <w:t>Reference List</w:t>
            </w:r>
            <w:r>
              <w:rPr>
                <w:webHidden/>
              </w:rPr>
              <w:tab/>
            </w:r>
            <w:r>
              <w:rPr>
                <w:webHidden/>
              </w:rPr>
              <w:fldChar w:fldCharType="begin"/>
            </w:r>
            <w:r>
              <w:rPr>
                <w:webHidden/>
              </w:rPr>
              <w:instrText xml:space="preserve"> PAGEREF _Toc222399646 \h </w:instrText>
            </w:r>
            <w:r>
              <w:rPr>
                <w:webHidden/>
              </w:rPr>
            </w:r>
            <w:r>
              <w:rPr>
                <w:webHidden/>
              </w:rPr>
              <w:fldChar w:fldCharType="separate"/>
            </w:r>
            <w:r>
              <w:rPr>
                <w:webHidden/>
              </w:rPr>
              <w:t>6</w:t>
            </w:r>
            <w:r>
              <w:rPr>
                <w:webHidden/>
              </w:rPr>
              <w:fldChar w:fldCharType="end"/>
            </w:r>
          </w:hyperlink>
        </w:p>
        <w:p w14:paraId="22EEAC78" w14:textId="4ED35D2D" w:rsidR="00A87085" w:rsidRPr="001F4B9F" w:rsidRDefault="00A87085" w:rsidP="00A87085">
          <w:pPr>
            <w:rPr>
              <w:rFonts w:asciiTheme="minorBidi" w:hAnsiTheme="minorBidi"/>
              <w:sz w:val="22"/>
            </w:rPr>
          </w:pPr>
          <w:r w:rsidRPr="001F4B9F">
            <w:rPr>
              <w:rFonts w:asciiTheme="minorBidi" w:hAnsiTheme="minorBidi"/>
              <w:b/>
              <w:bCs/>
              <w:sz w:val="22"/>
            </w:rPr>
            <w:fldChar w:fldCharType="end"/>
          </w:r>
        </w:p>
      </w:sdtContent>
    </w:sdt>
    <w:p w14:paraId="65E8B313" w14:textId="77777777" w:rsidR="00A87085" w:rsidRPr="001F4B9F" w:rsidRDefault="00A87085">
      <w:pPr>
        <w:spacing w:before="0" w:after="160" w:line="259" w:lineRule="auto"/>
        <w:jc w:val="left"/>
        <w:rPr>
          <w:rFonts w:asciiTheme="minorBidi" w:hAnsiTheme="minorBidi"/>
          <w:b/>
          <w:bCs/>
          <w:sz w:val="22"/>
        </w:rPr>
      </w:pPr>
      <w:r w:rsidRPr="001F4B9F">
        <w:rPr>
          <w:rFonts w:asciiTheme="minorBidi" w:hAnsiTheme="minorBidi"/>
          <w:sz w:val="22"/>
        </w:rPr>
        <w:br w:type="page"/>
      </w:r>
    </w:p>
    <w:p w14:paraId="403E1408" w14:textId="77777777" w:rsidR="001F4B9F" w:rsidRPr="001F4B9F" w:rsidRDefault="001F4B9F" w:rsidP="001F4B9F">
      <w:pPr>
        <w:pStyle w:val="Heading1"/>
        <w:rPr>
          <w:rFonts w:asciiTheme="minorBidi" w:hAnsiTheme="minorBidi"/>
          <w:sz w:val="22"/>
        </w:rPr>
      </w:pPr>
      <w:bookmarkStart w:id="0" w:name="_Toc222399642"/>
      <w:r w:rsidRPr="001F4B9F">
        <w:rPr>
          <w:rFonts w:asciiTheme="minorBidi" w:hAnsiTheme="minorBidi"/>
          <w:sz w:val="22"/>
        </w:rPr>
        <w:lastRenderedPageBreak/>
        <w:t>Slide 1: Partnership Working – What Failed in Child F's Case</w:t>
      </w:r>
      <w:bookmarkEnd w:id="0"/>
    </w:p>
    <w:p w14:paraId="3AE1EF03" w14:textId="21903E7B" w:rsidR="001F4B9F" w:rsidRPr="001F4B9F" w:rsidRDefault="001F4B9F" w:rsidP="001F4B9F">
      <w:pPr>
        <w:rPr>
          <w:rFonts w:asciiTheme="minorBidi" w:hAnsiTheme="minorBidi"/>
          <w:sz w:val="22"/>
        </w:rPr>
      </w:pPr>
      <w:r w:rsidRPr="001F4B9F">
        <w:rPr>
          <w:rFonts w:asciiTheme="minorBidi" w:hAnsiTheme="minorBidi"/>
          <w:sz w:val="22"/>
        </w:rPr>
        <w:t>The agencies dealt with adolescents individually and not as a group of person whose peers were interconnected (para 8.1) (Tselenti et al., 2025).</w:t>
      </w:r>
    </w:p>
    <w:p w14:paraId="089B0DA6" w14:textId="68EB51E5" w:rsidR="001F4B9F" w:rsidRPr="001F4B9F" w:rsidRDefault="001F4B9F" w:rsidP="001F4B9F">
      <w:pPr>
        <w:rPr>
          <w:rFonts w:asciiTheme="minorBidi" w:hAnsiTheme="minorBidi"/>
          <w:sz w:val="22"/>
        </w:rPr>
      </w:pPr>
      <w:r w:rsidRPr="001F4B9F">
        <w:rPr>
          <w:rFonts w:asciiTheme="minorBidi" w:hAnsiTheme="minorBidi"/>
          <w:sz w:val="22"/>
        </w:rPr>
        <w:t>No correlation between F, G, H and J even when living in the same neighbourhood and having attended same PRU (Sanchez and Genelza, 2025).</w:t>
      </w:r>
    </w:p>
    <w:p w14:paraId="3F675EB0" w14:textId="73BF0D42" w:rsidR="001F4B9F" w:rsidRPr="001F4B9F" w:rsidRDefault="001F4B9F" w:rsidP="001F4B9F">
      <w:pPr>
        <w:rPr>
          <w:rFonts w:asciiTheme="minorBidi" w:hAnsiTheme="minorBidi"/>
          <w:sz w:val="22"/>
        </w:rPr>
      </w:pPr>
      <w:r w:rsidRPr="001F4B9F">
        <w:rPr>
          <w:rFonts w:asciiTheme="minorBidi" w:hAnsiTheme="minorBidi"/>
          <w:sz w:val="22"/>
        </w:rPr>
        <w:t>Sharing of information was not always there - schools did not have complete knowledge about hazards (Lambert et al., 2025).</w:t>
      </w:r>
    </w:p>
    <w:p w14:paraId="7BA8676A" w14:textId="77777777" w:rsidR="001F4B9F" w:rsidRPr="001F4B9F" w:rsidRDefault="001F4B9F" w:rsidP="001F4B9F">
      <w:pPr>
        <w:rPr>
          <w:rFonts w:asciiTheme="minorBidi" w:hAnsiTheme="minorBidi"/>
          <w:sz w:val="22"/>
        </w:rPr>
      </w:pPr>
      <w:r w:rsidRPr="001F4B9F">
        <w:rPr>
          <w:rFonts w:asciiTheme="minorBidi" w:hAnsiTheme="minorBidi"/>
          <w:sz w:val="22"/>
        </w:rPr>
        <w:t>Lacking contextual protection, there is no safety planning on a community level.</w:t>
      </w:r>
    </w:p>
    <w:p w14:paraId="6DBDA26E" w14:textId="5916E94E" w:rsidR="001F4B9F" w:rsidRPr="001F4B9F" w:rsidRDefault="001F4B9F" w:rsidP="001F4B9F">
      <w:pPr>
        <w:rPr>
          <w:rFonts w:asciiTheme="minorBidi" w:hAnsiTheme="minorBidi"/>
          <w:sz w:val="22"/>
        </w:rPr>
      </w:pPr>
      <w:r w:rsidRPr="001F4B9F">
        <w:rPr>
          <w:rFonts w:asciiTheme="minorBidi" w:hAnsiTheme="minorBidi"/>
          <w:sz w:val="22"/>
        </w:rPr>
        <w:t>The greatest failure of partnership in the case of Child F according to my personal view as a Children Social Care practitioner was our failure to see past the cases. In 8.1, it is clearly mentioned that the agencies handled every adolescent separately. However, F and G were in the same Pupil Referral Unit and were living in close proximity and associated with drug distribution fraternities (Friedman-Hauser and Katz, 2025). Schools were experts of the fragments of the puzzle but never had full information on social care or the police. They were not individual cases; these four youths were not discrete lives without peer group mapping or contextual protection strategies because the cases are interconnected lives. We could not even make links between dots, which were two streets apart (Firmin et al., 2025).</w:t>
      </w:r>
    </w:p>
    <w:p w14:paraId="075398D1" w14:textId="796C709A" w:rsidR="001F4B9F" w:rsidRPr="001F4B9F" w:rsidRDefault="001F4B9F" w:rsidP="001F4B9F">
      <w:pPr>
        <w:pStyle w:val="Heading1"/>
        <w:rPr>
          <w:rFonts w:asciiTheme="minorBidi" w:hAnsiTheme="minorBidi"/>
          <w:sz w:val="22"/>
        </w:rPr>
      </w:pPr>
      <w:bookmarkStart w:id="1" w:name="_Toc222399643"/>
      <w:r w:rsidRPr="001F4B9F">
        <w:rPr>
          <w:rFonts w:asciiTheme="minorBidi" w:hAnsiTheme="minorBidi"/>
          <w:sz w:val="22"/>
        </w:rPr>
        <w:t>Slide 2: The Consequence – When Partnerships Break Down</w:t>
      </w:r>
      <w:bookmarkEnd w:id="1"/>
    </w:p>
    <w:p w14:paraId="1BBF5143" w14:textId="77777777" w:rsidR="001F4B9F" w:rsidRPr="001F4B9F" w:rsidRDefault="001F4B9F" w:rsidP="001F4B9F">
      <w:pPr>
        <w:rPr>
          <w:rFonts w:asciiTheme="minorBidi" w:hAnsiTheme="minorBidi"/>
          <w:sz w:val="22"/>
        </w:rPr>
      </w:pPr>
      <w:r w:rsidRPr="001F4B9F">
        <w:rPr>
          <w:rFonts w:asciiTheme="minorBidi" w:hAnsiTheme="minorBidi"/>
          <w:sz w:val="22"/>
        </w:rPr>
        <w:t>G request to exit hometown was not fulfilled - not investigated together.</w:t>
      </w:r>
    </w:p>
    <w:p w14:paraId="159D27AC" w14:textId="5D5ED7C3" w:rsidR="001F4B9F" w:rsidRPr="001F4B9F" w:rsidRDefault="001F4B9F" w:rsidP="001F4B9F">
      <w:pPr>
        <w:rPr>
          <w:rFonts w:asciiTheme="minorBidi" w:hAnsiTheme="minorBidi"/>
          <w:sz w:val="22"/>
        </w:rPr>
      </w:pPr>
      <w:r w:rsidRPr="001F4B9F">
        <w:rPr>
          <w:rFonts w:asciiTheme="minorBidi" w:hAnsiTheme="minorBidi"/>
          <w:sz w:val="22"/>
        </w:rPr>
        <w:t>Family of H fears police, and there is no alternative with multi-agencies interaction available (Essoh and Asangausung, 2025).</w:t>
      </w:r>
    </w:p>
    <w:p w14:paraId="4907AB07" w14:textId="77777777" w:rsidR="001F4B9F" w:rsidRPr="001F4B9F" w:rsidRDefault="001F4B9F" w:rsidP="001F4B9F">
      <w:pPr>
        <w:rPr>
          <w:rFonts w:asciiTheme="minorBidi" w:hAnsiTheme="minorBidi"/>
          <w:sz w:val="22"/>
        </w:rPr>
      </w:pPr>
      <w:r w:rsidRPr="001F4B9F">
        <w:rPr>
          <w:rFonts w:asciiTheme="minorBidi" w:hAnsiTheme="minorBidi"/>
          <w:sz w:val="22"/>
        </w:rPr>
        <w:t>J was not subject to CCE assessment because her mother declined professional curiosity and escalation.</w:t>
      </w:r>
    </w:p>
    <w:p w14:paraId="46391890" w14:textId="4231AC06" w:rsidR="001F4B9F" w:rsidRPr="001F4B9F" w:rsidRDefault="001F4B9F" w:rsidP="001F4B9F">
      <w:pPr>
        <w:rPr>
          <w:rFonts w:asciiTheme="minorBidi" w:hAnsiTheme="minorBidi"/>
          <w:sz w:val="22"/>
        </w:rPr>
      </w:pPr>
      <w:r w:rsidRPr="001F4B9F">
        <w:rPr>
          <w:rFonts w:asciiTheme="minorBidi" w:hAnsiTheme="minorBidi"/>
          <w:sz w:val="22"/>
        </w:rPr>
        <w:t>Lobby events (exclusions, machete attack) were not aggravated, but service withdrawal (Davis and Marsh, 2020).</w:t>
      </w:r>
    </w:p>
    <w:p w14:paraId="27AE805D" w14:textId="77777777" w:rsidR="001F4B9F" w:rsidRPr="001F4B9F" w:rsidRDefault="001F4B9F" w:rsidP="001F4B9F">
      <w:pPr>
        <w:rPr>
          <w:rFonts w:asciiTheme="minorBidi" w:hAnsiTheme="minorBidi"/>
          <w:sz w:val="22"/>
        </w:rPr>
      </w:pPr>
      <w:r w:rsidRPr="001F4B9F">
        <w:rPr>
          <w:rFonts w:asciiTheme="minorBidi" w:hAnsiTheme="minorBidi"/>
          <w:sz w:val="22"/>
        </w:rPr>
        <w:t>The failure to work together disastrously affected their partnership. G specifically requested to be transferred out of his home town but would not further explain why this was so, no agency collectively investigated it. The mother of H had to pay her drug debts individually since she was afraid of involvement by the police but no meeting of cross-agencies provided other safety plans. The refusal of assessment in the case of J by her mother was accepted without further action at all by the services, a core deficit of professional curiosity in the alliance</w:t>
      </w:r>
    </w:p>
    <w:p w14:paraId="1423802C" w14:textId="342C05E7" w:rsidR="001F4B9F" w:rsidRPr="001F4B9F" w:rsidRDefault="001F4B9F" w:rsidP="001F4B9F">
      <w:pPr>
        <w:rPr>
          <w:rFonts w:asciiTheme="minorBidi" w:hAnsiTheme="minorBidi"/>
          <w:sz w:val="22"/>
        </w:rPr>
      </w:pPr>
      <w:r w:rsidRPr="001F4B9F">
        <w:rPr>
          <w:rFonts w:asciiTheme="minorBidi" w:hAnsiTheme="minorBidi"/>
          <w:sz w:val="22"/>
        </w:rPr>
        <w:lastRenderedPageBreak/>
        <w:t xml:space="preserve"> (Davies, 2026). Above all, amid the attack of H with a machete in July 2020, there was a receding and not an escalation of the services. These were multi-agency breakdowns, not individual failures of single organisations; systemic partnership breakdowns where none of the participating organisations held them collectively responsible (Coomber et al., 2025).</w:t>
      </w:r>
    </w:p>
    <w:p w14:paraId="7DCBDA08" w14:textId="282887F8" w:rsidR="001F4B9F" w:rsidRPr="001F4B9F" w:rsidRDefault="001F4B9F" w:rsidP="001F4B9F">
      <w:pPr>
        <w:pStyle w:val="Heading1"/>
        <w:rPr>
          <w:rFonts w:asciiTheme="minorBidi" w:hAnsiTheme="minorBidi"/>
          <w:sz w:val="22"/>
        </w:rPr>
      </w:pPr>
      <w:bookmarkStart w:id="2" w:name="_Toc222399644"/>
      <w:r w:rsidRPr="001F4B9F">
        <w:rPr>
          <w:rFonts w:asciiTheme="minorBidi" w:hAnsiTheme="minorBidi"/>
          <w:sz w:val="22"/>
        </w:rPr>
        <w:t>Slide 3: What Good Partnership Working Looks Like – Lessons from H</w:t>
      </w:r>
      <w:bookmarkEnd w:id="2"/>
    </w:p>
    <w:p w14:paraId="177B3DA1" w14:textId="1CDA03AC" w:rsidR="001F4B9F" w:rsidRPr="001F4B9F" w:rsidRDefault="001F4B9F" w:rsidP="001F4B9F">
      <w:pPr>
        <w:rPr>
          <w:rFonts w:asciiTheme="minorBidi" w:hAnsiTheme="minorBidi"/>
          <w:sz w:val="22"/>
        </w:rPr>
      </w:pPr>
      <w:r w:rsidRPr="001F4B9F">
        <w:rPr>
          <w:rFonts w:asciiTheme="minorBidi" w:hAnsiTheme="minorBidi"/>
          <w:sz w:val="22"/>
        </w:rPr>
        <w:t>The Exploitation Team and YOS that listened to H and they were genuinely concerned (para 9.9) were considered a part of her family (Brandon et al., 2020).</w:t>
      </w:r>
    </w:p>
    <w:p w14:paraId="6DF8055A" w14:textId="77777777" w:rsidR="001F4B9F" w:rsidRPr="001F4B9F" w:rsidRDefault="001F4B9F" w:rsidP="001F4B9F">
      <w:pPr>
        <w:rPr>
          <w:rFonts w:asciiTheme="minorBidi" w:hAnsiTheme="minorBidi"/>
          <w:sz w:val="22"/>
        </w:rPr>
      </w:pPr>
      <w:r w:rsidRPr="001F4B9F">
        <w:rPr>
          <w:rFonts w:asciiTheme="minorBidi" w:hAnsiTheme="minorBidi"/>
          <w:sz w:val="22"/>
        </w:rPr>
        <w:t>Frequent, regular contact promoted trust as compared to before with judgmental social workers.</w:t>
      </w:r>
    </w:p>
    <w:p w14:paraId="5EF252EB" w14:textId="61B4937E" w:rsidR="001F4B9F" w:rsidRPr="001F4B9F" w:rsidRDefault="001F4B9F" w:rsidP="001F4B9F">
      <w:pPr>
        <w:rPr>
          <w:rFonts w:asciiTheme="minorBidi" w:hAnsiTheme="minorBidi"/>
          <w:sz w:val="22"/>
        </w:rPr>
      </w:pPr>
      <w:r w:rsidRPr="001F4B9F">
        <w:rPr>
          <w:rFonts w:asciiTheme="minorBidi" w:hAnsiTheme="minorBidi"/>
          <w:sz w:val="22"/>
        </w:rPr>
        <w:t>The entire family approach required - fathers and relatives neglected (Brandon et al., 2020).</w:t>
      </w:r>
    </w:p>
    <w:p w14:paraId="1163D9B7" w14:textId="77777777" w:rsidR="001F4B9F" w:rsidRPr="001F4B9F" w:rsidRDefault="001F4B9F" w:rsidP="001F4B9F">
      <w:pPr>
        <w:rPr>
          <w:rFonts w:asciiTheme="minorBidi" w:hAnsiTheme="minorBidi"/>
          <w:sz w:val="22"/>
        </w:rPr>
      </w:pPr>
      <w:r w:rsidRPr="001F4B9F">
        <w:rPr>
          <w:rFonts w:asciiTheme="minorBidi" w:hAnsiTheme="minorBidi"/>
          <w:sz w:val="22"/>
        </w:rPr>
        <w:t>Consistency needed in crisis - we laid aside H when he most wanted us.</w:t>
      </w:r>
    </w:p>
    <w:p w14:paraId="3EA3FAE0" w14:textId="29E22822" w:rsidR="001F4B9F" w:rsidRPr="001F4B9F" w:rsidRDefault="001F4B9F" w:rsidP="001F4B9F">
      <w:pPr>
        <w:rPr>
          <w:rFonts w:asciiTheme="minorBidi" w:hAnsiTheme="minorBidi"/>
          <w:sz w:val="22"/>
        </w:rPr>
      </w:pPr>
      <w:r w:rsidRPr="001F4B9F">
        <w:rPr>
          <w:rFonts w:asciiTheme="minorBidi" w:hAnsiTheme="minorBidi"/>
          <w:sz w:val="22"/>
        </w:rPr>
        <w:t>H experience illustrates what success can be reached through successful collaboration working. The Exploitation Team and the Youth Offending Service workers that his family particularly appreciated were able to listen, spend frequent occasions, and show willingness to assist. This was compared by his mother to earlier social workers who could not pass judgement on her. This good association was however not maintained (Lambert et al., 2025). Significantly, we were also only around mothers, as fathers such as those of F or G who take the role of father were never intentionally involved. The review points out that relationship-based practise can be done by having multi-disciplinary teams available in the evening with a flexible budget. Good partnership implies to fight until the end and not to retreat. We had let H down at his weakest time (Ashton, 2025).</w:t>
      </w:r>
    </w:p>
    <w:p w14:paraId="25E39ED6" w14:textId="014B3B81" w:rsidR="001F4B9F" w:rsidRPr="001F4B9F" w:rsidRDefault="001F4B9F" w:rsidP="001F4B9F">
      <w:pPr>
        <w:pStyle w:val="Heading1"/>
        <w:rPr>
          <w:rFonts w:asciiTheme="minorBidi" w:hAnsiTheme="minorBidi"/>
          <w:sz w:val="22"/>
        </w:rPr>
      </w:pPr>
      <w:bookmarkStart w:id="3" w:name="_Toc222399645"/>
      <w:r w:rsidRPr="001F4B9F">
        <w:rPr>
          <w:rFonts w:asciiTheme="minorBidi" w:hAnsiTheme="minorBidi"/>
          <w:sz w:val="22"/>
        </w:rPr>
        <w:t>Slide 4: Recommendations – Building Partnerships That Protect</w:t>
      </w:r>
      <w:bookmarkEnd w:id="3"/>
    </w:p>
    <w:p w14:paraId="02AE749D" w14:textId="77777777" w:rsidR="001F4B9F" w:rsidRPr="001F4B9F" w:rsidRDefault="001F4B9F" w:rsidP="001F4B9F">
      <w:pPr>
        <w:rPr>
          <w:rFonts w:asciiTheme="minorBidi" w:hAnsiTheme="minorBidi"/>
          <w:sz w:val="22"/>
        </w:rPr>
      </w:pPr>
      <w:r w:rsidRPr="001F4B9F">
        <w:rPr>
          <w:rFonts w:asciiTheme="minorBidi" w:hAnsiTheme="minorBidi"/>
          <w:sz w:val="22"/>
        </w:rPr>
        <w:t>Enact in situational protection - peer mapping, group work, community engagements.</w:t>
      </w:r>
    </w:p>
    <w:p w14:paraId="79BC61CE" w14:textId="401E3E2B" w:rsidR="001F4B9F" w:rsidRPr="001F4B9F" w:rsidRDefault="001F4B9F" w:rsidP="001F4B9F">
      <w:pPr>
        <w:rPr>
          <w:rFonts w:asciiTheme="minorBidi" w:hAnsiTheme="minorBidi"/>
          <w:sz w:val="22"/>
        </w:rPr>
      </w:pPr>
      <w:r w:rsidRPr="001F4B9F">
        <w:rPr>
          <w:rFonts w:asciiTheme="minorBidi" w:hAnsiTheme="minorBidi"/>
          <w:sz w:val="22"/>
        </w:rPr>
        <w:t>There should be a systematic information sharing which should not be an afterthought among schools which are propelled to be full partners (Sanchez and Genelza, 2025).</w:t>
      </w:r>
    </w:p>
    <w:p w14:paraId="4B011393" w14:textId="77777777" w:rsidR="001F4B9F" w:rsidRPr="001F4B9F" w:rsidRDefault="001F4B9F" w:rsidP="001F4B9F">
      <w:pPr>
        <w:rPr>
          <w:rFonts w:asciiTheme="minorBidi" w:hAnsiTheme="minorBidi"/>
          <w:sz w:val="22"/>
        </w:rPr>
      </w:pPr>
      <w:r w:rsidRPr="001F4B9F">
        <w:rPr>
          <w:rFonts w:asciiTheme="minorBidi" w:hAnsiTheme="minorBidi"/>
          <w:sz w:val="22"/>
        </w:rPr>
        <w:t>Mandatory professional curiosity- investigate more deeply on refusals.</w:t>
      </w:r>
    </w:p>
    <w:p w14:paraId="0358C300" w14:textId="2F9C769F" w:rsidR="001F4B9F" w:rsidRPr="001F4B9F" w:rsidRDefault="001F4B9F" w:rsidP="001F4B9F">
      <w:pPr>
        <w:rPr>
          <w:rFonts w:asciiTheme="minorBidi" w:hAnsiTheme="minorBidi"/>
          <w:sz w:val="22"/>
        </w:rPr>
      </w:pPr>
      <w:r w:rsidRPr="001F4B9F">
        <w:rPr>
          <w:rFonts w:asciiTheme="minorBidi" w:hAnsiTheme="minorBidi"/>
          <w:sz w:val="22"/>
        </w:rPr>
        <w:t>Multi-disciplinary teams endowed with the ability to be persistent, tenacious and creative (para 12.3 point 5) (Essoh and Asangausung, 2025).</w:t>
      </w:r>
    </w:p>
    <w:p w14:paraId="7F3D8D3F" w14:textId="540B88B8" w:rsidR="001F4B9F" w:rsidRPr="001F4B9F" w:rsidRDefault="001F4B9F" w:rsidP="001F4B9F">
      <w:pPr>
        <w:rPr>
          <w:rFonts w:asciiTheme="minorBidi" w:hAnsiTheme="minorBidi"/>
          <w:sz w:val="22"/>
        </w:rPr>
      </w:pPr>
      <w:r w:rsidRPr="001F4B9F">
        <w:rPr>
          <w:rFonts w:asciiTheme="minorBidi" w:hAnsiTheme="minorBidi"/>
          <w:sz w:val="22"/>
        </w:rPr>
        <w:t xml:space="preserve">As social workers, we have to direct the cultural change towards effective partnership working. The d recommendation involves the use of individuals possessing relationship skills who maintain persistence and creativity but not transactional. It cannot be a piecemeal in information sharing </w:t>
      </w:r>
      <w:r w:rsidRPr="001F4B9F">
        <w:rPr>
          <w:rFonts w:asciiTheme="minorBidi" w:hAnsiTheme="minorBidi"/>
          <w:sz w:val="22"/>
        </w:rPr>
        <w:lastRenderedPageBreak/>
        <w:t>because schools are institutions that have a protective relationship with the youths and must be full-fledged partners in the safeguarding. Contextual safeguarding entails the transcendence of the case files on cases to peer network and communal life mapping (Sanchez and Genelza, 2025). When parents such as the mother of J decline to be assessed we must share professional interest, as opposed to embracing the assessment passively. It can be concluded that effective risk management is impossible without trusted relations between the children and practitioners. This needs multi-disciplinary teams that are available in the evenings, flexible budgets and determination to remain with the young people during the crisis period instead of quitting the job just when the need is most much needed (Coomber et al., 2025).</w:t>
      </w:r>
    </w:p>
    <w:p w14:paraId="2411DCB7" w14:textId="77777777" w:rsidR="001F4B9F" w:rsidRPr="001F4B9F" w:rsidRDefault="001F4B9F">
      <w:pPr>
        <w:spacing w:before="0" w:after="160" w:line="259" w:lineRule="auto"/>
        <w:jc w:val="left"/>
        <w:rPr>
          <w:rFonts w:asciiTheme="minorBidi" w:hAnsiTheme="minorBidi"/>
          <w:b/>
          <w:bCs/>
          <w:sz w:val="22"/>
        </w:rPr>
      </w:pPr>
      <w:r w:rsidRPr="001F4B9F">
        <w:rPr>
          <w:rFonts w:asciiTheme="minorBidi" w:hAnsiTheme="minorBidi"/>
          <w:sz w:val="22"/>
        </w:rPr>
        <w:br w:type="page"/>
      </w:r>
    </w:p>
    <w:p w14:paraId="6E780F19" w14:textId="3B28B76E" w:rsidR="00116E72" w:rsidRPr="001F4B9F" w:rsidRDefault="00116E72" w:rsidP="00116E72">
      <w:pPr>
        <w:pStyle w:val="Heading1"/>
        <w:rPr>
          <w:rFonts w:asciiTheme="minorBidi" w:hAnsiTheme="minorBidi"/>
          <w:sz w:val="22"/>
        </w:rPr>
      </w:pPr>
      <w:bookmarkStart w:id="4" w:name="_Toc222399646"/>
      <w:r w:rsidRPr="001F4B9F">
        <w:rPr>
          <w:rFonts w:asciiTheme="minorBidi" w:hAnsiTheme="minorBidi"/>
          <w:sz w:val="22"/>
        </w:rPr>
        <w:lastRenderedPageBreak/>
        <w:t>Reference List</w:t>
      </w:r>
      <w:bookmarkEnd w:id="4"/>
      <w:r w:rsidRPr="001F4B9F">
        <w:rPr>
          <w:rFonts w:asciiTheme="minorBidi" w:hAnsiTheme="minorBidi"/>
          <w:sz w:val="22"/>
        </w:rPr>
        <w:t xml:space="preserve"> </w:t>
      </w:r>
    </w:p>
    <w:p w14:paraId="5474FF4D" w14:textId="77777777" w:rsidR="00813EBF" w:rsidRPr="001F4B9F" w:rsidRDefault="00813EBF" w:rsidP="00D6672A">
      <w:pPr>
        <w:spacing w:before="0" w:after="0"/>
        <w:ind w:left="720" w:hanging="720"/>
        <w:jc w:val="left"/>
        <w:rPr>
          <w:rFonts w:asciiTheme="minorBidi" w:hAnsiTheme="minorBidi"/>
          <w:noProof w:val="0"/>
          <w:sz w:val="22"/>
        </w:rPr>
      </w:pPr>
      <w:r w:rsidRPr="001F4B9F">
        <w:rPr>
          <w:rFonts w:asciiTheme="minorBidi" w:hAnsiTheme="minorBidi"/>
          <w:sz w:val="22"/>
        </w:rPr>
        <w:t xml:space="preserve">Ashton, S.-A. (2025) ‘A geography of early vulnerabilities and exploitation in the narratives of adolescent males in England’, </w:t>
      </w:r>
      <w:r w:rsidRPr="001F4B9F">
        <w:rPr>
          <w:rFonts w:asciiTheme="minorBidi" w:hAnsiTheme="minorBidi"/>
          <w:i/>
          <w:iCs/>
          <w:sz w:val="22"/>
        </w:rPr>
        <w:t>Journal of Criminal Psychology</w:t>
      </w:r>
      <w:r w:rsidRPr="001F4B9F">
        <w:rPr>
          <w:rFonts w:asciiTheme="minorBidi" w:hAnsiTheme="minorBidi"/>
          <w:sz w:val="22"/>
        </w:rPr>
        <w:t xml:space="preserve">, 15(1), pp. 55–71. Available at: </w:t>
      </w:r>
      <w:hyperlink r:id="rId7" w:history="1">
        <w:r w:rsidRPr="001F4B9F">
          <w:rPr>
            <w:rStyle w:val="Hyperlink"/>
            <w:rFonts w:asciiTheme="minorBidi" w:hAnsiTheme="minorBidi"/>
            <w:sz w:val="22"/>
          </w:rPr>
          <w:t>https://www.emerald.com/jcp/article/15/1/55/1240127</w:t>
        </w:r>
      </w:hyperlink>
      <w:r w:rsidRPr="001F4B9F">
        <w:rPr>
          <w:rFonts w:asciiTheme="minorBidi" w:hAnsiTheme="minorBidi"/>
          <w:sz w:val="22"/>
        </w:rPr>
        <w:t xml:space="preserve"> (Accessed: 17 February 2026).</w:t>
      </w:r>
    </w:p>
    <w:p w14:paraId="64005662"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Brandon, M., Sidebotham, P., Belderson, P. and Cleaver, H. (2020) *Complexity and challenge: A triennial analysis of SCRs 2014-2017*. London: Department for Education.</w:t>
      </w:r>
    </w:p>
    <w:p w14:paraId="79D9B8D6"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Coomber, R. </w:t>
      </w:r>
      <w:r w:rsidRPr="001F4B9F">
        <w:rPr>
          <w:rFonts w:asciiTheme="minorBidi" w:hAnsiTheme="minorBidi"/>
          <w:i/>
          <w:iCs/>
          <w:sz w:val="22"/>
        </w:rPr>
        <w:t>et al.</w:t>
      </w:r>
      <w:r w:rsidRPr="001F4B9F">
        <w:rPr>
          <w:rFonts w:asciiTheme="minorBidi" w:hAnsiTheme="minorBidi"/>
          <w:sz w:val="22"/>
        </w:rPr>
        <w:t xml:space="preserve"> (2025) ‘County lines, policing and vulnerability’. Available at: </w:t>
      </w:r>
      <w:hyperlink r:id="rId8" w:history="1">
        <w:r w:rsidRPr="001F4B9F">
          <w:rPr>
            <w:rStyle w:val="Hyperlink"/>
            <w:rFonts w:asciiTheme="minorBidi" w:hAnsiTheme="minorBidi"/>
            <w:sz w:val="22"/>
          </w:rPr>
          <w:t>https://eprints.whiterose.ac.uk/id/eprint/226846/1/county-lines-policing-and-vulnerability-report.pdf</w:t>
        </w:r>
      </w:hyperlink>
      <w:r w:rsidRPr="001F4B9F">
        <w:rPr>
          <w:rFonts w:asciiTheme="minorBidi" w:hAnsiTheme="minorBidi"/>
          <w:sz w:val="22"/>
        </w:rPr>
        <w:t xml:space="preserve"> (Accessed: 17 February 2026).</w:t>
      </w:r>
    </w:p>
    <w:p w14:paraId="5DA0267C"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Darley, D. (2025) </w:t>
      </w:r>
      <w:r w:rsidRPr="001F4B9F">
        <w:rPr>
          <w:rFonts w:asciiTheme="minorBidi" w:hAnsiTheme="minorBidi"/>
          <w:i/>
          <w:iCs/>
          <w:sz w:val="22"/>
        </w:rPr>
        <w:t>Reflections of care-experienced young people on child criminal exploitation (CCE)</w:t>
      </w:r>
      <w:r w:rsidRPr="001F4B9F">
        <w:rPr>
          <w:rFonts w:asciiTheme="minorBidi" w:hAnsiTheme="minorBidi"/>
          <w:sz w:val="22"/>
        </w:rPr>
        <w:t xml:space="preserve">. PhD Thesis. University of Sheffield. Available at: </w:t>
      </w:r>
      <w:hyperlink r:id="rId9" w:history="1">
        <w:r w:rsidRPr="001F4B9F">
          <w:rPr>
            <w:rStyle w:val="Hyperlink"/>
            <w:rFonts w:asciiTheme="minorBidi" w:hAnsiTheme="minorBidi"/>
            <w:sz w:val="22"/>
          </w:rPr>
          <w:t>https://etheses.whiterose.ac.uk/id/eprint/37899/</w:t>
        </w:r>
      </w:hyperlink>
      <w:r w:rsidRPr="001F4B9F">
        <w:rPr>
          <w:rFonts w:asciiTheme="minorBidi" w:hAnsiTheme="minorBidi"/>
          <w:sz w:val="22"/>
        </w:rPr>
        <w:t xml:space="preserve"> (Accessed: 17 February 2026).</w:t>
      </w:r>
    </w:p>
    <w:p w14:paraId="63F14CB2"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Davies, A. (2026) </w:t>
      </w:r>
      <w:r w:rsidRPr="001F4B9F">
        <w:rPr>
          <w:rFonts w:asciiTheme="minorBidi" w:hAnsiTheme="minorBidi"/>
          <w:i/>
          <w:iCs/>
          <w:sz w:val="22"/>
        </w:rPr>
        <w:t>Developing a framework for measuring success and impact of multi-agency working on child criminal exploitation cases.</w:t>
      </w:r>
      <w:r w:rsidRPr="001F4B9F">
        <w:rPr>
          <w:rFonts w:asciiTheme="minorBidi" w:hAnsiTheme="minorBidi"/>
          <w:sz w:val="22"/>
        </w:rPr>
        <w:t xml:space="preserve"> PhD Thesis. University of Gloucestershire. Available at: </w:t>
      </w:r>
      <w:hyperlink r:id="rId10" w:history="1">
        <w:r w:rsidRPr="001F4B9F">
          <w:rPr>
            <w:rStyle w:val="Hyperlink"/>
            <w:rFonts w:asciiTheme="minorBidi" w:hAnsiTheme="minorBidi"/>
            <w:sz w:val="22"/>
          </w:rPr>
          <w:t>https://eprints.glos.ac.uk/15687/</w:t>
        </w:r>
      </w:hyperlink>
      <w:r w:rsidRPr="001F4B9F">
        <w:rPr>
          <w:rFonts w:asciiTheme="minorBidi" w:hAnsiTheme="minorBidi"/>
          <w:sz w:val="22"/>
        </w:rPr>
        <w:t xml:space="preserve"> (Accessed: 17 February 2026).</w:t>
      </w:r>
    </w:p>
    <w:p w14:paraId="3B1826D9"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Davis, J. and Marsh, N. (2020) 'Boys to men: The cost of adultification in safeguarding responses to Black boys', Critical and Radical Social Work, 8(3), pp. 401-419.</w:t>
      </w:r>
    </w:p>
    <w:p w14:paraId="4C73DED1"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Essoh, P.A. and Asangausung, O.S. (2025) ‘Socio-economic determinants and the manifestations of abuse among street children in Nigeria’, </w:t>
      </w:r>
      <w:r w:rsidRPr="001F4B9F">
        <w:rPr>
          <w:rFonts w:asciiTheme="minorBidi" w:hAnsiTheme="minorBidi"/>
          <w:i/>
          <w:iCs/>
          <w:sz w:val="22"/>
        </w:rPr>
        <w:t>Academic Journal of National Issues (AJNI) Volume</w:t>
      </w:r>
      <w:r w:rsidRPr="001F4B9F">
        <w:rPr>
          <w:rFonts w:asciiTheme="minorBidi" w:hAnsiTheme="minorBidi"/>
          <w:sz w:val="22"/>
        </w:rPr>
        <w:t xml:space="preserve">, 3(1). Available at: </w:t>
      </w:r>
      <w:hyperlink r:id="rId11" w:history="1">
        <w:r w:rsidRPr="001F4B9F">
          <w:rPr>
            <w:rStyle w:val="Hyperlink"/>
            <w:rFonts w:asciiTheme="minorBidi" w:hAnsiTheme="minorBidi"/>
            <w:sz w:val="22"/>
          </w:rPr>
          <w:t>https://www.researchgate.net/profile/Okoro-Asangausung/publication/393515667_Socio-Economic_Determinants_and_the_Manifestations_of_Abuse_Among_Street_Children_in_Nigeria/links/686e3166e9b6c13c89e7bfa5/Socio-Economic-Determinants-and-the-Manifestations-of-Abuse-Among-Street-Children-in-Nigeria.pdf</w:t>
        </w:r>
      </w:hyperlink>
      <w:r w:rsidRPr="001F4B9F">
        <w:rPr>
          <w:rFonts w:asciiTheme="minorBidi" w:hAnsiTheme="minorBidi"/>
          <w:sz w:val="22"/>
        </w:rPr>
        <w:t xml:space="preserve"> (Accessed: 17 February 2026).</w:t>
      </w:r>
    </w:p>
    <w:p w14:paraId="67E3CB00"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Firmin, C. </w:t>
      </w:r>
      <w:r w:rsidRPr="001F4B9F">
        <w:rPr>
          <w:rFonts w:asciiTheme="minorBidi" w:hAnsiTheme="minorBidi"/>
          <w:i/>
          <w:iCs/>
          <w:sz w:val="22"/>
        </w:rPr>
        <w:t>et al.</w:t>
      </w:r>
      <w:r w:rsidRPr="001F4B9F">
        <w:rPr>
          <w:rFonts w:asciiTheme="minorBidi" w:hAnsiTheme="minorBidi"/>
          <w:sz w:val="22"/>
        </w:rPr>
        <w:t xml:space="preserve"> (2025) ‘A line in the sand: Moving from surface improvement to foundational shifts to develop effective responses to extra-familial risks and harms’, </w:t>
      </w:r>
      <w:r w:rsidRPr="001F4B9F">
        <w:rPr>
          <w:rFonts w:asciiTheme="minorBidi" w:hAnsiTheme="minorBidi"/>
          <w:i/>
          <w:iCs/>
          <w:sz w:val="22"/>
        </w:rPr>
        <w:t>The British Journal of Social Work</w:t>
      </w:r>
      <w:r w:rsidRPr="001F4B9F">
        <w:rPr>
          <w:rFonts w:asciiTheme="minorBidi" w:hAnsiTheme="minorBidi"/>
          <w:sz w:val="22"/>
        </w:rPr>
        <w:t xml:space="preserve">, 55(3), pp. 1296–1316. Available at: </w:t>
      </w:r>
      <w:hyperlink r:id="rId12" w:history="1">
        <w:r w:rsidRPr="001F4B9F">
          <w:rPr>
            <w:rStyle w:val="Hyperlink"/>
            <w:rFonts w:asciiTheme="minorBidi" w:hAnsiTheme="minorBidi"/>
            <w:sz w:val="22"/>
          </w:rPr>
          <w:t>https://academic.oup.com/bjsw/article/doi/10.1093/bjsw/bcae193/7933287</w:t>
        </w:r>
      </w:hyperlink>
      <w:r w:rsidRPr="001F4B9F">
        <w:rPr>
          <w:rFonts w:asciiTheme="minorBidi" w:hAnsiTheme="minorBidi"/>
          <w:sz w:val="22"/>
        </w:rPr>
        <w:t xml:space="preserve"> (Accessed: 17 February 2026).</w:t>
      </w:r>
    </w:p>
    <w:p w14:paraId="28EFBFCE"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lastRenderedPageBreak/>
        <w:t xml:space="preserve">Friedman-Hauser, G. and Katz, C. (2025) ‘Where is the disability? A critical analysis of case reports of online sexual abuse of children with disabilities’, </w:t>
      </w:r>
      <w:r w:rsidRPr="001F4B9F">
        <w:rPr>
          <w:rFonts w:asciiTheme="minorBidi" w:hAnsiTheme="minorBidi"/>
          <w:i/>
          <w:iCs/>
          <w:sz w:val="22"/>
        </w:rPr>
        <w:t>Child Protection and Practice</w:t>
      </w:r>
      <w:r w:rsidRPr="001F4B9F">
        <w:rPr>
          <w:rFonts w:asciiTheme="minorBidi" w:hAnsiTheme="minorBidi"/>
          <w:sz w:val="22"/>
        </w:rPr>
        <w:t xml:space="preserve">, p. 100207. Available at: </w:t>
      </w:r>
      <w:hyperlink r:id="rId13" w:history="1">
        <w:r w:rsidRPr="001F4B9F">
          <w:rPr>
            <w:rStyle w:val="Hyperlink"/>
            <w:rFonts w:asciiTheme="minorBidi" w:hAnsiTheme="minorBidi"/>
            <w:sz w:val="22"/>
          </w:rPr>
          <w:t>https://www.sciencedirect.com/science/article/pii/S2950193825001159</w:t>
        </w:r>
      </w:hyperlink>
      <w:r w:rsidRPr="001F4B9F">
        <w:rPr>
          <w:rFonts w:asciiTheme="minorBidi" w:hAnsiTheme="minorBidi"/>
          <w:sz w:val="22"/>
        </w:rPr>
        <w:t xml:space="preserve"> (Accessed: 17 February 2026).</w:t>
      </w:r>
    </w:p>
    <w:p w14:paraId="183A5FD4"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Lambert, I. </w:t>
      </w:r>
      <w:r w:rsidRPr="001F4B9F">
        <w:rPr>
          <w:rFonts w:asciiTheme="minorBidi" w:hAnsiTheme="minorBidi"/>
          <w:i/>
          <w:iCs/>
          <w:sz w:val="22"/>
        </w:rPr>
        <w:t>et al.</w:t>
      </w:r>
      <w:r w:rsidRPr="001F4B9F">
        <w:rPr>
          <w:rFonts w:asciiTheme="minorBidi" w:hAnsiTheme="minorBidi"/>
          <w:sz w:val="22"/>
        </w:rPr>
        <w:t xml:space="preserve"> (2025) ‘Cognitive Impairment as A Vulnerability for Exploitation: A Scoping Review’, </w:t>
      </w:r>
      <w:r w:rsidRPr="001F4B9F">
        <w:rPr>
          <w:rFonts w:asciiTheme="minorBidi" w:hAnsiTheme="minorBidi"/>
          <w:i/>
          <w:iCs/>
          <w:sz w:val="22"/>
        </w:rPr>
        <w:t>Trauma, Violence, &amp; Abuse</w:t>
      </w:r>
      <w:r w:rsidRPr="001F4B9F">
        <w:rPr>
          <w:rFonts w:asciiTheme="minorBidi" w:hAnsiTheme="minorBidi"/>
          <w:sz w:val="22"/>
        </w:rPr>
        <w:t xml:space="preserve">, 26(3), pp. 468–482. Available at: </w:t>
      </w:r>
      <w:hyperlink r:id="rId14" w:history="1">
        <w:r w:rsidRPr="001F4B9F">
          <w:rPr>
            <w:rStyle w:val="Hyperlink"/>
            <w:rFonts w:asciiTheme="minorBidi" w:hAnsiTheme="minorBidi"/>
            <w:sz w:val="22"/>
          </w:rPr>
          <w:t>https://doi.org/10.1177/15248380241282993</w:t>
        </w:r>
      </w:hyperlink>
      <w:r w:rsidRPr="001F4B9F">
        <w:rPr>
          <w:rFonts w:asciiTheme="minorBidi" w:hAnsiTheme="minorBidi"/>
          <w:sz w:val="22"/>
        </w:rPr>
        <w:t>.</w:t>
      </w:r>
    </w:p>
    <w:p w14:paraId="17840F1B" w14:textId="77777777" w:rsidR="00813EBF" w:rsidRPr="001F4B9F" w:rsidRDefault="00813EBF" w:rsidP="00D6672A">
      <w:pPr>
        <w:ind w:left="720" w:hanging="720"/>
        <w:rPr>
          <w:rFonts w:asciiTheme="minorBidi" w:hAnsiTheme="minorBidi"/>
          <w:sz w:val="22"/>
        </w:rPr>
      </w:pPr>
      <w:r w:rsidRPr="001F4B9F">
        <w:rPr>
          <w:rFonts w:asciiTheme="minorBidi" w:hAnsiTheme="minorBidi"/>
          <w:sz w:val="22"/>
        </w:rPr>
        <w:t xml:space="preserve">Sanchez, S.R.P. and Genelza, G.G. (2025) ‘A systematic literature review on sexual exploitation and abuse of children: Prevalence, risk factors, and societal responses’, </w:t>
      </w:r>
      <w:r w:rsidRPr="001F4B9F">
        <w:rPr>
          <w:rFonts w:asciiTheme="minorBidi" w:hAnsiTheme="minorBidi"/>
          <w:i/>
          <w:iCs/>
          <w:sz w:val="22"/>
        </w:rPr>
        <w:t>Universe International Journal of Interdisciplinary Research</w:t>
      </w:r>
      <w:r w:rsidRPr="001F4B9F">
        <w:rPr>
          <w:rFonts w:asciiTheme="minorBidi" w:hAnsiTheme="minorBidi"/>
          <w:sz w:val="22"/>
        </w:rPr>
        <w:t xml:space="preserve">, 5(10), pp. 207–219. Available at: </w:t>
      </w:r>
      <w:hyperlink r:id="rId15" w:history="1">
        <w:r w:rsidRPr="001F4B9F">
          <w:rPr>
            <w:rStyle w:val="Hyperlink"/>
            <w:rFonts w:asciiTheme="minorBidi" w:hAnsiTheme="minorBidi"/>
            <w:sz w:val="22"/>
          </w:rPr>
          <w:t>https://www.academia.edu/download/122498804/ASYSTE_1.PDF</w:t>
        </w:r>
      </w:hyperlink>
      <w:r w:rsidRPr="001F4B9F">
        <w:rPr>
          <w:rFonts w:asciiTheme="minorBidi" w:hAnsiTheme="minorBidi"/>
          <w:sz w:val="22"/>
        </w:rPr>
        <w:t xml:space="preserve"> (Accessed: 17 February 2026).</w:t>
      </w:r>
    </w:p>
    <w:p w14:paraId="5D443E2A" w14:textId="77777777" w:rsidR="001F4B9F" w:rsidRPr="001F4B9F" w:rsidRDefault="00813EBF" w:rsidP="00D6672A">
      <w:pPr>
        <w:ind w:left="720" w:hanging="720"/>
        <w:rPr>
          <w:rFonts w:asciiTheme="minorBidi" w:hAnsiTheme="minorBidi"/>
          <w:sz w:val="22"/>
        </w:rPr>
      </w:pPr>
      <w:r w:rsidRPr="001F4B9F">
        <w:rPr>
          <w:rFonts w:asciiTheme="minorBidi" w:hAnsiTheme="minorBidi"/>
          <w:sz w:val="22"/>
        </w:rPr>
        <w:t xml:space="preserve">Tselenti, D. </w:t>
      </w:r>
      <w:r w:rsidRPr="001F4B9F">
        <w:rPr>
          <w:rFonts w:asciiTheme="minorBidi" w:hAnsiTheme="minorBidi"/>
          <w:i/>
          <w:iCs/>
          <w:sz w:val="22"/>
        </w:rPr>
        <w:t>et al.</w:t>
      </w:r>
      <w:r w:rsidRPr="001F4B9F">
        <w:rPr>
          <w:rFonts w:asciiTheme="minorBidi" w:hAnsiTheme="minorBidi"/>
          <w:sz w:val="22"/>
        </w:rPr>
        <w:t xml:space="preserve"> (2025) ‘Policing child sexual exploitation and abuse cases: a qualitative PRIORITY study of the challenges faced by law enforcement officers in Germany, Portugal, and Sweden’, </w:t>
      </w:r>
      <w:r w:rsidRPr="001F4B9F">
        <w:rPr>
          <w:rFonts w:asciiTheme="minorBidi" w:hAnsiTheme="minorBidi"/>
          <w:i/>
          <w:iCs/>
          <w:sz w:val="22"/>
        </w:rPr>
        <w:t>Policing and Society</w:t>
      </w:r>
      <w:r w:rsidRPr="001F4B9F">
        <w:rPr>
          <w:rFonts w:asciiTheme="minorBidi" w:hAnsiTheme="minorBidi"/>
          <w:sz w:val="22"/>
        </w:rPr>
        <w:t xml:space="preserve">, 35(7), pp. 983–1000. Available at: </w:t>
      </w:r>
      <w:hyperlink r:id="rId16" w:history="1">
        <w:r w:rsidRPr="001F4B9F">
          <w:rPr>
            <w:rStyle w:val="Hyperlink"/>
            <w:rFonts w:asciiTheme="minorBidi" w:hAnsiTheme="minorBidi"/>
            <w:sz w:val="22"/>
          </w:rPr>
          <w:t>https://doi.org/10.1080/10439463.2024.2447842</w:t>
        </w:r>
      </w:hyperlink>
      <w:r w:rsidRPr="001F4B9F">
        <w:rPr>
          <w:rFonts w:asciiTheme="minorBidi" w:hAnsiTheme="minorBidi"/>
          <w:sz w:val="22"/>
        </w:rPr>
        <w:t>.</w:t>
      </w:r>
    </w:p>
    <w:p w14:paraId="1B94B6E4" w14:textId="32A0C8CD" w:rsidR="00813EBF" w:rsidRPr="001F4B9F" w:rsidRDefault="00813EBF" w:rsidP="00116E72">
      <w:pPr>
        <w:ind w:left="720" w:hanging="720"/>
        <w:rPr>
          <w:rFonts w:asciiTheme="minorBidi" w:hAnsiTheme="minorBidi"/>
          <w:sz w:val="22"/>
        </w:rPr>
      </w:pPr>
    </w:p>
    <w:sectPr w:rsidR="00813EBF" w:rsidRPr="001F4B9F" w:rsidSect="00004FA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05566" w14:textId="77777777" w:rsidR="004A7692" w:rsidRDefault="004A7692" w:rsidP="002E7B5D">
      <w:pPr>
        <w:spacing w:before="0" w:after="0" w:line="240" w:lineRule="auto"/>
      </w:pPr>
      <w:r>
        <w:separator/>
      </w:r>
    </w:p>
  </w:endnote>
  <w:endnote w:type="continuationSeparator" w:id="0">
    <w:p w14:paraId="7B17EC27" w14:textId="77777777" w:rsidR="004A7692" w:rsidRDefault="004A7692" w:rsidP="002E7B5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84DE9" w14:textId="77777777" w:rsidR="004A7692" w:rsidRDefault="004A7692" w:rsidP="002E7B5D">
      <w:pPr>
        <w:spacing w:before="0" w:after="0" w:line="240" w:lineRule="auto"/>
      </w:pPr>
      <w:r>
        <w:separator/>
      </w:r>
    </w:p>
  </w:footnote>
  <w:footnote w:type="continuationSeparator" w:id="0">
    <w:p w14:paraId="041888E2" w14:textId="77777777" w:rsidR="004A7692" w:rsidRDefault="004A7692" w:rsidP="002E7B5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E72"/>
    <w:rsid w:val="00004FA6"/>
    <w:rsid w:val="000D48AC"/>
    <w:rsid w:val="00116E72"/>
    <w:rsid w:val="001655F1"/>
    <w:rsid w:val="001F4B9F"/>
    <w:rsid w:val="00245719"/>
    <w:rsid w:val="00257967"/>
    <w:rsid w:val="002E602C"/>
    <w:rsid w:val="002E7B5D"/>
    <w:rsid w:val="002F6571"/>
    <w:rsid w:val="00355F0C"/>
    <w:rsid w:val="003A263D"/>
    <w:rsid w:val="00414CC7"/>
    <w:rsid w:val="00436328"/>
    <w:rsid w:val="00487AEA"/>
    <w:rsid w:val="004A7692"/>
    <w:rsid w:val="004D0AA9"/>
    <w:rsid w:val="004E604E"/>
    <w:rsid w:val="00580877"/>
    <w:rsid w:val="005B5D30"/>
    <w:rsid w:val="005D1A6D"/>
    <w:rsid w:val="006E25C9"/>
    <w:rsid w:val="0073663B"/>
    <w:rsid w:val="007A2E54"/>
    <w:rsid w:val="00813EBF"/>
    <w:rsid w:val="00840F3C"/>
    <w:rsid w:val="008A0A39"/>
    <w:rsid w:val="009C11C2"/>
    <w:rsid w:val="00A0654A"/>
    <w:rsid w:val="00A34233"/>
    <w:rsid w:val="00A8545B"/>
    <w:rsid w:val="00A87085"/>
    <w:rsid w:val="00AD18A8"/>
    <w:rsid w:val="00AF0EA7"/>
    <w:rsid w:val="00BB70DB"/>
    <w:rsid w:val="00BF1FDD"/>
    <w:rsid w:val="00D6672A"/>
    <w:rsid w:val="00EA16FC"/>
    <w:rsid w:val="00F01449"/>
    <w:rsid w:val="00F71D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BF22"/>
  <w15:chartTrackingRefBased/>
  <w15:docId w15:val="{AF3758F2-7CDA-4C6B-A15F-30B7594B4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8A8"/>
    <w:pPr>
      <w:spacing w:before="120" w:after="120"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116E72"/>
    <w:pPr>
      <w:outlineLvl w:val="0"/>
    </w:pPr>
    <w:rPr>
      <w:b/>
      <w:bCs/>
    </w:rPr>
  </w:style>
  <w:style w:type="paragraph" w:styleId="Heading2">
    <w:name w:val="heading 2"/>
    <w:basedOn w:val="Normal"/>
    <w:next w:val="Normal"/>
    <w:link w:val="Heading2Char"/>
    <w:autoRedefine/>
    <w:uiPriority w:val="9"/>
    <w:unhideWhenUsed/>
    <w:qFormat/>
    <w:rsid w:val="00436328"/>
    <w:pPr>
      <w:spacing w:line="480" w:lineRule="auto"/>
      <w:outlineLvl w:val="1"/>
    </w:pPr>
    <w:rPr>
      <w:rFonts w:cs="Segoe UI"/>
      <w:bCs/>
      <w:i/>
      <w:iCs/>
      <w:szCs w:val="28"/>
      <w:lang w:eastAsia="en-GB"/>
    </w:rPr>
  </w:style>
  <w:style w:type="paragraph" w:styleId="Heading3">
    <w:name w:val="heading 3"/>
    <w:basedOn w:val="Normal"/>
    <w:next w:val="Normal"/>
    <w:link w:val="Heading3Char"/>
    <w:autoRedefine/>
    <w:uiPriority w:val="9"/>
    <w:semiHidden/>
    <w:unhideWhenUsed/>
    <w:qFormat/>
    <w:rsid w:val="00A8545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E72"/>
    <w:rPr>
      <w:rFonts w:ascii="Times New Roman" w:hAnsi="Times New Roman"/>
      <w:b/>
      <w:bCs/>
      <w:noProof/>
      <w:sz w:val="24"/>
    </w:rPr>
  </w:style>
  <w:style w:type="character" w:customStyle="1" w:styleId="Heading2Char">
    <w:name w:val="Heading 2 Char"/>
    <w:basedOn w:val="DefaultParagraphFont"/>
    <w:link w:val="Heading2"/>
    <w:uiPriority w:val="9"/>
    <w:rsid w:val="00436328"/>
    <w:rPr>
      <w:rFonts w:ascii="Times New Roman" w:hAnsi="Times New Roman" w:cs="Segoe UI"/>
      <w:bCs/>
      <w:i/>
      <w:iCs/>
      <w:sz w:val="24"/>
      <w:szCs w:val="28"/>
      <w:lang w:eastAsia="en-GB"/>
    </w:rPr>
  </w:style>
  <w:style w:type="paragraph" w:styleId="TOC1">
    <w:name w:val="toc 1"/>
    <w:basedOn w:val="Normal"/>
    <w:next w:val="Normal"/>
    <w:autoRedefine/>
    <w:uiPriority w:val="39"/>
    <w:unhideWhenUsed/>
    <w:qFormat/>
    <w:rsid w:val="006E25C9"/>
    <w:pPr>
      <w:spacing w:before="0" w:after="100" w:line="259" w:lineRule="auto"/>
      <w:jc w:val="left"/>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semiHidden/>
    <w:rsid w:val="00A8545B"/>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A87085"/>
    <w:pPr>
      <w:keepNext/>
      <w:keepLines/>
      <w:spacing w:before="240" w:after="0" w:line="259" w:lineRule="auto"/>
      <w:jc w:val="left"/>
      <w:outlineLvl w:val="9"/>
    </w:pPr>
    <w:rPr>
      <w:rFonts w:asciiTheme="majorHAnsi" w:eastAsiaTheme="majorEastAsia" w:hAnsiTheme="majorHAnsi" w:cstheme="majorBidi"/>
      <w:b w:val="0"/>
      <w:bCs w:val="0"/>
      <w:noProof w:val="0"/>
      <w:color w:val="2F5496" w:themeColor="accent1" w:themeShade="BF"/>
      <w:sz w:val="32"/>
      <w:szCs w:val="32"/>
      <w:lang w:val="en-US"/>
    </w:rPr>
  </w:style>
  <w:style w:type="character" w:styleId="Hyperlink">
    <w:name w:val="Hyperlink"/>
    <w:basedOn w:val="DefaultParagraphFont"/>
    <w:uiPriority w:val="99"/>
    <w:unhideWhenUsed/>
    <w:rsid w:val="00A87085"/>
    <w:rPr>
      <w:color w:val="0563C1" w:themeColor="hyperlink"/>
      <w:u w:val="single"/>
    </w:rPr>
  </w:style>
  <w:style w:type="paragraph" w:styleId="Header">
    <w:name w:val="header"/>
    <w:basedOn w:val="Normal"/>
    <w:link w:val="HeaderChar"/>
    <w:uiPriority w:val="99"/>
    <w:unhideWhenUsed/>
    <w:rsid w:val="002E7B5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E7B5D"/>
    <w:rPr>
      <w:rFonts w:ascii="Times New Roman" w:hAnsi="Times New Roman"/>
      <w:noProof/>
      <w:sz w:val="24"/>
    </w:rPr>
  </w:style>
  <w:style w:type="paragraph" w:styleId="Footer">
    <w:name w:val="footer"/>
    <w:basedOn w:val="Normal"/>
    <w:link w:val="FooterChar"/>
    <w:uiPriority w:val="99"/>
    <w:unhideWhenUsed/>
    <w:rsid w:val="002E7B5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E7B5D"/>
    <w:rPr>
      <w:rFonts w:ascii="Times New Roman" w:hAnsi="Times New Roman"/>
      <w:noProof/>
      <w:sz w:val="24"/>
    </w:rPr>
  </w:style>
  <w:style w:type="character" w:styleId="CommentReference">
    <w:name w:val="annotation reference"/>
    <w:basedOn w:val="DefaultParagraphFont"/>
    <w:uiPriority w:val="99"/>
    <w:semiHidden/>
    <w:unhideWhenUsed/>
    <w:rsid w:val="005D1A6D"/>
    <w:rPr>
      <w:sz w:val="16"/>
      <w:szCs w:val="16"/>
    </w:rPr>
  </w:style>
  <w:style w:type="paragraph" w:styleId="CommentText">
    <w:name w:val="annotation text"/>
    <w:basedOn w:val="Normal"/>
    <w:link w:val="CommentTextChar"/>
    <w:uiPriority w:val="99"/>
    <w:semiHidden/>
    <w:unhideWhenUsed/>
    <w:rsid w:val="005D1A6D"/>
    <w:pPr>
      <w:spacing w:line="240" w:lineRule="auto"/>
    </w:pPr>
    <w:rPr>
      <w:sz w:val="20"/>
      <w:szCs w:val="20"/>
    </w:rPr>
  </w:style>
  <w:style w:type="character" w:customStyle="1" w:styleId="CommentTextChar">
    <w:name w:val="Comment Text Char"/>
    <w:basedOn w:val="DefaultParagraphFont"/>
    <w:link w:val="CommentText"/>
    <w:uiPriority w:val="99"/>
    <w:semiHidden/>
    <w:rsid w:val="005D1A6D"/>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5D1A6D"/>
    <w:rPr>
      <w:b/>
      <w:bCs/>
    </w:rPr>
  </w:style>
  <w:style w:type="character" w:customStyle="1" w:styleId="CommentSubjectChar">
    <w:name w:val="Comment Subject Char"/>
    <w:basedOn w:val="CommentTextChar"/>
    <w:link w:val="CommentSubject"/>
    <w:uiPriority w:val="99"/>
    <w:semiHidden/>
    <w:rsid w:val="005D1A6D"/>
    <w:rPr>
      <w:rFonts w:ascii="Times New Roman" w:hAnsi="Times New Roman"/>
      <w:b/>
      <w:bCs/>
      <w:noProo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138035">
      <w:bodyDiv w:val="1"/>
      <w:marLeft w:val="0"/>
      <w:marRight w:val="0"/>
      <w:marTop w:val="0"/>
      <w:marBottom w:val="0"/>
      <w:divBdr>
        <w:top w:val="none" w:sz="0" w:space="0" w:color="auto"/>
        <w:left w:val="none" w:sz="0" w:space="0" w:color="auto"/>
        <w:bottom w:val="none" w:sz="0" w:space="0" w:color="auto"/>
        <w:right w:val="none" w:sz="0" w:space="0" w:color="auto"/>
      </w:divBdr>
      <w:divsChild>
        <w:div w:id="1109353699">
          <w:marLeft w:val="0"/>
          <w:marRight w:val="0"/>
          <w:marTop w:val="0"/>
          <w:marBottom w:val="0"/>
          <w:divBdr>
            <w:top w:val="none" w:sz="0" w:space="0" w:color="auto"/>
            <w:left w:val="none" w:sz="0" w:space="0" w:color="auto"/>
            <w:bottom w:val="none" w:sz="0" w:space="0" w:color="auto"/>
            <w:right w:val="none" w:sz="0" w:space="0" w:color="auto"/>
          </w:divBdr>
          <w:divsChild>
            <w:div w:id="854147660">
              <w:marLeft w:val="0"/>
              <w:marRight w:val="0"/>
              <w:marTop w:val="0"/>
              <w:marBottom w:val="240"/>
              <w:divBdr>
                <w:top w:val="none" w:sz="0" w:space="0" w:color="auto"/>
                <w:left w:val="none" w:sz="0" w:space="0" w:color="auto"/>
                <w:bottom w:val="none" w:sz="0" w:space="0" w:color="auto"/>
                <w:right w:val="none" w:sz="0" w:space="0" w:color="auto"/>
              </w:divBdr>
            </w:div>
            <w:div w:id="1938710386">
              <w:marLeft w:val="0"/>
              <w:marRight w:val="0"/>
              <w:marTop w:val="0"/>
              <w:marBottom w:val="240"/>
              <w:divBdr>
                <w:top w:val="none" w:sz="0" w:space="0" w:color="auto"/>
                <w:left w:val="none" w:sz="0" w:space="0" w:color="auto"/>
                <w:bottom w:val="none" w:sz="0" w:space="0" w:color="auto"/>
                <w:right w:val="none" w:sz="0" w:space="0" w:color="auto"/>
              </w:divBdr>
            </w:div>
            <w:div w:id="1148397598">
              <w:marLeft w:val="0"/>
              <w:marRight w:val="0"/>
              <w:marTop w:val="0"/>
              <w:marBottom w:val="240"/>
              <w:divBdr>
                <w:top w:val="none" w:sz="0" w:space="0" w:color="auto"/>
                <w:left w:val="none" w:sz="0" w:space="0" w:color="auto"/>
                <w:bottom w:val="none" w:sz="0" w:space="0" w:color="auto"/>
                <w:right w:val="none" w:sz="0" w:space="0" w:color="auto"/>
              </w:divBdr>
            </w:div>
            <w:div w:id="355616173">
              <w:marLeft w:val="0"/>
              <w:marRight w:val="0"/>
              <w:marTop w:val="0"/>
              <w:marBottom w:val="240"/>
              <w:divBdr>
                <w:top w:val="none" w:sz="0" w:space="0" w:color="auto"/>
                <w:left w:val="none" w:sz="0" w:space="0" w:color="auto"/>
                <w:bottom w:val="none" w:sz="0" w:space="0" w:color="auto"/>
                <w:right w:val="none" w:sz="0" w:space="0" w:color="auto"/>
              </w:divBdr>
            </w:div>
            <w:div w:id="560556212">
              <w:marLeft w:val="0"/>
              <w:marRight w:val="0"/>
              <w:marTop w:val="0"/>
              <w:marBottom w:val="240"/>
              <w:divBdr>
                <w:top w:val="none" w:sz="0" w:space="0" w:color="auto"/>
                <w:left w:val="none" w:sz="0" w:space="0" w:color="auto"/>
                <w:bottom w:val="none" w:sz="0" w:space="0" w:color="auto"/>
                <w:right w:val="none" w:sz="0" w:space="0" w:color="auto"/>
              </w:divBdr>
            </w:div>
            <w:div w:id="1709446912">
              <w:marLeft w:val="0"/>
              <w:marRight w:val="0"/>
              <w:marTop w:val="0"/>
              <w:marBottom w:val="240"/>
              <w:divBdr>
                <w:top w:val="none" w:sz="0" w:space="0" w:color="auto"/>
                <w:left w:val="none" w:sz="0" w:space="0" w:color="auto"/>
                <w:bottom w:val="none" w:sz="0" w:space="0" w:color="auto"/>
                <w:right w:val="none" w:sz="0" w:space="0" w:color="auto"/>
              </w:divBdr>
            </w:div>
            <w:div w:id="1488279344">
              <w:marLeft w:val="0"/>
              <w:marRight w:val="0"/>
              <w:marTop w:val="0"/>
              <w:marBottom w:val="240"/>
              <w:divBdr>
                <w:top w:val="none" w:sz="0" w:space="0" w:color="auto"/>
                <w:left w:val="none" w:sz="0" w:space="0" w:color="auto"/>
                <w:bottom w:val="none" w:sz="0" w:space="0" w:color="auto"/>
                <w:right w:val="none" w:sz="0" w:space="0" w:color="auto"/>
              </w:divBdr>
            </w:div>
            <w:div w:id="8871275">
              <w:marLeft w:val="0"/>
              <w:marRight w:val="0"/>
              <w:marTop w:val="0"/>
              <w:marBottom w:val="240"/>
              <w:divBdr>
                <w:top w:val="none" w:sz="0" w:space="0" w:color="auto"/>
                <w:left w:val="none" w:sz="0" w:space="0" w:color="auto"/>
                <w:bottom w:val="none" w:sz="0" w:space="0" w:color="auto"/>
                <w:right w:val="none" w:sz="0" w:space="0" w:color="auto"/>
              </w:divBdr>
            </w:div>
            <w:div w:id="2086947758">
              <w:marLeft w:val="0"/>
              <w:marRight w:val="0"/>
              <w:marTop w:val="0"/>
              <w:marBottom w:val="240"/>
              <w:divBdr>
                <w:top w:val="none" w:sz="0" w:space="0" w:color="auto"/>
                <w:left w:val="none" w:sz="0" w:space="0" w:color="auto"/>
                <w:bottom w:val="none" w:sz="0" w:space="0" w:color="auto"/>
                <w:right w:val="none" w:sz="0" w:space="0" w:color="auto"/>
              </w:divBdr>
            </w:div>
            <w:div w:id="209239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id/eprint/226846/1/county-lines-policing-and-vulnerability-report.pdf" TargetMode="External"/><Relationship Id="rId13" Type="http://schemas.openxmlformats.org/officeDocument/2006/relationships/hyperlink" Target="https://www.sciencedirect.com/science/article/pii/S295019382500115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jcp/article/15/1/55/1240127" TargetMode="External"/><Relationship Id="rId12" Type="http://schemas.openxmlformats.org/officeDocument/2006/relationships/hyperlink" Target="https://academic.oup.com/bjsw/article/doi/10.1093/bjsw/bcae193/793328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10439463.2024.244784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Okoro-Asangausung/publication/393515667_Socio-Economic_Determinants_and_the_Manifestations_of_Abuse_Among_Street_Children_in_Nigeria/links/686e3166e9b6c13c89e7bfa5/Socio-Economic-Determinants-and-the-Manifestations-of-Abuse-Among-Street-Children-in-Nigeria.pdf" TargetMode="External"/><Relationship Id="rId5" Type="http://schemas.openxmlformats.org/officeDocument/2006/relationships/footnotes" Target="footnotes.xml"/><Relationship Id="rId15" Type="http://schemas.openxmlformats.org/officeDocument/2006/relationships/hyperlink" Target="https://www.academia.edu/download/122498804/ASYSTE_1.PDF" TargetMode="External"/><Relationship Id="rId10" Type="http://schemas.openxmlformats.org/officeDocument/2006/relationships/hyperlink" Target="https://eprints.glos.ac.uk/15687/" TargetMode="External"/><Relationship Id="rId4" Type="http://schemas.openxmlformats.org/officeDocument/2006/relationships/webSettings" Target="webSettings.xml"/><Relationship Id="rId9" Type="http://schemas.openxmlformats.org/officeDocument/2006/relationships/hyperlink" Target="https://etheses.whiterose.ac.uk/id/eprint/37899/" TargetMode="External"/><Relationship Id="rId14" Type="http://schemas.openxmlformats.org/officeDocument/2006/relationships/hyperlink" Target="https://doi.org/10.1177/152483802412829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E0818-FFD6-4035-B175-EB76FE395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7</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14</cp:revision>
  <dcterms:created xsi:type="dcterms:W3CDTF">2026-02-17T07:02:00Z</dcterms:created>
  <dcterms:modified xsi:type="dcterms:W3CDTF">2026-02-19T08:21:00Z</dcterms:modified>
</cp:coreProperties>
</file>