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9818254"/>
        <w:docPartObj>
          <w:docPartGallery w:val="Cover Pages"/>
          <w:docPartUnique/>
        </w:docPartObj>
      </w:sdtPr>
      <w:sdtEndPr>
        <w:rPr>
          <w:rFonts w:eastAsia="Times New Roman"/>
          <w:color w:val="000000" w:themeColor="text1"/>
          <w:lang w:eastAsia="en-GB"/>
        </w:rPr>
      </w:sdtEndPr>
      <w:sdtContent>
        <w:p w14:paraId="05788BCA" w14:textId="3050AA8D" w:rsidR="00442119" w:rsidRDefault="00442119"/>
        <w:p w14:paraId="08A18801" w14:textId="77777777" w:rsidR="00442119" w:rsidRDefault="00442119">
          <w:pPr>
            <w:spacing w:after="160" w:line="278" w:lineRule="auto"/>
            <w:rPr>
              <w:rFonts w:asciiTheme="majorHAnsi" w:eastAsia="Times New Roman" w:hAnsiTheme="majorHAnsi" w:cstheme="majorBidi"/>
              <w:color w:val="000000" w:themeColor="text1"/>
              <w:sz w:val="40"/>
              <w:szCs w:val="40"/>
              <w:lang w:eastAsia="en-GB"/>
            </w:rPr>
          </w:pPr>
          <w:r>
            <w:rPr>
              <w:noProof/>
              <w:lang w:eastAsia="zh-CN"/>
            </w:rPr>
            <mc:AlternateContent>
              <mc:Choice Requires="wps">
                <w:drawing>
                  <wp:anchor distT="0" distB="0" distL="114300" distR="114300" simplePos="0" relativeHeight="251662336" behindDoc="0" locked="0" layoutInCell="1" allowOverlap="1" wp14:anchorId="1DC24010" wp14:editId="277887AD">
                    <wp:simplePos x="0" y="0"/>
                    <wp:positionH relativeFrom="column">
                      <wp:posOffset>442912</wp:posOffset>
                    </wp:positionH>
                    <wp:positionV relativeFrom="paragraph">
                      <wp:posOffset>7839710</wp:posOffset>
                    </wp:positionV>
                    <wp:extent cx="1543050" cy="271462"/>
                    <wp:effectExtent l="0" t="0" r="6350" b="0"/>
                    <wp:wrapNone/>
                    <wp:docPr id="813314319" name="Text Box 1"/>
                    <wp:cNvGraphicFramePr/>
                    <a:graphic xmlns:a="http://schemas.openxmlformats.org/drawingml/2006/main">
                      <a:graphicData uri="http://schemas.microsoft.com/office/word/2010/wordprocessingShape">
                        <wps:wsp>
                          <wps:cNvSpPr txBox="1"/>
                          <wps:spPr>
                            <a:xfrm>
                              <a:off x="0" y="0"/>
                              <a:ext cx="1543050" cy="271462"/>
                            </a:xfrm>
                            <a:prstGeom prst="rect">
                              <a:avLst/>
                            </a:prstGeom>
                            <a:solidFill>
                              <a:schemeClr val="lt1"/>
                            </a:solidFill>
                            <a:ln w="6350">
                              <a:noFill/>
                            </a:ln>
                          </wps:spPr>
                          <wps:txbx>
                            <w:txbxContent>
                              <w:p w14:paraId="35223124" w14:textId="0F98368A" w:rsidR="00442119" w:rsidRPr="00442119" w:rsidRDefault="00442119">
                                <w:pPr>
                                  <w:rPr>
                                    <w:b/>
                                    <w:bCs/>
                                  </w:rPr>
                                </w:pPr>
                                <w:r w:rsidRPr="00442119">
                                  <w:rPr>
                                    <w:b/>
                                    <w:bCs/>
                                  </w:rPr>
                                  <w:t>Word Count: 211</w:t>
                                </w:r>
                                <w:r w:rsidR="00DE2AA0">
                                  <w:rPr>
                                    <w:b/>
                                    <w:bCs/>
                                  </w:rPr>
                                  <w:t>5</w:t>
                                </w:r>
                              </w:p>
                              <w:p w14:paraId="55F9B60A" w14:textId="77777777" w:rsidR="00442119" w:rsidRDefault="004421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C24010" id="_x0000_t202" coordsize="21600,21600" o:spt="202" path="m,l,21600r21600,l21600,xe">
                    <v:stroke joinstyle="miter"/>
                    <v:path gradientshapeok="t" o:connecttype="rect"/>
                  </v:shapetype>
                  <v:shape id="Text Box 1" o:spid="_x0000_s1026" type="#_x0000_t202" style="position:absolute;margin-left:34.85pt;margin-top:617.3pt;width:121.5pt;height:21.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" fillcolor="white [3201]" stroked="f" strokeweight=".5pt">
                    <v:textbox>
                      <w:txbxContent>
                        <w:p w14:paraId="35223124" w14:textId="0F98368A" w:rsidR="00442119" w:rsidRPr="00442119" w:rsidRDefault="00442119">
                          <w:pPr>
                            <w:rPr>
                              <w:b/>
                              <w:bCs/>
                            </w:rPr>
                          </w:pPr>
                          <w:r w:rsidRPr="00442119">
                            <w:rPr>
                              <w:b/>
                              <w:bCs/>
                            </w:rPr>
                            <w:t>Word Count: 211</w:t>
                          </w:r>
                          <w:r w:rsidR="00DE2AA0">
                            <w:rPr>
                              <w:b/>
                              <w:bCs/>
                            </w:rPr>
                            <w:t>5</w:t>
                          </w:r>
                        </w:p>
                        <w:p w14:paraId="55F9B60A" w14:textId="77777777" w:rsidR="00442119" w:rsidRDefault="00442119"/>
                      </w:txbxContent>
                    </v:textbox>
                  </v:shape>
                </w:pict>
              </mc:Fallback>
            </mc:AlternateContent>
          </w:r>
          <w:r>
            <w:rPr>
              <w:noProof/>
              <w:lang w:eastAsia="zh-CN"/>
            </w:rPr>
            <mc:AlternateContent>
              <mc:Choice Requires="wpg">
                <w:drawing>
                  <wp:anchor distT="0" distB="0" distL="114300" distR="114300" simplePos="0" relativeHeight="251659264" behindDoc="1" locked="0" layoutInCell="1" allowOverlap="1" wp14:anchorId="5C3F692D" wp14:editId="07B2C56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1D51762" w14:textId="0B522B45" w:rsidR="00442119" w:rsidRDefault="0044211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Health, Safety &amp; Welfare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C3F692D" id="Group 67"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1D51762" w14:textId="0B522B45" w:rsidR="00442119" w:rsidRDefault="0044211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Health, Safety &amp; Welfare</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39D2E3EB" wp14:editId="1BA6085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1AA781C" w14:textId="0FC1162C" w:rsidR="00442119" w:rsidRDefault="00442119">
                                    <w:pPr>
                                      <w:pStyle w:val="NoSpacing"/>
                                      <w:spacing w:before="40" w:after="40"/>
                                      <w:rPr>
                                        <w:caps/>
                                        <w:color w:val="156082" w:themeColor="accent1"/>
                                        <w:sz w:val="28"/>
                                        <w:szCs w:val="28"/>
                                      </w:rPr>
                                    </w:pPr>
                                    <w:r>
                                      <w:rPr>
                                        <w:caps/>
                                        <w:color w:val="156082" w:themeColor="accent1"/>
                                        <w:sz w:val="28"/>
                                        <w:szCs w:val="28"/>
                                      </w:rPr>
                                      <w:t>Trainee Health and safety officer assignment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3CEB9AA" w14:textId="478EA207" w:rsidR="00442119" w:rsidRDefault="00442119">
                                    <w:pPr>
                                      <w:pStyle w:val="NoSpacing"/>
                                      <w:spacing w:before="40" w:after="40"/>
                                      <w:rPr>
                                        <w:caps/>
                                        <w:color w:val="A02B93" w:themeColor="accent5"/>
                                        <w:sz w:val="24"/>
                                        <w:szCs w:val="24"/>
                                      </w:rPr>
                                    </w:pPr>
                                    <w:r>
                                      <w:rPr>
                                        <w:caps/>
                                        <w:color w:val="A02B93" w:themeColor="accent5"/>
                                        <w:sz w:val="24"/>
                                        <w:szCs w:val="24"/>
                                      </w:rPr>
                                      <w:t>Cory Sibley (2507186)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9D2E3EB" id="Text Box 71"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1AA781C" w14:textId="0FC1162C" w:rsidR="00442119" w:rsidRDefault="00442119">
                              <w:pPr>
                                <w:pStyle w:val="NoSpacing"/>
                                <w:spacing w:before="40" w:after="40"/>
                                <w:rPr>
                                  <w:caps/>
                                  <w:color w:val="156082" w:themeColor="accent1"/>
                                  <w:sz w:val="28"/>
                                  <w:szCs w:val="28"/>
                                </w:rPr>
                              </w:pPr>
                              <w:r>
                                <w:rPr>
                                  <w:caps/>
                                  <w:color w:val="156082" w:themeColor="accent1"/>
                                  <w:sz w:val="28"/>
                                  <w:szCs w:val="28"/>
                                </w:rPr>
                                <w:t>Trainee Health and safety officer assignment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3CEB9AA" w14:textId="478EA207" w:rsidR="00442119" w:rsidRDefault="00442119">
                              <w:pPr>
                                <w:pStyle w:val="NoSpacing"/>
                                <w:spacing w:before="40" w:after="40"/>
                                <w:rPr>
                                  <w:caps/>
                                  <w:color w:val="A02B93" w:themeColor="accent5"/>
                                  <w:sz w:val="24"/>
                                  <w:szCs w:val="24"/>
                                </w:rPr>
                              </w:pPr>
                              <w:r>
                                <w:rPr>
                                  <w:caps/>
                                  <w:color w:val="A02B93" w:themeColor="accent5"/>
                                  <w:sz w:val="24"/>
                                  <w:szCs w:val="24"/>
                                </w:rPr>
                                <w:t>Cory Sibley (2507186)</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119B840B" wp14:editId="143B0CD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E414A2" w14:textId="5D527B5F" w:rsidR="00442119" w:rsidRDefault="00442119">
                                <w:pPr>
                                  <w:pStyle w:val="NoSpacing"/>
                                  <w:jc w:val="right"/>
                                  <w:rPr>
                                    <w:color w:val="FFFFFF" w:themeColor="background1"/>
                                    <w:sz w:val="24"/>
                                    <w:szCs w:val="24"/>
                                  </w:rPr>
                                </w:pP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r>
                                      <w:rPr>
                                        <w:color w:val="FFFFFF" w:themeColor="background1"/>
                                        <w:sz w:val="24"/>
                                        <w:szCs w:val="24"/>
                                      </w:rPr>
                                      <w:t xml:space="preserve">     </w:t>
                                    </w:r>
                                  </w:sdtContent>
                                </w:sdt>
                                <w:r>
                                  <w:rPr>
                                    <w:color w:val="FFFFFF" w:themeColor="background1"/>
                                    <w:sz w:val="24"/>
                                    <w:szCs w:val="24"/>
                                  </w:rPr>
                                  <w:t>2026</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9B840B" id="Rectangle 73"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" fillcolor="#156082 [3204]" stroked="f" strokeweight="1.5pt">
                    <o:lock v:ext="edit" aspectratio="t"/>
                    <v:textbox inset="3.6pt,,3.6pt">
                      <w:txbxContent>
                        <w:p w14:paraId="2CE414A2" w14:textId="5D527B5F" w:rsidR="00442119" w:rsidRDefault="00442119">
                          <w:pPr>
                            <w:pStyle w:val="NoSpacing"/>
                            <w:jc w:val="right"/>
                            <w:rPr>
                              <w:color w:val="FFFFFF" w:themeColor="background1"/>
                              <w:sz w:val="24"/>
                              <w:szCs w:val="24"/>
                            </w:rPr>
                          </w:pP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r>
                                <w:rPr>
                                  <w:color w:val="FFFFFF" w:themeColor="background1"/>
                                  <w:sz w:val="24"/>
                                  <w:szCs w:val="24"/>
                                </w:rPr>
                                <w:t xml:space="preserve">     </w:t>
                              </w:r>
                            </w:sdtContent>
                          </w:sdt>
                          <w:r>
                            <w:rPr>
                              <w:color w:val="FFFFFF" w:themeColor="background1"/>
                              <w:sz w:val="24"/>
                              <w:szCs w:val="24"/>
                            </w:rPr>
                            <w:t>2026</w:t>
                          </w:r>
                        </w:p>
                      </w:txbxContent>
                    </v:textbox>
                    <w10:wrap anchorx="margin" anchory="page"/>
                  </v:rect>
                </w:pict>
              </mc:Fallback>
            </mc:AlternateContent>
          </w:r>
          <w:r>
            <w:rPr>
              <w:rFonts w:eastAsia="Times New Roman"/>
              <w:color w:val="000000" w:themeColor="text1"/>
              <w:lang w:eastAsia="en-GB"/>
            </w:rPr>
            <w:br w:type="page"/>
          </w:r>
        </w:p>
        <w:sdt>
          <w:sdtPr>
            <w:id w:val="289247596"/>
            <w:docPartObj>
              <w:docPartGallery w:val="Table of Contents"/>
              <w:docPartUnique/>
            </w:docPartObj>
          </w:sdtPr>
          <w:sdtEndPr>
            <w:rPr>
              <w:rFonts w:ascii="Times New Roman" w:eastAsiaTheme="minorHAnsi" w:hAnsi="Times New Roman" w:cstheme="minorBidi"/>
              <w:noProof/>
              <w:color w:val="auto"/>
              <w:kern w:val="2"/>
              <w:sz w:val="24"/>
              <w:szCs w:val="24"/>
              <w:lang w:val="en-GB"/>
              <w14:ligatures w14:val="standardContextual"/>
            </w:rPr>
          </w:sdtEndPr>
          <w:sdtContent>
            <w:p w14:paraId="37EB407E" w14:textId="610E9CB4" w:rsidR="00442119" w:rsidRDefault="00442119">
              <w:pPr>
                <w:pStyle w:val="TOCHeading"/>
              </w:pPr>
              <w:r>
                <w:t>Table of Contents</w:t>
              </w:r>
            </w:p>
            <w:p w14:paraId="50BDAC86" w14:textId="4B9E6DC2" w:rsidR="00442119" w:rsidRDefault="00442119">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8991531" w:history="1">
                <w:r w:rsidRPr="00C23A1D">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_Toc228991531 \h </w:instrText>
                </w:r>
                <w:r>
                  <w:rPr>
                    <w:noProof/>
                    <w:webHidden/>
                  </w:rPr>
                </w:r>
                <w:r>
                  <w:rPr>
                    <w:noProof/>
                    <w:webHidden/>
                  </w:rPr>
                  <w:fldChar w:fldCharType="separate"/>
                </w:r>
                <w:r>
                  <w:rPr>
                    <w:noProof/>
                    <w:webHidden/>
                  </w:rPr>
                  <w:t>2</w:t>
                </w:r>
                <w:r>
                  <w:rPr>
                    <w:noProof/>
                    <w:webHidden/>
                  </w:rPr>
                  <w:fldChar w:fldCharType="end"/>
                </w:r>
              </w:hyperlink>
            </w:p>
            <w:p w14:paraId="17907D07" w14:textId="59555BD3" w:rsidR="00442119" w:rsidRDefault="00442119">
              <w:pPr>
                <w:pStyle w:val="TOC1"/>
                <w:tabs>
                  <w:tab w:val="right" w:leader="dot" w:pos="9016"/>
                </w:tabs>
                <w:rPr>
                  <w:noProof/>
                </w:rPr>
              </w:pPr>
              <w:hyperlink w:anchor="_Toc228991532" w:history="1">
                <w:r w:rsidRPr="00C23A1D">
                  <w:rPr>
                    <w:rStyle w:val="Hyperlink"/>
                    <w:rFonts w:eastAsia="Times New Roman"/>
                    <w:noProof/>
                    <w:lang w:eastAsia="en-GB"/>
                  </w:rPr>
                  <w:t>Project Risk Context</w:t>
                </w:r>
                <w:r>
                  <w:rPr>
                    <w:noProof/>
                    <w:webHidden/>
                  </w:rPr>
                  <w:tab/>
                </w:r>
                <w:r>
                  <w:rPr>
                    <w:noProof/>
                    <w:webHidden/>
                  </w:rPr>
                  <w:fldChar w:fldCharType="begin"/>
                </w:r>
                <w:r>
                  <w:rPr>
                    <w:noProof/>
                    <w:webHidden/>
                  </w:rPr>
                  <w:instrText xml:space="preserve"> PAGEREF _Toc228991532 \h </w:instrText>
                </w:r>
                <w:r>
                  <w:rPr>
                    <w:noProof/>
                    <w:webHidden/>
                  </w:rPr>
                </w:r>
                <w:r>
                  <w:rPr>
                    <w:noProof/>
                    <w:webHidden/>
                  </w:rPr>
                  <w:fldChar w:fldCharType="separate"/>
                </w:r>
                <w:r>
                  <w:rPr>
                    <w:noProof/>
                    <w:webHidden/>
                  </w:rPr>
                  <w:t>2</w:t>
                </w:r>
                <w:r>
                  <w:rPr>
                    <w:noProof/>
                    <w:webHidden/>
                  </w:rPr>
                  <w:fldChar w:fldCharType="end"/>
                </w:r>
              </w:hyperlink>
            </w:p>
            <w:p w14:paraId="1D19420C" w14:textId="217E7C1F" w:rsidR="00442119" w:rsidRDefault="00442119">
              <w:pPr>
                <w:pStyle w:val="TOC1"/>
                <w:tabs>
                  <w:tab w:val="right" w:leader="dot" w:pos="9016"/>
                </w:tabs>
                <w:rPr>
                  <w:noProof/>
                </w:rPr>
              </w:pPr>
              <w:hyperlink w:anchor="_Toc228991533" w:history="1">
                <w:r w:rsidRPr="00C23A1D">
                  <w:rPr>
                    <w:rStyle w:val="Hyperlink"/>
                    <w:rFonts w:eastAsia="Times New Roman"/>
                    <w:noProof/>
                    <w:lang w:eastAsia="en-GB"/>
                  </w:rPr>
                  <w:t>Building Safety Act 2022 and Welsh Building Safety Regime</w:t>
                </w:r>
                <w:r>
                  <w:rPr>
                    <w:noProof/>
                    <w:webHidden/>
                  </w:rPr>
                  <w:tab/>
                </w:r>
                <w:r>
                  <w:rPr>
                    <w:noProof/>
                    <w:webHidden/>
                  </w:rPr>
                  <w:fldChar w:fldCharType="begin"/>
                </w:r>
                <w:r>
                  <w:rPr>
                    <w:noProof/>
                    <w:webHidden/>
                  </w:rPr>
                  <w:instrText xml:space="preserve"> PAGEREF _Toc228991533 \h </w:instrText>
                </w:r>
                <w:r>
                  <w:rPr>
                    <w:noProof/>
                    <w:webHidden/>
                  </w:rPr>
                </w:r>
                <w:r>
                  <w:rPr>
                    <w:noProof/>
                    <w:webHidden/>
                  </w:rPr>
                  <w:fldChar w:fldCharType="separate"/>
                </w:r>
                <w:r>
                  <w:rPr>
                    <w:noProof/>
                    <w:webHidden/>
                  </w:rPr>
                  <w:t>2</w:t>
                </w:r>
                <w:r>
                  <w:rPr>
                    <w:noProof/>
                    <w:webHidden/>
                  </w:rPr>
                  <w:fldChar w:fldCharType="end"/>
                </w:r>
              </w:hyperlink>
            </w:p>
            <w:p w14:paraId="6D078B4A" w14:textId="35B1F4B6" w:rsidR="00442119" w:rsidRDefault="00442119">
              <w:pPr>
                <w:pStyle w:val="TOC1"/>
                <w:tabs>
                  <w:tab w:val="right" w:leader="dot" w:pos="9016"/>
                </w:tabs>
                <w:rPr>
                  <w:noProof/>
                </w:rPr>
              </w:pPr>
              <w:hyperlink w:anchor="_Toc228991534" w:history="1">
                <w:r w:rsidRPr="00C23A1D">
                  <w:rPr>
                    <w:rStyle w:val="Hyperlink"/>
                    <w:rFonts w:eastAsia="Times New Roman"/>
                    <w:noProof/>
                    <w:lang w:eastAsia="en-GB"/>
                  </w:rPr>
                  <w:t>Wider Health and Safety Legislation and Management Controls</w:t>
                </w:r>
                <w:r>
                  <w:rPr>
                    <w:noProof/>
                    <w:webHidden/>
                  </w:rPr>
                  <w:tab/>
                </w:r>
                <w:r>
                  <w:rPr>
                    <w:noProof/>
                    <w:webHidden/>
                  </w:rPr>
                  <w:fldChar w:fldCharType="begin"/>
                </w:r>
                <w:r>
                  <w:rPr>
                    <w:noProof/>
                    <w:webHidden/>
                  </w:rPr>
                  <w:instrText xml:space="preserve"> PAGEREF _Toc228991534 \h </w:instrText>
                </w:r>
                <w:r>
                  <w:rPr>
                    <w:noProof/>
                    <w:webHidden/>
                  </w:rPr>
                </w:r>
                <w:r>
                  <w:rPr>
                    <w:noProof/>
                    <w:webHidden/>
                  </w:rPr>
                  <w:fldChar w:fldCharType="separate"/>
                </w:r>
                <w:r>
                  <w:rPr>
                    <w:noProof/>
                    <w:webHidden/>
                  </w:rPr>
                  <w:t>4</w:t>
                </w:r>
                <w:r>
                  <w:rPr>
                    <w:noProof/>
                    <w:webHidden/>
                  </w:rPr>
                  <w:fldChar w:fldCharType="end"/>
                </w:r>
              </w:hyperlink>
            </w:p>
            <w:p w14:paraId="55779A48" w14:textId="031EA0F9" w:rsidR="00442119" w:rsidRDefault="00442119">
              <w:pPr>
                <w:pStyle w:val="TOC1"/>
                <w:tabs>
                  <w:tab w:val="right" w:leader="dot" w:pos="9016"/>
                </w:tabs>
                <w:rPr>
                  <w:noProof/>
                </w:rPr>
              </w:pPr>
              <w:hyperlink w:anchor="_Toc228991535" w:history="1">
                <w:r w:rsidRPr="00C23A1D">
                  <w:rPr>
                    <w:rStyle w:val="Hyperlink"/>
                    <w:rFonts w:eastAsia="Times New Roman"/>
                    <w:noProof/>
                    <w:lang w:eastAsia="en-GB"/>
                  </w:rPr>
                  <w:t>CDM Regulations 2015 and Project-Specific Compliance</w:t>
                </w:r>
                <w:r>
                  <w:rPr>
                    <w:noProof/>
                    <w:webHidden/>
                  </w:rPr>
                  <w:tab/>
                </w:r>
                <w:r>
                  <w:rPr>
                    <w:noProof/>
                    <w:webHidden/>
                  </w:rPr>
                  <w:fldChar w:fldCharType="begin"/>
                </w:r>
                <w:r>
                  <w:rPr>
                    <w:noProof/>
                    <w:webHidden/>
                  </w:rPr>
                  <w:instrText xml:space="preserve"> PAGEREF _Toc228991535 \h </w:instrText>
                </w:r>
                <w:r>
                  <w:rPr>
                    <w:noProof/>
                    <w:webHidden/>
                  </w:rPr>
                </w:r>
                <w:r>
                  <w:rPr>
                    <w:noProof/>
                    <w:webHidden/>
                  </w:rPr>
                  <w:fldChar w:fldCharType="separate"/>
                </w:r>
                <w:r>
                  <w:rPr>
                    <w:noProof/>
                    <w:webHidden/>
                  </w:rPr>
                  <w:t>6</w:t>
                </w:r>
                <w:r>
                  <w:rPr>
                    <w:noProof/>
                    <w:webHidden/>
                  </w:rPr>
                  <w:fldChar w:fldCharType="end"/>
                </w:r>
              </w:hyperlink>
            </w:p>
            <w:p w14:paraId="6866947F" w14:textId="5855555C" w:rsidR="00442119" w:rsidRDefault="00442119">
              <w:pPr>
                <w:pStyle w:val="TOC1"/>
                <w:tabs>
                  <w:tab w:val="right" w:leader="dot" w:pos="9016"/>
                </w:tabs>
                <w:rPr>
                  <w:noProof/>
                </w:rPr>
              </w:pPr>
              <w:hyperlink w:anchor="_Toc228991536" w:history="1">
                <w:r w:rsidRPr="00C23A1D">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_Toc228991536 \h </w:instrText>
                </w:r>
                <w:r>
                  <w:rPr>
                    <w:noProof/>
                    <w:webHidden/>
                  </w:rPr>
                </w:r>
                <w:r>
                  <w:rPr>
                    <w:noProof/>
                    <w:webHidden/>
                  </w:rPr>
                  <w:fldChar w:fldCharType="separate"/>
                </w:r>
                <w:r>
                  <w:rPr>
                    <w:noProof/>
                    <w:webHidden/>
                  </w:rPr>
                  <w:t>8</w:t>
                </w:r>
                <w:r>
                  <w:rPr>
                    <w:noProof/>
                    <w:webHidden/>
                  </w:rPr>
                  <w:fldChar w:fldCharType="end"/>
                </w:r>
              </w:hyperlink>
            </w:p>
            <w:p w14:paraId="425BABE5" w14:textId="2E94260E" w:rsidR="00442119" w:rsidRDefault="00442119">
              <w:pPr>
                <w:pStyle w:val="TOC1"/>
                <w:tabs>
                  <w:tab w:val="right" w:leader="dot" w:pos="9016"/>
                </w:tabs>
                <w:rPr>
                  <w:noProof/>
                </w:rPr>
              </w:pPr>
              <w:hyperlink w:anchor="_Toc228991537" w:history="1">
                <w:r w:rsidRPr="00C23A1D">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_Toc228991537 \h </w:instrText>
                </w:r>
                <w:r>
                  <w:rPr>
                    <w:noProof/>
                    <w:webHidden/>
                  </w:rPr>
                </w:r>
                <w:r>
                  <w:rPr>
                    <w:noProof/>
                    <w:webHidden/>
                  </w:rPr>
                  <w:fldChar w:fldCharType="separate"/>
                </w:r>
                <w:r>
                  <w:rPr>
                    <w:noProof/>
                    <w:webHidden/>
                  </w:rPr>
                  <w:t>8</w:t>
                </w:r>
                <w:r>
                  <w:rPr>
                    <w:noProof/>
                    <w:webHidden/>
                  </w:rPr>
                  <w:fldChar w:fldCharType="end"/>
                </w:r>
              </w:hyperlink>
            </w:p>
            <w:p w14:paraId="5715E91B" w14:textId="01DB9C7A" w:rsidR="00442119" w:rsidRDefault="00442119">
              <w:r>
                <w:rPr>
                  <w:b/>
                  <w:bCs/>
                  <w:noProof/>
                </w:rPr>
                <w:fldChar w:fldCharType="end"/>
              </w:r>
            </w:p>
          </w:sdtContent>
        </w:sdt>
        <w:p w14:paraId="468A4E71" w14:textId="736BC640" w:rsidR="00442119" w:rsidRDefault="00442119">
          <w:pPr>
            <w:spacing w:after="160" w:line="278" w:lineRule="auto"/>
            <w:rPr>
              <w:rFonts w:asciiTheme="majorHAnsi" w:eastAsia="Times New Roman" w:hAnsiTheme="majorHAnsi" w:cstheme="majorBidi"/>
              <w:color w:val="000000" w:themeColor="text1"/>
              <w:sz w:val="40"/>
              <w:szCs w:val="40"/>
              <w:lang w:eastAsia="en-GB"/>
            </w:rPr>
          </w:pPr>
        </w:p>
      </w:sdtContent>
    </w:sdt>
    <w:p w14:paraId="51042D9A" w14:textId="77777777" w:rsidR="00446B06" w:rsidRDefault="00446B06" w:rsidP="00720691">
      <w:pPr>
        <w:pStyle w:val="Heading1"/>
        <w:rPr>
          <w:rFonts w:eastAsia="Times New Roman"/>
          <w:color w:val="000000" w:themeColor="text1"/>
          <w:lang w:eastAsia="en-GB"/>
        </w:rPr>
      </w:pPr>
    </w:p>
    <w:p w14:paraId="1081C339" w14:textId="77777777" w:rsidR="00446B06" w:rsidRDefault="00446B06" w:rsidP="00720691">
      <w:pPr>
        <w:pStyle w:val="Heading1"/>
        <w:rPr>
          <w:rFonts w:eastAsia="Times New Roman"/>
          <w:color w:val="000000" w:themeColor="text1"/>
          <w:lang w:eastAsia="en-GB"/>
        </w:rPr>
      </w:pPr>
    </w:p>
    <w:p w14:paraId="5765AE6E" w14:textId="77777777" w:rsidR="00446B06" w:rsidRDefault="00446B06" w:rsidP="00720691">
      <w:pPr>
        <w:pStyle w:val="Heading1"/>
        <w:rPr>
          <w:rFonts w:eastAsia="Times New Roman"/>
          <w:color w:val="000000" w:themeColor="text1"/>
          <w:lang w:eastAsia="en-GB"/>
        </w:rPr>
      </w:pPr>
    </w:p>
    <w:p w14:paraId="50D9F35C" w14:textId="77777777" w:rsidR="00446B06" w:rsidRDefault="00446B06" w:rsidP="00720691">
      <w:pPr>
        <w:pStyle w:val="Heading1"/>
        <w:rPr>
          <w:rFonts w:eastAsia="Times New Roman"/>
          <w:color w:val="000000" w:themeColor="text1"/>
          <w:lang w:eastAsia="en-GB"/>
        </w:rPr>
      </w:pPr>
    </w:p>
    <w:p w14:paraId="1B3A3E75" w14:textId="77777777" w:rsidR="00446B06" w:rsidRDefault="00446B06" w:rsidP="00720691">
      <w:pPr>
        <w:pStyle w:val="Heading1"/>
        <w:rPr>
          <w:rFonts w:eastAsia="Times New Roman"/>
          <w:color w:val="000000" w:themeColor="text1"/>
          <w:lang w:eastAsia="en-GB"/>
        </w:rPr>
      </w:pPr>
    </w:p>
    <w:p w14:paraId="18E89863" w14:textId="77777777" w:rsidR="00446B06" w:rsidRDefault="00446B06" w:rsidP="00720691">
      <w:pPr>
        <w:pStyle w:val="Heading1"/>
        <w:rPr>
          <w:rFonts w:eastAsia="Times New Roman"/>
          <w:color w:val="000000" w:themeColor="text1"/>
          <w:lang w:eastAsia="en-GB"/>
        </w:rPr>
      </w:pPr>
    </w:p>
    <w:p w14:paraId="3AA4CE34" w14:textId="77777777" w:rsidR="00446B06" w:rsidRDefault="00446B06" w:rsidP="00720691">
      <w:pPr>
        <w:pStyle w:val="Heading1"/>
        <w:rPr>
          <w:rFonts w:eastAsia="Times New Roman"/>
          <w:color w:val="000000" w:themeColor="text1"/>
          <w:lang w:eastAsia="en-GB"/>
        </w:rPr>
      </w:pPr>
    </w:p>
    <w:p w14:paraId="6C0BE323" w14:textId="77777777" w:rsidR="00446B06" w:rsidRDefault="00446B06" w:rsidP="00720691">
      <w:pPr>
        <w:pStyle w:val="Heading1"/>
        <w:rPr>
          <w:rFonts w:eastAsia="Times New Roman"/>
          <w:color w:val="000000" w:themeColor="text1"/>
          <w:lang w:eastAsia="en-GB"/>
        </w:rPr>
      </w:pPr>
    </w:p>
    <w:p w14:paraId="66AB779F" w14:textId="77777777" w:rsidR="00442119" w:rsidRDefault="00442119" w:rsidP="00720691">
      <w:pPr>
        <w:pStyle w:val="Heading1"/>
        <w:rPr>
          <w:rFonts w:eastAsia="Times New Roman"/>
          <w:color w:val="000000" w:themeColor="text1"/>
          <w:lang w:eastAsia="en-GB"/>
        </w:rPr>
      </w:pPr>
    </w:p>
    <w:p w14:paraId="77FFDA94" w14:textId="77777777" w:rsidR="00442119" w:rsidRDefault="00442119" w:rsidP="00442119">
      <w:pPr>
        <w:rPr>
          <w:lang w:eastAsia="en-GB"/>
        </w:rPr>
      </w:pPr>
    </w:p>
    <w:p w14:paraId="0FA173D2" w14:textId="77777777" w:rsidR="00442119" w:rsidRPr="00442119" w:rsidRDefault="00442119" w:rsidP="00442119">
      <w:pPr>
        <w:rPr>
          <w:lang w:eastAsia="en-GB"/>
        </w:rPr>
      </w:pPr>
    </w:p>
    <w:p w14:paraId="26EF7871" w14:textId="4FCC2B71" w:rsidR="00E5070B" w:rsidRPr="00720691" w:rsidRDefault="00E5070B" w:rsidP="00720691">
      <w:pPr>
        <w:pStyle w:val="Heading1"/>
        <w:rPr>
          <w:rFonts w:eastAsia="Times New Roman"/>
          <w:color w:val="000000" w:themeColor="text1"/>
          <w:lang w:eastAsia="en-GB"/>
        </w:rPr>
      </w:pPr>
      <w:bookmarkStart w:id="0" w:name="_Toc228991531"/>
      <w:r w:rsidRPr="00720691">
        <w:rPr>
          <w:rFonts w:eastAsia="Times New Roman"/>
          <w:color w:val="000000" w:themeColor="text1"/>
          <w:lang w:eastAsia="en-GB"/>
        </w:rPr>
        <w:lastRenderedPageBreak/>
        <w:t>Introduction</w:t>
      </w:r>
      <w:bookmarkEnd w:id="0"/>
    </w:p>
    <w:p w14:paraId="4BEC5666" w14:textId="00117B46"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This report outlines the key health and safety considerations for the proposed retrofit of Croft Street Block 2, a residential tower block in Swansea. The works include new kitchens, bathrooms, fire sprinklers and external weather</w:t>
      </w:r>
      <w:r w:rsidR="00442119">
        <w:rPr>
          <w:rFonts w:eastAsia="Times New Roman" w:cs="Times New Roman"/>
          <w:kern w:val="0"/>
          <w:lang w:eastAsia="en-GB"/>
          <w14:ligatures w14:val="none"/>
        </w:rPr>
        <w:t>-p</w:t>
      </w:r>
      <w:r w:rsidRPr="00E5070B">
        <w:rPr>
          <w:rFonts w:eastAsia="Times New Roman" w:cs="Times New Roman"/>
          <w:kern w:val="0"/>
          <w:lang w:eastAsia="en-GB"/>
          <w14:ligatures w14:val="none"/>
        </w:rPr>
        <w:t>roof cladding. The report assesses the relevance of the Building Safety Act 2022, the Building Safety (Wales) Bill, wider health and safety legislation, and the CDM Regulations 2015.</w:t>
      </w:r>
    </w:p>
    <w:p w14:paraId="44BB6E9B" w14:textId="222C787B" w:rsidR="00E5070B" w:rsidRPr="00720691" w:rsidRDefault="00E5070B" w:rsidP="00720691">
      <w:pPr>
        <w:pStyle w:val="Heading1"/>
        <w:rPr>
          <w:rFonts w:eastAsia="Times New Roman"/>
          <w:color w:val="000000" w:themeColor="text1"/>
          <w:lang w:eastAsia="en-GB"/>
        </w:rPr>
      </w:pPr>
      <w:bookmarkStart w:id="1" w:name="_Toc228991532"/>
      <w:r w:rsidRPr="00720691">
        <w:rPr>
          <w:rFonts w:eastAsia="Times New Roman"/>
          <w:color w:val="000000" w:themeColor="text1"/>
          <w:lang w:eastAsia="en-GB"/>
        </w:rPr>
        <w:t>Project Risk Context</w:t>
      </w:r>
      <w:bookmarkEnd w:id="1"/>
    </w:p>
    <w:p w14:paraId="658F0B32" w14:textId="401ED391"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Croft Street Block 2 is a 14</w:t>
      </w:r>
      <w:r w:rsidR="00442119">
        <w:rPr>
          <w:rFonts w:eastAsia="Times New Roman" w:cs="Times New Roman"/>
          <w:kern w:val="0"/>
          <w:lang w:eastAsia="en-GB"/>
          <w14:ligatures w14:val="none"/>
        </w:rPr>
        <w:t>-s</w:t>
      </w:r>
      <w:r w:rsidRPr="00E5070B">
        <w:rPr>
          <w:rFonts w:eastAsia="Times New Roman" w:cs="Times New Roman"/>
          <w:kern w:val="0"/>
          <w:lang w:eastAsia="en-GB"/>
          <w14:ligatures w14:val="none"/>
        </w:rPr>
        <w:t>torey residential tower block containing 52 flats, so the retrofit must be managed around both construction workers and residents who may be affected by the works (Swansea Council, 2025). The refurbishment creates a mixed risk profile involving internal works, fa</w:t>
      </w:r>
      <w:r w:rsidR="00940227">
        <w:rPr>
          <w:rFonts w:eastAsia="Times New Roman" w:cs="Times New Roman"/>
          <w:kern w:val="0"/>
          <w:lang w:eastAsia="en-GB"/>
          <w14:ligatures w14:val="none"/>
        </w:rPr>
        <w:t>c</w:t>
      </w:r>
      <w:r w:rsidRPr="00E5070B">
        <w:rPr>
          <w:rFonts w:eastAsia="Times New Roman" w:cs="Times New Roman"/>
          <w:kern w:val="0"/>
          <w:lang w:eastAsia="en-GB"/>
          <w14:ligatures w14:val="none"/>
        </w:rPr>
        <w:t>ade works and fire</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afety upgrades.</w:t>
      </w:r>
    </w:p>
    <w:p w14:paraId="3BAD63AB" w14:textId="6A482CFB"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main risks include work</w:t>
      </w:r>
      <w:r w:rsidR="00940227">
        <w:rPr>
          <w:rFonts w:eastAsia="Times New Roman" w:cs="Times New Roman"/>
          <w:kern w:val="0"/>
          <w:lang w:eastAsia="en-GB"/>
          <w14:ligatures w14:val="none"/>
        </w:rPr>
        <w:t>ing</w:t>
      </w:r>
      <w:r w:rsidRPr="00E5070B">
        <w:rPr>
          <w:rFonts w:eastAsia="Times New Roman" w:cs="Times New Roman"/>
          <w:kern w:val="0"/>
          <w:lang w:eastAsia="en-GB"/>
          <w14:ligatures w14:val="none"/>
        </w:rPr>
        <w:t xml:space="preserve"> at height, falling materials, manual handling, noise, dust, hazardous substances, lifting operations, fire risks and disruption to existing services. Refurbishment may also disturb hidden asbestos</w:t>
      </w:r>
      <w:r w:rsidR="00940227">
        <w:rPr>
          <w:rFonts w:eastAsia="Times New Roman" w:cs="Times New Roman"/>
          <w:kern w:val="0"/>
          <w:lang w:eastAsia="en-GB"/>
          <w14:ligatures w14:val="none"/>
        </w:rPr>
        <w:t>-c</w:t>
      </w:r>
      <w:r w:rsidRPr="00E5070B">
        <w:rPr>
          <w:rFonts w:eastAsia="Times New Roman" w:cs="Times New Roman"/>
          <w:kern w:val="0"/>
          <w:lang w:eastAsia="en-GB"/>
          <w14:ligatures w14:val="none"/>
        </w:rPr>
        <w:t>ontaining materials, which is a recognised risk in existing buildings where workers disturb the building fabric (HSE, 2024). These risks require early planning, competent supervision, resident segregation, suitable welfare arrangements and clear risk assessments before work begins.</w:t>
      </w:r>
    </w:p>
    <w:p w14:paraId="05D55D2F" w14:textId="6DF28A79" w:rsidR="00E5070B" w:rsidRPr="00720691" w:rsidRDefault="00E5070B" w:rsidP="00720691">
      <w:pPr>
        <w:pStyle w:val="Heading1"/>
        <w:rPr>
          <w:rFonts w:eastAsia="Times New Roman"/>
          <w:color w:val="000000" w:themeColor="text1"/>
          <w:lang w:eastAsia="en-GB"/>
        </w:rPr>
      </w:pPr>
      <w:bookmarkStart w:id="2" w:name="_Toc228991533"/>
      <w:r w:rsidRPr="00720691">
        <w:rPr>
          <w:rFonts w:eastAsia="Times New Roman"/>
          <w:color w:val="000000" w:themeColor="text1"/>
          <w:lang w:eastAsia="en-GB"/>
        </w:rPr>
        <w:t xml:space="preserve">Building Safety Act 2022 and Welsh Building Safety </w:t>
      </w:r>
      <w:bookmarkEnd w:id="2"/>
    </w:p>
    <w:p w14:paraId="6564812E" w14:textId="046D8EB8"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Building Safety Act 2022 is directly relevant to the proposed Croft Street Block 2 retrofit because the project involves a high</w:t>
      </w:r>
      <w:r w:rsidR="00940227">
        <w:rPr>
          <w:rFonts w:eastAsia="Times New Roman" w:cs="Times New Roman"/>
          <w:kern w:val="0"/>
          <w:lang w:eastAsia="en-GB"/>
          <w14:ligatures w14:val="none"/>
        </w:rPr>
        <w:t>-r</w:t>
      </w:r>
      <w:r w:rsidRPr="00E5070B">
        <w:rPr>
          <w:rFonts w:eastAsia="Times New Roman" w:cs="Times New Roman"/>
          <w:kern w:val="0"/>
          <w:lang w:eastAsia="en-GB"/>
          <w14:ligatures w14:val="none"/>
        </w:rPr>
        <w:t>ise residential tower block and works that could affect fire and building safety, including external cladding and fire sprinklers. The Act was introduced to improve accountability, competence and risk management across the design, construction and occupation of higher</w:t>
      </w:r>
      <w:r w:rsidR="00940227">
        <w:rPr>
          <w:rFonts w:eastAsia="Times New Roman" w:cs="Times New Roman"/>
          <w:kern w:val="0"/>
          <w:lang w:eastAsia="en-GB"/>
          <w14:ligatures w14:val="none"/>
        </w:rPr>
        <w:t>-ri</w:t>
      </w:r>
      <w:r w:rsidRPr="00E5070B">
        <w:rPr>
          <w:rFonts w:eastAsia="Times New Roman" w:cs="Times New Roman"/>
          <w:kern w:val="0"/>
          <w:lang w:eastAsia="en-GB"/>
          <w14:ligatures w14:val="none"/>
        </w:rPr>
        <w:t>sk buildings (Building Safety Act 2022). Croft Street Block 2 is a 14</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torey block containing 52 flats, meaning it has the characteristics of a building where fire safety, resident protection and accurate building information are essential (Swansea Council, 2025). Although the detailed regulat</w:t>
      </w:r>
      <w:r w:rsidR="00940227">
        <w:rPr>
          <w:rFonts w:eastAsia="Times New Roman" w:cs="Times New Roman"/>
          <w:kern w:val="0"/>
          <w:lang w:eastAsia="en-GB"/>
          <w14:ligatures w14:val="none"/>
        </w:rPr>
        <w:t>ions</w:t>
      </w:r>
      <w:r w:rsidRPr="00E5070B">
        <w:rPr>
          <w:rFonts w:eastAsia="Times New Roman" w:cs="Times New Roman"/>
          <w:kern w:val="0"/>
          <w:lang w:eastAsia="en-GB"/>
          <w14:ligatures w14:val="none"/>
        </w:rPr>
        <w:t xml:space="preserve"> differ between England and Wales, the principles of the Act are highly applicable because the project involves refurbishment to an occupied residential tower block.</w:t>
      </w:r>
    </w:p>
    <w:p w14:paraId="5BBCA8E3" w14:textId="066C3905"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lastRenderedPageBreak/>
        <w:t>A key impact of the Building Safety Act is that it strengthens responsibility across the building life cycle. For this project, the client, designers, contractors and building owner would need to show that safety has been considered from planning and design through to completion. This is particularly important for external cladding, as external wall systems can influence fire spread, insulation performance and future maintenance. Welsh fire safety guidance states that external walls should not provide a medium for fire spread where this creates a risk to health and safety, particularly in tall buildings (Welsh Government, 2025). Therefore, the cladding specification, fixing systems, cavity barriers and fire</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topping arrangements should be checked by competent professionals.</w:t>
      </w:r>
    </w:p>
    <w:p w14:paraId="6FA7EADF" w14:textId="67B8844B"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sprinkler installation also creates building safety issues. Sprinklers can improve fire protection, but installation may require penetration</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 xml:space="preserve"> through walls, ceilings and floors. If these penetrations are not sealed correctly, the work could weaken compartmentation and allow fire or smoke to spread between flats, corridors or service risers. Fire safety guidance for Wales identifies compartmentation, means of escape, fire detection, fire resistance and firefighting access as core elements of building fire safety (Welsh Government, 2020). From a management perspective, sprinkler works must be coordinated with the fire strategy, properly inspected, commissioned and recorded before handover.</w:t>
      </w:r>
    </w:p>
    <w:p w14:paraId="17EA681F" w14:textId="32EF1714"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The Building Safety (Wales) Bill is also relevant because the project is in Swansea. The Welsh Government has confirmed that the </w:t>
      </w:r>
      <w:r w:rsidR="00940227">
        <w:rPr>
          <w:rFonts w:eastAsia="Times New Roman" w:cs="Times New Roman"/>
          <w:kern w:val="0"/>
          <w:lang w:eastAsia="en-GB"/>
          <w14:ligatures w14:val="none"/>
        </w:rPr>
        <w:t>b</w:t>
      </w:r>
      <w:r w:rsidRPr="00E5070B">
        <w:rPr>
          <w:rFonts w:eastAsia="Times New Roman" w:cs="Times New Roman"/>
          <w:kern w:val="0"/>
          <w:lang w:eastAsia="en-GB"/>
          <w14:ligatures w14:val="none"/>
        </w:rPr>
        <w:t xml:space="preserve">ill establishes a new building safety regime for residents of shared buildings across Wales, regardless of building height or tenure, and that it is broader than the equivalent </w:t>
      </w:r>
      <w:r w:rsidR="00940227">
        <w:rPr>
          <w:rFonts w:eastAsia="Times New Roman" w:cs="Times New Roman"/>
          <w:kern w:val="0"/>
          <w:lang w:eastAsia="en-GB"/>
          <w14:ligatures w14:val="none"/>
        </w:rPr>
        <w:t>bill</w:t>
      </w:r>
      <w:r w:rsidRPr="00E5070B">
        <w:rPr>
          <w:rFonts w:eastAsia="Times New Roman" w:cs="Times New Roman"/>
          <w:kern w:val="0"/>
          <w:lang w:eastAsia="en-GB"/>
          <w14:ligatures w14:val="none"/>
        </w:rPr>
        <w:t xml:space="preserve"> in England (Welsh Government, 2026). This matters because Croft Street Block 2 is a multi</w:t>
      </w:r>
      <w:r w:rsidR="00940227">
        <w:rPr>
          <w:rFonts w:eastAsia="Times New Roman" w:cs="Times New Roman"/>
          <w:kern w:val="0"/>
          <w:lang w:eastAsia="en-GB"/>
          <w14:ligatures w14:val="none"/>
        </w:rPr>
        <w:t>-o</w:t>
      </w:r>
      <w:r w:rsidRPr="00E5070B">
        <w:rPr>
          <w:rFonts w:eastAsia="Times New Roman" w:cs="Times New Roman"/>
          <w:kern w:val="0"/>
          <w:lang w:eastAsia="en-GB"/>
          <w14:ligatures w14:val="none"/>
        </w:rPr>
        <w:t>ccupied residential building where residents may remain while works take place. The Welsh approach places strong emphasis on resident safety, accountability and clear responsibility for managing building risks.</w:t>
      </w:r>
    </w:p>
    <w:p w14:paraId="16A93186" w14:textId="448789AB"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In practical terms, building safety legislation affects how the retrofit is planned, delivered and handed over. Before work starts, the design team should review the existing fire strategy, cladding specification and sprinkler design. During construction, UWTSD Construction should maintain records of inspections, fire</w:t>
      </w:r>
      <w:r w:rsidR="00940227">
        <w:rPr>
          <w:rFonts w:eastAsia="Times New Roman" w:cs="Times New Roman"/>
          <w:kern w:val="0"/>
          <w:lang w:eastAsia="en-GB"/>
          <w14:ligatures w14:val="none"/>
        </w:rPr>
        <w:t>-st</w:t>
      </w:r>
      <w:r w:rsidRPr="00E5070B">
        <w:rPr>
          <w:rFonts w:eastAsia="Times New Roman" w:cs="Times New Roman"/>
          <w:kern w:val="0"/>
          <w:lang w:eastAsia="en-GB"/>
          <w14:ligatures w14:val="none"/>
        </w:rPr>
        <w:t xml:space="preserve">opping details, product information, design changes and commissioning certificates. Residents should also be informed about disruption, access arrangements, temporary fire precautions and any changes to escape routes. At completion, accurate handover information should support future maintenance and safe occupation. Therefore, the Building Safety Act 2022 and Welsh regime shape the </w:t>
      </w:r>
      <w:r w:rsidRPr="00E5070B">
        <w:rPr>
          <w:rFonts w:eastAsia="Times New Roman" w:cs="Times New Roman"/>
          <w:kern w:val="0"/>
          <w:lang w:eastAsia="en-GB"/>
          <w14:ligatures w14:val="none"/>
        </w:rPr>
        <w:lastRenderedPageBreak/>
        <w:t>competence, documentation, communication and fire</w:t>
      </w:r>
      <w:r w:rsidR="00940227">
        <w:rPr>
          <w:rFonts w:eastAsia="Times New Roman" w:cs="Times New Roman"/>
          <w:kern w:val="0"/>
          <w:lang w:eastAsia="en-GB"/>
          <w14:ligatures w14:val="none"/>
        </w:rPr>
        <w:t>-s</w:t>
      </w:r>
      <w:r w:rsidRPr="00E5070B">
        <w:rPr>
          <w:rFonts w:eastAsia="Times New Roman" w:cs="Times New Roman"/>
          <w:kern w:val="0"/>
          <w:lang w:eastAsia="en-GB"/>
          <w14:ligatures w14:val="none"/>
        </w:rPr>
        <w:t>afety controls required throughout the retrofit.</w:t>
      </w:r>
    </w:p>
    <w:p w14:paraId="73DDA75C" w14:textId="2B992DE7" w:rsidR="00E5070B" w:rsidRPr="00720691" w:rsidRDefault="00E5070B" w:rsidP="00720691">
      <w:pPr>
        <w:pStyle w:val="Heading1"/>
        <w:rPr>
          <w:rFonts w:eastAsia="Times New Roman"/>
          <w:color w:val="000000" w:themeColor="text1"/>
          <w:lang w:eastAsia="en-GB"/>
        </w:rPr>
      </w:pPr>
      <w:bookmarkStart w:id="3" w:name="_Toc228991534"/>
      <w:r w:rsidRPr="00720691">
        <w:rPr>
          <w:rFonts w:eastAsia="Times New Roman"/>
          <w:color w:val="000000" w:themeColor="text1"/>
          <w:lang w:eastAsia="en-GB"/>
        </w:rPr>
        <w:t>Wider Health and Safety Legislation and Management Controls</w:t>
      </w:r>
      <w:bookmarkEnd w:id="3"/>
    </w:p>
    <w:p w14:paraId="196A71C8" w14:textId="10EC3984"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Health and Safety at Work Act 1974 provides the overall legal framework for managing health and safety on the Croft Street Block 2 retrofit. It requires employers to protect employees’ health, safety and welfare, while also protecting others affected by the works, such as residents, visitors and the public (Health and Safety at Work Act 1974; HSE, 2024). For this project, management compliance would involve competent supervision, safe systems of work, controlled access, maintained plant and equipment, and suitable information, instruction and training.</w:t>
      </w:r>
    </w:p>
    <w:p w14:paraId="239BB4CA" w14:textId="7777777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Management of Health and Safety at Work Regulations 1999 require risks to be assessed and managed before work begins. HSE guidance explains that employers must identify what could cause injury or illness, decide how likely harm is, and take action to eliminate or control the risk (HSE, 2025a). On this project, this should be achieved through risk assessments and method statements for cladding installation, sprinkler works, kitchen and bathroom replacement, service isolations and waste removal. These documents should address the specific risks of working in a residential tower block, including resident segregation, emergency access, fire precautions and coordination between trades.</w:t>
      </w:r>
    </w:p>
    <w:p w14:paraId="27736687" w14:textId="06B87AE1"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The Work at Height Regulations 2005 </w:t>
      </w:r>
      <w:r w:rsidR="00940227" w:rsidRPr="00E5070B">
        <w:rPr>
          <w:rFonts w:eastAsia="Times New Roman" w:cs="Times New Roman"/>
          <w:kern w:val="0"/>
          <w:lang w:eastAsia="en-GB"/>
          <w14:ligatures w14:val="none"/>
        </w:rPr>
        <w:t>is</w:t>
      </w:r>
      <w:r w:rsidRPr="00E5070B">
        <w:rPr>
          <w:rFonts w:eastAsia="Times New Roman" w:cs="Times New Roman"/>
          <w:kern w:val="0"/>
          <w:lang w:eastAsia="en-GB"/>
          <w14:ligatures w14:val="none"/>
        </w:rPr>
        <w:t xml:space="preserve"> particularly important because the external cladding and weather</w:t>
      </w:r>
      <w:r w:rsidR="00940227">
        <w:rPr>
          <w:rFonts w:eastAsia="Times New Roman" w:cs="Times New Roman"/>
          <w:kern w:val="0"/>
          <w:lang w:eastAsia="en-GB"/>
          <w14:ligatures w14:val="none"/>
        </w:rPr>
        <w:t>-p</w:t>
      </w:r>
      <w:r w:rsidRPr="00E5070B">
        <w:rPr>
          <w:rFonts w:eastAsia="Times New Roman" w:cs="Times New Roman"/>
          <w:kern w:val="0"/>
          <w:lang w:eastAsia="en-GB"/>
          <w14:ligatures w14:val="none"/>
        </w:rPr>
        <w:t>roofing works will require safe fa</w:t>
      </w:r>
      <w:r w:rsidR="00940227">
        <w:rPr>
          <w:rFonts w:eastAsia="Times New Roman" w:cs="Times New Roman"/>
          <w:kern w:val="0"/>
          <w:lang w:eastAsia="en-GB"/>
          <w14:ligatures w14:val="none"/>
        </w:rPr>
        <w:t>c</w:t>
      </w:r>
      <w:r w:rsidRPr="00E5070B">
        <w:rPr>
          <w:rFonts w:eastAsia="Times New Roman" w:cs="Times New Roman"/>
          <w:kern w:val="0"/>
          <w:lang w:eastAsia="en-GB"/>
          <w14:ligatures w14:val="none"/>
        </w:rPr>
        <w:t xml:space="preserve">ade access. The </w:t>
      </w:r>
      <w:r w:rsidR="00940227">
        <w:rPr>
          <w:rFonts w:eastAsia="Times New Roman" w:cs="Times New Roman"/>
          <w:kern w:val="0"/>
          <w:lang w:eastAsia="en-GB"/>
          <w14:ligatures w14:val="none"/>
        </w:rPr>
        <w:t>r</w:t>
      </w:r>
      <w:r w:rsidRPr="00E5070B">
        <w:rPr>
          <w:rFonts w:eastAsia="Times New Roman" w:cs="Times New Roman"/>
          <w:kern w:val="0"/>
          <w:lang w:eastAsia="en-GB"/>
          <w14:ligatures w14:val="none"/>
        </w:rPr>
        <w:t>egulations require work at height to be planned, supervised and carried out by competent people using suitable equipment (HSE, 2024). Management should avoid work at height where possible, but where it cannot be avoided, appropriate systems such as scaffolding, mast climbers or mobile elevating work platforms should be used rather than ladders. Scaffolds should be designed, erected, altered and dismantled only by competent people under competent supervision (HSE, 2026a). Exclusion zones should also protect residents and the public from falling materials.</w:t>
      </w:r>
    </w:p>
    <w:p w14:paraId="113104EA" w14:textId="406AC83D"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The Control of Substances Hazardous to Health Regulations 2002 apply because refurbishment can expose workers to dust, fumes, adhesives, sealants, paints and other hazardous substances. HSE identifies construction dust as a risk to workers’ lungs, </w:t>
      </w:r>
      <w:r w:rsidRPr="00E5070B">
        <w:rPr>
          <w:rFonts w:eastAsia="Times New Roman" w:cs="Times New Roman"/>
          <w:kern w:val="0"/>
          <w:lang w:eastAsia="en-GB"/>
          <w14:ligatures w14:val="none"/>
        </w:rPr>
        <w:lastRenderedPageBreak/>
        <w:t>particularly where cutting, drilling or demolition releases silica or fine particles (HSE, 2024). Management should use COSHH assessments, safety data sheets, local exhaust ventilation, water suppression, respiratory protective equipment and good housekeeping. Refurbishment also creates an asbestos risk because hidden asbestos</w:t>
      </w:r>
      <w:r w:rsidR="00391B20">
        <w:rPr>
          <w:rFonts w:eastAsia="Times New Roman" w:cs="Times New Roman"/>
          <w:kern w:val="0"/>
          <w:lang w:eastAsia="en-GB"/>
          <w14:ligatures w14:val="none"/>
        </w:rPr>
        <w:t>-c</w:t>
      </w:r>
      <w:r w:rsidRPr="00E5070B">
        <w:rPr>
          <w:rFonts w:eastAsia="Times New Roman" w:cs="Times New Roman"/>
          <w:kern w:val="0"/>
          <w:lang w:eastAsia="en-GB"/>
          <w14:ligatures w14:val="none"/>
        </w:rPr>
        <w:t>ontaining materials may be disturbed when kitchens, bathrooms, ceilings, floors or service risers are opened. Before intrusive works begin, asbestos information or surveys should be available so asbestos can be identified and managed safely (HSE, 2024).</w:t>
      </w:r>
    </w:p>
    <w:p w14:paraId="20963D82" w14:textId="1C2433E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Manual Handling Operations Regulations 1992 are relevant to moving kitchen units, bathroom fittings, pipework, cladding panels, plasterboard and waste materials. HSE guidance states that employers should avoid hazardous manual handling where reasonably practicable, assess unavoidable tasks and reduce injury risk (HSE, 2024). Materials should be delivered close to the workface, mechanical aids should be used where suitable, and access routes should be kept clear. Workers should receive manual handling training, especially where materials must be moved through corridors, stairwells or occupied areas.</w:t>
      </w:r>
    </w:p>
    <w:p w14:paraId="3EC2560E" w14:textId="55855375"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Lifting Operations and Lifting Equipment Regulations 1998 and Provision and Use of Work Equipment Regulations 1998 would apply where hoists, MEWPs, telehandlers, lifting accessories or power tools are used. HSE guidance states that lifting operations must be planned by a competent person, supervised and carried out safely (HSE, 2026). Lifting accessories and equipment must also be inspected, maintained and thoroughly examined where required (HSE, 2024). Lifting plans, exclusion zones, inspection records and competent operators would be required when moving cladding panels, plant or heavy materials.</w:t>
      </w:r>
    </w:p>
    <w:p w14:paraId="406C28E8" w14:textId="76DF9999"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Personal Protective Equipment at Work Regulations 1992, as amended by the 2022 Regulations, are relevant where risks remain after other control measures. PPE should not be the first control measure, but it may be necessary for dust, noise, sharp materials, falling objects and chemical contact. HSE guidance states that employers must provide PPE free of charge where needed, including safety helmets, gloves, eye protection, hearing protection, high-visibility clothing, safety footwear, harnesses and respiratory protective equipment (HSE, 2026). Workers must be trained to use, store and report defects in PPE.</w:t>
      </w:r>
    </w:p>
    <w:p w14:paraId="106A339C" w14:textId="7B148A93"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Fire safety must be managed throughout because cladding, sprinkler installation and internal refurbishment could temporarily affect escape routes, compartmentation and fire protection. </w:t>
      </w:r>
      <w:r w:rsidRPr="00E5070B">
        <w:rPr>
          <w:rFonts w:eastAsia="Times New Roman" w:cs="Times New Roman"/>
          <w:kern w:val="0"/>
          <w:lang w:eastAsia="en-GB"/>
          <w14:ligatures w14:val="none"/>
        </w:rPr>
        <w:lastRenderedPageBreak/>
        <w:t>Management should maintain clear escape routes, control combustible materials, use hot works permits, protect fire stopping around service penetrations and communicate temporary fire arrangements to workers and residents. Finally, the Reporting of Injuries, Diseases and Dangerous Occurrences Regulations 2013 require specified serious injuries, occupational diseases and dangerous occurrences to be reported (HSE, 2025). Accident and near-miss reporting should support legal compliance and help prevent repeat incidents.</w:t>
      </w:r>
    </w:p>
    <w:p w14:paraId="554AADA7" w14:textId="70237516" w:rsidR="00E5070B" w:rsidRPr="00720691" w:rsidRDefault="00E5070B" w:rsidP="00720691">
      <w:pPr>
        <w:pStyle w:val="Heading1"/>
        <w:rPr>
          <w:rFonts w:eastAsia="Times New Roman"/>
          <w:color w:val="000000" w:themeColor="text1"/>
          <w:lang w:eastAsia="en-GB"/>
        </w:rPr>
      </w:pPr>
      <w:bookmarkStart w:id="4" w:name="_Toc228991535"/>
      <w:r w:rsidRPr="00720691">
        <w:rPr>
          <w:rFonts w:eastAsia="Times New Roman"/>
          <w:color w:val="000000" w:themeColor="text1"/>
          <w:lang w:eastAsia="en-GB"/>
        </w:rPr>
        <w:t>CDM Regulations 2015 and Project-Specific Compliance</w:t>
      </w:r>
      <w:bookmarkEnd w:id="4"/>
    </w:p>
    <w:p w14:paraId="2CF4D289" w14:textId="153C2C44"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Construction (Design and Management) Regulations 2015 are central to the Croft Street Block 2 retrofit because the works fall within construction work and are likely to involve several contractors, including cladding installers, sprinkler specialists, kitchen and bathroom fitters, electricians, plumbers and waste contractors. CDM requires health and safety to be planned, managed and coordinated throughout the project, rather than only controlled once work has started (Construction (Design and Management) Regulations 2015; HSE, 2026).</w:t>
      </w:r>
    </w:p>
    <w:p w14:paraId="473D96B4" w14:textId="2403072E"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 xml:space="preserve">The client must make suitable arrangements for managing the project, including allocating enough time and resources, appointing competent </w:t>
      </w:r>
      <w:r w:rsidR="00391B20" w:rsidRPr="00E5070B">
        <w:rPr>
          <w:rFonts w:eastAsia="Times New Roman" w:cs="Times New Roman"/>
          <w:kern w:val="0"/>
          <w:lang w:eastAsia="en-GB"/>
          <w14:ligatures w14:val="none"/>
        </w:rPr>
        <w:t>duty holders</w:t>
      </w:r>
      <w:r w:rsidRPr="00E5070B">
        <w:rPr>
          <w:rFonts w:eastAsia="Times New Roman" w:cs="Times New Roman"/>
          <w:kern w:val="0"/>
          <w:lang w:eastAsia="en-GB"/>
          <w14:ligatures w14:val="none"/>
        </w:rPr>
        <w:t xml:space="preserve"> and ensuring welfare facilities are in place before work starts (HSE, 2026). The client should appoint a principal designer and principal contractor because more than one contractor is likely. The principal designer should coordinate design</w:t>
      </w:r>
      <w:r w:rsidR="00391B20">
        <w:rPr>
          <w:rFonts w:eastAsia="Times New Roman" w:cs="Times New Roman"/>
          <w:kern w:val="0"/>
          <w:lang w:eastAsia="en-GB"/>
          <w14:ligatures w14:val="none"/>
        </w:rPr>
        <w:t>-s</w:t>
      </w:r>
      <w:r w:rsidRPr="00E5070B">
        <w:rPr>
          <w:rFonts w:eastAsia="Times New Roman" w:cs="Times New Roman"/>
          <w:kern w:val="0"/>
          <w:lang w:eastAsia="en-GB"/>
          <w14:ligatures w14:val="none"/>
        </w:rPr>
        <w:t>tage risks linked to cladding, sprinkler installation, fire</w:t>
      </w:r>
      <w:r w:rsidR="00391B20">
        <w:rPr>
          <w:rFonts w:eastAsia="Times New Roman" w:cs="Times New Roman"/>
          <w:kern w:val="0"/>
          <w:lang w:eastAsia="en-GB"/>
          <w14:ligatures w14:val="none"/>
        </w:rPr>
        <w:t>-s</w:t>
      </w:r>
      <w:r w:rsidRPr="00E5070B">
        <w:rPr>
          <w:rFonts w:eastAsia="Times New Roman" w:cs="Times New Roman"/>
          <w:kern w:val="0"/>
          <w:lang w:eastAsia="en-GB"/>
          <w14:ligatures w14:val="none"/>
        </w:rPr>
        <w:t>topping, service penetrations, maintenance access and resident safety. The principal contractor should manage the construction phase, coordinate subcontractors, control site access, organise inductions and ensure the construction phase plan is followed.</w:t>
      </w:r>
    </w:p>
    <w:p w14:paraId="20CB556E" w14:textId="4E4D7F02"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Pre-construction information is important because the existing building may contain hidden hazards. Before work begins, information should be gathered on asbestos, existing services, fire strategy, structural details, access routes, resident occupation, previous refurbishment works and restrictions on deliveries or working hours. HSE guidance states that pr</w:t>
      </w:r>
      <w:r w:rsidR="00391B20">
        <w:rPr>
          <w:rFonts w:eastAsia="Times New Roman" w:cs="Times New Roman"/>
          <w:kern w:val="0"/>
          <w:lang w:eastAsia="en-GB"/>
          <w14:ligatures w14:val="none"/>
        </w:rPr>
        <w:t>e-</w:t>
      </w:r>
      <w:r w:rsidRPr="00E5070B">
        <w:rPr>
          <w:rFonts w:eastAsia="Times New Roman" w:cs="Times New Roman"/>
          <w:kern w:val="0"/>
          <w:lang w:eastAsia="en-GB"/>
          <w14:ligatures w14:val="none"/>
        </w:rPr>
        <w:t>construction information should help designers and contractors identify and control risks (HSE, 2026). On Croft Street Block 2, this information would help contractors plan safe access to flats, avoid damaging live services, manage asbestos risks and maintain fire precautions.</w:t>
      </w:r>
    </w:p>
    <w:p w14:paraId="33990EDD" w14:textId="0E0E4779"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lastRenderedPageBreak/>
        <w:t>The principal contractor must prepare a construction phase plan before work starts. This should set out arrangements for managing significant health and safety risks, including site rules, emergency procedures, welfare, traffic management, working at height, fire safety, lifting operations, waste management and resident segregation (HSE, 2026). For example, the plan should explain how residents will be kept away from scaffold bases, lifting zones, material storage areas and internal work areas. It should also identify how deliveries of cladding panels, bathroom fittings and kitchen units will be coordinated to avoid blocking escape routes or creating manual handling hazards.</w:t>
      </w:r>
    </w:p>
    <w:p w14:paraId="11DC0D14" w14:textId="35990B74"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Risk assessments and method statements should support the construction phase plan by explaining how high-risk activities will be carried out safely. Method statements should cover scaffold erection, cladding installation, sprinkler pipework, hot works, service isolations and bathroom/kitchen strip</w:t>
      </w:r>
      <w:r w:rsidR="00391B20">
        <w:rPr>
          <w:rFonts w:eastAsia="Times New Roman" w:cs="Times New Roman"/>
          <w:kern w:val="0"/>
          <w:lang w:eastAsia="en-GB"/>
          <w14:ligatures w14:val="none"/>
        </w:rPr>
        <w:t>-o</w:t>
      </w:r>
      <w:r w:rsidRPr="00E5070B">
        <w:rPr>
          <w:rFonts w:eastAsia="Times New Roman" w:cs="Times New Roman"/>
          <w:kern w:val="0"/>
          <w:lang w:eastAsia="en-GB"/>
          <w14:ligatures w14:val="none"/>
        </w:rPr>
        <w:t xml:space="preserve">ut. These should set out the work sequence, required plant and equipment, PPE, exclusion zones, training, emergency arrangements and supervision. Workers and subcontractors should receive </w:t>
      </w:r>
      <w:r w:rsidR="00391B20" w:rsidRPr="00E5070B">
        <w:rPr>
          <w:rFonts w:eastAsia="Times New Roman" w:cs="Times New Roman"/>
          <w:kern w:val="0"/>
          <w:lang w:eastAsia="en-GB"/>
          <w14:ligatures w14:val="none"/>
        </w:rPr>
        <w:t>inductions,</w:t>
      </w:r>
      <w:r w:rsidRPr="00E5070B">
        <w:rPr>
          <w:rFonts w:eastAsia="Times New Roman" w:cs="Times New Roman"/>
          <w:kern w:val="0"/>
          <w:lang w:eastAsia="en-GB"/>
          <w14:ligatures w14:val="none"/>
        </w:rPr>
        <w:t xml:space="preserve"> and toolbox talks on occupied residential areas, fire procedures, asbestos awareness, accident reporting, welfare arrangements and resident communication.</w:t>
      </w:r>
    </w:p>
    <w:p w14:paraId="41EE751C" w14:textId="4B593E4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CDM also requires suitable welfare facilities from the start of the project. HSE guidance explains that construction workers should have access to toilets, washing facilities, drinking water, changing areas and rest facilities (HSE, 2026). These are especially important because workers may be exposed to dust, sealants, waste materials and weather conditions during internal and external works.</w:t>
      </w:r>
    </w:p>
    <w:p w14:paraId="740F7987" w14:textId="3473739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Finally, the health and safety file should be prepared and updated for future use. It should include information about the completed cladding system, sprinkler installation, fir</w:t>
      </w:r>
      <w:r w:rsidR="00391B20">
        <w:rPr>
          <w:rFonts w:eastAsia="Times New Roman" w:cs="Times New Roman"/>
          <w:kern w:val="0"/>
          <w:lang w:eastAsia="en-GB"/>
          <w14:ligatures w14:val="none"/>
        </w:rPr>
        <w:t>e-</w:t>
      </w:r>
      <w:r w:rsidRPr="00E5070B">
        <w:rPr>
          <w:rFonts w:eastAsia="Times New Roman" w:cs="Times New Roman"/>
          <w:kern w:val="0"/>
          <w:lang w:eastAsia="en-GB"/>
          <w14:ligatures w14:val="none"/>
        </w:rPr>
        <w:t>stopping, residual risks, maintenance access, significant services and as</w:t>
      </w:r>
      <w:r w:rsidR="00391B20">
        <w:rPr>
          <w:rFonts w:eastAsia="Times New Roman" w:cs="Times New Roman"/>
          <w:kern w:val="0"/>
          <w:lang w:eastAsia="en-GB"/>
          <w14:ligatures w14:val="none"/>
        </w:rPr>
        <w:t>-b</w:t>
      </w:r>
      <w:r w:rsidRPr="00E5070B">
        <w:rPr>
          <w:rFonts w:eastAsia="Times New Roman" w:cs="Times New Roman"/>
          <w:kern w:val="0"/>
          <w:lang w:eastAsia="en-GB"/>
          <w14:ligatures w14:val="none"/>
        </w:rPr>
        <w:t>uilt drawings. Future contractors and building managers will need accurate information to plan maintenance and refurbishment safely. Therefore, CDM compliance should operate as a practical management system covering planning, design, construction, communication, welfare and handover.</w:t>
      </w:r>
    </w:p>
    <w:p w14:paraId="10B61F64" w14:textId="77CCAB9B" w:rsidR="00E5070B" w:rsidRPr="00720691" w:rsidRDefault="00E5070B" w:rsidP="00720691">
      <w:pPr>
        <w:pStyle w:val="Heading1"/>
        <w:rPr>
          <w:rFonts w:eastAsia="Times New Roman"/>
          <w:color w:val="000000" w:themeColor="text1"/>
          <w:lang w:eastAsia="en-GB"/>
        </w:rPr>
      </w:pPr>
      <w:bookmarkStart w:id="5" w:name="_Toc228991536"/>
      <w:r w:rsidRPr="00720691">
        <w:rPr>
          <w:rFonts w:eastAsia="Times New Roman"/>
          <w:color w:val="000000" w:themeColor="text1"/>
          <w:lang w:eastAsia="en-GB"/>
        </w:rPr>
        <w:lastRenderedPageBreak/>
        <w:t>Conclusion</w:t>
      </w:r>
      <w:bookmarkEnd w:id="5"/>
    </w:p>
    <w:p w14:paraId="35DEEFA8" w14:textId="77777777" w:rsidR="00E5070B" w:rsidRPr="00E5070B" w:rsidRDefault="00E5070B" w:rsidP="00720691">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The retrofit of Croft Street Block 2 presents significant but manageable health and safety risks because it involves internal refurbishment, fire-safety upgrades and external cladding to a residential tower block. The Building Safety Act 2022 and Welsh regime emphasise accountability, competence, fire safety and resident protection. Wider health and safety legislation controls risks such as work at height, hazardous substances, manual handling, lifting, PPE, fire safety and reporting. The CDM Regulations 2015 provide the framework to plan, coordinate, supervise and safely hand over the project.</w:t>
      </w:r>
    </w:p>
    <w:p w14:paraId="449CDFF1" w14:textId="77777777" w:rsidR="00E5070B" w:rsidRPr="00720691" w:rsidRDefault="00E5070B" w:rsidP="00720691">
      <w:pPr>
        <w:pStyle w:val="Heading1"/>
        <w:rPr>
          <w:rFonts w:eastAsia="Times New Roman"/>
          <w:color w:val="000000" w:themeColor="text1"/>
          <w:lang w:eastAsia="en-GB"/>
        </w:rPr>
      </w:pPr>
      <w:bookmarkStart w:id="6" w:name="_Toc228991537"/>
      <w:r w:rsidRPr="00720691">
        <w:rPr>
          <w:rFonts w:eastAsia="Times New Roman"/>
          <w:color w:val="000000" w:themeColor="text1"/>
          <w:lang w:eastAsia="en-GB"/>
        </w:rPr>
        <w:t>References</w:t>
      </w:r>
      <w:bookmarkEnd w:id="6"/>
    </w:p>
    <w:p w14:paraId="5147E735" w14:textId="709BF0B5"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Building Safety Act 2022. Available at: </w:t>
      </w:r>
      <w:hyperlink r:id="rId6" w:tgtFrame="_new" w:history="1">
        <w:r w:rsidRPr="00E5070B">
          <w:rPr>
            <w:rFonts w:eastAsia="Times New Roman" w:cs="Times New Roman"/>
            <w:color w:val="0000FF"/>
            <w:kern w:val="0"/>
            <w:u w:val="single"/>
            <w:lang w:eastAsia="en-GB"/>
            <w14:ligatures w14:val="none"/>
          </w:rPr>
          <w:t>https://www.legislation.gov.uk/ukpga/2022/30/contents</w:t>
        </w:r>
      </w:hyperlink>
      <w:r w:rsidRPr="00E5070B">
        <w:rPr>
          <w:rFonts w:eastAsia="Times New Roman" w:cs="Times New Roman"/>
          <w:kern w:val="0"/>
          <w:lang w:eastAsia="en-GB"/>
          <w14:ligatures w14:val="none"/>
        </w:rPr>
        <w:t> </w:t>
      </w:r>
    </w:p>
    <w:p w14:paraId="4E7DC11B" w14:textId="4A75946B"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Construction (Design and Management) Regulations 2015. Available at: </w:t>
      </w:r>
      <w:hyperlink r:id="rId7" w:tgtFrame="_new" w:history="1">
        <w:r w:rsidRPr="00E5070B">
          <w:rPr>
            <w:rFonts w:eastAsia="Times New Roman" w:cs="Times New Roman"/>
            <w:color w:val="0000FF"/>
            <w:kern w:val="0"/>
            <w:u w:val="single"/>
            <w:lang w:eastAsia="en-GB"/>
            <w14:ligatures w14:val="none"/>
          </w:rPr>
          <w:t>https://www.legislation.gov.uk/uksi/2015/51/contents</w:t>
        </w:r>
      </w:hyperlink>
      <w:r w:rsidRPr="00E5070B">
        <w:rPr>
          <w:rFonts w:eastAsia="Times New Roman" w:cs="Times New Roman"/>
          <w:kern w:val="0"/>
          <w:lang w:eastAsia="en-GB"/>
          <w14:ligatures w14:val="none"/>
        </w:rPr>
        <w:t> </w:t>
      </w:r>
    </w:p>
    <w:p w14:paraId="49661561" w14:textId="2FD86D92"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Control of Substances Hazardous to Health Regulations 2002. Available at: </w:t>
      </w:r>
      <w:hyperlink r:id="rId8" w:tgtFrame="_new" w:history="1">
        <w:r w:rsidRPr="00E5070B">
          <w:rPr>
            <w:rFonts w:eastAsia="Times New Roman" w:cs="Times New Roman"/>
            <w:color w:val="0000FF"/>
            <w:kern w:val="0"/>
            <w:u w:val="single"/>
            <w:lang w:eastAsia="en-GB"/>
            <w14:ligatures w14:val="none"/>
          </w:rPr>
          <w:t>https://www.legislation.gov.uk/uksi/2002/2677/contents</w:t>
        </w:r>
      </w:hyperlink>
      <w:r w:rsidRPr="00E5070B">
        <w:rPr>
          <w:rFonts w:eastAsia="Times New Roman" w:cs="Times New Roman"/>
          <w:kern w:val="0"/>
          <w:lang w:eastAsia="en-GB"/>
          <w14:ligatures w14:val="none"/>
        </w:rPr>
        <w:t> </w:t>
      </w:r>
    </w:p>
    <w:p w14:paraId="6C4F0BA5" w14:textId="7C1BE077"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at Work etc. Act 1974. Available at: </w:t>
      </w:r>
      <w:hyperlink r:id="rId9" w:tgtFrame="_new" w:history="1">
        <w:r w:rsidRPr="00E5070B">
          <w:rPr>
            <w:rFonts w:eastAsia="Times New Roman" w:cs="Times New Roman"/>
            <w:color w:val="0000FF"/>
            <w:kern w:val="0"/>
            <w:u w:val="single"/>
            <w:lang w:eastAsia="en-GB"/>
            <w14:ligatures w14:val="none"/>
          </w:rPr>
          <w:t>https://www.legislation.gov.uk/ukpga/1974/37/contents</w:t>
        </w:r>
      </w:hyperlink>
    </w:p>
    <w:p w14:paraId="2F7E97E0" w14:textId="490B5638"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 </w:t>
      </w:r>
      <w:r w:rsidRPr="00E5070B">
        <w:rPr>
          <w:rFonts w:eastAsia="Times New Roman" w:cs="Times New Roman"/>
          <w:i/>
          <w:iCs/>
          <w:kern w:val="0"/>
          <w:lang w:eastAsia="en-GB"/>
          <w14:ligatures w14:val="none"/>
        </w:rPr>
        <w:t>Health and Safety at Work etc Act 1974</w:t>
      </w:r>
      <w:r w:rsidRPr="00E5070B">
        <w:rPr>
          <w:rFonts w:eastAsia="Times New Roman" w:cs="Times New Roman"/>
          <w:kern w:val="0"/>
          <w:lang w:eastAsia="en-GB"/>
          <w14:ligatures w14:val="none"/>
        </w:rPr>
        <w:t>. Available at: </w:t>
      </w:r>
      <w:hyperlink r:id="rId10" w:tgtFrame="_new" w:history="1">
        <w:r w:rsidRPr="00E5070B">
          <w:rPr>
            <w:rFonts w:eastAsia="Times New Roman" w:cs="Times New Roman"/>
            <w:color w:val="0000FF"/>
            <w:kern w:val="0"/>
            <w:u w:val="single"/>
            <w:lang w:eastAsia="en-GB"/>
            <w14:ligatures w14:val="none"/>
          </w:rPr>
          <w:t>https://www.hse.gov.uk/legislation/hswa.htm</w:t>
        </w:r>
      </w:hyperlink>
      <w:r w:rsidRPr="00E5070B">
        <w:rPr>
          <w:rFonts w:eastAsia="Times New Roman" w:cs="Times New Roman"/>
          <w:kern w:val="0"/>
          <w:lang w:eastAsia="en-GB"/>
          <w14:ligatures w14:val="none"/>
        </w:rPr>
        <w:t> </w:t>
      </w:r>
    </w:p>
    <w:p w14:paraId="26954B9C" w14:textId="2E9C4EBE"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 </w:t>
      </w:r>
      <w:r w:rsidRPr="00E5070B">
        <w:rPr>
          <w:rFonts w:eastAsia="Times New Roman" w:cs="Times New Roman"/>
          <w:i/>
          <w:iCs/>
          <w:kern w:val="0"/>
          <w:lang w:eastAsia="en-GB"/>
          <w14:ligatures w14:val="none"/>
        </w:rPr>
        <w:t>Work at height: The law</w:t>
      </w:r>
      <w:r w:rsidRPr="00E5070B">
        <w:rPr>
          <w:rFonts w:eastAsia="Times New Roman" w:cs="Times New Roman"/>
          <w:kern w:val="0"/>
          <w:lang w:eastAsia="en-GB"/>
          <w14:ligatures w14:val="none"/>
        </w:rPr>
        <w:t>. Available at: </w:t>
      </w:r>
      <w:hyperlink r:id="rId11" w:tgtFrame="_new" w:history="1">
        <w:r w:rsidRPr="00E5070B">
          <w:rPr>
            <w:rFonts w:eastAsia="Times New Roman" w:cs="Times New Roman"/>
            <w:color w:val="0000FF"/>
            <w:kern w:val="0"/>
            <w:u w:val="single"/>
            <w:lang w:eastAsia="en-GB"/>
            <w14:ligatures w14:val="none"/>
          </w:rPr>
          <w:t>https://www.hse.gov.uk/work-at-height/the-law.htm</w:t>
        </w:r>
      </w:hyperlink>
      <w:r w:rsidRPr="00E5070B">
        <w:rPr>
          <w:rFonts w:eastAsia="Times New Roman" w:cs="Times New Roman"/>
          <w:kern w:val="0"/>
          <w:lang w:eastAsia="en-GB"/>
          <w14:ligatures w14:val="none"/>
        </w:rPr>
        <w:t> </w:t>
      </w:r>
    </w:p>
    <w:p w14:paraId="48827457" w14:textId="58F6A271"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 </w:t>
      </w:r>
      <w:r w:rsidRPr="00E5070B">
        <w:rPr>
          <w:rFonts w:eastAsia="Times New Roman" w:cs="Times New Roman"/>
          <w:i/>
          <w:iCs/>
          <w:kern w:val="0"/>
          <w:lang w:eastAsia="en-GB"/>
          <w14:ligatures w14:val="none"/>
        </w:rPr>
        <w:t>Construction dust</w:t>
      </w:r>
      <w:r w:rsidRPr="00E5070B">
        <w:rPr>
          <w:rFonts w:eastAsia="Times New Roman" w:cs="Times New Roman"/>
          <w:kern w:val="0"/>
          <w:lang w:eastAsia="en-GB"/>
          <w14:ligatures w14:val="none"/>
        </w:rPr>
        <w:t>. Available at: </w:t>
      </w:r>
      <w:hyperlink r:id="rId12" w:tgtFrame="_new" w:history="1">
        <w:r w:rsidRPr="00E5070B">
          <w:rPr>
            <w:rFonts w:eastAsia="Times New Roman" w:cs="Times New Roman"/>
            <w:color w:val="0000FF"/>
            <w:kern w:val="0"/>
            <w:u w:val="single"/>
            <w:lang w:eastAsia="en-GB"/>
            <w14:ligatures w14:val="none"/>
          </w:rPr>
          <w:t>https://www.hse.gov.uk/construction/healthrisks/hazardous-substances/construction-dust.htm</w:t>
        </w:r>
      </w:hyperlink>
      <w:r w:rsidRPr="00E5070B">
        <w:rPr>
          <w:rFonts w:eastAsia="Times New Roman" w:cs="Times New Roman"/>
          <w:kern w:val="0"/>
          <w:lang w:eastAsia="en-GB"/>
          <w14:ligatures w14:val="none"/>
        </w:rPr>
        <w:t> </w:t>
      </w:r>
    </w:p>
    <w:p w14:paraId="4FB6112F" w14:textId="47455753"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 </w:t>
      </w:r>
      <w:r w:rsidRPr="00E5070B">
        <w:rPr>
          <w:rFonts w:eastAsia="Times New Roman" w:cs="Times New Roman"/>
          <w:i/>
          <w:iCs/>
          <w:kern w:val="0"/>
          <w:lang w:eastAsia="en-GB"/>
          <w14:ligatures w14:val="none"/>
        </w:rPr>
        <w:t>The duty to manage asbestos in buildings</w:t>
      </w:r>
      <w:r w:rsidRPr="00E5070B">
        <w:rPr>
          <w:rFonts w:eastAsia="Times New Roman" w:cs="Times New Roman"/>
          <w:kern w:val="0"/>
          <w:lang w:eastAsia="en-GB"/>
          <w14:ligatures w14:val="none"/>
        </w:rPr>
        <w:t>. Available at: </w:t>
      </w:r>
      <w:hyperlink r:id="rId13" w:tgtFrame="_new" w:history="1">
        <w:r w:rsidRPr="00E5070B">
          <w:rPr>
            <w:rFonts w:eastAsia="Times New Roman" w:cs="Times New Roman"/>
            <w:color w:val="0000FF"/>
            <w:kern w:val="0"/>
            <w:u w:val="single"/>
            <w:lang w:eastAsia="en-GB"/>
            <w14:ligatures w14:val="none"/>
          </w:rPr>
          <w:t>https://www.hse.gov.uk/asbestos/duty/arrange-asbestos-survey.htm</w:t>
        </w:r>
      </w:hyperlink>
      <w:r w:rsidRPr="00E5070B">
        <w:rPr>
          <w:rFonts w:eastAsia="Times New Roman" w:cs="Times New Roman"/>
          <w:kern w:val="0"/>
          <w:lang w:eastAsia="en-GB"/>
          <w14:ligatures w14:val="none"/>
        </w:rPr>
        <w:t> </w:t>
      </w:r>
    </w:p>
    <w:p w14:paraId="16BE2147" w14:textId="62ED5E3E"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lastRenderedPageBreak/>
        <w:t>Health and Safety Executive (HSE) (2024d) </w:t>
      </w:r>
      <w:r w:rsidRPr="00E5070B">
        <w:rPr>
          <w:rFonts w:eastAsia="Times New Roman" w:cs="Times New Roman"/>
          <w:i/>
          <w:iCs/>
          <w:kern w:val="0"/>
          <w:lang w:eastAsia="en-GB"/>
          <w14:ligatures w14:val="none"/>
        </w:rPr>
        <w:t>Manual handling at work</w:t>
      </w:r>
      <w:r w:rsidRPr="00E5070B">
        <w:rPr>
          <w:rFonts w:eastAsia="Times New Roman" w:cs="Times New Roman"/>
          <w:kern w:val="0"/>
          <w:lang w:eastAsia="en-GB"/>
          <w14:ligatures w14:val="none"/>
        </w:rPr>
        <w:t>. Available at: </w:t>
      </w:r>
      <w:hyperlink r:id="rId14" w:tgtFrame="_new" w:history="1">
        <w:r w:rsidRPr="00E5070B">
          <w:rPr>
            <w:rFonts w:eastAsia="Times New Roman" w:cs="Times New Roman"/>
            <w:color w:val="0000FF"/>
            <w:kern w:val="0"/>
            <w:u w:val="single"/>
            <w:lang w:eastAsia="en-GB"/>
            <w14:ligatures w14:val="none"/>
          </w:rPr>
          <w:t>https://www.hse.gov.uk/msd/manual-handling/index.htm</w:t>
        </w:r>
      </w:hyperlink>
    </w:p>
    <w:p w14:paraId="170F552C" w14:textId="3DD98A7F"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(2024e) </w:t>
      </w:r>
      <w:r w:rsidRPr="00E5070B">
        <w:rPr>
          <w:rFonts w:eastAsia="Times New Roman" w:cs="Times New Roman"/>
          <w:i/>
          <w:iCs/>
          <w:kern w:val="0"/>
          <w:lang w:eastAsia="en-GB"/>
          <w14:ligatures w14:val="none"/>
        </w:rPr>
        <w:t>Thorough examinations and inspections of lifting equipment</w:t>
      </w:r>
      <w:r w:rsidRPr="00E5070B">
        <w:rPr>
          <w:rFonts w:eastAsia="Times New Roman" w:cs="Times New Roman"/>
          <w:kern w:val="0"/>
          <w:lang w:eastAsia="en-GB"/>
          <w14:ligatures w14:val="none"/>
        </w:rPr>
        <w:t>. Available at: </w:t>
      </w:r>
      <w:hyperlink r:id="rId15" w:tgtFrame="_new" w:history="1">
        <w:r w:rsidRPr="00E5070B">
          <w:rPr>
            <w:rFonts w:eastAsia="Times New Roman" w:cs="Times New Roman"/>
            <w:color w:val="0000FF"/>
            <w:kern w:val="0"/>
            <w:u w:val="single"/>
            <w:lang w:eastAsia="en-GB"/>
            <w14:ligatures w14:val="none"/>
          </w:rPr>
          <w:t>https://www.hse.gov.uk/work-equipment-machinery/thorough-examinations-lifting-equipment.htm</w:t>
        </w:r>
      </w:hyperlink>
    </w:p>
    <w:p w14:paraId="42432B30" w14:textId="506F4FEA"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(2025a) </w:t>
      </w:r>
      <w:r w:rsidRPr="00E5070B">
        <w:rPr>
          <w:rFonts w:eastAsia="Times New Roman" w:cs="Times New Roman"/>
          <w:i/>
          <w:iCs/>
          <w:kern w:val="0"/>
          <w:lang w:eastAsia="en-GB"/>
          <w14:ligatures w14:val="none"/>
        </w:rPr>
        <w:t>Managing risks and risk assessment at work</w:t>
      </w:r>
      <w:r w:rsidRPr="00E5070B">
        <w:rPr>
          <w:rFonts w:eastAsia="Times New Roman" w:cs="Times New Roman"/>
          <w:kern w:val="0"/>
          <w:lang w:eastAsia="en-GB"/>
          <w14:ligatures w14:val="none"/>
        </w:rPr>
        <w:t>. Available at: </w:t>
      </w:r>
      <w:hyperlink r:id="rId16" w:tgtFrame="_new" w:history="1">
        <w:r w:rsidRPr="00E5070B">
          <w:rPr>
            <w:rFonts w:eastAsia="Times New Roman" w:cs="Times New Roman"/>
            <w:color w:val="0000FF"/>
            <w:kern w:val="0"/>
            <w:u w:val="single"/>
            <w:lang w:eastAsia="en-GB"/>
            <w14:ligatures w14:val="none"/>
          </w:rPr>
          <w:t>https://www.hse.gov.uk/risk/</w:t>
        </w:r>
      </w:hyperlink>
      <w:r w:rsidRPr="00E5070B">
        <w:rPr>
          <w:rFonts w:eastAsia="Times New Roman" w:cs="Times New Roman"/>
          <w:kern w:val="0"/>
          <w:lang w:eastAsia="en-GB"/>
          <w14:ligatures w14:val="none"/>
        </w:rPr>
        <w:t> </w:t>
      </w:r>
    </w:p>
    <w:p w14:paraId="25DC9EBD" w14:textId="5959B60C"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(2025b) </w:t>
      </w:r>
      <w:r w:rsidRPr="00E5070B">
        <w:rPr>
          <w:rFonts w:eastAsia="Times New Roman" w:cs="Times New Roman"/>
          <w:i/>
          <w:iCs/>
          <w:kern w:val="0"/>
          <w:lang w:eastAsia="en-GB"/>
          <w14:ligatures w14:val="none"/>
        </w:rPr>
        <w:t>RIDDOR: Reporting of Injuries, Diseases and Dangerous Occurrences Regulations</w:t>
      </w:r>
      <w:r w:rsidRPr="00E5070B">
        <w:rPr>
          <w:rFonts w:eastAsia="Times New Roman" w:cs="Times New Roman"/>
          <w:kern w:val="0"/>
          <w:lang w:eastAsia="en-GB"/>
          <w14:ligatures w14:val="none"/>
        </w:rPr>
        <w:t>. Available at: </w:t>
      </w:r>
      <w:hyperlink r:id="rId17" w:tgtFrame="_new" w:history="1">
        <w:r w:rsidRPr="00E5070B">
          <w:rPr>
            <w:rFonts w:eastAsia="Times New Roman" w:cs="Times New Roman"/>
            <w:color w:val="0000FF"/>
            <w:kern w:val="0"/>
            <w:u w:val="single"/>
            <w:lang w:eastAsia="en-GB"/>
            <w14:ligatures w14:val="none"/>
          </w:rPr>
          <w:t>https://www.hse.gov.uk/riddor/</w:t>
        </w:r>
      </w:hyperlink>
      <w:r w:rsidRPr="00E5070B">
        <w:rPr>
          <w:rFonts w:eastAsia="Times New Roman" w:cs="Times New Roman"/>
          <w:kern w:val="0"/>
          <w:lang w:eastAsia="en-GB"/>
          <w14:ligatures w14:val="none"/>
        </w:rPr>
        <w:t> </w:t>
      </w:r>
    </w:p>
    <w:p w14:paraId="1BC28B62" w14:textId="07630A56"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(2026a) </w:t>
      </w:r>
      <w:r w:rsidRPr="00E5070B">
        <w:rPr>
          <w:rFonts w:eastAsia="Times New Roman" w:cs="Times New Roman"/>
          <w:i/>
          <w:iCs/>
          <w:kern w:val="0"/>
          <w:lang w:eastAsia="en-GB"/>
          <w14:ligatures w14:val="none"/>
        </w:rPr>
        <w:t>Managing health and safety in construction: Construction (Design and Management) Regulations 2015. Guidance on Regulations</w:t>
      </w:r>
      <w:r w:rsidRPr="00E5070B">
        <w:rPr>
          <w:rFonts w:eastAsia="Times New Roman" w:cs="Times New Roman"/>
          <w:kern w:val="0"/>
          <w:lang w:eastAsia="en-GB"/>
          <w14:ligatures w14:val="none"/>
        </w:rPr>
        <w:t>. Available at: </w:t>
      </w:r>
      <w:hyperlink r:id="rId18" w:tgtFrame="_new" w:history="1">
        <w:r w:rsidRPr="00E5070B">
          <w:rPr>
            <w:rFonts w:eastAsia="Times New Roman" w:cs="Times New Roman"/>
            <w:color w:val="0000FF"/>
            <w:kern w:val="0"/>
            <w:u w:val="single"/>
            <w:lang w:eastAsia="en-GB"/>
            <w14:ligatures w14:val="none"/>
          </w:rPr>
          <w:t>https://www.hse.gov.uk/pubns/books/l153.htm</w:t>
        </w:r>
      </w:hyperlink>
    </w:p>
    <w:p w14:paraId="1169F676" w14:textId="20C2DDAF"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(2026b) </w:t>
      </w:r>
      <w:r w:rsidRPr="00E5070B">
        <w:rPr>
          <w:rFonts w:eastAsia="Times New Roman" w:cs="Times New Roman"/>
          <w:i/>
          <w:iCs/>
          <w:kern w:val="0"/>
          <w:lang w:eastAsia="en-GB"/>
          <w14:ligatures w14:val="none"/>
        </w:rPr>
        <w:t>Construction welfare: Toilets and washing</w:t>
      </w:r>
      <w:r w:rsidRPr="00E5070B">
        <w:rPr>
          <w:rFonts w:eastAsia="Times New Roman" w:cs="Times New Roman"/>
          <w:kern w:val="0"/>
          <w:lang w:eastAsia="en-GB"/>
          <w14:ligatures w14:val="none"/>
        </w:rPr>
        <w:t>. Available at: </w:t>
      </w:r>
      <w:hyperlink r:id="rId19" w:tgtFrame="_new" w:history="1">
        <w:r w:rsidRPr="00E5070B">
          <w:rPr>
            <w:rFonts w:eastAsia="Times New Roman" w:cs="Times New Roman"/>
            <w:color w:val="0000FF"/>
            <w:kern w:val="0"/>
            <w:u w:val="single"/>
            <w:lang w:eastAsia="en-GB"/>
            <w14:ligatures w14:val="none"/>
          </w:rPr>
          <w:t>https://www.hse.gov.uk/construction/safetytopics/toilets-washing.htm</w:t>
        </w:r>
      </w:hyperlink>
      <w:r w:rsidRPr="00E5070B">
        <w:rPr>
          <w:rFonts w:eastAsia="Times New Roman" w:cs="Times New Roman"/>
          <w:kern w:val="0"/>
          <w:lang w:eastAsia="en-GB"/>
          <w14:ligatures w14:val="none"/>
        </w:rPr>
        <w:t> </w:t>
      </w:r>
    </w:p>
    <w:p w14:paraId="2920C7C3" w14:textId="0F837C7D"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(2026c) </w:t>
      </w:r>
      <w:r w:rsidRPr="00E5070B">
        <w:rPr>
          <w:rFonts w:eastAsia="Times New Roman" w:cs="Times New Roman"/>
          <w:i/>
          <w:iCs/>
          <w:kern w:val="0"/>
          <w:lang w:eastAsia="en-GB"/>
          <w14:ligatures w14:val="none"/>
        </w:rPr>
        <w:t>Using personal protective equipment to control risks at work</w:t>
      </w:r>
      <w:r w:rsidRPr="00E5070B">
        <w:rPr>
          <w:rFonts w:eastAsia="Times New Roman" w:cs="Times New Roman"/>
          <w:kern w:val="0"/>
          <w:lang w:eastAsia="en-GB"/>
          <w14:ligatures w14:val="none"/>
        </w:rPr>
        <w:t>. Available at: </w:t>
      </w:r>
      <w:hyperlink r:id="rId20" w:tgtFrame="_new" w:history="1">
        <w:r w:rsidRPr="00E5070B">
          <w:rPr>
            <w:rFonts w:eastAsia="Times New Roman" w:cs="Times New Roman"/>
            <w:color w:val="0000FF"/>
            <w:kern w:val="0"/>
            <w:u w:val="single"/>
            <w:lang w:eastAsia="en-GB"/>
            <w14:ligatures w14:val="none"/>
          </w:rPr>
          <w:t>https://www.hse.gov.uk/ppe/overview.htm</w:t>
        </w:r>
      </w:hyperlink>
    </w:p>
    <w:p w14:paraId="699C54D6" w14:textId="424B8D65"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(2026d) </w:t>
      </w:r>
      <w:r w:rsidRPr="00E5070B">
        <w:rPr>
          <w:rFonts w:eastAsia="Times New Roman" w:cs="Times New Roman"/>
          <w:i/>
          <w:iCs/>
          <w:kern w:val="0"/>
          <w:lang w:eastAsia="en-GB"/>
          <w14:ligatures w14:val="none"/>
        </w:rPr>
        <w:t>Scaffolds</w:t>
      </w:r>
      <w:r w:rsidRPr="00E5070B">
        <w:rPr>
          <w:rFonts w:eastAsia="Times New Roman" w:cs="Times New Roman"/>
          <w:kern w:val="0"/>
          <w:lang w:eastAsia="en-GB"/>
          <w14:ligatures w14:val="none"/>
        </w:rPr>
        <w:t>. Available at: </w:t>
      </w:r>
      <w:hyperlink r:id="rId21" w:tgtFrame="_new" w:history="1">
        <w:r w:rsidRPr="00E5070B">
          <w:rPr>
            <w:rFonts w:eastAsia="Times New Roman" w:cs="Times New Roman"/>
            <w:color w:val="0000FF"/>
            <w:kern w:val="0"/>
            <w:u w:val="single"/>
            <w:lang w:eastAsia="en-GB"/>
            <w14:ligatures w14:val="none"/>
          </w:rPr>
          <w:t>https://www.hse.gov.uk/construction/safetytopics/scaffoldinginfo.htm</w:t>
        </w:r>
      </w:hyperlink>
      <w:r w:rsidRPr="00E5070B">
        <w:rPr>
          <w:rFonts w:eastAsia="Times New Roman" w:cs="Times New Roman"/>
          <w:kern w:val="0"/>
          <w:lang w:eastAsia="en-GB"/>
          <w14:ligatures w14:val="none"/>
        </w:rPr>
        <w:t> </w:t>
      </w:r>
    </w:p>
    <w:p w14:paraId="2D6F7D25" w14:textId="211ECB1A"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Health and Safety Executive (HSE) (2026e) </w:t>
      </w:r>
      <w:r w:rsidRPr="00E5070B">
        <w:rPr>
          <w:rFonts w:eastAsia="Times New Roman" w:cs="Times New Roman"/>
          <w:i/>
          <w:iCs/>
          <w:kern w:val="0"/>
          <w:lang w:eastAsia="en-GB"/>
          <w14:ligatures w14:val="none"/>
        </w:rPr>
        <w:t>Lifting Operations and Lifting Equipment Regulations 1998: Overview</w:t>
      </w:r>
      <w:r w:rsidRPr="00E5070B">
        <w:rPr>
          <w:rFonts w:eastAsia="Times New Roman" w:cs="Times New Roman"/>
          <w:kern w:val="0"/>
          <w:lang w:eastAsia="en-GB"/>
          <w14:ligatures w14:val="none"/>
        </w:rPr>
        <w:t>. Available at: </w:t>
      </w:r>
      <w:hyperlink r:id="rId22" w:tgtFrame="_new" w:history="1">
        <w:r w:rsidRPr="00E5070B">
          <w:rPr>
            <w:rFonts w:eastAsia="Times New Roman" w:cs="Times New Roman"/>
            <w:color w:val="0000FF"/>
            <w:kern w:val="0"/>
            <w:u w:val="single"/>
            <w:lang w:eastAsia="en-GB"/>
            <w14:ligatures w14:val="none"/>
          </w:rPr>
          <w:t>https://www.hse.gov.uk/work-equipment-machinery/loler-overview.htm</w:t>
        </w:r>
      </w:hyperlink>
      <w:r w:rsidRPr="00E5070B">
        <w:rPr>
          <w:rFonts w:eastAsia="Times New Roman" w:cs="Times New Roman"/>
          <w:kern w:val="0"/>
          <w:lang w:eastAsia="en-GB"/>
          <w14:ligatures w14:val="none"/>
        </w:rPr>
        <w:t> </w:t>
      </w:r>
    </w:p>
    <w:p w14:paraId="2920C165" w14:textId="1974C32B"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Lifting Operations and Lifting Equipment Regulations 1998. Available at: </w:t>
      </w:r>
      <w:hyperlink r:id="rId23" w:tgtFrame="_new" w:history="1">
        <w:r w:rsidRPr="00E5070B">
          <w:rPr>
            <w:rFonts w:eastAsia="Times New Roman" w:cs="Times New Roman"/>
            <w:color w:val="0000FF"/>
            <w:kern w:val="0"/>
            <w:u w:val="single"/>
            <w:lang w:eastAsia="en-GB"/>
            <w14:ligatures w14:val="none"/>
          </w:rPr>
          <w:t>https://www.legislation.gov.uk/uksi/1998/2307/contents</w:t>
        </w:r>
      </w:hyperlink>
      <w:r w:rsidRPr="00E5070B">
        <w:rPr>
          <w:rFonts w:eastAsia="Times New Roman" w:cs="Times New Roman"/>
          <w:kern w:val="0"/>
          <w:lang w:eastAsia="en-GB"/>
          <w14:ligatures w14:val="none"/>
        </w:rPr>
        <w:t> </w:t>
      </w:r>
    </w:p>
    <w:p w14:paraId="68A80812" w14:textId="75FEDE90"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Management of Health and Safety at Work Regulations 1999. Available at: </w:t>
      </w:r>
      <w:hyperlink r:id="rId24" w:tgtFrame="_new" w:history="1">
        <w:r w:rsidRPr="00E5070B">
          <w:rPr>
            <w:rFonts w:eastAsia="Times New Roman" w:cs="Times New Roman"/>
            <w:color w:val="0000FF"/>
            <w:kern w:val="0"/>
            <w:u w:val="single"/>
            <w:lang w:eastAsia="en-GB"/>
            <w14:ligatures w14:val="none"/>
          </w:rPr>
          <w:t>https://www.legislation.gov.uk/uksi/1999/3242/contents</w:t>
        </w:r>
      </w:hyperlink>
      <w:r w:rsidRPr="00E5070B">
        <w:rPr>
          <w:rFonts w:eastAsia="Times New Roman" w:cs="Times New Roman"/>
          <w:kern w:val="0"/>
          <w:lang w:eastAsia="en-GB"/>
          <w14:ligatures w14:val="none"/>
        </w:rPr>
        <w:t> </w:t>
      </w:r>
    </w:p>
    <w:p w14:paraId="114A8637" w14:textId="06BF4D54"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lastRenderedPageBreak/>
        <w:t>Manual Handling Operations Regulations 1992. Available at: </w:t>
      </w:r>
      <w:hyperlink r:id="rId25" w:tgtFrame="_new" w:history="1">
        <w:r w:rsidRPr="00E5070B">
          <w:rPr>
            <w:rFonts w:eastAsia="Times New Roman" w:cs="Times New Roman"/>
            <w:color w:val="0000FF"/>
            <w:kern w:val="0"/>
            <w:u w:val="single"/>
            <w:lang w:eastAsia="en-GB"/>
            <w14:ligatures w14:val="none"/>
          </w:rPr>
          <w:t>https://www.legislation.gov.uk/uksi/1992/2793/contents</w:t>
        </w:r>
      </w:hyperlink>
    </w:p>
    <w:p w14:paraId="730BA021" w14:textId="2FD7755A"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Personal Protective Equipment at Work Regulations 1992. Available at: </w:t>
      </w:r>
      <w:hyperlink r:id="rId26" w:tgtFrame="_new" w:history="1">
        <w:r w:rsidRPr="00E5070B">
          <w:rPr>
            <w:rFonts w:eastAsia="Times New Roman" w:cs="Times New Roman"/>
            <w:color w:val="0000FF"/>
            <w:kern w:val="0"/>
            <w:u w:val="single"/>
            <w:lang w:eastAsia="en-GB"/>
            <w14:ligatures w14:val="none"/>
          </w:rPr>
          <w:t>https://www.legislation.gov.uk/uksi/1992/2966/contents</w:t>
        </w:r>
      </w:hyperlink>
      <w:r w:rsidRPr="00E5070B">
        <w:rPr>
          <w:rFonts w:eastAsia="Times New Roman" w:cs="Times New Roman"/>
          <w:kern w:val="0"/>
          <w:lang w:eastAsia="en-GB"/>
          <w14:ligatures w14:val="none"/>
        </w:rPr>
        <w:t> </w:t>
      </w:r>
    </w:p>
    <w:p w14:paraId="200AFC04" w14:textId="4633D4C6"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Provision and Use of Work Equipment Regulations 1998. Available at: </w:t>
      </w:r>
      <w:hyperlink r:id="rId27" w:tgtFrame="_new" w:history="1">
        <w:r w:rsidRPr="00E5070B">
          <w:rPr>
            <w:rFonts w:eastAsia="Times New Roman" w:cs="Times New Roman"/>
            <w:color w:val="0000FF"/>
            <w:kern w:val="0"/>
            <w:u w:val="single"/>
            <w:lang w:eastAsia="en-GB"/>
            <w14:ligatures w14:val="none"/>
          </w:rPr>
          <w:t>https://www.legislation.gov.uk/uksi/1998/2306/contents</w:t>
        </w:r>
      </w:hyperlink>
      <w:r w:rsidRPr="00E5070B">
        <w:rPr>
          <w:rFonts w:eastAsia="Times New Roman" w:cs="Times New Roman"/>
          <w:kern w:val="0"/>
          <w:lang w:eastAsia="en-GB"/>
          <w14:ligatures w14:val="none"/>
        </w:rPr>
        <w:t> </w:t>
      </w:r>
    </w:p>
    <w:p w14:paraId="6072D9D4" w14:textId="56AA2695"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Reporting of Injuries, Diseases and Dangerous Occurrences Regulations 2013. Available at: </w:t>
      </w:r>
      <w:hyperlink r:id="rId28" w:tgtFrame="_new" w:history="1">
        <w:r w:rsidRPr="00E5070B">
          <w:rPr>
            <w:rFonts w:eastAsia="Times New Roman" w:cs="Times New Roman"/>
            <w:color w:val="0000FF"/>
            <w:kern w:val="0"/>
            <w:u w:val="single"/>
            <w:lang w:eastAsia="en-GB"/>
            <w14:ligatures w14:val="none"/>
          </w:rPr>
          <w:t>https://www.legislation.gov.uk/uksi/2013/1471/contents</w:t>
        </w:r>
      </w:hyperlink>
      <w:r w:rsidRPr="00E5070B">
        <w:rPr>
          <w:rFonts w:eastAsia="Times New Roman" w:cs="Times New Roman"/>
          <w:kern w:val="0"/>
          <w:lang w:eastAsia="en-GB"/>
          <w14:ligatures w14:val="none"/>
        </w:rPr>
        <w:t> </w:t>
      </w:r>
    </w:p>
    <w:p w14:paraId="311B7295" w14:textId="36A5C43A" w:rsidR="00E5070B" w:rsidRPr="00E5070B" w:rsidRDefault="00E5070B" w:rsidP="00442119">
      <w:pPr>
        <w:spacing w:before="100" w:beforeAutospacing="1" w:after="100" w:afterAutospacing="1" w:line="360" w:lineRule="auto"/>
        <w:rPr>
          <w:rFonts w:eastAsia="Times New Roman" w:cs="Times New Roman"/>
          <w:kern w:val="0"/>
          <w:lang w:eastAsia="en-GB"/>
          <w14:ligatures w14:val="none"/>
        </w:rPr>
      </w:pPr>
      <w:r w:rsidRPr="00E5070B">
        <w:rPr>
          <w:rFonts w:eastAsia="Times New Roman" w:cs="Times New Roman"/>
          <w:kern w:val="0"/>
          <w:lang w:eastAsia="en-GB"/>
          <w14:ligatures w14:val="none"/>
        </w:rPr>
        <w:t>Swansea Council (2025) </w:t>
      </w:r>
      <w:r w:rsidRPr="00E5070B">
        <w:rPr>
          <w:rFonts w:eastAsia="Times New Roman" w:cs="Times New Roman"/>
          <w:i/>
          <w:iCs/>
          <w:kern w:val="0"/>
          <w:lang w:eastAsia="en-GB"/>
          <w14:ligatures w14:val="none"/>
        </w:rPr>
        <w:t>High rise flats owned by Swansea Council</w:t>
      </w:r>
      <w:r w:rsidRPr="00E5070B">
        <w:rPr>
          <w:rFonts w:eastAsia="Times New Roman" w:cs="Times New Roman"/>
          <w:kern w:val="0"/>
          <w:lang w:eastAsia="en-GB"/>
          <w14:ligatures w14:val="none"/>
        </w:rPr>
        <w:t>. Available at: </w:t>
      </w:r>
      <w:hyperlink r:id="rId29" w:tgtFrame="_new" w:history="1">
        <w:r w:rsidRPr="00E5070B">
          <w:rPr>
            <w:rFonts w:eastAsia="Times New Roman" w:cs="Times New Roman"/>
            <w:color w:val="0000FF"/>
            <w:kern w:val="0"/>
            <w:u w:val="single"/>
            <w:lang w:eastAsia="en-GB"/>
            <w14:ligatures w14:val="none"/>
          </w:rPr>
          <w:t>https://www.swansea.gov.uk/article/28709/High-rise-flats-owned-by-Swansea-Council</w:t>
        </w:r>
      </w:hyperlink>
      <w:r w:rsidRPr="00E5070B">
        <w:rPr>
          <w:rFonts w:eastAsia="Times New Roman" w:cs="Times New Roman"/>
          <w:kern w:val="0"/>
          <w:lang w:eastAsia="en-GB"/>
          <w14:ligatures w14:val="none"/>
        </w:rPr>
        <w:t> </w:t>
      </w:r>
    </w:p>
    <w:p w14:paraId="05078C6F" w14:textId="2A3743DF" w:rsidR="00E5070B" w:rsidRPr="00E5070B" w:rsidRDefault="00E5070B" w:rsidP="00E5070B">
      <w:pPr>
        <w:spacing w:before="100" w:beforeAutospacing="1" w:after="100" w:afterAutospacing="1"/>
        <w:rPr>
          <w:rFonts w:eastAsia="Times New Roman" w:cs="Times New Roman"/>
          <w:kern w:val="0"/>
          <w:lang w:eastAsia="en-GB"/>
          <w14:ligatures w14:val="none"/>
        </w:rPr>
      </w:pPr>
      <w:r w:rsidRPr="00E5070B">
        <w:rPr>
          <w:rFonts w:eastAsia="Times New Roman" w:cs="Times New Roman"/>
          <w:kern w:val="0"/>
          <w:lang w:eastAsia="en-GB"/>
          <w14:ligatures w14:val="none"/>
        </w:rPr>
        <w:t>Welsh Government (2020) </w:t>
      </w:r>
      <w:r w:rsidRPr="00E5070B">
        <w:rPr>
          <w:rFonts w:eastAsia="Times New Roman" w:cs="Times New Roman"/>
          <w:i/>
          <w:iCs/>
          <w:kern w:val="0"/>
          <w:lang w:eastAsia="en-GB"/>
          <w14:ligatures w14:val="none"/>
        </w:rPr>
        <w:t>Approved Document B: Fire safety, Volume 1 and Volume 2</w:t>
      </w:r>
      <w:r w:rsidRPr="00E5070B">
        <w:rPr>
          <w:rFonts w:eastAsia="Times New Roman" w:cs="Times New Roman"/>
          <w:kern w:val="0"/>
          <w:lang w:eastAsia="en-GB"/>
          <w14:ligatures w14:val="none"/>
        </w:rPr>
        <w:t>. Available at: </w:t>
      </w:r>
      <w:hyperlink r:id="rId30" w:tgtFrame="_new" w:history="1">
        <w:r w:rsidRPr="00E5070B">
          <w:rPr>
            <w:rFonts w:eastAsia="Times New Roman" w:cs="Times New Roman"/>
            <w:color w:val="0000FF"/>
            <w:kern w:val="0"/>
            <w:u w:val="single"/>
            <w:lang w:eastAsia="en-GB"/>
            <w14:ligatures w14:val="none"/>
          </w:rPr>
          <w:t>https://www.gov.wales/building-regulations-approved-documents-fire-safety</w:t>
        </w:r>
      </w:hyperlink>
      <w:r w:rsidRPr="00E5070B">
        <w:rPr>
          <w:rFonts w:eastAsia="Times New Roman" w:cs="Times New Roman"/>
          <w:kern w:val="0"/>
          <w:lang w:eastAsia="en-GB"/>
          <w14:ligatures w14:val="none"/>
        </w:rPr>
        <w:t> </w:t>
      </w:r>
    </w:p>
    <w:p w14:paraId="0DA32AAF" w14:textId="43C73BB8" w:rsidR="00E5070B" w:rsidRPr="00E5070B" w:rsidRDefault="00E5070B" w:rsidP="00E5070B">
      <w:pPr>
        <w:spacing w:before="100" w:beforeAutospacing="1" w:after="100" w:afterAutospacing="1"/>
        <w:rPr>
          <w:rFonts w:eastAsia="Times New Roman" w:cs="Times New Roman"/>
          <w:kern w:val="0"/>
          <w:lang w:eastAsia="en-GB"/>
          <w14:ligatures w14:val="none"/>
        </w:rPr>
      </w:pPr>
      <w:r w:rsidRPr="00E5070B">
        <w:rPr>
          <w:rFonts w:eastAsia="Times New Roman" w:cs="Times New Roman"/>
          <w:kern w:val="0"/>
          <w:lang w:eastAsia="en-GB"/>
          <w14:ligatures w14:val="none"/>
        </w:rPr>
        <w:t>Welsh Government (2025) </w:t>
      </w:r>
      <w:r w:rsidRPr="00E5070B">
        <w:rPr>
          <w:rFonts w:eastAsia="Times New Roman" w:cs="Times New Roman"/>
          <w:i/>
          <w:iCs/>
          <w:kern w:val="0"/>
          <w:lang w:eastAsia="en-GB"/>
          <w14:ligatures w14:val="none"/>
        </w:rPr>
        <w:t>Approved Document B: Fire safety, amendments to Volume 1 and Volume 2</w:t>
      </w:r>
      <w:r w:rsidRPr="00E5070B">
        <w:rPr>
          <w:rFonts w:eastAsia="Times New Roman" w:cs="Times New Roman"/>
          <w:kern w:val="0"/>
          <w:lang w:eastAsia="en-GB"/>
          <w14:ligatures w14:val="none"/>
        </w:rPr>
        <w:t>. Available at: </w:t>
      </w:r>
      <w:hyperlink r:id="rId31" w:tgtFrame="_new" w:history="1">
        <w:r w:rsidRPr="00E5070B">
          <w:rPr>
            <w:rFonts w:eastAsia="Times New Roman" w:cs="Times New Roman"/>
            <w:color w:val="0000FF"/>
            <w:kern w:val="0"/>
            <w:u w:val="single"/>
            <w:lang w:eastAsia="en-GB"/>
            <w14:ligatures w14:val="none"/>
          </w:rPr>
          <w:t>https://www.gov.wales/building-regulations-approved-documents-fire-safety</w:t>
        </w:r>
      </w:hyperlink>
      <w:r w:rsidRPr="00E5070B">
        <w:rPr>
          <w:rFonts w:eastAsia="Times New Roman" w:cs="Times New Roman"/>
          <w:kern w:val="0"/>
          <w:lang w:eastAsia="en-GB"/>
          <w14:ligatures w14:val="none"/>
        </w:rPr>
        <w:t> </w:t>
      </w:r>
    </w:p>
    <w:p w14:paraId="47A9436E" w14:textId="4A53ABD6" w:rsidR="00E5070B" w:rsidRPr="00E5070B" w:rsidRDefault="00E5070B" w:rsidP="00E5070B">
      <w:pPr>
        <w:spacing w:before="100" w:beforeAutospacing="1" w:after="100" w:afterAutospacing="1"/>
        <w:rPr>
          <w:rFonts w:eastAsia="Times New Roman" w:cs="Times New Roman"/>
          <w:kern w:val="0"/>
          <w:lang w:eastAsia="en-GB"/>
          <w14:ligatures w14:val="none"/>
        </w:rPr>
      </w:pPr>
      <w:r w:rsidRPr="00E5070B">
        <w:rPr>
          <w:rFonts w:eastAsia="Times New Roman" w:cs="Times New Roman"/>
          <w:kern w:val="0"/>
          <w:lang w:eastAsia="en-GB"/>
          <w14:ligatures w14:val="none"/>
        </w:rPr>
        <w:t>Welsh Government (2026) </w:t>
      </w:r>
      <w:r w:rsidRPr="00E5070B">
        <w:rPr>
          <w:rFonts w:eastAsia="Times New Roman" w:cs="Times New Roman"/>
          <w:i/>
          <w:iCs/>
          <w:kern w:val="0"/>
          <w:lang w:eastAsia="en-GB"/>
          <w14:ligatures w14:val="none"/>
        </w:rPr>
        <w:t>‘Huge step forward’ for fire safety in Wales</w:t>
      </w:r>
      <w:r w:rsidRPr="00E5070B">
        <w:rPr>
          <w:rFonts w:eastAsia="Times New Roman" w:cs="Times New Roman"/>
          <w:kern w:val="0"/>
          <w:lang w:eastAsia="en-GB"/>
          <w14:ligatures w14:val="none"/>
        </w:rPr>
        <w:t>. Available at: </w:t>
      </w:r>
      <w:hyperlink r:id="rId32" w:tgtFrame="_new" w:history="1">
        <w:r w:rsidRPr="00E5070B">
          <w:rPr>
            <w:rFonts w:eastAsia="Times New Roman" w:cs="Times New Roman"/>
            <w:color w:val="0000FF"/>
            <w:kern w:val="0"/>
            <w:u w:val="single"/>
            <w:lang w:eastAsia="en-GB"/>
            <w14:ligatures w14:val="none"/>
          </w:rPr>
          <w:t>https://www.gov.wales/huge-step-forward-fire-safety-wales</w:t>
        </w:r>
      </w:hyperlink>
      <w:r w:rsidRPr="00E5070B">
        <w:rPr>
          <w:rFonts w:eastAsia="Times New Roman" w:cs="Times New Roman"/>
          <w:kern w:val="0"/>
          <w:lang w:eastAsia="en-GB"/>
          <w14:ligatures w14:val="none"/>
        </w:rPr>
        <w:t> </w:t>
      </w:r>
    </w:p>
    <w:p w14:paraId="06495F4F" w14:textId="77777777" w:rsidR="007512DD" w:rsidRDefault="007512DD"/>
    <w:sectPr w:rsidR="007512DD" w:rsidSect="00442119">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A51E1" w14:textId="77777777" w:rsidR="0089517D" w:rsidRDefault="0089517D" w:rsidP="00720691">
      <w:r>
        <w:separator/>
      </w:r>
    </w:p>
  </w:endnote>
  <w:endnote w:type="continuationSeparator" w:id="0">
    <w:p w14:paraId="2350A6EB" w14:textId="77777777" w:rsidR="0089517D" w:rsidRDefault="0089517D" w:rsidP="00720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4074849"/>
      <w:docPartObj>
        <w:docPartGallery w:val="Page Numbers (Bottom of Page)"/>
        <w:docPartUnique/>
      </w:docPartObj>
    </w:sdtPr>
    <w:sdtContent>
      <w:p w14:paraId="1A47785F" w14:textId="61F9BD45" w:rsidR="00442119" w:rsidRDefault="00442119" w:rsidP="00B41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4429B2A" w14:textId="77777777" w:rsidR="00442119" w:rsidRDefault="00442119" w:rsidP="004421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4202275"/>
      <w:docPartObj>
        <w:docPartGallery w:val="Page Numbers (Bottom of Page)"/>
        <w:docPartUnique/>
      </w:docPartObj>
    </w:sdtPr>
    <w:sdtContent>
      <w:p w14:paraId="529DEB13" w14:textId="4F872821" w:rsidR="00442119" w:rsidRDefault="00442119" w:rsidP="00B41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BD777D" w14:textId="77777777" w:rsidR="00442119" w:rsidRDefault="00442119" w:rsidP="004421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3D699" w14:textId="77777777" w:rsidR="0089517D" w:rsidRDefault="0089517D" w:rsidP="00720691">
      <w:r>
        <w:separator/>
      </w:r>
    </w:p>
  </w:footnote>
  <w:footnote w:type="continuationSeparator" w:id="0">
    <w:p w14:paraId="3E5E190F" w14:textId="77777777" w:rsidR="0089517D" w:rsidRDefault="0089517D" w:rsidP="007206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70B"/>
    <w:rsid w:val="00391B20"/>
    <w:rsid w:val="00442119"/>
    <w:rsid w:val="00446B06"/>
    <w:rsid w:val="00720691"/>
    <w:rsid w:val="007512DD"/>
    <w:rsid w:val="0089517D"/>
    <w:rsid w:val="00940227"/>
    <w:rsid w:val="00BE6DA3"/>
    <w:rsid w:val="00C47308"/>
    <w:rsid w:val="00DA505D"/>
    <w:rsid w:val="00DD30B5"/>
    <w:rsid w:val="00DE2AA0"/>
    <w:rsid w:val="00E42DC5"/>
    <w:rsid w:val="00E50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49AEA"/>
  <w15:chartTrackingRefBased/>
  <w15:docId w15:val="{B1A0F17C-CA43-9B46-B9BC-ADD8DFCA7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Lecture Format"/>
    <w:qFormat/>
    <w:rsid w:val="00E42DC5"/>
    <w:pPr>
      <w:spacing w:after="0" w:line="240" w:lineRule="auto"/>
    </w:pPr>
    <w:rPr>
      <w:rFonts w:ascii="Times New Roman" w:hAnsi="Times New Roman"/>
    </w:rPr>
  </w:style>
  <w:style w:type="paragraph" w:styleId="Heading1">
    <w:name w:val="heading 1"/>
    <w:basedOn w:val="Normal"/>
    <w:next w:val="Normal"/>
    <w:link w:val="Heading1Char"/>
    <w:uiPriority w:val="9"/>
    <w:qFormat/>
    <w:rsid w:val="00E507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07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070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070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5070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5070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070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070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070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7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07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07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07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07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07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07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07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070B"/>
    <w:rPr>
      <w:rFonts w:eastAsiaTheme="majorEastAsia" w:cstheme="majorBidi"/>
      <w:color w:val="272727" w:themeColor="text1" w:themeTint="D8"/>
    </w:rPr>
  </w:style>
  <w:style w:type="paragraph" w:styleId="Title">
    <w:name w:val="Title"/>
    <w:basedOn w:val="Normal"/>
    <w:next w:val="Normal"/>
    <w:link w:val="TitleChar"/>
    <w:uiPriority w:val="10"/>
    <w:qFormat/>
    <w:rsid w:val="00E507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7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070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7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07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070B"/>
    <w:rPr>
      <w:rFonts w:ascii="Times New Roman" w:hAnsi="Times New Roman"/>
      <w:i/>
      <w:iCs/>
      <w:color w:val="404040" w:themeColor="text1" w:themeTint="BF"/>
    </w:rPr>
  </w:style>
  <w:style w:type="paragraph" w:styleId="ListParagraph">
    <w:name w:val="List Paragraph"/>
    <w:basedOn w:val="Normal"/>
    <w:uiPriority w:val="34"/>
    <w:qFormat/>
    <w:rsid w:val="00E5070B"/>
    <w:pPr>
      <w:ind w:left="720"/>
      <w:contextualSpacing/>
    </w:pPr>
  </w:style>
  <w:style w:type="character" w:styleId="IntenseEmphasis">
    <w:name w:val="Intense Emphasis"/>
    <w:basedOn w:val="DefaultParagraphFont"/>
    <w:uiPriority w:val="21"/>
    <w:qFormat/>
    <w:rsid w:val="00E5070B"/>
    <w:rPr>
      <w:i/>
      <w:iCs/>
      <w:color w:val="0F4761" w:themeColor="accent1" w:themeShade="BF"/>
    </w:rPr>
  </w:style>
  <w:style w:type="paragraph" w:styleId="IntenseQuote">
    <w:name w:val="Intense Quote"/>
    <w:basedOn w:val="Normal"/>
    <w:next w:val="Normal"/>
    <w:link w:val="IntenseQuoteChar"/>
    <w:uiPriority w:val="30"/>
    <w:qFormat/>
    <w:rsid w:val="00E507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070B"/>
    <w:rPr>
      <w:rFonts w:ascii="Times New Roman" w:hAnsi="Times New Roman"/>
      <w:i/>
      <w:iCs/>
      <w:color w:val="0F4761" w:themeColor="accent1" w:themeShade="BF"/>
    </w:rPr>
  </w:style>
  <w:style w:type="character" w:styleId="IntenseReference">
    <w:name w:val="Intense Reference"/>
    <w:basedOn w:val="DefaultParagraphFont"/>
    <w:uiPriority w:val="32"/>
    <w:qFormat/>
    <w:rsid w:val="00E5070B"/>
    <w:rPr>
      <w:b/>
      <w:bCs/>
      <w:smallCaps/>
      <w:color w:val="0F4761" w:themeColor="accent1" w:themeShade="BF"/>
      <w:spacing w:val="5"/>
    </w:rPr>
  </w:style>
  <w:style w:type="paragraph" w:styleId="NormalWeb">
    <w:name w:val="Normal (Web)"/>
    <w:basedOn w:val="Normal"/>
    <w:uiPriority w:val="99"/>
    <w:semiHidden/>
    <w:unhideWhenUsed/>
    <w:rsid w:val="00E5070B"/>
    <w:pPr>
      <w:spacing w:before="100" w:beforeAutospacing="1" w:after="100" w:afterAutospacing="1"/>
    </w:pPr>
    <w:rPr>
      <w:rFonts w:eastAsia="Times New Roman" w:cs="Times New Roman"/>
      <w:kern w:val="0"/>
      <w:lang w:eastAsia="en-GB"/>
      <w14:ligatures w14:val="none"/>
    </w:rPr>
  </w:style>
  <w:style w:type="character" w:customStyle="1" w:styleId="apple-converted-space">
    <w:name w:val="apple-converted-space"/>
    <w:basedOn w:val="DefaultParagraphFont"/>
    <w:rsid w:val="00E5070B"/>
  </w:style>
  <w:style w:type="character" w:styleId="Strong">
    <w:name w:val="Strong"/>
    <w:basedOn w:val="DefaultParagraphFont"/>
    <w:uiPriority w:val="22"/>
    <w:qFormat/>
    <w:rsid w:val="00E5070B"/>
    <w:rPr>
      <w:b/>
      <w:bCs/>
    </w:rPr>
  </w:style>
  <w:style w:type="character" w:styleId="Hyperlink">
    <w:name w:val="Hyperlink"/>
    <w:basedOn w:val="DefaultParagraphFont"/>
    <w:uiPriority w:val="99"/>
    <w:unhideWhenUsed/>
    <w:rsid w:val="00E5070B"/>
    <w:rPr>
      <w:color w:val="0000FF"/>
      <w:u w:val="single"/>
    </w:rPr>
  </w:style>
  <w:style w:type="character" w:styleId="Emphasis">
    <w:name w:val="Emphasis"/>
    <w:basedOn w:val="DefaultParagraphFont"/>
    <w:uiPriority w:val="20"/>
    <w:qFormat/>
    <w:rsid w:val="00E5070B"/>
    <w:rPr>
      <w:i/>
      <w:iCs/>
    </w:rPr>
  </w:style>
  <w:style w:type="paragraph" w:styleId="z-TopofForm">
    <w:name w:val="HTML Top of Form"/>
    <w:basedOn w:val="Normal"/>
    <w:next w:val="Normal"/>
    <w:link w:val="z-TopofFormChar"/>
    <w:hidden/>
    <w:uiPriority w:val="99"/>
    <w:semiHidden/>
    <w:unhideWhenUsed/>
    <w:rsid w:val="00E5070B"/>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5070B"/>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E5070B"/>
    <w:pPr>
      <w:spacing w:before="100" w:beforeAutospacing="1" w:after="100" w:afterAutospacing="1"/>
    </w:pPr>
    <w:rPr>
      <w:rFonts w:eastAsia="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E5070B"/>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E5070B"/>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720691"/>
    <w:pPr>
      <w:tabs>
        <w:tab w:val="center" w:pos="4513"/>
        <w:tab w:val="right" w:pos="9026"/>
      </w:tabs>
    </w:pPr>
  </w:style>
  <w:style w:type="character" w:customStyle="1" w:styleId="HeaderChar">
    <w:name w:val="Header Char"/>
    <w:basedOn w:val="DefaultParagraphFont"/>
    <w:link w:val="Header"/>
    <w:uiPriority w:val="99"/>
    <w:rsid w:val="00720691"/>
    <w:rPr>
      <w:rFonts w:ascii="Times New Roman" w:hAnsi="Times New Roman"/>
    </w:rPr>
  </w:style>
  <w:style w:type="paragraph" w:styleId="Footer">
    <w:name w:val="footer"/>
    <w:basedOn w:val="Normal"/>
    <w:link w:val="FooterChar"/>
    <w:uiPriority w:val="99"/>
    <w:unhideWhenUsed/>
    <w:rsid w:val="00720691"/>
    <w:pPr>
      <w:tabs>
        <w:tab w:val="center" w:pos="4513"/>
        <w:tab w:val="right" w:pos="9026"/>
      </w:tabs>
    </w:pPr>
  </w:style>
  <w:style w:type="character" w:customStyle="1" w:styleId="FooterChar">
    <w:name w:val="Footer Char"/>
    <w:basedOn w:val="DefaultParagraphFont"/>
    <w:link w:val="Footer"/>
    <w:uiPriority w:val="99"/>
    <w:rsid w:val="00720691"/>
    <w:rPr>
      <w:rFonts w:ascii="Times New Roman" w:hAnsi="Times New Roman"/>
    </w:rPr>
  </w:style>
  <w:style w:type="paragraph" w:styleId="NoSpacing">
    <w:name w:val="No Spacing"/>
    <w:link w:val="NoSpacingChar"/>
    <w:uiPriority w:val="1"/>
    <w:qFormat/>
    <w:rsid w:val="0044211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42119"/>
    <w:rPr>
      <w:rFonts w:eastAsiaTheme="minorEastAsia"/>
      <w:kern w:val="0"/>
      <w:sz w:val="22"/>
      <w:szCs w:val="22"/>
      <w:lang w:val="en-US" w:eastAsia="zh-CN"/>
      <w14:ligatures w14:val="none"/>
    </w:rPr>
  </w:style>
  <w:style w:type="character" w:styleId="PageNumber">
    <w:name w:val="page number"/>
    <w:basedOn w:val="DefaultParagraphFont"/>
    <w:uiPriority w:val="99"/>
    <w:semiHidden/>
    <w:unhideWhenUsed/>
    <w:rsid w:val="00442119"/>
  </w:style>
  <w:style w:type="paragraph" w:styleId="TOCHeading">
    <w:name w:val="TOC Heading"/>
    <w:basedOn w:val="Heading1"/>
    <w:next w:val="Normal"/>
    <w:uiPriority w:val="39"/>
    <w:unhideWhenUsed/>
    <w:qFormat/>
    <w:rsid w:val="0044211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42119"/>
    <w:pPr>
      <w:spacing w:before="120"/>
    </w:pPr>
    <w:rPr>
      <w:rFonts w:asciiTheme="minorHAnsi" w:hAnsiTheme="minorHAnsi"/>
      <w:b/>
      <w:bCs/>
      <w:i/>
      <w:iCs/>
    </w:rPr>
  </w:style>
  <w:style w:type="paragraph" w:styleId="TOC2">
    <w:name w:val="toc 2"/>
    <w:basedOn w:val="Normal"/>
    <w:next w:val="Normal"/>
    <w:autoRedefine/>
    <w:uiPriority w:val="39"/>
    <w:semiHidden/>
    <w:unhideWhenUsed/>
    <w:rsid w:val="00442119"/>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442119"/>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42119"/>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42119"/>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42119"/>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42119"/>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42119"/>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42119"/>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asbestos/duty/arrange-asbestos-survey.htm?utm_source=chatgpt.com" TargetMode="External"/><Relationship Id="rId18" Type="http://schemas.openxmlformats.org/officeDocument/2006/relationships/hyperlink" Target="https://www.hse.gov.uk/pubns/books/l153.htm?utm_source=chatgpt.com" TargetMode="External"/><Relationship Id="rId26" Type="http://schemas.openxmlformats.org/officeDocument/2006/relationships/hyperlink" Target="https://www.legislation.gov.uk/uksi/1992/2966/contents" TargetMode="External"/><Relationship Id="rId3" Type="http://schemas.openxmlformats.org/officeDocument/2006/relationships/webSettings" Target="webSettings.xml"/><Relationship Id="rId21" Type="http://schemas.openxmlformats.org/officeDocument/2006/relationships/hyperlink" Target="https://www.hse.gov.uk/construction/safetytopics/scaffoldinginfo.htm?utm_source=chatgpt.com" TargetMode="External"/><Relationship Id="rId34" Type="http://schemas.openxmlformats.org/officeDocument/2006/relationships/footer" Target="footer2.xml"/><Relationship Id="rId7" Type="http://schemas.openxmlformats.org/officeDocument/2006/relationships/hyperlink" Target="https://www.legislation.gov.uk/uksi/2015/51/contents?utm_source=chatgpt.com" TargetMode="External"/><Relationship Id="rId12" Type="http://schemas.openxmlformats.org/officeDocument/2006/relationships/hyperlink" Target="https://www.hse.gov.uk/construction/healthrisks/hazardous-substances/construction-dust.htm?utm_source=chatgpt.com" TargetMode="External"/><Relationship Id="rId17" Type="http://schemas.openxmlformats.org/officeDocument/2006/relationships/hyperlink" Target="https://www.hse.gov.uk/riddor/?utm_source=chatgpt.com" TargetMode="External"/><Relationship Id="rId25" Type="http://schemas.openxmlformats.org/officeDocument/2006/relationships/hyperlink" Target="https://www.legislation.gov.uk/uksi/1992/2793/contents"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hse.gov.uk/risk/?utm_source=chatgpt.com" TargetMode="External"/><Relationship Id="rId20" Type="http://schemas.openxmlformats.org/officeDocument/2006/relationships/hyperlink" Target="https://www.hse.gov.uk/ppe/overview.htm?utm_source=chatgpt.com" TargetMode="External"/><Relationship Id="rId29" Type="http://schemas.openxmlformats.org/officeDocument/2006/relationships/hyperlink" Target="https://www.swansea.gov.uk/article/28709/High-rise-flats-owned-by-Swansea-Council?utm_source=chatgpt.com" TargetMode="External"/><Relationship Id="rId1" Type="http://schemas.openxmlformats.org/officeDocument/2006/relationships/styles" Target="styles.xml"/><Relationship Id="rId6" Type="http://schemas.openxmlformats.org/officeDocument/2006/relationships/hyperlink" Target="https://www.legislation.gov.uk/ukpga/2022/30/contents" TargetMode="External"/><Relationship Id="rId11" Type="http://schemas.openxmlformats.org/officeDocument/2006/relationships/hyperlink" Target="https://www.hse.gov.uk/work-at-height/the-law.htm?utm_source=chatgpt.com" TargetMode="External"/><Relationship Id="rId24" Type="http://schemas.openxmlformats.org/officeDocument/2006/relationships/hyperlink" Target="https://www.legislation.gov.uk/uksi/1999/3242/contents?utm_source=chatgpt.com" TargetMode="External"/><Relationship Id="rId32" Type="http://schemas.openxmlformats.org/officeDocument/2006/relationships/hyperlink" Target="https://www.gov.wales/huge-step-forward-fire-safety-wales?utm_source=chatgpt.com" TargetMode="External"/><Relationship Id="rId5" Type="http://schemas.openxmlformats.org/officeDocument/2006/relationships/endnotes" Target="endnotes.xml"/><Relationship Id="rId15" Type="http://schemas.openxmlformats.org/officeDocument/2006/relationships/hyperlink" Target="https://www.hse.gov.uk/work-equipment-machinery/thorough-examinations-lifting-equipment.htm?utm_source=chatgpt.com" TargetMode="External"/><Relationship Id="rId23" Type="http://schemas.openxmlformats.org/officeDocument/2006/relationships/hyperlink" Target="https://www.legislation.gov.uk/uksi/1998/2307/contents" TargetMode="External"/><Relationship Id="rId28" Type="http://schemas.openxmlformats.org/officeDocument/2006/relationships/hyperlink" Target="https://www.legislation.gov.uk/uksi/2013/1471/contents?utm_source=chatgpt.com" TargetMode="External"/><Relationship Id="rId36" Type="http://schemas.openxmlformats.org/officeDocument/2006/relationships/theme" Target="theme/theme1.xml"/><Relationship Id="rId10" Type="http://schemas.openxmlformats.org/officeDocument/2006/relationships/hyperlink" Target="https://www.hse.gov.uk/legislation/hswa.htm?utm_source=chatgpt.com" TargetMode="External"/><Relationship Id="rId19" Type="http://schemas.openxmlformats.org/officeDocument/2006/relationships/hyperlink" Target="https://www.hse.gov.uk/construction/safetytopics/toilets-washing.htm" TargetMode="External"/><Relationship Id="rId31" Type="http://schemas.openxmlformats.org/officeDocument/2006/relationships/hyperlink" Target="https://www.gov.wales/building-regulations-approved-documents-fire-safety" TargetMode="External"/><Relationship Id="rId4" Type="http://schemas.openxmlformats.org/officeDocument/2006/relationships/footnotes" Target="footnotes.xml"/><Relationship Id="rId9" Type="http://schemas.openxmlformats.org/officeDocument/2006/relationships/hyperlink" Target="https://www.legislation.gov.uk/ukpga/1974/37/contents?utm_source=chatgpt.com" TargetMode="External"/><Relationship Id="rId14" Type="http://schemas.openxmlformats.org/officeDocument/2006/relationships/hyperlink" Target="https://www.hse.gov.uk/msd/manual-handling/index.htm?utm_source=chatgpt.com" TargetMode="External"/><Relationship Id="rId22" Type="http://schemas.openxmlformats.org/officeDocument/2006/relationships/hyperlink" Target="https://www.hse.gov.uk/work-equipment-machinery/loler-overview.htm?utm_source=chatgpt.com" TargetMode="External"/><Relationship Id="rId27" Type="http://schemas.openxmlformats.org/officeDocument/2006/relationships/hyperlink" Target="https://www.legislation.gov.uk/uksi/1998/2306/contents" TargetMode="External"/><Relationship Id="rId30" Type="http://schemas.openxmlformats.org/officeDocument/2006/relationships/hyperlink" Target="https://www.gov.wales/building-regulations-approved-documents-fire-safety" TargetMode="External"/><Relationship Id="rId35" Type="http://schemas.openxmlformats.org/officeDocument/2006/relationships/fontTable" Target="fontTable.xml"/><Relationship Id="rId8" Type="http://schemas.openxmlformats.org/officeDocument/2006/relationships/hyperlink" Target="https://www.legislation.gov.uk/uksi/2002/2677/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11</Pages>
  <Words>3076</Words>
  <Characters>19724</Characters>
  <Application>Microsoft Office Word</Application>
  <DocSecurity>0</DocSecurity>
  <Lines>379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Safety &amp; Welfare</dc:title>
  <dc:subject>Trainee Health and safety officer assignment</dc:subject>
  <dc:creator>Cory Sibley (2507186)</dc:creator>
  <cp:keywords/>
  <dc:description/>
  <cp:lastModifiedBy>Cory Sibley (2507186)</cp:lastModifiedBy>
  <cp:revision>5</cp:revision>
  <dcterms:created xsi:type="dcterms:W3CDTF">2026-05-06T12:46:00Z</dcterms:created>
  <dcterms:modified xsi:type="dcterms:W3CDTF">2026-05-06T19:43:00Z</dcterms:modified>
</cp:coreProperties>
</file>