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2483" w:rsidRPr="00D176E7" w:rsidRDefault="00E96C66">
      <w:pPr>
        <w:spacing w:line="360" w:lineRule="auto"/>
        <w:jc w:val="center"/>
        <w:rPr>
          <w:b/>
          <w:bCs/>
          <w:sz w:val="32"/>
          <w:szCs w:val="32"/>
        </w:rPr>
      </w:pPr>
      <w:r w:rsidRPr="00D176E7">
        <w:rPr>
          <w:b/>
          <w:bCs/>
          <w:noProof/>
          <w:sz w:val="32"/>
          <w:szCs w:val="32"/>
        </w:rPr>
        <w:drawing>
          <wp:inline distT="114300" distB="114300" distL="114300" distR="114300">
            <wp:extent cx="22098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09800" cy="952500"/>
                    </a:xfrm>
                    <a:prstGeom prst="rect">
                      <a:avLst/>
                    </a:prstGeom>
                    <a:ln/>
                  </pic:spPr>
                </pic:pic>
              </a:graphicData>
            </a:graphic>
          </wp:inline>
        </w:drawing>
      </w:r>
    </w:p>
    <w:p w:rsidR="00212483" w:rsidRPr="00D176E7" w:rsidRDefault="00212483">
      <w:pPr>
        <w:spacing w:line="360" w:lineRule="auto"/>
        <w:jc w:val="center"/>
        <w:rPr>
          <w:b/>
          <w:bCs/>
          <w:sz w:val="32"/>
          <w:szCs w:val="32"/>
        </w:rPr>
      </w:pPr>
    </w:p>
    <w:p w:rsidR="00212483" w:rsidRPr="00D176E7" w:rsidRDefault="00E96C66">
      <w:pPr>
        <w:spacing w:line="360" w:lineRule="auto"/>
        <w:jc w:val="center"/>
        <w:rPr>
          <w:b/>
          <w:bCs/>
          <w:sz w:val="32"/>
          <w:szCs w:val="32"/>
        </w:rPr>
      </w:pPr>
      <w:r w:rsidRPr="00D176E7">
        <w:rPr>
          <w:b/>
          <w:bCs/>
          <w:sz w:val="32"/>
          <w:szCs w:val="32"/>
        </w:rPr>
        <w:t>Understanding Organisational Structure and Culture</w:t>
      </w:r>
    </w:p>
    <w:p w:rsidR="00212483" w:rsidRPr="00D176E7" w:rsidRDefault="00E96C66">
      <w:pPr>
        <w:spacing w:line="360" w:lineRule="auto"/>
        <w:jc w:val="center"/>
        <w:rPr>
          <w:b/>
          <w:bCs/>
          <w:sz w:val="32"/>
          <w:szCs w:val="32"/>
        </w:rPr>
      </w:pPr>
      <w:r w:rsidRPr="00D176E7">
        <w:rPr>
          <w:b/>
          <w:bCs/>
          <w:sz w:val="32"/>
          <w:szCs w:val="32"/>
        </w:rPr>
        <w:t>LCBB4009</w:t>
      </w:r>
    </w:p>
    <w:p w:rsidR="00212483" w:rsidRPr="00D176E7" w:rsidRDefault="00E96C66">
      <w:pPr>
        <w:spacing w:line="360" w:lineRule="auto"/>
        <w:jc w:val="center"/>
        <w:rPr>
          <w:b/>
          <w:bCs/>
          <w:sz w:val="32"/>
          <w:szCs w:val="32"/>
        </w:rPr>
      </w:pPr>
      <w:r w:rsidRPr="00D176E7">
        <w:rPr>
          <w:b/>
          <w:bCs/>
          <w:sz w:val="32"/>
          <w:szCs w:val="32"/>
        </w:rPr>
        <w:t>Component 2: Coursework: Individual report on Sainsbury’s</w:t>
      </w:r>
    </w:p>
    <w:p w:rsidR="00212483" w:rsidRPr="00D176E7" w:rsidRDefault="00212483">
      <w:pPr>
        <w:spacing w:line="360" w:lineRule="auto"/>
        <w:jc w:val="center"/>
        <w:rPr>
          <w:b/>
          <w:bCs/>
        </w:rPr>
      </w:pPr>
    </w:p>
    <w:p w:rsidR="00212483" w:rsidRPr="00D176E7" w:rsidRDefault="00E96C66">
      <w:pPr>
        <w:spacing w:line="360" w:lineRule="auto"/>
        <w:jc w:val="center"/>
        <w:rPr>
          <w:b/>
          <w:bCs/>
          <w:sz w:val="32"/>
          <w:szCs w:val="32"/>
        </w:rPr>
      </w:pPr>
      <w:r w:rsidRPr="00D176E7">
        <w:rPr>
          <w:b/>
          <w:bCs/>
          <w:sz w:val="32"/>
          <w:szCs w:val="32"/>
        </w:rPr>
        <w:t>Title: Report on Sainsbury’s</w:t>
      </w:r>
    </w:p>
    <w:p w:rsidR="00212483" w:rsidRPr="00D176E7" w:rsidRDefault="00212483">
      <w:pPr>
        <w:spacing w:line="360" w:lineRule="auto"/>
        <w:rPr>
          <w:b/>
          <w:bCs/>
        </w:rPr>
      </w:pPr>
    </w:p>
    <w:p w:rsidR="00212483" w:rsidRPr="00D176E7" w:rsidRDefault="00212483">
      <w:pPr>
        <w:spacing w:line="360" w:lineRule="auto"/>
        <w:jc w:val="center"/>
        <w:rPr>
          <w:b/>
          <w:bCs/>
        </w:rPr>
      </w:pPr>
    </w:p>
    <w:p w:rsidR="00212483" w:rsidRPr="00D176E7" w:rsidRDefault="00E96C66">
      <w:pPr>
        <w:spacing w:line="360" w:lineRule="auto"/>
        <w:jc w:val="center"/>
        <w:rPr>
          <w:b/>
          <w:bCs/>
        </w:rPr>
      </w:pPr>
      <w:r w:rsidRPr="00D176E7">
        <w:rPr>
          <w:b/>
          <w:bCs/>
        </w:rPr>
        <w:t>Student Name:</w:t>
      </w:r>
      <w:r w:rsidR="002C4711">
        <w:rPr>
          <w:b/>
          <w:bCs/>
        </w:rPr>
        <w:t xml:space="preserve"> FLORINA LOIZIDIS</w:t>
      </w:r>
    </w:p>
    <w:p w:rsidR="00F1396D" w:rsidRPr="00D176E7" w:rsidRDefault="00E96C66">
      <w:pPr>
        <w:spacing w:line="360" w:lineRule="auto"/>
        <w:jc w:val="center"/>
        <w:rPr>
          <w:b/>
          <w:bCs/>
        </w:rPr>
      </w:pPr>
      <w:r w:rsidRPr="00D176E7">
        <w:rPr>
          <w:b/>
          <w:bCs/>
        </w:rPr>
        <w:t>Student ID:</w:t>
      </w:r>
      <w:r w:rsidR="002C4711">
        <w:rPr>
          <w:b/>
          <w:bCs/>
        </w:rPr>
        <w:t xml:space="preserve"> 2013750</w:t>
      </w:r>
    </w:p>
    <w:p w:rsidR="00F1396D" w:rsidRPr="00D176E7" w:rsidRDefault="00F1396D">
      <w:pPr>
        <w:rPr>
          <w:b/>
          <w:bCs/>
        </w:rPr>
      </w:pPr>
      <w:r w:rsidRPr="00D176E7">
        <w:rPr>
          <w:b/>
          <w:bCs/>
        </w:rPr>
        <w:br w:type="page"/>
      </w:r>
    </w:p>
    <w:sdt>
      <w:sdtPr>
        <w:rPr>
          <w:rFonts w:ascii="Arial" w:eastAsia="Arial" w:hAnsi="Arial" w:cs="Arial"/>
          <w:color w:val="auto"/>
          <w:sz w:val="22"/>
          <w:szCs w:val="22"/>
          <w:lang w:val="en-GB" w:eastAsia="en-GB"/>
        </w:rPr>
        <w:id w:val="1297418222"/>
        <w:docPartObj>
          <w:docPartGallery w:val="Table of Contents"/>
          <w:docPartUnique/>
        </w:docPartObj>
      </w:sdtPr>
      <w:sdtEndPr>
        <w:rPr>
          <w:b/>
          <w:bCs/>
        </w:rPr>
      </w:sdtEndPr>
      <w:sdtContent>
        <w:p w:rsidR="00F1396D" w:rsidRPr="00D176E7" w:rsidRDefault="00F1396D" w:rsidP="00F1396D">
          <w:pPr>
            <w:pStyle w:val="TOCHeading"/>
            <w:spacing w:line="360" w:lineRule="auto"/>
            <w:jc w:val="center"/>
            <w:rPr>
              <w:rFonts w:ascii="Arial" w:hAnsi="Arial" w:cs="Arial"/>
              <w:b/>
              <w:color w:val="000000" w:themeColor="text1"/>
              <w:sz w:val="22"/>
              <w:szCs w:val="22"/>
              <w:lang w:val="en-GB"/>
            </w:rPr>
          </w:pPr>
          <w:r w:rsidRPr="00D176E7">
            <w:rPr>
              <w:rFonts w:ascii="Arial" w:hAnsi="Arial" w:cs="Arial"/>
              <w:b/>
              <w:color w:val="000000" w:themeColor="text1"/>
              <w:sz w:val="22"/>
              <w:szCs w:val="22"/>
              <w:lang w:val="en-GB"/>
            </w:rPr>
            <w:t>Table of Contents</w:t>
          </w:r>
        </w:p>
        <w:p w:rsidR="00F1396D" w:rsidRPr="00D176E7" w:rsidRDefault="00F1396D" w:rsidP="00F1396D">
          <w:pPr>
            <w:pStyle w:val="TOC1"/>
            <w:tabs>
              <w:tab w:val="right" w:leader="dot" w:pos="9019"/>
            </w:tabs>
            <w:spacing w:line="360" w:lineRule="auto"/>
            <w:jc w:val="both"/>
          </w:pPr>
          <w:r w:rsidRPr="00D176E7">
            <w:fldChar w:fldCharType="begin"/>
          </w:r>
          <w:r w:rsidRPr="00D176E7">
            <w:instrText xml:space="preserve"> TOC \o "1-3" \h \z \u </w:instrText>
          </w:r>
          <w:r w:rsidRPr="00D176E7">
            <w:fldChar w:fldCharType="separate"/>
          </w:r>
          <w:hyperlink w:anchor="_Toc236838815" w:history="1">
            <w:r w:rsidRPr="00D176E7">
              <w:rPr>
                <w:rStyle w:val="Hyperlink"/>
              </w:rPr>
              <w:t>1. Introduction</w:t>
            </w:r>
            <w:r w:rsidRPr="00D176E7">
              <w:rPr>
                <w:webHidden/>
              </w:rPr>
              <w:tab/>
            </w:r>
            <w:r w:rsidRPr="00D176E7">
              <w:rPr>
                <w:webHidden/>
              </w:rPr>
              <w:fldChar w:fldCharType="begin"/>
            </w:r>
            <w:r w:rsidRPr="00D176E7">
              <w:rPr>
                <w:webHidden/>
              </w:rPr>
              <w:instrText xml:space="preserve"> PAGEREF _Toc236838815 \h </w:instrText>
            </w:r>
            <w:r w:rsidRPr="00D176E7">
              <w:rPr>
                <w:webHidden/>
              </w:rPr>
            </w:r>
            <w:r w:rsidRPr="00D176E7">
              <w:rPr>
                <w:webHidden/>
              </w:rPr>
              <w:fldChar w:fldCharType="separate"/>
            </w:r>
            <w:r w:rsidRPr="00D176E7">
              <w:rPr>
                <w:webHidden/>
              </w:rPr>
              <w:t>3</w:t>
            </w:r>
            <w:r w:rsidRPr="00D176E7">
              <w:rPr>
                <w:webHidden/>
              </w:rPr>
              <w:fldChar w:fldCharType="end"/>
            </w:r>
          </w:hyperlink>
        </w:p>
        <w:p w:rsidR="00F1396D" w:rsidRPr="00D176E7" w:rsidRDefault="009C3FAC" w:rsidP="00F1396D">
          <w:pPr>
            <w:pStyle w:val="TOC1"/>
            <w:tabs>
              <w:tab w:val="right" w:leader="dot" w:pos="9019"/>
            </w:tabs>
            <w:spacing w:line="360" w:lineRule="auto"/>
            <w:jc w:val="both"/>
          </w:pPr>
          <w:hyperlink w:anchor="_Toc236838816" w:history="1">
            <w:r w:rsidR="00F1396D" w:rsidRPr="00D176E7">
              <w:rPr>
                <w:rStyle w:val="Hyperlink"/>
              </w:rPr>
              <w:t>2. Communication and Methods</w:t>
            </w:r>
            <w:r w:rsidR="00F1396D" w:rsidRPr="00D176E7">
              <w:rPr>
                <w:webHidden/>
              </w:rPr>
              <w:tab/>
            </w:r>
            <w:r w:rsidR="00F1396D" w:rsidRPr="00D176E7">
              <w:rPr>
                <w:webHidden/>
              </w:rPr>
              <w:fldChar w:fldCharType="begin"/>
            </w:r>
            <w:r w:rsidR="00F1396D" w:rsidRPr="00D176E7">
              <w:rPr>
                <w:webHidden/>
              </w:rPr>
              <w:instrText xml:space="preserve"> PAGEREF _Toc236838816 \h </w:instrText>
            </w:r>
            <w:r w:rsidR="00F1396D" w:rsidRPr="00D176E7">
              <w:rPr>
                <w:webHidden/>
              </w:rPr>
            </w:r>
            <w:r w:rsidR="00F1396D" w:rsidRPr="00D176E7">
              <w:rPr>
                <w:webHidden/>
              </w:rPr>
              <w:fldChar w:fldCharType="separate"/>
            </w:r>
            <w:r w:rsidR="00F1396D" w:rsidRPr="00D176E7">
              <w:rPr>
                <w:webHidden/>
              </w:rPr>
              <w:t>4</w:t>
            </w:r>
            <w:r w:rsidR="00F1396D" w:rsidRPr="00D176E7">
              <w:rPr>
                <w:webHidden/>
              </w:rPr>
              <w:fldChar w:fldCharType="end"/>
            </w:r>
          </w:hyperlink>
        </w:p>
        <w:p w:rsidR="00F1396D" w:rsidRPr="00D176E7" w:rsidRDefault="009C3FAC" w:rsidP="00F1396D">
          <w:pPr>
            <w:pStyle w:val="TOC1"/>
            <w:tabs>
              <w:tab w:val="right" w:leader="dot" w:pos="9019"/>
            </w:tabs>
            <w:spacing w:line="360" w:lineRule="auto"/>
            <w:jc w:val="both"/>
          </w:pPr>
          <w:hyperlink w:anchor="_Toc236838817" w:history="1">
            <w:r w:rsidR="00F1396D" w:rsidRPr="00D176E7">
              <w:rPr>
                <w:rStyle w:val="Hyperlink"/>
              </w:rPr>
              <w:t>3. Common Issues</w:t>
            </w:r>
            <w:r w:rsidR="00F1396D" w:rsidRPr="00D176E7">
              <w:rPr>
                <w:webHidden/>
              </w:rPr>
              <w:tab/>
            </w:r>
            <w:r w:rsidR="00F1396D" w:rsidRPr="00D176E7">
              <w:rPr>
                <w:webHidden/>
              </w:rPr>
              <w:fldChar w:fldCharType="begin"/>
            </w:r>
            <w:r w:rsidR="00F1396D" w:rsidRPr="00D176E7">
              <w:rPr>
                <w:webHidden/>
              </w:rPr>
              <w:instrText xml:space="preserve"> PAGEREF _Toc236838817 \h </w:instrText>
            </w:r>
            <w:r w:rsidR="00F1396D" w:rsidRPr="00D176E7">
              <w:rPr>
                <w:webHidden/>
              </w:rPr>
            </w:r>
            <w:r w:rsidR="00F1396D" w:rsidRPr="00D176E7">
              <w:rPr>
                <w:webHidden/>
              </w:rPr>
              <w:fldChar w:fldCharType="separate"/>
            </w:r>
            <w:r w:rsidR="00F1396D" w:rsidRPr="00D176E7">
              <w:rPr>
                <w:webHidden/>
              </w:rPr>
              <w:t>6</w:t>
            </w:r>
            <w:r w:rsidR="00F1396D" w:rsidRPr="00D176E7">
              <w:rPr>
                <w:webHidden/>
              </w:rPr>
              <w:fldChar w:fldCharType="end"/>
            </w:r>
          </w:hyperlink>
        </w:p>
        <w:p w:rsidR="00F1396D" w:rsidRPr="00D176E7" w:rsidRDefault="009C3FAC" w:rsidP="00F1396D">
          <w:pPr>
            <w:pStyle w:val="TOC1"/>
            <w:tabs>
              <w:tab w:val="right" w:leader="dot" w:pos="9019"/>
            </w:tabs>
            <w:spacing w:line="360" w:lineRule="auto"/>
            <w:jc w:val="both"/>
          </w:pPr>
          <w:hyperlink w:anchor="_Toc236838818" w:history="1">
            <w:r w:rsidR="00F1396D" w:rsidRPr="00D176E7">
              <w:rPr>
                <w:rStyle w:val="Hyperlink"/>
              </w:rPr>
              <w:t>4. Recommendations</w:t>
            </w:r>
            <w:r w:rsidR="00F1396D" w:rsidRPr="00D176E7">
              <w:rPr>
                <w:webHidden/>
              </w:rPr>
              <w:tab/>
            </w:r>
            <w:r w:rsidR="00F1396D" w:rsidRPr="00D176E7">
              <w:rPr>
                <w:webHidden/>
              </w:rPr>
              <w:fldChar w:fldCharType="begin"/>
            </w:r>
            <w:r w:rsidR="00F1396D" w:rsidRPr="00D176E7">
              <w:rPr>
                <w:webHidden/>
              </w:rPr>
              <w:instrText xml:space="preserve"> PAGEREF _Toc236838818 \h </w:instrText>
            </w:r>
            <w:r w:rsidR="00F1396D" w:rsidRPr="00D176E7">
              <w:rPr>
                <w:webHidden/>
              </w:rPr>
            </w:r>
            <w:r w:rsidR="00F1396D" w:rsidRPr="00D176E7">
              <w:rPr>
                <w:webHidden/>
              </w:rPr>
              <w:fldChar w:fldCharType="separate"/>
            </w:r>
            <w:r w:rsidR="00F1396D" w:rsidRPr="00D176E7">
              <w:rPr>
                <w:webHidden/>
              </w:rPr>
              <w:t>8</w:t>
            </w:r>
            <w:r w:rsidR="00F1396D" w:rsidRPr="00D176E7">
              <w:rPr>
                <w:webHidden/>
              </w:rPr>
              <w:fldChar w:fldCharType="end"/>
            </w:r>
          </w:hyperlink>
        </w:p>
        <w:p w:rsidR="00F1396D" w:rsidRPr="00D176E7" w:rsidRDefault="009C3FAC" w:rsidP="00F1396D">
          <w:pPr>
            <w:pStyle w:val="TOC1"/>
            <w:tabs>
              <w:tab w:val="right" w:leader="dot" w:pos="9019"/>
            </w:tabs>
            <w:spacing w:line="360" w:lineRule="auto"/>
            <w:jc w:val="both"/>
          </w:pPr>
          <w:hyperlink w:anchor="_Toc236838819" w:history="1">
            <w:r w:rsidR="00F1396D" w:rsidRPr="00D176E7">
              <w:rPr>
                <w:rStyle w:val="Hyperlink"/>
              </w:rPr>
              <w:t>5. Conclusion</w:t>
            </w:r>
            <w:r w:rsidR="00F1396D" w:rsidRPr="00D176E7">
              <w:rPr>
                <w:webHidden/>
              </w:rPr>
              <w:tab/>
            </w:r>
            <w:r w:rsidR="00F1396D" w:rsidRPr="00D176E7">
              <w:rPr>
                <w:webHidden/>
              </w:rPr>
              <w:fldChar w:fldCharType="begin"/>
            </w:r>
            <w:r w:rsidR="00F1396D" w:rsidRPr="00D176E7">
              <w:rPr>
                <w:webHidden/>
              </w:rPr>
              <w:instrText xml:space="preserve"> PAGEREF _Toc236838819 \h </w:instrText>
            </w:r>
            <w:r w:rsidR="00F1396D" w:rsidRPr="00D176E7">
              <w:rPr>
                <w:webHidden/>
              </w:rPr>
            </w:r>
            <w:r w:rsidR="00F1396D" w:rsidRPr="00D176E7">
              <w:rPr>
                <w:webHidden/>
              </w:rPr>
              <w:fldChar w:fldCharType="separate"/>
            </w:r>
            <w:r w:rsidR="00F1396D" w:rsidRPr="00D176E7">
              <w:rPr>
                <w:webHidden/>
              </w:rPr>
              <w:t>9</w:t>
            </w:r>
            <w:r w:rsidR="00F1396D" w:rsidRPr="00D176E7">
              <w:rPr>
                <w:webHidden/>
              </w:rPr>
              <w:fldChar w:fldCharType="end"/>
            </w:r>
          </w:hyperlink>
        </w:p>
        <w:p w:rsidR="00F1396D" w:rsidRPr="00D176E7" w:rsidRDefault="009C3FAC" w:rsidP="00F1396D">
          <w:pPr>
            <w:pStyle w:val="TOC1"/>
            <w:tabs>
              <w:tab w:val="right" w:leader="dot" w:pos="9019"/>
            </w:tabs>
            <w:spacing w:line="360" w:lineRule="auto"/>
            <w:jc w:val="both"/>
          </w:pPr>
          <w:hyperlink w:anchor="_Toc236838820" w:history="1">
            <w:r w:rsidR="00F1396D" w:rsidRPr="00D176E7">
              <w:rPr>
                <w:rStyle w:val="Hyperlink"/>
              </w:rPr>
              <w:t>Reference List</w:t>
            </w:r>
            <w:r w:rsidR="00F1396D" w:rsidRPr="00D176E7">
              <w:rPr>
                <w:webHidden/>
              </w:rPr>
              <w:tab/>
            </w:r>
            <w:r w:rsidR="00F1396D" w:rsidRPr="00D176E7">
              <w:rPr>
                <w:webHidden/>
              </w:rPr>
              <w:fldChar w:fldCharType="begin"/>
            </w:r>
            <w:r w:rsidR="00F1396D" w:rsidRPr="00D176E7">
              <w:rPr>
                <w:webHidden/>
              </w:rPr>
              <w:instrText xml:space="preserve"> PAGEREF _Toc236838820 \h </w:instrText>
            </w:r>
            <w:r w:rsidR="00F1396D" w:rsidRPr="00D176E7">
              <w:rPr>
                <w:webHidden/>
              </w:rPr>
            </w:r>
            <w:r w:rsidR="00F1396D" w:rsidRPr="00D176E7">
              <w:rPr>
                <w:webHidden/>
              </w:rPr>
              <w:fldChar w:fldCharType="separate"/>
            </w:r>
            <w:r w:rsidR="00F1396D" w:rsidRPr="00D176E7">
              <w:rPr>
                <w:webHidden/>
              </w:rPr>
              <w:t>10</w:t>
            </w:r>
            <w:r w:rsidR="00F1396D" w:rsidRPr="00D176E7">
              <w:rPr>
                <w:webHidden/>
              </w:rPr>
              <w:fldChar w:fldCharType="end"/>
            </w:r>
          </w:hyperlink>
        </w:p>
        <w:p w:rsidR="00F1396D" w:rsidRPr="00D176E7" w:rsidRDefault="00F1396D" w:rsidP="00F1396D">
          <w:pPr>
            <w:spacing w:line="360" w:lineRule="auto"/>
            <w:jc w:val="both"/>
          </w:pPr>
          <w:r w:rsidRPr="00D176E7">
            <w:rPr>
              <w:b/>
              <w:bCs/>
            </w:rPr>
            <w:fldChar w:fldCharType="end"/>
          </w:r>
        </w:p>
      </w:sdtContent>
    </w:sdt>
    <w:p w:rsidR="00212483" w:rsidRPr="00D176E7" w:rsidRDefault="00E96C66" w:rsidP="00F1396D">
      <w:pPr>
        <w:spacing w:line="360" w:lineRule="auto"/>
        <w:rPr>
          <w:b/>
          <w:bCs/>
        </w:rPr>
      </w:pPr>
      <w:r w:rsidRPr="00D176E7">
        <w:br w:type="page"/>
      </w:r>
    </w:p>
    <w:p w:rsidR="00212483" w:rsidRPr="00D176E7" w:rsidRDefault="00E96C66">
      <w:pPr>
        <w:pStyle w:val="Heading1"/>
      </w:pPr>
      <w:bookmarkStart w:id="0" w:name="_88aanrr0492m" w:colFirst="0" w:colLast="0"/>
      <w:bookmarkStart w:id="1" w:name="_Toc236838815"/>
      <w:bookmarkEnd w:id="0"/>
      <w:r w:rsidRPr="00D176E7">
        <w:lastRenderedPageBreak/>
        <w:t>1. Introduction</w:t>
      </w:r>
      <w:bookmarkEnd w:id="1"/>
      <w:r w:rsidRPr="00D176E7">
        <w:t xml:space="preserve"> </w:t>
      </w:r>
    </w:p>
    <w:p w:rsidR="00212483" w:rsidRPr="00D176E7" w:rsidRDefault="00E96C66">
      <w:pPr>
        <w:spacing w:line="360" w:lineRule="auto"/>
        <w:jc w:val="both"/>
      </w:pPr>
      <w:r w:rsidRPr="00D176E7">
        <w:t xml:space="preserve">The central concept of organisational structure constitutes the hierarchical breakdown of roles and responsibilities within an organisation. The purpose of the report is to determine the communication </w:t>
      </w:r>
      <w:r w:rsidR="00062DC4" w:rsidRPr="00D176E7">
        <w:t>and management initiatives of Sainsbury are</w:t>
      </w:r>
      <w:r w:rsidRPr="00D176E7">
        <w:t>, emphasizing its importance and effectiveness. The relationship between structure and performance is that leaner structures with clear communication lines facilitate improved organisational performance. Similarly, structure is aligned with culture since a hierarchical culture leads to a formal structure. Sainsbury’s is one of the four largest retail firms across the UK and demonstrated retail sales growth by 3.1% and revenue worth £1,036m as of 2025 (Sainsbury’s, 2025). The contents of the report discuss common issues faced by Sainsbury’s regarding communication and the proposal of recommendations aimed to overcome stated issues. Therefore, the report assesses the communication measures within the firm and the initiatives aimed at improving it as per the recommendations provided within it.</w:t>
      </w:r>
    </w:p>
    <w:p w:rsidR="00212483" w:rsidRPr="00D176E7" w:rsidRDefault="00E96C66">
      <w:pPr>
        <w:spacing w:line="360" w:lineRule="auto"/>
        <w:jc w:val="center"/>
        <w:rPr>
          <w:b/>
          <w:bCs/>
        </w:rPr>
      </w:pPr>
      <w:r w:rsidRPr="00D176E7">
        <w:rPr>
          <w:b/>
          <w:bCs/>
          <w:noProof/>
        </w:rPr>
        <w:drawing>
          <wp:inline distT="114300" distB="114300" distL="114300" distR="114300">
            <wp:extent cx="5731200" cy="1663700"/>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1663700"/>
                    </a:xfrm>
                    <a:prstGeom prst="rect">
                      <a:avLst/>
                    </a:prstGeom>
                    <a:ln w="12700">
                      <a:solidFill>
                        <a:srgbClr val="000000"/>
                      </a:solidFill>
                      <a:prstDash val="solid"/>
                    </a:ln>
                  </pic:spPr>
                </pic:pic>
              </a:graphicData>
            </a:graphic>
          </wp:inline>
        </w:drawing>
      </w:r>
    </w:p>
    <w:p w:rsidR="00212483" w:rsidRPr="00D176E7" w:rsidRDefault="00E96C66">
      <w:pPr>
        <w:spacing w:line="360" w:lineRule="auto"/>
        <w:jc w:val="center"/>
        <w:rPr>
          <w:b/>
          <w:bCs/>
        </w:rPr>
      </w:pPr>
      <w:r w:rsidRPr="00D176E7">
        <w:rPr>
          <w:b/>
          <w:bCs/>
        </w:rPr>
        <w:t>Figure 1: Sainsbury’s financial data</w:t>
      </w:r>
    </w:p>
    <w:p w:rsidR="00212483" w:rsidRPr="00D176E7" w:rsidRDefault="00E96C66">
      <w:pPr>
        <w:spacing w:line="360" w:lineRule="auto"/>
        <w:jc w:val="center"/>
        <w:rPr>
          <w:b/>
          <w:bCs/>
        </w:rPr>
      </w:pPr>
      <w:r w:rsidRPr="00D176E7">
        <w:t>(Source: Sainsbury’s 2025)</w:t>
      </w:r>
      <w:r w:rsidRPr="00D176E7">
        <w:br w:type="page"/>
      </w:r>
    </w:p>
    <w:p w:rsidR="00212483" w:rsidRPr="00D176E7" w:rsidRDefault="00E96C66">
      <w:pPr>
        <w:pStyle w:val="Heading1"/>
      </w:pPr>
      <w:bookmarkStart w:id="2" w:name="_z6n9c0bt694e" w:colFirst="0" w:colLast="0"/>
      <w:bookmarkStart w:id="3" w:name="_Toc236838816"/>
      <w:bookmarkEnd w:id="2"/>
      <w:r w:rsidRPr="00D176E7">
        <w:lastRenderedPageBreak/>
        <w:t>2. Communication and Methods</w:t>
      </w:r>
      <w:bookmarkEnd w:id="3"/>
      <w:r w:rsidRPr="00D176E7">
        <w:t xml:space="preserve"> </w:t>
      </w:r>
    </w:p>
    <w:p w:rsidR="00212483" w:rsidRPr="00D176E7" w:rsidRDefault="00E96C66">
      <w:pPr>
        <w:spacing w:line="360" w:lineRule="auto"/>
        <w:jc w:val="both"/>
        <w:rPr>
          <w:b/>
          <w:bCs/>
        </w:rPr>
      </w:pPr>
      <w:r w:rsidRPr="00D176E7">
        <w:rPr>
          <w:b/>
          <w:bCs/>
        </w:rPr>
        <w:t xml:space="preserve">Communication in context of Sainsbury’s </w:t>
      </w:r>
    </w:p>
    <w:p w:rsidR="00212483" w:rsidRPr="00D176E7" w:rsidRDefault="00E96C66">
      <w:pPr>
        <w:spacing w:line="360" w:lineRule="auto"/>
        <w:jc w:val="both"/>
      </w:pPr>
      <w:r w:rsidRPr="00D176E7">
        <w:t xml:space="preserve">Communication is defined as the exchange of messages between people and the transmission of intermediary knowledge between hosts. As per the views of Cornelissen (2023), corporate communication is bound towards the transmission of important operational directives to employees. The communication in context of Sainsbury’s includes the initiatives undertaken to communicate between executives, store workers and with customers respectively. Sainsbury’s </w:t>
      </w:r>
      <w:r w:rsidR="001C215C" w:rsidRPr="00D176E7">
        <w:t>is operating</w:t>
      </w:r>
      <w:r w:rsidRPr="00D176E7">
        <w:t xml:space="preserve"> with over 180,000 employees and has used engagement campaigns to motivate the workforce respectively (</w:t>
      </w:r>
      <w:proofErr w:type="spellStart"/>
      <w:r w:rsidRPr="00D176E7">
        <w:t>Bluegoose</w:t>
      </w:r>
      <w:proofErr w:type="spellEnd"/>
      <w:r w:rsidRPr="00D176E7">
        <w:t xml:space="preserve">, 2026). </w:t>
      </w:r>
      <w:r w:rsidR="00BC4DED" w:rsidRPr="00D176E7">
        <w:t>The communication</w:t>
      </w:r>
      <w:r w:rsidRPr="00D176E7">
        <w:t xml:space="preserve"> approaches from Sainsbury’s context consist of internal communication campaigns, meetings, physical training sessions and staff engagement surveys. The effectiveness of communication within Sainsbury’s is that the firm maintains </w:t>
      </w:r>
      <w:r w:rsidR="000B66E7" w:rsidRPr="00D176E7">
        <w:t>clear communication channels that enhance</w:t>
      </w:r>
      <w:r w:rsidRPr="00D176E7">
        <w:t xml:space="preserve"> productivity of the firm. For example, effective communication among Sainsbury’s operational staff has led to 3.1% increase in retail sales growth (Sainsbury’s 2025). The importance of communication within Sainsbury’s is to enhance the productivity of its workforce and keep workers informed about their job roles. Similarly, communication within Sainsbury’s managers and staff is deemed important as it helps them align motivation of staff towards achievement of corporate objectives, improving service compliance.</w:t>
      </w:r>
    </w:p>
    <w:p w:rsidR="00212483" w:rsidRPr="00D176E7" w:rsidRDefault="00E96C66">
      <w:pPr>
        <w:spacing w:line="360" w:lineRule="auto"/>
        <w:jc w:val="both"/>
        <w:rPr>
          <w:b/>
          <w:bCs/>
        </w:rPr>
      </w:pPr>
      <w:r w:rsidRPr="00D176E7">
        <w:rPr>
          <w:b/>
          <w:bCs/>
        </w:rPr>
        <w:t xml:space="preserve">Various communication methods </w:t>
      </w:r>
    </w:p>
    <w:p w:rsidR="00212483" w:rsidRPr="00D176E7" w:rsidRDefault="00E96C66">
      <w:pPr>
        <w:spacing w:line="360" w:lineRule="auto"/>
        <w:jc w:val="both"/>
        <w:rPr>
          <w:b/>
          <w:bCs/>
        </w:rPr>
      </w:pPr>
      <w:r w:rsidRPr="00D176E7">
        <w:rPr>
          <w:b/>
          <w:bCs/>
        </w:rPr>
        <w:t>Internal</w:t>
      </w:r>
    </w:p>
    <w:p w:rsidR="00212483" w:rsidRPr="00D176E7" w:rsidRDefault="00E96C66">
      <w:pPr>
        <w:spacing w:line="360" w:lineRule="auto"/>
        <w:jc w:val="both"/>
      </w:pPr>
      <w:r w:rsidRPr="00D176E7">
        <w:t xml:space="preserve">The internal communications of Sainsbury’s is facilitated </w:t>
      </w:r>
      <w:r w:rsidR="000B66E7" w:rsidRPr="00D176E7">
        <w:t>either through</w:t>
      </w:r>
      <w:r w:rsidRPr="00D176E7">
        <w:t xml:space="preserve"> face-to-face meetings or via use of digital platforms that facilitate organisational communication. The firm also uses engagement surveys to assess the current rate of engagement within its workforce. For example, Sainsbury’s implements annual engagement surveys that are used to identify the emotional state of workers and update the wellbeing dashboard (Sainsbury’s, 2026). The firm’s communication methods demonstrate a mix of digital and physical communication measures as the data collected from engagement surveys are displayed on </w:t>
      </w:r>
      <w:r w:rsidR="000B66E7" w:rsidRPr="00D176E7">
        <w:t>a digital</w:t>
      </w:r>
      <w:r w:rsidRPr="00D176E7">
        <w:t xml:space="preserve"> dashboard within stores.</w:t>
      </w:r>
    </w:p>
    <w:p w:rsidR="00212483" w:rsidRPr="00D176E7" w:rsidRDefault="00E96C66">
      <w:pPr>
        <w:spacing w:line="360" w:lineRule="auto"/>
        <w:jc w:val="both"/>
        <w:rPr>
          <w:b/>
          <w:bCs/>
        </w:rPr>
      </w:pPr>
      <w:r w:rsidRPr="00D176E7">
        <w:br w:type="page"/>
      </w:r>
    </w:p>
    <w:p w:rsidR="00212483" w:rsidRPr="00D176E7" w:rsidRDefault="00E96C66">
      <w:pPr>
        <w:spacing w:line="360" w:lineRule="auto"/>
        <w:jc w:val="both"/>
        <w:rPr>
          <w:b/>
          <w:bCs/>
        </w:rPr>
      </w:pPr>
      <w:r w:rsidRPr="00D176E7">
        <w:rPr>
          <w:b/>
          <w:bCs/>
        </w:rPr>
        <w:lastRenderedPageBreak/>
        <w:t>External</w:t>
      </w:r>
    </w:p>
    <w:p w:rsidR="00212483" w:rsidRPr="00D176E7" w:rsidRDefault="00E96C66">
      <w:pPr>
        <w:spacing w:line="360" w:lineRule="auto"/>
        <w:jc w:val="both"/>
      </w:pPr>
      <w:r w:rsidRPr="00D176E7">
        <w:t xml:space="preserve">The external communications that Sainsbury’s facilitates with its customers is through social platforms and PR initiatives. For example, qualitative customer focus groups and consumer surveys are used to track engagement demographics and productivity outputs respectively (Sainsbury’s, 2026a). The firm’s initiatives of communication include the use of social media campaigns and marketing activities to engage with its audiences. The positive impact of the external communication methods is a higher rate of consumer loyalty and enhanced retention possibilities. Therefore, effective communication stipulates the organisation to improve communication efficacy, improve internal </w:t>
      </w:r>
      <w:r w:rsidR="000B66E7" w:rsidRPr="00D176E7">
        <w:t>engagement,</w:t>
      </w:r>
      <w:r w:rsidRPr="00D176E7">
        <w:t xml:space="preserve"> and create an engaging culture. </w:t>
      </w:r>
    </w:p>
    <w:p w:rsidR="00212483" w:rsidRPr="00D176E7" w:rsidRDefault="00E96C66">
      <w:pPr>
        <w:spacing w:line="360" w:lineRule="auto"/>
        <w:jc w:val="both"/>
        <w:rPr>
          <w:b/>
          <w:bCs/>
        </w:rPr>
      </w:pPr>
      <w:r w:rsidRPr="00D176E7">
        <w:rPr>
          <w:b/>
          <w:bCs/>
        </w:rPr>
        <w:t xml:space="preserve">The essential nature of managerial work and the role of leadership </w:t>
      </w:r>
    </w:p>
    <w:p w:rsidR="00212483" w:rsidRPr="00D176E7" w:rsidRDefault="00E96C66">
      <w:pPr>
        <w:spacing w:line="360" w:lineRule="auto"/>
        <w:jc w:val="both"/>
      </w:pPr>
      <w:r w:rsidRPr="00D176E7">
        <w:t xml:space="preserve">The essential nature of managerial work is to help employees meet productivity demands and handle the objectives of an organisation. The managers of Sainsbury (individual store managers) set out daily tasks for employees and develop objectives to enhance sales value within stores. In a similar manner, the role of leadership in an organisation is to manage individuals and facilitate their productive outcome according to firm compliance. Effective leadership has enabled Sainsbury’s to improve financial decision-making within the firm and ensure £531m worth of retail cash flow in 2025 (Sainsbury’s, 2025a). A leader within an organisation is tasked with improving teamwork and enhancing the quality of services offered by employees. </w:t>
      </w:r>
    </w:p>
    <w:p w:rsidR="00212483" w:rsidRPr="00D176E7" w:rsidRDefault="00E96C66">
      <w:pPr>
        <w:spacing w:line="360" w:lineRule="auto"/>
        <w:jc w:val="both"/>
        <w:rPr>
          <w:b/>
          <w:bCs/>
        </w:rPr>
      </w:pPr>
      <w:r w:rsidRPr="00D176E7">
        <w:br w:type="page"/>
      </w:r>
    </w:p>
    <w:p w:rsidR="00212483" w:rsidRPr="00D176E7" w:rsidRDefault="00E96C66">
      <w:pPr>
        <w:pStyle w:val="Heading1"/>
      </w:pPr>
      <w:bookmarkStart w:id="4" w:name="_bjjuxicj76a8" w:colFirst="0" w:colLast="0"/>
      <w:bookmarkStart w:id="5" w:name="_Toc236838817"/>
      <w:bookmarkEnd w:id="4"/>
      <w:r w:rsidRPr="00D176E7">
        <w:lastRenderedPageBreak/>
        <w:t>3. Common Issues</w:t>
      </w:r>
      <w:bookmarkEnd w:id="5"/>
    </w:p>
    <w:p w:rsidR="00212483" w:rsidRPr="00D176E7" w:rsidRDefault="00E96C66">
      <w:pPr>
        <w:spacing w:line="360" w:lineRule="auto"/>
        <w:jc w:val="both"/>
        <w:rPr>
          <w:b/>
          <w:bCs/>
        </w:rPr>
      </w:pPr>
      <w:r w:rsidRPr="00D176E7">
        <w:rPr>
          <w:b/>
          <w:bCs/>
        </w:rPr>
        <w:t>Prevalent communication challenges</w:t>
      </w:r>
    </w:p>
    <w:p w:rsidR="00212483" w:rsidRPr="00D176E7" w:rsidRDefault="00E96C66">
      <w:pPr>
        <w:spacing w:line="360" w:lineRule="auto"/>
        <w:jc w:val="both"/>
        <w:rPr>
          <w:b/>
          <w:bCs/>
        </w:rPr>
      </w:pPr>
      <w:r w:rsidRPr="00D176E7">
        <w:rPr>
          <w:b/>
          <w:bCs/>
        </w:rPr>
        <w:t>Communication Automation Challenges</w:t>
      </w:r>
    </w:p>
    <w:p w:rsidR="00212483" w:rsidRPr="00D176E7" w:rsidRDefault="00E96C66">
      <w:pPr>
        <w:spacing w:line="360" w:lineRule="auto"/>
        <w:jc w:val="both"/>
        <w:rPr>
          <w:b/>
          <w:bCs/>
        </w:rPr>
      </w:pPr>
      <w:r w:rsidRPr="00D176E7">
        <w:t xml:space="preserve">The automation of communication initiatives within businesses presents a challenge since authentic communication between human hosts is lost in the process. Sainsbury’s uses interactive voice responses to automate its customer calls and </w:t>
      </w:r>
      <w:r w:rsidR="000B66E7" w:rsidRPr="00D176E7">
        <w:t>faces</w:t>
      </w:r>
      <w:r w:rsidRPr="00D176E7">
        <w:t xml:space="preserve"> a challenge in maintaining external communication via this initiative. It has been reported that Sainsbury’s was losing around 15% of customer calls </w:t>
      </w:r>
      <w:r w:rsidR="00796B33" w:rsidRPr="00D176E7">
        <w:t>annually,</w:t>
      </w:r>
      <w:r w:rsidRPr="00D176E7">
        <w:t xml:space="preserve"> as the automated responses were ineffective at resolving consumer queries (</w:t>
      </w:r>
      <w:proofErr w:type="spellStart"/>
      <w:r w:rsidRPr="00D176E7">
        <w:t>Engagehub</w:t>
      </w:r>
      <w:proofErr w:type="spellEnd"/>
      <w:r w:rsidRPr="00D176E7">
        <w:t xml:space="preserve">, 2026). The problem posed by automated communication measures is that these operate on AI platforms and undergo a specific algorithm to answer. The consumer can find the lack of a human responder unauthentic and this can lead to a decrease in terms of brand engagement. Furthermore, the vocal dialect of consumers can sometimes be undecipherable by automation technologies that can further </w:t>
      </w:r>
      <w:r w:rsidR="00796B33" w:rsidRPr="00D176E7">
        <w:t>affect</w:t>
      </w:r>
      <w:r w:rsidRPr="00D176E7">
        <w:t xml:space="preserve"> the quality of external communication. Therefore, it can be denoted that the challenge of poor communication within Sainsbury’s is evident and is </w:t>
      </w:r>
      <w:r w:rsidR="00796B33" w:rsidRPr="00D176E7">
        <w:t>affecting</w:t>
      </w:r>
      <w:r w:rsidRPr="00D176E7">
        <w:t xml:space="preserve"> its consumer feedback procedure.</w:t>
      </w:r>
      <w:r w:rsidRPr="00D176E7">
        <w:rPr>
          <w:b/>
          <w:bCs/>
        </w:rPr>
        <w:t xml:space="preserve"> </w:t>
      </w:r>
    </w:p>
    <w:p w:rsidR="00212483" w:rsidRPr="00D176E7" w:rsidRDefault="00E96C66">
      <w:pPr>
        <w:spacing w:line="360" w:lineRule="auto"/>
        <w:jc w:val="both"/>
        <w:rPr>
          <w:b/>
          <w:bCs/>
        </w:rPr>
      </w:pPr>
      <w:r w:rsidRPr="00D176E7">
        <w:rPr>
          <w:b/>
          <w:bCs/>
        </w:rPr>
        <w:t>Miscommunication</w:t>
      </w:r>
    </w:p>
    <w:p w:rsidR="00212483" w:rsidRPr="00D176E7" w:rsidRDefault="00E96C66">
      <w:pPr>
        <w:spacing w:line="360" w:lineRule="auto"/>
        <w:jc w:val="both"/>
      </w:pPr>
      <w:r w:rsidRPr="00D176E7">
        <w:t xml:space="preserve">The challenge of miscommunication includes vague information or the creation of data silos that slow down operational efficiency of organisations. As per the views of Hankins </w:t>
      </w:r>
      <w:r w:rsidRPr="00D176E7">
        <w:rPr>
          <w:i/>
          <w:iCs/>
        </w:rPr>
        <w:t>et al.</w:t>
      </w:r>
      <w:r w:rsidRPr="00D176E7">
        <w:t xml:space="preserve"> (2023), miscommunication includes the misalignment of goals and values that lead to information silos. Common reasons that miscommunication occurs is due to fragmentation of messages or passive listening wherein instructions are often misinterpreted. Miscommunication has been observed within Sainsbury’s since the firm’s rapid digitalisation has left employees struggling to cope with development of technological skills. For example, a customer in Sainsbury’s was ordered to leave the store after a face detection system wrongfully flagged the customer as a potential convict (Rawlinson, 2026). The incident led to miscommunication between </w:t>
      </w:r>
      <w:r w:rsidR="00661906" w:rsidRPr="00D176E7">
        <w:t>managers, staff,</w:t>
      </w:r>
      <w:r w:rsidRPr="00D176E7">
        <w:t xml:space="preserve"> and the lack of standardised operational procedures led to biased conviction against a customer. The challenge of miscommunication impacts the operational effectiveness of Sainsbury’s by limiting its operational efficiency respectively. Therefore, remediation of miscommunication is vital to improve the management initiatives within Sainsbury’s respectively.</w:t>
      </w:r>
    </w:p>
    <w:p w:rsidR="00212483" w:rsidRPr="00D176E7" w:rsidRDefault="00E96C66">
      <w:pPr>
        <w:spacing w:line="360" w:lineRule="auto"/>
        <w:jc w:val="both"/>
        <w:rPr>
          <w:b/>
          <w:bCs/>
        </w:rPr>
      </w:pPr>
      <w:r w:rsidRPr="00D176E7">
        <w:br w:type="page"/>
      </w:r>
    </w:p>
    <w:p w:rsidR="00212483" w:rsidRPr="00D176E7" w:rsidRDefault="00E96C66">
      <w:pPr>
        <w:spacing w:line="360" w:lineRule="auto"/>
        <w:jc w:val="both"/>
        <w:rPr>
          <w:b/>
          <w:bCs/>
        </w:rPr>
      </w:pPr>
      <w:r w:rsidRPr="00D176E7">
        <w:rPr>
          <w:b/>
          <w:bCs/>
        </w:rPr>
        <w:lastRenderedPageBreak/>
        <w:t xml:space="preserve">Cultural barriers </w:t>
      </w:r>
    </w:p>
    <w:p w:rsidR="00212483" w:rsidRPr="00D176E7" w:rsidRDefault="00E96C66">
      <w:pPr>
        <w:spacing w:line="360" w:lineRule="auto"/>
        <w:jc w:val="both"/>
      </w:pPr>
      <w:r w:rsidRPr="00D176E7">
        <w:t xml:space="preserve">The cultural barrier occurs within communication wherein people from different cultures fail to find a common </w:t>
      </w:r>
      <w:r w:rsidR="00661906" w:rsidRPr="00D176E7">
        <w:t>ground for</w:t>
      </w:r>
      <w:r w:rsidRPr="00D176E7">
        <w:t xml:space="preserve"> interactions. The differences </w:t>
      </w:r>
      <w:r w:rsidR="00661906" w:rsidRPr="00D176E7">
        <w:t>in cultural</w:t>
      </w:r>
      <w:r w:rsidRPr="00D176E7">
        <w:t xml:space="preserve"> dynamics </w:t>
      </w:r>
      <w:r w:rsidR="007B16A1" w:rsidRPr="00D176E7">
        <w:t>include shifts</w:t>
      </w:r>
      <w:r w:rsidRPr="00D176E7">
        <w:t xml:space="preserve"> in traditions and engagement practices and this difference brings about issues in consistent communication. For example, </w:t>
      </w:r>
      <w:r w:rsidR="00661906" w:rsidRPr="00D176E7">
        <w:t>Sainsbury has</w:t>
      </w:r>
      <w:r w:rsidRPr="00D176E7">
        <w:t xml:space="preserve"> faced challenges regarding racism as a Christmas advert of the firm has faced severe criticism online (</w:t>
      </w:r>
      <w:proofErr w:type="spellStart"/>
      <w:r w:rsidRPr="00D176E7">
        <w:t>Skopeliti</w:t>
      </w:r>
      <w:proofErr w:type="spellEnd"/>
      <w:r w:rsidRPr="00D176E7">
        <w:t>, 2020). The cultural barriers between employees from ethnic groups within the firm affected the concepts about cultural and racial prejudiced beliefs among employees. The issue details that employees of the firm have a shallow view of culture and their limited knowledge about other cultures is reflected in the marketing categories of Sainsbury’s. The impact of the issue has been evident as retail cash flow generated by Sainsbury’s was lower (£ 531 million) than that of previous year (£ 639 million) due to loss of loyal customers (Sainsbury’s, 2025a). Thus, the employees of Sainsbury’s need to be informed on relevant cultural practices and measures to improve stakeholder engagement respectively.</w:t>
      </w:r>
    </w:p>
    <w:p w:rsidR="00212483" w:rsidRPr="00D176E7" w:rsidRDefault="00212483">
      <w:pPr>
        <w:spacing w:line="360" w:lineRule="auto"/>
        <w:jc w:val="both"/>
        <w:rPr>
          <w:b/>
          <w:bCs/>
        </w:rPr>
      </w:pPr>
    </w:p>
    <w:p w:rsidR="00212483" w:rsidRPr="00D176E7" w:rsidRDefault="00212483">
      <w:pPr>
        <w:spacing w:line="360" w:lineRule="auto"/>
        <w:jc w:val="both"/>
        <w:rPr>
          <w:b/>
          <w:bCs/>
        </w:rPr>
      </w:pPr>
    </w:p>
    <w:p w:rsidR="00212483" w:rsidRPr="00D176E7" w:rsidRDefault="00E96C66">
      <w:pPr>
        <w:spacing w:line="360" w:lineRule="auto"/>
        <w:jc w:val="both"/>
        <w:rPr>
          <w:b/>
          <w:bCs/>
        </w:rPr>
      </w:pPr>
      <w:r w:rsidRPr="00D176E7">
        <w:br w:type="page"/>
      </w:r>
    </w:p>
    <w:p w:rsidR="00212483" w:rsidRPr="00D176E7" w:rsidRDefault="00E96C66">
      <w:pPr>
        <w:pStyle w:val="Heading1"/>
      </w:pPr>
      <w:bookmarkStart w:id="6" w:name="_ucrxcy3a5nuh" w:colFirst="0" w:colLast="0"/>
      <w:bookmarkStart w:id="7" w:name="_Toc236838818"/>
      <w:bookmarkEnd w:id="6"/>
      <w:r w:rsidRPr="00D176E7">
        <w:lastRenderedPageBreak/>
        <w:t>4. Recommendations</w:t>
      </w:r>
      <w:bookmarkEnd w:id="7"/>
      <w:r w:rsidRPr="00D176E7">
        <w:t xml:space="preserve"> </w:t>
      </w:r>
    </w:p>
    <w:p w:rsidR="00212483" w:rsidRPr="00D176E7" w:rsidRDefault="00E96C66">
      <w:pPr>
        <w:spacing w:line="360" w:lineRule="auto"/>
        <w:jc w:val="both"/>
        <w:rPr>
          <w:b/>
          <w:bCs/>
          <w:i/>
          <w:iCs/>
        </w:rPr>
      </w:pPr>
      <w:r w:rsidRPr="00D176E7">
        <w:rPr>
          <w:b/>
          <w:bCs/>
          <w:i/>
          <w:iCs/>
        </w:rPr>
        <w:t xml:space="preserve">Cultural training </w:t>
      </w:r>
    </w:p>
    <w:p w:rsidR="00212483" w:rsidRPr="00D176E7" w:rsidRDefault="00327AB4">
      <w:pPr>
        <w:spacing w:line="360" w:lineRule="auto"/>
        <w:jc w:val="both"/>
      </w:pPr>
      <w:r w:rsidRPr="00D176E7">
        <w:t>Sainsbury’s can offer cultural training</w:t>
      </w:r>
      <w:r w:rsidR="00E96C66" w:rsidRPr="00D176E7">
        <w:t xml:space="preserve"> to its workforce, remedying the challenge of cultural barriers evident within the firm. For example, cultural competence training informs users about the different cultural perspectives prevalent within society and the diverse beliefs shaping practices (Chu </w:t>
      </w:r>
      <w:r w:rsidR="00E96C66" w:rsidRPr="00D176E7">
        <w:rPr>
          <w:i/>
          <w:iCs/>
        </w:rPr>
        <w:t>et al.</w:t>
      </w:r>
      <w:r w:rsidR="00E96C66" w:rsidRPr="00D176E7">
        <w:t xml:space="preserve"> 2022). The training can be facilitated by utilising online training platforms or by using mentors that come from culturally diverse backgrounds.</w:t>
      </w:r>
    </w:p>
    <w:p w:rsidR="00212483" w:rsidRPr="00D176E7" w:rsidRDefault="00E96C66">
      <w:pPr>
        <w:spacing w:line="360" w:lineRule="auto"/>
        <w:jc w:val="both"/>
        <w:rPr>
          <w:b/>
          <w:bCs/>
          <w:i/>
          <w:iCs/>
        </w:rPr>
      </w:pPr>
      <w:r w:rsidRPr="00D176E7">
        <w:rPr>
          <w:b/>
          <w:bCs/>
          <w:i/>
          <w:iCs/>
        </w:rPr>
        <w:t>Promotion of active listening among workforce</w:t>
      </w:r>
    </w:p>
    <w:p w:rsidR="00212483" w:rsidRPr="00D176E7" w:rsidRDefault="00E96C66">
      <w:pPr>
        <w:spacing w:line="360" w:lineRule="auto"/>
        <w:jc w:val="both"/>
      </w:pPr>
      <w:r w:rsidRPr="00D176E7">
        <w:t xml:space="preserve">The issue of miscommunication within Sainsbury's can be remedied by promoting employees to adopt active listening skills. The skill can be promoted by adopting initiatives such as workplace workshops or enforcing employees to take active online courses. Active listening would enhance the communication engagement of the workforce and minimise any sort of miscommunication evident within the firm’s supply chain. </w:t>
      </w:r>
    </w:p>
    <w:p w:rsidR="00212483" w:rsidRPr="00D176E7" w:rsidRDefault="00E96C66">
      <w:pPr>
        <w:spacing w:line="360" w:lineRule="auto"/>
        <w:jc w:val="both"/>
        <w:rPr>
          <w:b/>
          <w:bCs/>
          <w:i/>
          <w:iCs/>
        </w:rPr>
      </w:pPr>
      <w:r w:rsidRPr="00D176E7">
        <w:rPr>
          <w:b/>
          <w:bCs/>
          <w:i/>
          <w:iCs/>
        </w:rPr>
        <w:t>Auditing of automated communication challenge</w:t>
      </w:r>
    </w:p>
    <w:p w:rsidR="00212483" w:rsidRPr="00D176E7" w:rsidRDefault="00E96C66">
      <w:pPr>
        <w:spacing w:line="360" w:lineRule="auto"/>
        <w:jc w:val="both"/>
      </w:pPr>
      <w:r w:rsidRPr="00D176E7">
        <w:t xml:space="preserve">The automated communication platforms of Sainsbury need to be audited frequently and new consumer data should be used to re-train the platforms. The response algorithms of automated communication platforms need to be updated to allow customers specific answers to their questions instead of going through an arduous </w:t>
      </w:r>
      <w:r w:rsidR="00327AB4" w:rsidRPr="00D176E7">
        <w:t>deduction process.</w:t>
      </w:r>
      <w:r w:rsidRPr="00D176E7">
        <w:t xml:space="preserve"> Quarterly audits can be conducted that would aim to identify the initiatives and to train employees on engaging communication respectively.</w:t>
      </w:r>
    </w:p>
    <w:p w:rsidR="00212483" w:rsidRPr="00D176E7" w:rsidRDefault="00212483">
      <w:pPr>
        <w:spacing w:line="360" w:lineRule="auto"/>
        <w:jc w:val="both"/>
        <w:rPr>
          <w:b/>
          <w:bCs/>
        </w:rPr>
      </w:pPr>
    </w:p>
    <w:p w:rsidR="00212483" w:rsidRPr="00D176E7" w:rsidRDefault="00E96C66">
      <w:pPr>
        <w:spacing w:line="360" w:lineRule="auto"/>
        <w:jc w:val="both"/>
        <w:rPr>
          <w:b/>
          <w:bCs/>
        </w:rPr>
      </w:pPr>
      <w:r w:rsidRPr="00D176E7">
        <w:br w:type="page"/>
      </w:r>
    </w:p>
    <w:p w:rsidR="00212483" w:rsidRPr="00D176E7" w:rsidRDefault="00E96C66">
      <w:pPr>
        <w:pStyle w:val="Heading1"/>
      </w:pPr>
      <w:bookmarkStart w:id="8" w:name="_4joy07k11dko" w:colFirst="0" w:colLast="0"/>
      <w:bookmarkStart w:id="9" w:name="_Toc236838819"/>
      <w:bookmarkEnd w:id="8"/>
      <w:r w:rsidRPr="00D176E7">
        <w:lastRenderedPageBreak/>
        <w:t>5. Conclusion</w:t>
      </w:r>
      <w:bookmarkEnd w:id="9"/>
      <w:r w:rsidRPr="00D176E7">
        <w:t xml:space="preserve"> </w:t>
      </w:r>
    </w:p>
    <w:p w:rsidR="00212483" w:rsidRPr="00D176E7" w:rsidRDefault="00E96C66">
      <w:pPr>
        <w:spacing w:line="360" w:lineRule="auto"/>
        <w:jc w:val="both"/>
        <w:rPr>
          <w:b/>
          <w:bCs/>
          <w:i/>
          <w:iCs/>
        </w:rPr>
      </w:pPr>
      <w:r w:rsidRPr="00D176E7">
        <w:rPr>
          <w:b/>
          <w:bCs/>
          <w:i/>
          <w:iCs/>
        </w:rPr>
        <w:t>Summarising key insights and findings</w:t>
      </w:r>
    </w:p>
    <w:p w:rsidR="00212483" w:rsidRPr="00D176E7" w:rsidRDefault="00E96C66">
      <w:pPr>
        <w:spacing w:line="360" w:lineRule="auto"/>
        <w:jc w:val="both"/>
      </w:pPr>
      <w:r w:rsidRPr="00D176E7">
        <w:t xml:space="preserve">The report identifies the communication measures used by Sainsbury’s to engage its external and internal stakeholders, denoting its managerial efficacy. Measures such as employee surveys, </w:t>
      </w:r>
      <w:r w:rsidR="00327AB4" w:rsidRPr="00D176E7">
        <w:t>meetings,</w:t>
      </w:r>
      <w:r w:rsidRPr="00D176E7">
        <w:t xml:space="preserve"> and social media communications are detailed to be relevant within Sainsbury’s. The problems evident in the business include challenges regarding maintenance of automated communication challenges, potential </w:t>
      </w:r>
      <w:r w:rsidR="00327AB4" w:rsidRPr="00D176E7">
        <w:t>miscommunication,</w:t>
      </w:r>
      <w:r w:rsidRPr="00D176E7">
        <w:t xml:space="preserve"> and cultural barriers between diverse employee groups. The communication process within the firm is shown to be aligned with both digital and verbal initiatives aimed to create a supportive firm culture. The recommendations, thus proposing Sainsbury’s to audit its technical communications platforms regularly, promote active listening and offer cultural training to employees.</w:t>
      </w:r>
    </w:p>
    <w:p w:rsidR="00212483" w:rsidRPr="00D176E7" w:rsidRDefault="00E96C66">
      <w:pPr>
        <w:spacing w:line="360" w:lineRule="auto"/>
        <w:jc w:val="both"/>
        <w:rPr>
          <w:b/>
          <w:bCs/>
          <w:i/>
          <w:iCs/>
        </w:rPr>
      </w:pPr>
      <w:r w:rsidRPr="00D176E7">
        <w:rPr>
          <w:b/>
          <w:bCs/>
          <w:i/>
          <w:iCs/>
        </w:rPr>
        <w:t>Importance of effective communication in business context</w:t>
      </w:r>
    </w:p>
    <w:p w:rsidR="00212483" w:rsidRPr="00D176E7" w:rsidRDefault="00E96C66">
      <w:pPr>
        <w:spacing w:line="360" w:lineRule="auto"/>
        <w:jc w:val="both"/>
      </w:pPr>
      <w:r w:rsidRPr="00D176E7">
        <w:t>Effective communication is important from a business context since it ensures heightened employee engagement and productivity. Effective communication also ensures that employees become aligned with corporate objectives, improving competitive growth of firms.</w:t>
      </w:r>
    </w:p>
    <w:p w:rsidR="00212483" w:rsidRPr="00D176E7" w:rsidRDefault="00E96C66">
      <w:pPr>
        <w:spacing w:line="360" w:lineRule="auto"/>
        <w:jc w:val="both"/>
        <w:rPr>
          <w:b/>
          <w:bCs/>
        </w:rPr>
      </w:pPr>
      <w:r w:rsidRPr="00D176E7">
        <w:br w:type="page"/>
      </w:r>
    </w:p>
    <w:p w:rsidR="00212483" w:rsidRPr="00D176E7" w:rsidRDefault="00E96C66">
      <w:pPr>
        <w:pStyle w:val="Heading1"/>
      </w:pPr>
      <w:bookmarkStart w:id="10" w:name="_uf4kquclf8hg" w:colFirst="0" w:colLast="0"/>
      <w:bookmarkStart w:id="11" w:name="_Toc236838820"/>
      <w:bookmarkEnd w:id="10"/>
      <w:r w:rsidRPr="00D176E7">
        <w:lastRenderedPageBreak/>
        <w:t>Reference List</w:t>
      </w:r>
      <w:bookmarkEnd w:id="11"/>
    </w:p>
    <w:p w:rsidR="005A6589" w:rsidRPr="00D176E7" w:rsidRDefault="005A6589">
      <w:pPr>
        <w:spacing w:line="360" w:lineRule="auto"/>
        <w:jc w:val="both"/>
      </w:pPr>
      <w:proofErr w:type="spellStart"/>
      <w:r w:rsidRPr="00D176E7">
        <w:t>Bluegoose</w:t>
      </w:r>
      <w:proofErr w:type="spellEnd"/>
      <w:r w:rsidRPr="00D176E7">
        <w:t xml:space="preserve"> (2026) </w:t>
      </w:r>
      <w:r w:rsidRPr="00D176E7">
        <w:rPr>
          <w:i/>
          <w:iCs/>
        </w:rPr>
        <w:t xml:space="preserve">Bringing employees together to reach new heights at Sainsbury’s. </w:t>
      </w:r>
      <w:r w:rsidRPr="00D176E7">
        <w:t xml:space="preserve">Available at: </w:t>
      </w:r>
      <w:hyperlink r:id="rId9">
        <w:r w:rsidRPr="00D176E7">
          <w:rPr>
            <w:u w:val="single"/>
          </w:rPr>
          <w:t>https://bluegoose.co.uk/case-study-sainsburys/</w:t>
        </w:r>
      </w:hyperlink>
      <w:r w:rsidRPr="00D176E7">
        <w:t xml:space="preserve"> (Accessed: 03 August 2026)</w:t>
      </w:r>
    </w:p>
    <w:p w:rsidR="005A6589" w:rsidRPr="00D176E7" w:rsidRDefault="005A6589">
      <w:pPr>
        <w:spacing w:line="360" w:lineRule="auto"/>
        <w:jc w:val="both"/>
      </w:pPr>
      <w:r w:rsidRPr="00D176E7">
        <w:t xml:space="preserve">Chu, W., </w:t>
      </w:r>
      <w:proofErr w:type="spellStart"/>
      <w:r w:rsidRPr="00D176E7">
        <w:t>Wippold</w:t>
      </w:r>
      <w:proofErr w:type="spellEnd"/>
      <w:r w:rsidRPr="00D176E7">
        <w:t xml:space="preserve">, G. and Becker, K.D. (2022) ‘A systematic review of cultural competence trainings for mental health providers’. </w:t>
      </w:r>
      <w:r w:rsidRPr="00D176E7">
        <w:rPr>
          <w:i/>
          <w:iCs/>
        </w:rPr>
        <w:t>Professional Psychology: Research and Practice</w:t>
      </w:r>
      <w:r w:rsidRPr="00D176E7">
        <w:t xml:space="preserve">, </w:t>
      </w:r>
      <w:r w:rsidRPr="00D176E7">
        <w:rPr>
          <w:i/>
          <w:iCs/>
        </w:rPr>
        <w:t>53</w:t>
      </w:r>
      <w:r w:rsidRPr="00D176E7">
        <w:t xml:space="preserve">(4), p.362. Available at: </w:t>
      </w:r>
      <w:hyperlink r:id="rId10">
        <w:r w:rsidRPr="00D176E7">
          <w:rPr>
            <w:u w:val="single"/>
          </w:rPr>
          <w:t>https://psycnet.apa.org/manuscript/2022-66265-001.pdf</w:t>
        </w:r>
      </w:hyperlink>
      <w:r w:rsidRPr="00D176E7">
        <w:t xml:space="preserve"> </w:t>
      </w:r>
    </w:p>
    <w:p w:rsidR="005A6589" w:rsidRPr="00D176E7" w:rsidRDefault="005A6589">
      <w:pPr>
        <w:spacing w:line="360" w:lineRule="auto"/>
        <w:jc w:val="both"/>
        <w:rPr>
          <w:b/>
          <w:bCs/>
        </w:rPr>
      </w:pPr>
      <w:r w:rsidRPr="00D176E7">
        <w:t>Cornelissen, J.P., (2023) Corporate communication: A guide to theory and practice.</w:t>
      </w:r>
      <w:r w:rsidRPr="00D176E7">
        <w:rPr>
          <w:b/>
          <w:bCs/>
        </w:rPr>
        <w:t xml:space="preserve"> </w:t>
      </w:r>
    </w:p>
    <w:p w:rsidR="005A6589" w:rsidRPr="00D176E7" w:rsidRDefault="005A6589">
      <w:pPr>
        <w:spacing w:line="360" w:lineRule="auto"/>
        <w:jc w:val="both"/>
      </w:pPr>
      <w:proofErr w:type="spellStart"/>
      <w:r w:rsidRPr="00D176E7">
        <w:t>Engagehub</w:t>
      </w:r>
      <w:proofErr w:type="spellEnd"/>
      <w:r w:rsidRPr="00D176E7">
        <w:t xml:space="preserve"> (2026) </w:t>
      </w:r>
      <w:r w:rsidRPr="00D176E7">
        <w:rPr>
          <w:i/>
          <w:iCs/>
        </w:rPr>
        <w:t xml:space="preserve">Sainsbury’s streamlines inbound call handling process with data-driven IVR. </w:t>
      </w:r>
      <w:r w:rsidRPr="00D176E7">
        <w:t xml:space="preserve">Available at: </w:t>
      </w:r>
      <w:hyperlink r:id="rId11">
        <w:r w:rsidRPr="00D176E7">
          <w:rPr>
            <w:u w:val="single"/>
          </w:rPr>
          <w:t>https://engagehub.com/case-study/sainsburys/</w:t>
        </w:r>
      </w:hyperlink>
      <w:r w:rsidRPr="00D176E7">
        <w:t xml:space="preserve"> (Accessed: 04 August 2026)</w:t>
      </w:r>
    </w:p>
    <w:p w:rsidR="005A6589" w:rsidRPr="00D176E7" w:rsidRDefault="005A6589">
      <w:pPr>
        <w:spacing w:line="360" w:lineRule="auto"/>
        <w:jc w:val="both"/>
      </w:pPr>
      <w:r w:rsidRPr="00D176E7">
        <w:t xml:space="preserve">Hankins, K., Muldoon, R. and Schaefer, A., (2023) ‘Does (mis) communication mitigate the upshot of diversity?’. </w:t>
      </w:r>
      <w:proofErr w:type="spellStart"/>
      <w:r w:rsidRPr="00D176E7">
        <w:rPr>
          <w:i/>
          <w:iCs/>
        </w:rPr>
        <w:t>PLoS</w:t>
      </w:r>
      <w:proofErr w:type="spellEnd"/>
      <w:r w:rsidRPr="00D176E7">
        <w:rPr>
          <w:i/>
          <w:iCs/>
        </w:rPr>
        <w:t xml:space="preserve"> One</w:t>
      </w:r>
      <w:r w:rsidRPr="00D176E7">
        <w:t xml:space="preserve">, </w:t>
      </w:r>
      <w:r w:rsidRPr="00D176E7">
        <w:rPr>
          <w:i/>
          <w:iCs/>
        </w:rPr>
        <w:t>18</w:t>
      </w:r>
      <w:r w:rsidRPr="00D176E7">
        <w:t xml:space="preserve">(3), p.e0283248. Available at: </w:t>
      </w:r>
      <w:hyperlink r:id="rId12">
        <w:r w:rsidRPr="00D176E7">
          <w:rPr>
            <w:u w:val="single"/>
          </w:rPr>
          <w:t>https://journals.plos.org/plosone/article/file?id=10.1371/journal.pone.0283248&amp;type=printable</w:t>
        </w:r>
      </w:hyperlink>
      <w:r w:rsidRPr="00D176E7">
        <w:t xml:space="preserve"> </w:t>
      </w:r>
    </w:p>
    <w:p w:rsidR="005A6589" w:rsidRPr="00D176E7" w:rsidRDefault="005A6589">
      <w:pPr>
        <w:spacing w:line="360" w:lineRule="auto"/>
        <w:jc w:val="both"/>
      </w:pPr>
      <w:r w:rsidRPr="00D176E7">
        <w:t xml:space="preserve">Rawlinson, K., (2026) </w:t>
      </w:r>
      <w:r w:rsidRPr="00D176E7">
        <w:rPr>
          <w:i/>
          <w:iCs/>
        </w:rPr>
        <w:t xml:space="preserve">Sainsbury's staff using facial recognition tech eject innocent shoppers. </w:t>
      </w:r>
      <w:r w:rsidRPr="00D176E7">
        <w:t xml:space="preserve">Available at: </w:t>
      </w:r>
      <w:hyperlink r:id="rId13">
        <w:r w:rsidRPr="00D176E7">
          <w:rPr>
            <w:u w:val="single"/>
          </w:rPr>
          <w:t>https://www.theguardian.com/technology/2026/feb/05/london-man-sainsburys-facial-recognition-facewatch</w:t>
        </w:r>
      </w:hyperlink>
      <w:r w:rsidRPr="00D176E7">
        <w:t xml:space="preserve"> (Accessed: 03 August 2026)</w:t>
      </w:r>
    </w:p>
    <w:p w:rsidR="005A6589" w:rsidRPr="00D176E7" w:rsidRDefault="005A6589">
      <w:pPr>
        <w:spacing w:line="360" w:lineRule="auto"/>
        <w:jc w:val="both"/>
      </w:pPr>
      <w:r w:rsidRPr="00D176E7">
        <w:t xml:space="preserve">Sainsbury’s (2025) Financial Highlights. Available at: </w:t>
      </w:r>
      <w:hyperlink r:id="rId14">
        <w:r w:rsidRPr="00D176E7">
          <w:rPr>
            <w:u w:val="single"/>
          </w:rPr>
          <w:t>https://corporate.sainsburys.co.uk/investors/annual-report-2025/</w:t>
        </w:r>
      </w:hyperlink>
      <w:r w:rsidRPr="00D176E7">
        <w:t xml:space="preserve"> (Accessed: 04 August 2026)</w:t>
      </w:r>
    </w:p>
    <w:p w:rsidR="005A6589" w:rsidRPr="00D176E7" w:rsidRDefault="005A6589">
      <w:pPr>
        <w:spacing w:line="360" w:lineRule="auto"/>
        <w:jc w:val="both"/>
      </w:pPr>
      <w:r w:rsidRPr="00D176E7">
        <w:t xml:space="preserve">Sainsbury’s (2025a) </w:t>
      </w:r>
      <w:r w:rsidRPr="00D176E7">
        <w:rPr>
          <w:i/>
          <w:iCs/>
        </w:rPr>
        <w:t xml:space="preserve">Annual Report 2025. </w:t>
      </w:r>
      <w:r w:rsidRPr="00D176E7">
        <w:t>Available at:</w:t>
      </w:r>
      <w:hyperlink r:id="rId15">
        <w:r w:rsidRPr="00D176E7">
          <w:rPr>
            <w:u w:val="single"/>
          </w:rPr>
          <w:t>https://corporate.sainsburys.co.uk/media/e1lfnybd/sainsbury-annual-report-and-financial-statements-2025.pdf</w:t>
        </w:r>
      </w:hyperlink>
      <w:r w:rsidRPr="00D176E7">
        <w:t xml:space="preserve"> (Accessed: 03 August 2026)</w:t>
      </w:r>
    </w:p>
    <w:p w:rsidR="005A6589" w:rsidRPr="00D176E7" w:rsidRDefault="005A6589">
      <w:pPr>
        <w:spacing w:line="360" w:lineRule="auto"/>
        <w:jc w:val="both"/>
      </w:pPr>
      <w:r w:rsidRPr="00D176E7">
        <w:t xml:space="preserve">Sainsbury’s (2026) </w:t>
      </w:r>
      <w:r w:rsidRPr="00D176E7">
        <w:rPr>
          <w:i/>
          <w:iCs/>
        </w:rPr>
        <w:t xml:space="preserve">How we engage with our customers. </w:t>
      </w:r>
      <w:r w:rsidRPr="00D176E7">
        <w:t xml:space="preserve">Available at: </w:t>
      </w:r>
      <w:hyperlink r:id="rId16">
        <w:r w:rsidRPr="00D176E7">
          <w:rPr>
            <w:u w:val="single"/>
          </w:rPr>
          <w:t>https://corporate.sainsburys.co.uk/sustainability/explore-by-a-z/stakeholder-engagement/how-we-engage-with-our-customers/</w:t>
        </w:r>
      </w:hyperlink>
      <w:r w:rsidRPr="00D176E7">
        <w:t xml:space="preserve"> (Accessed: 03 August 2026)</w:t>
      </w:r>
    </w:p>
    <w:p w:rsidR="005A6589" w:rsidRPr="00D176E7" w:rsidRDefault="005A6589">
      <w:pPr>
        <w:spacing w:line="360" w:lineRule="auto"/>
        <w:jc w:val="both"/>
      </w:pPr>
      <w:r w:rsidRPr="00D176E7">
        <w:t xml:space="preserve">Sainsbury’s (2026) </w:t>
      </w:r>
      <w:r w:rsidRPr="00D176E7">
        <w:rPr>
          <w:i/>
          <w:iCs/>
        </w:rPr>
        <w:t xml:space="preserve">Our approach to colleague health and wellbeing. </w:t>
      </w:r>
      <w:r w:rsidRPr="00D176E7">
        <w:t xml:space="preserve">Available at: </w:t>
      </w:r>
      <w:hyperlink r:id="rId17">
        <w:r w:rsidRPr="00D176E7">
          <w:rPr>
            <w:u w:val="single"/>
          </w:rPr>
          <w:t>https://corporate.sainsburys.co.uk/sustainability/explore-by-a-z/colleagues/our-approach-to-colleague-health-and-wellbeing/</w:t>
        </w:r>
      </w:hyperlink>
      <w:r w:rsidR="00393907">
        <w:t xml:space="preserve"> (Accessed: 05</w:t>
      </w:r>
      <w:r w:rsidRPr="00D176E7">
        <w:t xml:space="preserve"> August 2026)</w:t>
      </w:r>
    </w:p>
    <w:p w:rsidR="005A6589" w:rsidRPr="00D176E7" w:rsidRDefault="005A6589">
      <w:pPr>
        <w:spacing w:line="360" w:lineRule="auto"/>
        <w:jc w:val="both"/>
      </w:pPr>
      <w:proofErr w:type="spellStart"/>
      <w:r w:rsidRPr="00D176E7">
        <w:t>Skopeliti</w:t>
      </w:r>
      <w:proofErr w:type="spellEnd"/>
      <w:r w:rsidRPr="00D176E7">
        <w:t xml:space="preserve">, C., (2020) </w:t>
      </w:r>
      <w:r w:rsidRPr="00D176E7">
        <w:rPr>
          <w:i/>
          <w:iCs/>
        </w:rPr>
        <w:t xml:space="preserve">UK supermarkets unite after Sainsbury’s advert prompts racist backlash. </w:t>
      </w:r>
      <w:r w:rsidR="00BE0681" w:rsidRPr="00D176E7">
        <w:t>Available</w:t>
      </w:r>
      <w:r w:rsidRPr="00D176E7">
        <w:t xml:space="preserve"> at: </w:t>
      </w:r>
      <w:hyperlink r:id="rId18">
        <w:r w:rsidRPr="00D176E7">
          <w:rPr>
            <w:u w:val="single"/>
          </w:rPr>
          <w:t>https://www.theguardian.com/world/2020/nov/28/uk-supermarkets-unite-after-sainsburys-advert-prompts-racist-backlash</w:t>
        </w:r>
      </w:hyperlink>
      <w:r w:rsidRPr="00D176E7">
        <w:t xml:space="preserve"> (Accessed: 03 August 2026)</w:t>
      </w:r>
    </w:p>
    <w:p w:rsidR="00212483" w:rsidRPr="00D176E7" w:rsidRDefault="00E96C66">
      <w:pPr>
        <w:spacing w:line="360" w:lineRule="auto"/>
        <w:jc w:val="both"/>
        <w:rPr>
          <w:b/>
          <w:bCs/>
        </w:rPr>
      </w:pPr>
      <w:r w:rsidRPr="00D176E7">
        <w:br w:type="page"/>
      </w:r>
    </w:p>
    <w:p w:rsidR="00212483" w:rsidRPr="00D176E7" w:rsidRDefault="00E96C66">
      <w:pPr>
        <w:spacing w:line="360" w:lineRule="auto"/>
        <w:jc w:val="center"/>
        <w:rPr>
          <w:b/>
          <w:bCs/>
        </w:rPr>
      </w:pPr>
      <w:r w:rsidRPr="00D176E7">
        <w:rPr>
          <w:b/>
          <w:bCs/>
        </w:rPr>
        <w:lastRenderedPageBreak/>
        <w:t>GAI Declaration</w:t>
      </w:r>
    </w:p>
    <w:p w:rsidR="00212483" w:rsidRPr="00D176E7" w:rsidRDefault="00E96C66">
      <w:pPr>
        <w:spacing w:line="360" w:lineRule="auto"/>
        <w:jc w:val="both"/>
      </w:pPr>
      <w:r w:rsidRPr="00D176E7">
        <w:t>I have not made use of any form of generative AI for this assignment. I have only used relevant and valid information I sourced from journals and web publications.</w:t>
      </w:r>
    </w:p>
    <w:sectPr w:rsidR="00212483" w:rsidRPr="00D176E7">
      <w:footerReference w:type="default" r:id="rId1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6073" w:rsidRDefault="00776073" w:rsidP="0078307D">
      <w:pPr>
        <w:spacing w:line="240" w:lineRule="auto"/>
      </w:pPr>
      <w:r>
        <w:separator/>
      </w:r>
    </w:p>
  </w:endnote>
  <w:endnote w:type="continuationSeparator" w:id="0">
    <w:p w:rsidR="00776073" w:rsidRDefault="00776073" w:rsidP="007830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7FD1387-C224-48CB-938F-2AB7D9720B87}"/>
  </w:font>
  <w:font w:name="Cambria">
    <w:panose1 w:val="02040503050406030204"/>
    <w:charset w:val="00"/>
    <w:family w:val="roman"/>
    <w:pitch w:val="variable"/>
    <w:sig w:usb0="E00006FF" w:usb1="420024FF" w:usb2="02000000" w:usb3="00000000" w:csb0="0000019F" w:csb1="00000000"/>
    <w:embedRegular r:id="rId2" w:fontKey="{A410D4BE-F96C-4D3B-9A55-F4464C8E83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399615"/>
      <w:docPartObj>
        <w:docPartGallery w:val="Page Numbers (Bottom of Page)"/>
        <w:docPartUnique/>
      </w:docPartObj>
    </w:sdtPr>
    <w:sdtEndPr>
      <w:rPr>
        <w:noProof/>
        <w:sz w:val="20"/>
      </w:rPr>
    </w:sdtEndPr>
    <w:sdtContent>
      <w:p w:rsidR="0078307D" w:rsidRPr="0078307D" w:rsidRDefault="0078307D">
        <w:pPr>
          <w:pStyle w:val="Footer"/>
          <w:jc w:val="right"/>
          <w:rPr>
            <w:sz w:val="20"/>
          </w:rPr>
        </w:pPr>
        <w:r w:rsidRPr="0078307D">
          <w:rPr>
            <w:sz w:val="20"/>
          </w:rPr>
          <w:fldChar w:fldCharType="begin"/>
        </w:r>
        <w:r w:rsidRPr="0078307D">
          <w:rPr>
            <w:sz w:val="20"/>
          </w:rPr>
          <w:instrText xml:space="preserve"> PAGE   \* MERGEFORMAT </w:instrText>
        </w:r>
        <w:r w:rsidRPr="0078307D">
          <w:rPr>
            <w:sz w:val="20"/>
          </w:rPr>
          <w:fldChar w:fldCharType="separate"/>
        </w:r>
        <w:r w:rsidR="00BE0681">
          <w:rPr>
            <w:noProof/>
            <w:sz w:val="20"/>
          </w:rPr>
          <w:t>11</w:t>
        </w:r>
        <w:r w:rsidRPr="0078307D">
          <w:rPr>
            <w:noProof/>
            <w:sz w:val="20"/>
          </w:rPr>
          <w:fldChar w:fldCharType="end"/>
        </w:r>
      </w:p>
    </w:sdtContent>
  </w:sdt>
  <w:p w:rsidR="0078307D" w:rsidRDefault="00783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6073" w:rsidRDefault="00776073" w:rsidP="0078307D">
      <w:pPr>
        <w:spacing w:line="240" w:lineRule="auto"/>
      </w:pPr>
      <w:r>
        <w:separator/>
      </w:r>
    </w:p>
  </w:footnote>
  <w:footnote w:type="continuationSeparator" w:id="0">
    <w:p w:rsidR="00776073" w:rsidRDefault="00776073" w:rsidP="007830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83"/>
    <w:rsid w:val="00062DC4"/>
    <w:rsid w:val="000B66E7"/>
    <w:rsid w:val="00126350"/>
    <w:rsid w:val="00195F7A"/>
    <w:rsid w:val="001C215C"/>
    <w:rsid w:val="00212483"/>
    <w:rsid w:val="0028017A"/>
    <w:rsid w:val="002C4711"/>
    <w:rsid w:val="00327AB4"/>
    <w:rsid w:val="00383CD9"/>
    <w:rsid w:val="00393907"/>
    <w:rsid w:val="00552408"/>
    <w:rsid w:val="005A6589"/>
    <w:rsid w:val="00661906"/>
    <w:rsid w:val="007164D3"/>
    <w:rsid w:val="00776073"/>
    <w:rsid w:val="0078307D"/>
    <w:rsid w:val="00796B33"/>
    <w:rsid w:val="007B16A1"/>
    <w:rsid w:val="007C220F"/>
    <w:rsid w:val="007C2F83"/>
    <w:rsid w:val="00946527"/>
    <w:rsid w:val="00A41283"/>
    <w:rsid w:val="00BC4DED"/>
    <w:rsid w:val="00BE0681"/>
    <w:rsid w:val="00BF45EE"/>
    <w:rsid w:val="00C05A77"/>
    <w:rsid w:val="00C14097"/>
    <w:rsid w:val="00C803EE"/>
    <w:rsid w:val="00D176E7"/>
    <w:rsid w:val="00D21E00"/>
    <w:rsid w:val="00DC678B"/>
    <w:rsid w:val="00E96C66"/>
    <w:rsid w:val="00F1396D"/>
    <w:rsid w:val="00F171C8"/>
    <w:rsid w:val="00FF452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B47FE0-C5CE-401B-B5A8-30A06254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bCs/>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F1396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1396D"/>
    <w:pPr>
      <w:spacing w:after="100"/>
    </w:pPr>
  </w:style>
  <w:style w:type="character" w:styleId="Hyperlink">
    <w:name w:val="Hyperlink"/>
    <w:basedOn w:val="DefaultParagraphFont"/>
    <w:uiPriority w:val="99"/>
    <w:unhideWhenUsed/>
    <w:rsid w:val="00F1396D"/>
    <w:rPr>
      <w:color w:val="0000FF" w:themeColor="hyperlink"/>
      <w:u w:val="single"/>
    </w:rPr>
  </w:style>
  <w:style w:type="paragraph" w:styleId="Header">
    <w:name w:val="header"/>
    <w:basedOn w:val="Normal"/>
    <w:link w:val="HeaderChar"/>
    <w:uiPriority w:val="99"/>
    <w:unhideWhenUsed/>
    <w:rsid w:val="0078307D"/>
    <w:pPr>
      <w:tabs>
        <w:tab w:val="center" w:pos="4513"/>
        <w:tab w:val="right" w:pos="9026"/>
      </w:tabs>
      <w:spacing w:line="240" w:lineRule="auto"/>
    </w:pPr>
  </w:style>
  <w:style w:type="character" w:customStyle="1" w:styleId="HeaderChar">
    <w:name w:val="Header Char"/>
    <w:basedOn w:val="DefaultParagraphFont"/>
    <w:link w:val="Header"/>
    <w:uiPriority w:val="99"/>
    <w:rsid w:val="0078307D"/>
  </w:style>
  <w:style w:type="paragraph" w:styleId="Footer">
    <w:name w:val="footer"/>
    <w:basedOn w:val="Normal"/>
    <w:link w:val="FooterChar"/>
    <w:uiPriority w:val="99"/>
    <w:unhideWhenUsed/>
    <w:rsid w:val="0078307D"/>
    <w:pPr>
      <w:tabs>
        <w:tab w:val="center" w:pos="4513"/>
        <w:tab w:val="right" w:pos="9026"/>
      </w:tabs>
      <w:spacing w:line="240" w:lineRule="auto"/>
    </w:pPr>
  </w:style>
  <w:style w:type="character" w:customStyle="1" w:styleId="FooterChar">
    <w:name w:val="Footer Char"/>
    <w:basedOn w:val="DefaultParagraphFont"/>
    <w:link w:val="Footer"/>
    <w:uiPriority w:val="99"/>
    <w:rsid w:val="00783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guardian.com/technology/2026/feb/05/london-man-sainsburys-facial-recognition-facewatch" TargetMode="External"/><Relationship Id="rId18" Type="http://schemas.openxmlformats.org/officeDocument/2006/relationships/hyperlink" Target="https://www.theguardian.com/world/2020/nov/28/uk-supermarkets-unite-after-sainsburys-advert-prompts-racist-backlas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journals.plos.org/plosone/article/file?id=10.1371/journal.pone.0283248&amp;type=printable" TargetMode="External"/><Relationship Id="rId17" Type="http://schemas.openxmlformats.org/officeDocument/2006/relationships/hyperlink" Target="https://corporate.sainsburys.co.uk/sustainability/explore-by-a-z/colleagues/our-approach-to-colleague-health-and-wellbeing/" TargetMode="External"/><Relationship Id="rId2" Type="http://schemas.openxmlformats.org/officeDocument/2006/relationships/styles" Target="styles.xml"/><Relationship Id="rId16" Type="http://schemas.openxmlformats.org/officeDocument/2006/relationships/hyperlink" Target="https://corporate.sainsburys.co.uk/sustainability/explore-by-a-z/stakeholder-engagement/how-we-engage-with-our-custome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gagehub.com/case-study/sainsburys/" TargetMode="External"/><Relationship Id="rId5" Type="http://schemas.openxmlformats.org/officeDocument/2006/relationships/footnotes" Target="footnotes.xml"/><Relationship Id="rId15" Type="http://schemas.openxmlformats.org/officeDocument/2006/relationships/hyperlink" Target="https://corporate.sainsburys.co.uk/media/e1lfnybd/sainsbury-annual-report-and-financial-statements-2025.pdf" TargetMode="External"/><Relationship Id="rId10" Type="http://schemas.openxmlformats.org/officeDocument/2006/relationships/hyperlink" Target="https://psycnet.apa.org/manuscript/2022-66265-001.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luegoose.co.uk/case-study-sainsburys/" TargetMode="External"/><Relationship Id="rId14" Type="http://schemas.openxmlformats.org/officeDocument/2006/relationships/hyperlink" Target="https://corporate.sainsburys.co.uk/investors/annual-report-2025/"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9667E-37FB-4A88-A43B-01A86DA005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2275</Words>
  <Characters>12970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florina loizidis</cp:lastModifiedBy>
  <cp:revision>2</cp:revision>
  <dcterms:created xsi:type="dcterms:W3CDTF">2026-08-11T12:30:00Z</dcterms:created>
  <dcterms:modified xsi:type="dcterms:W3CDTF">2026-08-11T12:30:00Z</dcterms:modified>
</cp:coreProperties>
</file>